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博时消费创新混合型证券投资基金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中国银行股份有限公司</w:t>
      </w:r>
      <w:r>
        <w:rPr>
          <w:rFonts w:ascii="宋体" w:hAnsi="宋体" w:eastAsia="宋体"/>
          <w:b/>
          <w:sz w:val="30"/>
        </w:rPr>
        <w:br w:type="page"/>
      </w:r>
    </w:p>
    <w:p>
      <w:pPr>
        <w:pStyle w:val="2"/>
        <w:jc w:val="center"/>
        <w:rPr>
          <w:rFonts w:ascii="宋体" w:hAnsi="宋体" w:eastAsia="宋体"/>
          <w:sz w:val="30"/>
        </w:rPr>
      </w:pPr>
      <w:bookmarkStart w:id="0" w:name="_Toc113549565"/>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1、本基金根据</w:t>
      </w:r>
      <w:bookmarkStart w:id="1" w:name="field_2343_approveddate_1"/>
      <w:r>
        <w:rPr>
          <w:sz w:val="21"/>
          <w:szCs w:val="21"/>
        </w:rPr>
        <w:t>2020年8月7日</w:t>
      </w:r>
      <w:bookmarkEnd w:id="1"/>
      <w:r>
        <w:rPr>
          <w:rFonts w:hint="eastAsia"/>
          <w:sz w:val="21"/>
          <w:szCs w:val="21"/>
        </w:rPr>
        <w:t> 中国证券监督管理委员会（以下简称“中国证监会”）《关于准予</w:t>
      </w:r>
      <w:bookmarkStart w:id="2" w:name="field_0_productfullname_1"/>
      <w:r>
        <w:rPr>
          <w:rFonts w:hint="eastAsia"/>
          <w:sz w:val="21"/>
          <w:szCs w:val="21"/>
        </w:rPr>
        <w:t>博时消费创新混合型证券投资基金</w:t>
      </w:r>
      <w:bookmarkEnd w:id="2"/>
      <w:r>
        <w:rPr>
          <w:rFonts w:hint="eastAsia"/>
          <w:sz w:val="21"/>
          <w:szCs w:val="21"/>
        </w:rPr>
        <w:t>注册的批复》（证监许可</w:t>
      </w:r>
      <w:bookmarkStart w:id="3" w:name="field_2343_lotnumber_1"/>
      <w:r>
        <w:rPr>
          <w:sz w:val="21"/>
          <w:szCs w:val="21"/>
        </w:rPr>
        <w:t>[2020]1700</w:t>
      </w:r>
      <w:bookmarkEnd w:id="3"/>
      <w:r>
        <w:rPr>
          <w:rFonts w:hint="eastAsia"/>
          <w:sz w:val="21"/>
          <w:szCs w:val="21"/>
        </w:rPr>
        <w:t xml:space="preserve"> 号）进行募集。  </w:t>
      </w:r>
    </w:p>
    <w:p>
      <w:pPr>
        <w:pStyle w:val="7"/>
        <w:spacing w:before="0" w:beforeAutospacing="0" w:after="0" w:afterAutospacing="0" w:line="360" w:lineRule="auto"/>
        <w:ind w:firstLine="42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pPr>
        <w:pStyle w:val="7"/>
        <w:spacing w:before="0" w:beforeAutospacing="0" w:after="0" w:afterAutospacing="0" w:line="360" w:lineRule="auto"/>
        <w:ind w:firstLine="420"/>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港股通机制下允许投资的香港联合交易所上市的股票（以下简称“港股通标的股票”）、债券、股指期货、国债期货、股票期权、信用衍生品、货币市场工具及法律法规或中国证监会允许基金投资的其他金融工具（但须符合中国证监会的相关规定），在正常市场环境下本基金的流动性风险适中。在特殊市场条件下，如遇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5、本基金是混合型证券投资基金，其预期收益和预期风险水平高于债券型基金产品和货币市场基金，低于股票型基金。本基金如果投资港股通标的股票，需承担汇率风险以及境外市场的风险。 </w:t>
      </w:r>
    </w:p>
    <w:p>
      <w:pPr>
        <w:pStyle w:val="7"/>
        <w:spacing w:before="0" w:beforeAutospacing="0" w:after="0" w:afterAutospacing="0" w:line="360" w:lineRule="auto"/>
        <w:ind w:firstLine="420"/>
        <w:rPr>
          <w:sz w:val="21"/>
          <w:szCs w:val="21"/>
        </w:rPr>
      </w:pPr>
      <w:r>
        <w:rPr>
          <w:rFonts w:hint="eastAsia"/>
          <w:sz w:val="21"/>
          <w:szCs w:val="21"/>
        </w:rPr>
        <w:t xml:space="preserve">6、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超短期融资券、可转换债券（含可分离交易可转换债券）、可交换债、次级债等）、资产支持证券、货币市场工具、银行存款、同业存单、债券回购、股指期货、股票期权、国债期货、信用衍生品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本基金可根据相关法律法规和基金合同的约定参与融资业务。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如法律法规或监管机构以后允许基金投资其他品种，基金管理人在履行适当程序后，本基金可以将其纳入投资范围。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基金资产可以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 </w:t>
      </w:r>
    </w:p>
    <w:p>
      <w:pPr>
        <w:pStyle w:val="7"/>
        <w:spacing w:before="0" w:beforeAutospacing="0" w:after="0" w:afterAutospacing="0" w:line="360" w:lineRule="auto"/>
        <w:ind w:firstLine="420"/>
        <w:rPr>
          <w:sz w:val="21"/>
          <w:szCs w:val="21"/>
        </w:rPr>
      </w:pPr>
      <w:r>
        <w:rPr>
          <w:rFonts w:hint="eastAsia"/>
          <w:sz w:val="21"/>
          <w:szCs w:val="21"/>
        </w:rPr>
        <w:t xml:space="preserve">本基金可投资资产支持证券（ABS）。资产支持证券（ABS）是一种债券性质的金融工具，以资产信用为支持，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本基金可投资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pPr>
        <w:pStyle w:val="7"/>
        <w:spacing w:before="0" w:beforeAutospacing="0" w:after="0" w:afterAutospacing="0" w:line="360" w:lineRule="auto"/>
        <w:ind w:firstLine="420"/>
        <w:rPr>
          <w:sz w:val="21"/>
          <w:szCs w:val="21"/>
        </w:rPr>
      </w:pPr>
      <w:r>
        <w:rPr>
          <w:rFonts w:hint="eastAsia"/>
          <w:sz w:val="21"/>
          <w:szCs w:val="21"/>
        </w:rPr>
        <w:t xml:space="preserve">本基金可参与股票期权交易，以套期保值为主要目的，若参与股票期权交易，可能面临价格波动风险、市场流动性风险、强制平仓风险、合约到期风险、行权失败风险、交易违约风险等。 </w:t>
      </w:r>
    </w:p>
    <w:p>
      <w:pPr>
        <w:pStyle w:val="7"/>
        <w:spacing w:before="0" w:beforeAutospacing="0" w:after="0" w:afterAutospacing="0" w:line="360" w:lineRule="auto"/>
        <w:ind w:firstLine="420"/>
        <w:rPr>
          <w:sz w:val="21"/>
          <w:szCs w:val="21"/>
        </w:rPr>
      </w:pPr>
      <w:r>
        <w:rPr>
          <w:rFonts w:hint="eastAsia"/>
          <w:sz w:val="21"/>
          <w:szCs w:val="21"/>
        </w:rPr>
        <w:t xml:space="preserve">为对冲信用风险，本基金可能投资于信用衍生品，信用衍生品投资可能面临流动性风险、偿付风险以及价格波动风险。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五十个工作日出现前述情形的，本基金将根据基金合同的约定进行基金财产清算并终止，且无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7、本基金股票资产（含存托凭证）投资比例为基金资产的60%-95%，其中投资于“消费创新主题”相关证券资产的比例不低于非现金基金资产的80%。港股通标的股票的投资比例为股票资产的0%-50%。每个交易日日终，在扣除股指期货、国债期货、股票期权合约需缴纳的交易保证金以后，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8、当本基金持有特定资产且存在或潜在大额赎回申请时，基金管理人履行相应程序后，可以启用侧袋机制，具体详见基金合同和本招募说明书的相关章节。侧袋机制实施期间，基金管理人将对基金简称进行特殊标识，并不办理侧袋账户的申购赎回。请基金份额持有人仔细阅读相关内容并关注本基金启用侧袋机制时的特定风险。 </w:t>
      </w:r>
    </w:p>
    <w:p>
      <w:pPr>
        <w:pStyle w:val="7"/>
        <w:spacing w:before="0" w:beforeAutospacing="0" w:after="0" w:afterAutospacing="0" w:line="360" w:lineRule="auto"/>
        <w:ind w:firstLine="420"/>
        <w:rPr>
          <w:sz w:val="21"/>
          <w:szCs w:val="21"/>
        </w:rPr>
      </w:pPr>
      <w:r>
        <w:rPr>
          <w:rFonts w:hint="eastAsia"/>
          <w:sz w:val="21"/>
          <w:szCs w:val="21"/>
        </w:rPr>
        <w:t xml:space="preserve">9、本基金发售面值为人民币1.00元。在市场波动因素影响下，本基金净值可能低于发售面值，本基金投资者有可能出现亏损。 </w:t>
      </w:r>
    </w:p>
    <w:p>
      <w:pPr>
        <w:pStyle w:val="7"/>
        <w:spacing w:before="0" w:beforeAutospacing="0" w:after="0" w:afterAutospacing="0" w:line="360" w:lineRule="auto"/>
        <w:ind w:firstLine="420"/>
        <w:rPr>
          <w:sz w:val="21"/>
          <w:szCs w:val="21"/>
        </w:rPr>
      </w:pPr>
      <w:r>
        <w:rPr>
          <w:rFonts w:hint="eastAsia"/>
          <w:sz w:val="21"/>
          <w:szCs w:val="21"/>
        </w:rPr>
        <w:t xml:space="preserve">10、基金的过往业绩并不预示其未来表现，基金管理人管理的其他基金的业绩也不构成对本基金业绩表现的保证。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11、基金管理人依照恪尽职守、诚实信用、谨慎勤勉的原则管理和运用基金财产，但不保证基金一定盈利，也不保证最低收益。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w:t>
      </w:r>
      <w:bookmarkStart w:id="4"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4"/>
      <w:r>
        <w:rPr>
          <w:rFonts w:hint="eastAsia"/>
          <w:sz w:val="21"/>
          <w:szCs w:val="21"/>
        </w:rPr>
        <w:t>，有关财务数据和净值表现截止日为</w:t>
      </w:r>
      <w:bookmarkStart w:id="5" w:name="field_2343_financeendday_1"/>
      <w:r>
        <w:rPr>
          <w:sz w:val="21"/>
          <w:szCs w:val="21"/>
        </w:rPr>
        <w:t>2022年6月30日</w:t>
      </w:r>
      <w:bookmarkEnd w:id="5"/>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"_Toc113549565"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_Toc113549565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"_Toc113549566"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_Toc113549566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"_Toc113549567"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_Toc113549567 \h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"_Toc113549568"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_Toc113549568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"_Toc113549569"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_Toc113549569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"_Toc113549570"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_Toc113549570 \h </w:instrText>
      </w:r>
      <w:r>
        <w:rPr>
          <w:rFonts w:ascii="宋体" w:hAnsi="宋体" w:eastAsia="宋体"/>
        </w:rPr>
        <w:fldChar w:fldCharType="separate"/>
      </w:r>
      <w:r>
        <w:rPr>
          <w:rFonts w:ascii="宋体" w:hAnsi="宋体" w:eastAsia="宋体"/>
        </w:rPr>
        <w:t>27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"_Toc113549571"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_Toc113549571 \h </w:instrText>
      </w:r>
      <w:r>
        <w:rPr>
          <w:rFonts w:ascii="宋体" w:hAnsi="宋体" w:eastAsia="宋体"/>
        </w:rPr>
        <w:fldChar w:fldCharType="separate"/>
      </w:r>
      <w:r>
        <w:rPr>
          <w:rFonts w:ascii="宋体" w:hAnsi="宋体" w:eastAsia="宋体"/>
        </w:rPr>
        <w:t>61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"_Toc113549572"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_Toc113549572 \h </w:instrText>
      </w:r>
      <w:r>
        <w:rPr>
          <w:rFonts w:ascii="宋体" w:hAnsi="宋体" w:eastAsia="宋体"/>
        </w:rPr>
        <w:fldChar w:fldCharType="separate"/>
      </w:r>
      <w:r>
        <w:rPr>
          <w:rFonts w:ascii="宋体" w:hAnsi="宋体" w:eastAsia="宋体"/>
        </w:rPr>
        <w:t>62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"_Toc113549573"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_Toc113549573 \h </w:instrText>
      </w:r>
      <w:r>
        <w:rPr>
          <w:rFonts w:ascii="宋体" w:hAnsi="宋体" w:eastAsia="宋体"/>
        </w:rPr>
        <w:fldChar w:fldCharType="separate"/>
      </w:r>
      <w:r>
        <w:rPr>
          <w:rFonts w:ascii="宋体" w:hAnsi="宋体" w:eastAsia="宋体"/>
        </w:rPr>
        <w:t>74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"_Toc113549574"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_Toc113549574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"_Toc113549575"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_Toc113549575 \h </w:instrText>
      </w:r>
      <w:r>
        <w:rPr>
          <w:rFonts w:ascii="宋体" w:hAnsi="宋体" w:eastAsia="宋体"/>
        </w:rPr>
        <w:fldChar w:fldCharType="separate"/>
      </w:r>
      <w:r>
        <w:rPr>
          <w:rFonts w:ascii="宋体" w:hAnsi="宋体" w:eastAsia="宋体"/>
        </w:rPr>
        <w:t>89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"_Toc113549576"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_Toc113549576 \h </w:instrText>
      </w:r>
      <w:r>
        <w:rPr>
          <w:rFonts w:ascii="宋体" w:hAnsi="宋体" w:eastAsia="宋体"/>
        </w:rPr>
        <w:fldChar w:fldCharType="separate"/>
      </w:r>
      <w:r>
        <w:rPr>
          <w:rFonts w:ascii="宋体" w:hAnsi="宋体" w:eastAsia="宋体"/>
        </w:rPr>
        <w:t>90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"_Toc113549577"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_Toc113549577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"_Toc113549578"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基金的费用与税收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_Toc113549578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"_Toc113549579"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_Toc113549579 \h </w:instrText>
      </w:r>
      <w:r>
        <w:rPr>
          <w:rFonts w:ascii="宋体" w:hAnsi="宋体" w:eastAsia="宋体"/>
        </w:rPr>
        <w:fldChar w:fldCharType="separate"/>
      </w:r>
      <w:r>
        <w:rPr>
          <w:rFonts w:ascii="宋体" w:hAnsi="宋体" w:eastAsia="宋体"/>
        </w:rPr>
        <w:t>101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"_Toc113549580"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_Toc113549580 \h </w:instrText>
      </w:r>
      <w:r>
        <w:rPr>
          <w:rFonts w:ascii="宋体" w:hAnsi="宋体" w:eastAsia="宋体"/>
        </w:rPr>
        <w:fldChar w:fldCharType="separate"/>
      </w:r>
      <w:r>
        <w:rPr>
          <w:rFonts w:ascii="宋体" w:hAnsi="宋体" w:eastAsia="宋体"/>
        </w:rPr>
        <w:t>102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"_Toc113549581"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侧袋机制</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_Toc113549581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"_Toc113549582"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_Toc113549582 \h </w:instrText>
      </w:r>
      <w:r>
        <w:rPr>
          <w:rFonts w:ascii="宋体" w:hAnsi="宋体" w:eastAsia="宋体"/>
        </w:rPr>
        <w:fldChar w:fldCharType="separate"/>
      </w:r>
      <w:r>
        <w:rPr>
          <w:rFonts w:ascii="宋体" w:hAnsi="宋体" w:eastAsia="宋体"/>
        </w:rPr>
        <w:t>112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"_Toc113549583"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_Toc113549583 \h </w:instrText>
      </w:r>
      <w:r>
        <w:rPr>
          <w:rFonts w:ascii="宋体" w:hAnsi="宋体" w:eastAsia="宋体"/>
        </w:rPr>
        <w:fldChar w:fldCharType="separate"/>
      </w:r>
      <w:r>
        <w:rPr>
          <w:rFonts w:ascii="宋体" w:hAnsi="宋体" w:eastAsia="宋体"/>
        </w:rPr>
        <w:t>120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"_Toc113549584"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_Toc113549584 \h </w:instrText>
      </w:r>
      <w:r>
        <w:rPr>
          <w:rFonts w:ascii="宋体" w:hAnsi="宋体" w:eastAsia="宋体"/>
        </w:rPr>
        <w:fldChar w:fldCharType="separate"/>
      </w:r>
      <w:r>
        <w:rPr>
          <w:rFonts w:ascii="宋体" w:hAnsi="宋体" w:eastAsia="宋体"/>
        </w:rPr>
        <w:t>122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"_Toc113549585"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_Toc113549585 \h </w:instrText>
      </w:r>
      <w:r>
        <w:rPr>
          <w:rFonts w:ascii="宋体" w:hAnsi="宋体" w:eastAsia="宋体"/>
        </w:rPr>
        <w:fldChar w:fldCharType="separate"/>
      </w:r>
      <w:r>
        <w:rPr>
          <w:rFonts w:ascii="宋体" w:hAnsi="宋体" w:eastAsia="宋体"/>
        </w:rPr>
        <w:t>138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"_Toc113549586"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_Toc113549586 \h </w:instrText>
      </w:r>
      <w:r>
        <w:rPr>
          <w:rFonts w:ascii="宋体" w:hAnsi="宋体" w:eastAsia="宋体"/>
        </w:rPr>
        <w:fldChar w:fldCharType="separate"/>
      </w:r>
      <w:r>
        <w:rPr>
          <w:rFonts w:ascii="宋体" w:hAnsi="宋体" w:eastAsia="宋体"/>
        </w:rPr>
        <w:t>150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"_Toc113549587"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_Toc113549587 \h </w:instrText>
      </w:r>
      <w:r>
        <w:rPr>
          <w:rFonts w:ascii="宋体" w:hAnsi="宋体" w:eastAsia="宋体"/>
        </w:rPr>
        <w:fldChar w:fldCharType="separate"/>
      </w:r>
      <w:r>
        <w:rPr>
          <w:rFonts w:ascii="宋体" w:hAnsi="宋体" w:eastAsia="宋体"/>
        </w:rPr>
        <w:t>153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"_Toc113549588"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招募说明书的存放及查阅方式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_Toc113549588 \h </w:instrText>
      </w:r>
      <w:r>
        <w:rPr>
          <w:rFonts w:ascii="宋体" w:hAnsi="宋体" w:eastAsia="宋体"/>
        </w:rPr>
        <w:fldChar w:fldCharType="separate"/>
      </w:r>
      <w:r>
        <w:rPr>
          <w:rFonts w:ascii="宋体" w:hAnsi="宋体" w:eastAsia="宋体"/>
        </w:rPr>
        <w:t>156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"_Toc113549589" </w:instrText>
      </w:r>
      <w:r>
        <w:fldChar w:fldCharType="separate"/>
      </w:r>
      <w:r>
        <w:rPr>
          <w:rStyle w:val="12"/>
          <w:rFonts w:hint="eastAsia" w:ascii="宋体" w:hAnsi="宋体" w:eastAsia="宋体"/>
          <w:u w:val="none"/>
        </w:rPr>
        <w:t>第二十四部分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_Toc113549589 \h </w:instrText>
      </w:r>
      <w:r>
        <w:rPr>
          <w:rFonts w:ascii="宋体" w:hAnsi="宋体" w:eastAsia="宋体"/>
        </w:rPr>
        <w:fldChar w:fldCharType="separate"/>
      </w:r>
      <w:r>
        <w:rPr>
          <w:rFonts w:ascii="宋体" w:hAnsi="宋体" w:eastAsia="宋体"/>
        </w:rPr>
        <w:t>157</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_Toc113549566"/>
      <w:bookmarkStart w:id="7" w:name="chapter_level1_3_2344"/>
      <w:r>
        <w:rPr>
          <w:rFonts w:hint="eastAsia" w:ascii="宋体" w:hAnsi="宋体" w:eastAsia="宋体"/>
          <w:sz w:val="30"/>
        </w:rPr>
        <w:t>第一部分  绪言</w:t>
      </w:r>
      <w:bookmarkEnd w:id="6"/>
      <w:bookmarkEnd w:id="7"/>
    </w:p>
    <w:p>
      <w:pPr>
        <w:pStyle w:val="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w:t>
      </w:r>
      <w:bookmarkStart w:id="9" w:name="field_0_productfullname_2"/>
      <w:r>
        <w:rPr>
          <w:rFonts w:hint="eastAsia"/>
          <w:sz w:val="21"/>
          <w:szCs w:val="21"/>
        </w:rPr>
        <w:t>博时消费创新混合型证券投资基金</w:t>
      </w:r>
      <w:bookmarkEnd w:id="9"/>
      <w:r>
        <w:rPr>
          <w:rFonts w:hint="eastAsia"/>
          <w:sz w:val="21"/>
          <w:szCs w:val="21"/>
        </w:rPr>
        <w:t>招募说明书》（以下简称“招募说明书”或“本招募说明书”）依照《中华人民共和国证券法》(以下简称“《证券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10" w:name="field_0_productfullname_3"/>
      <w:r>
        <w:rPr>
          <w:rFonts w:hint="eastAsia"/>
          <w:sz w:val="21"/>
          <w:szCs w:val="21"/>
        </w:rPr>
        <w:t>博时消费创新混合型证券投资基金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本招募说明书阐述了</w:t>
      </w:r>
      <w:bookmarkStart w:id="11" w:name="field_0_productfullname_4"/>
      <w:r>
        <w:rPr>
          <w:rFonts w:hint="eastAsia"/>
          <w:sz w:val="21"/>
          <w:szCs w:val="21"/>
        </w:rPr>
        <w:t>博时消费创新混合型证券投资基金</w:t>
      </w:r>
      <w:bookmarkEnd w:id="11"/>
      <w:r>
        <w:rPr>
          <w:rFonts w:hint="eastAsia"/>
          <w:sz w:val="21"/>
          <w:szCs w:val="21"/>
        </w:rPr>
        <w:t xml:space="preserve">的投资目标、策略、风险、费率等与投资人投资决策有关的必要事项，投资人在作出投资决策前应仔细阅读本招募说明书。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2" w:name="field_0_productfullname_5"/>
      <w:r>
        <w:rPr>
          <w:rFonts w:hint="eastAsia"/>
          <w:sz w:val="21"/>
          <w:szCs w:val="21"/>
        </w:rPr>
        <w:t>博时消费创新混合型证券投资基金</w:t>
      </w:r>
      <w:bookmarkEnd w:id="12"/>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w:t>
      </w:r>
      <w:bookmarkStart w:id="13" w:name="chapter_level1_3_2344_section_1_end"/>
      <w:bookmarkEnd w:id="13"/>
      <w:r>
        <w:rPr>
          <w:rFonts w:hint="eastAsia"/>
          <w:sz w:val="21"/>
          <w:szCs w:val="21"/>
        </w:rPr>
        <w:t xml:space="preserve">了解基金份额持有人的权利和义务，应详细查阅基金合同。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 w:name="chapter_level1_4_49"/>
      <w:bookmarkStart w:id="15" w:name="_Toc113549567"/>
      <w:r>
        <w:rPr>
          <w:rFonts w:hint="eastAsia" w:ascii="宋体" w:hAnsi="宋体" w:eastAsia="宋体"/>
          <w:sz w:val="30"/>
        </w:rPr>
        <w:t>第二部分  释义</w:t>
      </w:r>
      <w:bookmarkEnd w:id="14"/>
      <w:bookmarkEnd w:id="15"/>
    </w:p>
    <w:p>
      <w:pPr>
        <w:pStyle w:val="7"/>
        <w:spacing w:before="0" w:beforeAutospacing="0" w:after="0" w:afterAutospacing="0" w:line="360" w:lineRule="auto"/>
        <w:ind w:firstLine="420"/>
        <w:rPr>
          <w:sz w:val="21"/>
          <w:szCs w:val="21"/>
        </w:rPr>
      </w:pPr>
      <w:bookmarkStart w:id="16" w:name="chapter_level1_4_49_section_1"/>
      <w:bookmarkEnd w:id="16"/>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7" w:name="field_0_productfullname_6"/>
      <w:r>
        <w:rPr>
          <w:rFonts w:hint="eastAsia"/>
          <w:sz w:val="21"/>
          <w:szCs w:val="21"/>
        </w:rPr>
        <w:t>博时消费创新混合型证券投资基金</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8" w:name="field_0_managerorgfullname_1"/>
      <w:r>
        <w:rPr>
          <w:rFonts w:hint="eastAsia"/>
          <w:sz w:val="21"/>
          <w:szCs w:val="21"/>
        </w:rPr>
        <w:t>博时基金管理有限公司</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9" w:name="field_0_trustorgfullname_1"/>
      <w:r>
        <w:rPr>
          <w:rFonts w:hint="eastAsia"/>
          <w:sz w:val="21"/>
          <w:szCs w:val="21"/>
        </w:rPr>
        <w:t>中国银行股份有限公司</w:t>
      </w:r>
      <w:bookmarkEnd w:id="1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20" w:name="field_0_productfullname_7"/>
      <w:r>
        <w:rPr>
          <w:rFonts w:hint="eastAsia"/>
          <w:sz w:val="21"/>
          <w:szCs w:val="21"/>
        </w:rPr>
        <w:t>博时消费创新混合型证券投资基金</w:t>
      </w:r>
      <w:bookmarkEnd w:id="20"/>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1" w:name="field_0_productfullname_8"/>
      <w:r>
        <w:rPr>
          <w:rFonts w:hint="eastAsia"/>
          <w:sz w:val="21"/>
          <w:szCs w:val="21"/>
        </w:rPr>
        <w:t>博时消费创新混合型证券投资基金</w:t>
      </w:r>
      <w:bookmarkEnd w:id="21"/>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2" w:name="field_0_productfullname_9"/>
      <w:r>
        <w:rPr>
          <w:rFonts w:hint="eastAsia"/>
          <w:sz w:val="21"/>
          <w:szCs w:val="21"/>
        </w:rPr>
        <w:t>博时消费创新混合型证券投资基金</w:t>
      </w:r>
      <w:bookmarkEnd w:id="22"/>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7、基金产品资料概要：指《</w:t>
      </w:r>
      <w:bookmarkStart w:id="23" w:name="field_0_productfullname_10"/>
      <w:r>
        <w:rPr>
          <w:rFonts w:hint="eastAsia"/>
          <w:sz w:val="21"/>
          <w:szCs w:val="21"/>
        </w:rPr>
        <w:t>博时消费创新混合型证券投资基金</w:t>
      </w:r>
      <w:bookmarkEnd w:id="23"/>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8、基金份额发售公告：指《</w:t>
      </w:r>
      <w:bookmarkStart w:id="24" w:name="field_0_productfullname_11"/>
      <w:r>
        <w:rPr>
          <w:rFonts w:hint="eastAsia"/>
          <w:sz w:val="21"/>
          <w:szCs w:val="21"/>
        </w:rPr>
        <w:t>博时消费创新混合型证券投资基金</w:t>
      </w:r>
      <w:bookmarkEnd w:id="24"/>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16、银行业监督管理机构：指中国人民银行和/或中国银行保险监督管理委员会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21、人民币合格境外机构投资者：指按照《人民币合格境外机构投资者境内证券投资试点办法》及相关法律法规规定，运用来自境外的人民币资金进行境内证券投资的境外法人 </w:t>
      </w:r>
    </w:p>
    <w:p>
      <w:pPr>
        <w:pStyle w:val="7"/>
        <w:spacing w:before="0" w:beforeAutospacing="0" w:after="0" w:afterAutospacing="0" w:line="360" w:lineRule="auto"/>
        <w:ind w:firstLine="420"/>
        <w:rPr>
          <w:sz w:val="21"/>
          <w:szCs w:val="21"/>
        </w:rPr>
      </w:pPr>
      <w:r>
        <w:rPr>
          <w:rFonts w:hint="eastAsia"/>
          <w:sz w:val="21"/>
          <w:szCs w:val="21"/>
        </w:rPr>
        <w:t xml:space="preserve">22、投资人、投资者：指个人投资者、机构投资者、合格境外机构投资者和人民币合格境外机构投资者以及法律法规或中国证监会允许购买证券投资基金的其他投资人的合称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23、基金份额持有人：指依基金合同和招募说明书合法取得基金份额的投资人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24、基金销售业务：指基金管理人或销售机构宣传推介基金，发售基金份额，办理基金份额的申购、赎回、转换、转托管及定期定额投资等业务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bookmarkStart w:id="25" w:name="chapter_level1_4_49_section_1_end"/>
      <w:bookmarkEnd w:id="25"/>
      <w:r>
        <w:rPr>
          <w:rFonts w:hint="eastAsia"/>
          <w:sz w:val="21"/>
          <w:szCs w:val="21"/>
        </w:rPr>
        <w:t xml:space="preserve">25、销售机构：指直销机构和代销机构 </w:t>
      </w:r>
    </w:p>
    <w:p>
      <w:pPr>
        <w:pStyle w:val="7"/>
        <w:spacing w:before="0" w:beforeAutospacing="0" w:after="0" w:afterAutospacing="0" w:line="360" w:lineRule="auto"/>
        <w:ind w:firstLine="420"/>
        <w:rPr>
          <w:sz w:val="21"/>
          <w:szCs w:val="21"/>
        </w:rPr>
      </w:pPr>
      <w:bookmarkStart w:id="26" w:name="chapter_level1_4_49_section_2"/>
      <w:bookmarkEnd w:id="26"/>
      <w:r>
        <w:rPr>
          <w:rFonts w:hint="eastAsia"/>
          <w:sz w:val="21"/>
          <w:szCs w:val="21"/>
        </w:rPr>
        <w:t xml:space="preserve">26、直销机构：指博时基金管理有限公司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27、代销机构：指符合《销售办法》和中国证监会规定的其他条件，取得基金销售业务资格并与基金管理人签订了基金销售服务协议，办理基金销售业务的机构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28、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29、登记机构：指办理登记业务的机构。基金的登记机构为</w:t>
      </w:r>
      <w:bookmarkStart w:id="27" w:name="field_0_managerorgfullname_2"/>
      <w:r>
        <w:rPr>
          <w:rFonts w:hint="eastAsia"/>
          <w:sz w:val="21"/>
          <w:szCs w:val="21"/>
        </w:rPr>
        <w:t>博时基金管理有限公司</w:t>
      </w:r>
      <w:bookmarkEnd w:id="27"/>
      <w:r>
        <w:rPr>
          <w:rFonts w:hint="eastAsia"/>
          <w:sz w:val="21"/>
          <w:szCs w:val="21"/>
        </w:rPr>
        <w:t>或接受</w:t>
      </w:r>
      <w:bookmarkStart w:id="28" w:name="field_0_managerorgfullname_3"/>
      <w:r>
        <w:rPr>
          <w:rFonts w:hint="eastAsia"/>
          <w:sz w:val="21"/>
          <w:szCs w:val="21"/>
        </w:rPr>
        <w:t>博时基金管理有限公司</w:t>
      </w:r>
      <w:bookmarkEnd w:id="28"/>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r>
        <w:rPr>
          <w:rFonts w:hint="eastAsia"/>
          <w:sz w:val="21"/>
          <w:szCs w:val="21"/>
        </w:rPr>
        <w:t xml:space="preserve">30、基金账户：指登记机构为投资人开立的、记录其持有的、基金管理人所管理的基金份额余额及其变动情况的账户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31、基金交易账户：指销售机构为投资人开立的、记录投资人通过该销售机构办理认购、申购、赎回、转换、转托管及定期定额投资等业务而引起的基金份额变动及结余情况的账户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32、基金合同生效日：指基金募集达到法律法规规定及基金合同规定的条件，基金管理人向中国证监会办理基金备案手续完毕，并获得中国证监会书面确认的日期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33、基金合同终止日：指基金合同规定的基金合同终止事由出现后，基金财产清算完毕，清算结果报中国证监会备案并予以公告的日期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34、基金募集期：指自基金份额发售之日起至发售结束之日止的期间，最长不得超过3个月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35、存续期：指基金合同生效至终止之间的不定期期限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36、工作日：指上海证券交易所、深圳证券交易所及相关期货交易所的正常交易日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37、T日：指销售机构在规定时间受理投资人申购、赎回或其他业务申请的开放日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38、T+n日：指自T日起第n个工作日(不包含T日)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39、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pPr>
        <w:pStyle w:val="7"/>
        <w:spacing w:before="0" w:beforeAutospacing="0" w:after="0" w:afterAutospacing="0" w:line="360" w:lineRule="auto"/>
        <w:ind w:firstLine="420"/>
        <w:rPr>
          <w:sz w:val="21"/>
          <w:szCs w:val="21"/>
        </w:rPr>
      </w:pPr>
      <w:r>
        <w:rPr>
          <w:rFonts w:hint="eastAsia"/>
          <w:sz w:val="21"/>
          <w:szCs w:val="21"/>
        </w:rPr>
        <w:t xml:space="preserve">40、开放时间：指开放日基金接受申购、赎回或其他交易的时间段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41、《业务规则》：指《</w:t>
      </w:r>
      <w:bookmarkStart w:id="29" w:name="field_0_managerorgfullname_4"/>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42、认购：指在基金募集期内，投资人根据基金合同和招募说明书的规定申请购买基金份额的行为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43、申购：指基金合同生效后，投资人根据基金合同和招募说明书的规定申请购买基金份额的行为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44、赎回：指基金合同生效后，基金份额持有人按基金合同和招募说明书规定的条件要求将基金份额兑换为现金的行为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45、基金转换：指基金份额持有人按照基金合同和基金管理人届时有效公告规定的条件，申请将其持有基金管理人管理的、某一基金的基金份额转换为基金管理人管理的其他基金基金份额的行为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46、转托管：指基金份额持有人在本基金的不同销售机构之间实施的变更所持基金份额销售机构的操作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47、定期定额投资计划：指投资人通过有关销售机构提出申请，约定每期申购日、扣款金额及扣款方式，由销售机构于每期约定扣款日在投资人指定银行账户内自动完成扣款及受理基金申购申请的一种投资方式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48、巨额赎回：指本基金单个开放日，基金净赎回申请(赎回申请份额总数加上基金转换中转出申请份额总数后扣除申购申请份额总数及基金转换中转入申请份额总数后的余额)超过上一工作日基金总份额的 </w:t>
      </w:r>
      <w:bookmarkStart w:id="30" w:name="field_49_mintredeemscale_1"/>
      <w:r>
        <w:rPr>
          <w:sz w:val="21"/>
          <w:szCs w:val="21"/>
        </w:rPr>
        <w:t>10</w:t>
      </w:r>
      <w:bookmarkEnd w:id="30"/>
      <w:r>
        <w:rPr>
          <w:rFonts w:hint="eastAsia"/>
          <w:sz w:val="21"/>
          <w:szCs w:val="21"/>
        </w:rPr>
        <w:t xml:space="preserve"> % </w:t>
      </w:r>
    </w:p>
    <w:p>
      <w:pPr>
        <w:pStyle w:val="7"/>
        <w:spacing w:before="0" w:beforeAutospacing="0" w:after="0" w:afterAutospacing="0" w:line="360" w:lineRule="auto"/>
        <w:ind w:firstLine="420"/>
        <w:rPr>
          <w:sz w:val="21"/>
          <w:szCs w:val="21"/>
        </w:rPr>
      </w:pPr>
      <w:r>
        <w:rPr>
          <w:rFonts w:hint="eastAsia"/>
          <w:sz w:val="21"/>
          <w:szCs w:val="21"/>
        </w:rPr>
        <w:t xml:space="preserve">49、元：指人民币元 </w:t>
      </w:r>
    </w:p>
    <w:p>
      <w:pPr>
        <w:pStyle w:val="7"/>
        <w:spacing w:before="0" w:beforeAutospacing="0" w:after="0" w:afterAutospacing="0" w:line="360" w:lineRule="auto"/>
        <w:ind w:firstLine="420"/>
        <w:rPr>
          <w:sz w:val="21"/>
          <w:szCs w:val="21"/>
        </w:rPr>
      </w:pPr>
      <w:r>
        <w:rPr>
          <w:rFonts w:hint="eastAsia"/>
          <w:sz w:val="21"/>
          <w:szCs w:val="21"/>
        </w:rPr>
        <w:t xml:space="preserve">50、基金收益：指基金投资所得红利、股息、债券利息、买卖证券价差、银行存款利息、已实现的其他合法收入及因运用基金财产带来的成本和费用的节约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51、基金资产总值：指基金拥有的各类有价证券、银行存款本息、基金应收款项及其他资产的价值总和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52、基金资产净值：指基金资产总值减去基金负债后的价值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53、基金份额净值：指计算日基金资产净值除以计算日基金份额总数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54、基金资产估值：指计算评估基金资产和负债的价值，以确定基金资产净值和基金份额净值的过程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55、基金份额分类：指本基金分设两类基金份额，即A类基金份额和C类基金份额。两类基金份额分设不同的基金代码，分别计算基金份额净值，计算公式为计算日各类别基金资产净值除以计算日发售在外的该类别基金份额总数 </w:t>
      </w:r>
    </w:p>
    <w:p>
      <w:pPr>
        <w:pStyle w:val="7"/>
        <w:spacing w:before="0" w:beforeAutospacing="0" w:after="0" w:afterAutospacing="0" w:line="360" w:lineRule="auto"/>
        <w:ind w:firstLine="420"/>
        <w:rPr>
          <w:sz w:val="21"/>
          <w:szCs w:val="21"/>
        </w:rPr>
      </w:pPr>
      <w:r>
        <w:rPr>
          <w:rFonts w:hint="eastAsia"/>
          <w:sz w:val="21"/>
          <w:szCs w:val="21"/>
        </w:rPr>
        <w:t xml:space="preserve">56、A类基金份额：指在投资者认购、申购时收取认购、申购费用，不从本类别基金资产中计提销售服务费的基金份额 </w:t>
      </w:r>
    </w:p>
    <w:p>
      <w:pPr>
        <w:pStyle w:val="7"/>
        <w:spacing w:before="0" w:beforeAutospacing="0" w:after="0" w:afterAutospacing="0" w:line="360" w:lineRule="auto"/>
        <w:ind w:firstLine="420"/>
        <w:rPr>
          <w:sz w:val="21"/>
          <w:szCs w:val="21"/>
        </w:rPr>
      </w:pPr>
      <w:r>
        <w:rPr>
          <w:rFonts w:hint="eastAsia"/>
          <w:sz w:val="21"/>
          <w:szCs w:val="21"/>
        </w:rPr>
        <w:t xml:space="preserve">57、C类基金份额：指在投资者认购、申购时不收取认购、申购费用，但从本类别基金资产中计提销售服务费的基金份额 </w:t>
      </w:r>
    </w:p>
    <w:p>
      <w:pPr>
        <w:pStyle w:val="7"/>
        <w:spacing w:before="0" w:beforeAutospacing="0" w:after="0" w:afterAutospacing="0" w:line="360" w:lineRule="auto"/>
        <w:ind w:firstLine="420"/>
        <w:rPr>
          <w:sz w:val="21"/>
          <w:szCs w:val="21"/>
        </w:rPr>
      </w:pPr>
      <w:r>
        <w:rPr>
          <w:rFonts w:hint="eastAsia"/>
          <w:sz w:val="21"/>
          <w:szCs w:val="21"/>
        </w:rPr>
        <w:t xml:space="preserve">58、规定媒介：指符合中国证监会规定条件的用以进行信息披露的全国性报刊及《信息披露办法》规定的互联网网站（包括基金管理人网站、基金托管人网站、中国证监会基金电子披露网站）等媒介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59、销售服务费：指从基金财产中计提的，用于本基金市场推广、销售以及基金份额持有人服务的费用 </w:t>
      </w:r>
    </w:p>
    <w:p>
      <w:pPr>
        <w:pStyle w:val="7"/>
        <w:spacing w:before="0" w:beforeAutospacing="0" w:after="0" w:afterAutospacing="0" w:line="360" w:lineRule="auto"/>
        <w:ind w:firstLine="420"/>
        <w:rPr>
          <w:sz w:val="21"/>
          <w:szCs w:val="21"/>
        </w:rPr>
      </w:pPr>
      <w:r>
        <w:rPr>
          <w:rFonts w:hint="eastAsia"/>
          <w:sz w:val="21"/>
          <w:szCs w:val="21"/>
        </w:rPr>
        <w:t xml:space="preserve">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 xml:space="preserve">61、信用衍生品：指符合证券交易所或银行间市场相关业务规则，专门用于管理信用风险的信用衍生工具 </w:t>
      </w:r>
    </w:p>
    <w:p>
      <w:pPr>
        <w:pStyle w:val="7"/>
        <w:spacing w:before="0" w:beforeAutospacing="0" w:after="0" w:afterAutospacing="0" w:line="360" w:lineRule="auto"/>
        <w:ind w:firstLine="420"/>
        <w:rPr>
          <w:sz w:val="21"/>
          <w:szCs w:val="21"/>
        </w:rPr>
      </w:pPr>
      <w:r>
        <w:rPr>
          <w:rFonts w:hint="eastAsia"/>
          <w:sz w:val="21"/>
          <w:szCs w:val="21"/>
        </w:rPr>
        <w:t xml:space="preserve">62、信用保护买方：亦称信用保护购买方，指接受信用风险保护的一方 </w:t>
      </w:r>
    </w:p>
    <w:p>
      <w:pPr>
        <w:pStyle w:val="7"/>
        <w:spacing w:before="0" w:beforeAutospacing="0" w:after="0" w:afterAutospacing="0" w:line="360" w:lineRule="auto"/>
        <w:ind w:firstLine="420"/>
        <w:rPr>
          <w:sz w:val="21"/>
          <w:szCs w:val="21"/>
        </w:rPr>
      </w:pPr>
      <w:r>
        <w:rPr>
          <w:rFonts w:hint="eastAsia"/>
          <w:sz w:val="21"/>
          <w:szCs w:val="21"/>
        </w:rPr>
        <w:t xml:space="preserve">63、信用保护卖方：亦称信用保护提供方，指提供信用风险保护的一方 </w:t>
      </w:r>
    </w:p>
    <w:p>
      <w:pPr>
        <w:pStyle w:val="7"/>
        <w:spacing w:before="0" w:beforeAutospacing="0" w:after="0" w:afterAutospacing="0" w:line="360" w:lineRule="auto"/>
        <w:ind w:firstLine="420"/>
        <w:rPr>
          <w:sz w:val="21"/>
          <w:szCs w:val="21"/>
        </w:rPr>
      </w:pPr>
      <w:r>
        <w:rPr>
          <w:rFonts w:hint="eastAsia"/>
          <w:sz w:val="21"/>
          <w:szCs w:val="21"/>
        </w:rPr>
        <w:t xml:space="preserve">64、名义本金：亦称交易名义本金，是一笔信用衍生产品交易提供信用风险保护的金额，各项支付和结算以此金额为计算基准 </w:t>
      </w:r>
    </w:p>
    <w:p>
      <w:pPr>
        <w:pStyle w:val="7"/>
        <w:spacing w:before="0" w:beforeAutospacing="0" w:after="0" w:afterAutospacing="0" w:line="360" w:lineRule="auto"/>
        <w:ind w:firstLine="420"/>
        <w:rPr>
          <w:sz w:val="21"/>
          <w:szCs w:val="21"/>
        </w:rPr>
      </w:pPr>
      <w:r>
        <w:rPr>
          <w:rFonts w:hint="eastAsia"/>
          <w:sz w:val="21"/>
          <w:szCs w:val="21"/>
        </w:rPr>
        <w:t xml:space="preserve">65、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 </w:t>
      </w:r>
    </w:p>
    <w:p>
      <w:pPr>
        <w:pStyle w:val="7"/>
        <w:spacing w:before="0" w:beforeAutospacing="0" w:after="0" w:afterAutospacing="0" w:line="360" w:lineRule="auto"/>
        <w:ind w:firstLine="420"/>
        <w:rPr>
          <w:sz w:val="21"/>
          <w:szCs w:val="21"/>
        </w:rPr>
      </w:pPr>
      <w:r>
        <w:rPr>
          <w:rFonts w:hint="eastAsia"/>
          <w:sz w:val="21"/>
          <w:szCs w:val="21"/>
        </w:rPr>
        <w:t xml:space="preserve">66、港股通：是指内地投资者委托内地证券公司，经由上海证券交易所和深圳证券交易所设立的证券交易服务公司，向香港联合交易所进行申报，买卖规定范围内的香港联合交易所上市的股票的交易机制 </w:t>
      </w:r>
    </w:p>
    <w:p>
      <w:pPr>
        <w:pStyle w:val="7"/>
        <w:spacing w:before="0" w:beforeAutospacing="0" w:after="0" w:afterAutospacing="0" w:line="360" w:lineRule="auto"/>
        <w:ind w:firstLine="420"/>
        <w:rPr>
          <w:sz w:val="21"/>
          <w:szCs w:val="21"/>
        </w:rPr>
      </w:pPr>
      <w:r>
        <w:rPr>
          <w:rFonts w:hint="eastAsia"/>
          <w:sz w:val="21"/>
          <w:szCs w:val="21"/>
        </w:rPr>
        <w:t xml:space="preserve">67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 </w:t>
      </w:r>
    </w:p>
    <w:p>
      <w:pPr>
        <w:pStyle w:val="7"/>
        <w:spacing w:before="0" w:beforeAutospacing="0" w:after="0" w:afterAutospacing="0" w:line="360" w:lineRule="auto"/>
        <w:ind w:firstLine="420"/>
        <w:rPr>
          <w:sz w:val="21"/>
          <w:szCs w:val="21"/>
        </w:rPr>
      </w:pPr>
      <w:r>
        <w:rPr>
          <w:rFonts w:hint="eastAsia"/>
          <w:sz w:val="21"/>
          <w:szCs w:val="21"/>
        </w:rPr>
        <w:t xml:space="preserve">68、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 </w:t>
      </w:r>
    </w:p>
    <w:p>
      <w:pPr>
        <w:pStyle w:val="7"/>
        <w:spacing w:before="0" w:beforeAutospacing="0" w:after="0" w:afterAutospacing="0" w:line="360" w:lineRule="auto"/>
        <w:ind w:firstLine="420"/>
        <w:rPr>
          <w:sz w:val="21"/>
          <w:szCs w:val="21"/>
        </w:rPr>
      </w:pPr>
      <w:bookmarkStart w:id="31" w:name="chapter_level1_4_49_section_2_end"/>
      <w:bookmarkEnd w:id="31"/>
      <w:r>
        <w:rPr>
          <w:rFonts w:hint="eastAsia"/>
          <w:sz w:val="21"/>
          <w:szCs w:val="21"/>
        </w:rPr>
        <w:t xml:space="preserve">69、不可抗力：指基金合同当事人不能预见、不能避免且不能克服的客观事件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2" w:name="_Toc113549568"/>
      <w:bookmarkStart w:id="33" w:name="chapter_level1_5_53"/>
      <w:r>
        <w:rPr>
          <w:rFonts w:hint="eastAsia" w:ascii="宋体" w:hAnsi="宋体" w:eastAsia="宋体"/>
          <w:sz w:val="30"/>
        </w:rPr>
        <w:t>第三部分  基金管理人</w:t>
      </w:r>
      <w:bookmarkEnd w:id="32"/>
      <w:bookmarkEnd w:id="33"/>
    </w:p>
    <w:p>
      <w:pPr>
        <w:pStyle w:val="7"/>
        <w:spacing w:before="0" w:beforeAutospacing="0" w:after="0" w:afterAutospacing="0" w:line="360" w:lineRule="auto"/>
        <w:ind w:firstLine="420"/>
        <w:rPr>
          <w:sz w:val="21"/>
          <w:szCs w:val="21"/>
        </w:rPr>
      </w:pPr>
      <w:bookmarkStart w:id="34" w:name="chapter_level1_5_53_section_1"/>
      <w:bookmarkEnd w:id="34"/>
      <w:r>
        <w:rPr>
          <w:rStyle w:val="11"/>
          <w:rFonts w:hint="eastAsia"/>
          <w:sz w:val="21"/>
          <w:szCs w:val="21"/>
        </w:rPr>
        <w:t>一、基金管理人概况</w:t>
      </w:r>
    </w:p>
    <w:p>
      <w:pPr>
        <w:pStyle w:val="7"/>
        <w:spacing w:before="0" w:beforeAutospacing="0" w:after="0" w:afterAutospacing="0" w:line="360" w:lineRule="auto"/>
        <w:ind w:firstLine="420"/>
        <w:rPr>
          <w:sz w:val="21"/>
          <w:szCs w:val="21"/>
        </w:rPr>
      </w:pPr>
      <w:bookmarkStart w:id="35" w:name="field_0_managercompanyinfo_1_start"/>
      <w:bookmarkEnd w:id="35"/>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二、主要成员情况</w:t>
      </w:r>
    </w:p>
    <w:p>
      <w:pPr>
        <w:pStyle w:val="7"/>
        <w:spacing w:before="0" w:beforeAutospacing="0" w:after="0" w:afterAutospacing="0" w:line="360" w:lineRule="auto"/>
        <w:ind w:firstLine="420"/>
        <w:rPr>
          <w:sz w:val="21"/>
          <w:szCs w:val="21"/>
        </w:rPr>
      </w:pPr>
      <w:bookmarkStart w:id="37" w:name="field_0_managerpersoninfo_1_start"/>
      <w:bookmarkEnd w:id="37"/>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pStyle w:val="7"/>
        <w:spacing w:before="0" w:beforeAutospacing="0" w:after="0" w:afterAutospacing="0" w:line="360" w:lineRule="auto"/>
        <w:ind w:firstLine="420"/>
        <w:rPr>
          <w:sz w:val="21"/>
          <w:szCs w:val="21"/>
        </w:rPr>
      </w:pPr>
      <w:bookmarkStart w:id="38" w:name="chapter_level1_5_53_section_2"/>
      <w:bookmarkEnd w:id="38"/>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39" w:name="field_0_fundmanagerresume_1_start"/>
      <w:bookmarkEnd w:id="39"/>
      <w:r>
        <w:rPr>
          <w:rFonts w:hint="eastAsia"/>
          <w:sz w:val="21"/>
          <w:szCs w:val="21"/>
        </w:rPr>
        <w:t>王诗瑶女士，硕士。2012年从北京大学硕士研究生毕业后加入博时基金管理有限公司。历任研究员、高级研究员、高级研究员兼基金经理助理。现任博时新兴消费主题混合型证券投资基金(2017年6月5日—至今)、博时消费创新混合型证券投资基金(2020年10月23日—至今)、博时时代消费混合型证券投资基金(2021年12月21日—至今)、博时女性消费主题混合型证券投资基金(2022年4月6日—至今)的基金经理。    </w:t>
      </w:r>
    </w:p>
    <w:p>
      <w:pPr>
        <w:pStyle w:val="7"/>
        <w:spacing w:before="0" w:beforeAutospacing="0" w:after="0" w:afterAutospacing="0" w:line="360" w:lineRule="auto"/>
        <w:ind w:firstLine="420"/>
        <w:jc w:val="both"/>
        <w:rPr>
          <w:sz w:val="21"/>
          <w:szCs w:val="21"/>
        </w:rPr>
      </w:pPr>
      <w:r>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博时港股通领先趋势混合型证券投资基金(2021年2月9日-2022年7月9日)基金经理。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灵活配置混合型证券投资基金（LOF）(2019年6月27日—至今)、博时科技创新混合型证券投资基金(2020年4月15日—至今)、博时新兴消费主题混合型证券投资基金(2021年1月20日—至今)、博时沪港深优质企业灵活配置混合型证券投资基金(2021年1月20日—至今)、博时半导体主题混合型证券投资基金(2021年7月20日—至今)、博时消费创新混合型证券投资基金(2021年11月8日—至今)、博时时代领航混合型证券投资基金(2022年1月25日—至今)、博时军工主题股票型证券投资基金(2022年6月29日—至今)的基金经理。</w:t>
      </w:r>
      <w:bookmarkStart w:id="40" w:name="field_0_fundmanagerresume_1_end"/>
      <w:bookmarkEnd w:id="40"/>
      <w:r>
        <w:rPr>
          <w:rFonts w:hint="eastAsia"/>
          <w:sz w:val="21"/>
          <w:szCs w:val="21"/>
        </w:rPr>
        <w:t xml:space="preserve">  </w:t>
      </w:r>
    </w:p>
    <w:p>
      <w:pPr>
        <w:pStyle w:val="7"/>
        <w:spacing w:before="0" w:beforeAutospacing="0" w:after="0" w:afterAutospacing="0" w:line="360" w:lineRule="auto"/>
        <w:ind w:firstLine="420"/>
        <w:rPr>
          <w:sz w:val="21"/>
          <w:szCs w:val="21"/>
        </w:rPr>
      </w:pPr>
      <w:bookmarkStart w:id="41" w:name="field_0_fundmanagershis_1_start"/>
      <w:bookmarkEnd w:id="41"/>
      <w:r>
        <w:rPr>
          <w:rFonts w:hint="eastAsia"/>
          <w:sz w:val="21"/>
          <w:szCs w:val="21"/>
        </w:rPr>
        <w:t>本基金历任基金经理：肖瑞瑾（2020年10月23日-2021年11月</w:t>
      </w:r>
      <w:bookmarkStart w:id="42" w:name="chapter_level1_5_53_section_2_end"/>
      <w:bookmarkEnd w:id="42"/>
      <w:r>
        <w:rPr>
          <w:rFonts w:hint="eastAsia"/>
          <w:sz w:val="21"/>
          <w:szCs w:val="21"/>
        </w:rPr>
        <w:t>8日）。</w:t>
      </w:r>
      <w:bookmarkStart w:id="43" w:name="field_0_fundmanagershis_1_end"/>
      <w:bookmarkEnd w:id="43"/>
      <w:r>
        <w:rPr>
          <w:rFonts w:hint="eastAsia"/>
          <w:sz w:val="21"/>
          <w:szCs w:val="21"/>
        </w:rPr>
        <w:t xml:space="preserve">  </w:t>
      </w:r>
    </w:p>
    <w:p>
      <w:pPr>
        <w:pStyle w:val="7"/>
        <w:spacing w:before="0" w:beforeAutospacing="0" w:after="0" w:afterAutospacing="0" w:line="360" w:lineRule="auto"/>
        <w:ind w:firstLine="420"/>
        <w:rPr>
          <w:sz w:val="21"/>
          <w:szCs w:val="21"/>
        </w:rPr>
      </w:pPr>
      <w:bookmarkStart w:id="44" w:name="field_0_managerpersoninfo2_1_start"/>
      <w:bookmarkEnd w:id="44"/>
      <w:bookmarkStart w:id="45" w:name="chapter_level1_5_53_section_3"/>
      <w:bookmarkEnd w:id="45"/>
      <w:r>
        <w:rPr>
          <w:rFonts w:hint="eastAsia"/>
          <w:sz w:val="21"/>
          <w:szCs w:val="21"/>
        </w:rPr>
        <w:t>5、投资决策委员会成员</w:t>
      </w:r>
    </w:p>
    <w:p>
      <w:pPr>
        <w:pStyle w:val="7"/>
        <w:spacing w:before="0" w:beforeAutospacing="0" w:after="0" w:afterAutospacing="0" w:line="360" w:lineRule="auto"/>
        <w:ind w:firstLine="420"/>
        <w:rPr>
          <w:sz w:val="21"/>
          <w:szCs w:val="21"/>
        </w:rPr>
      </w:pPr>
      <w:r>
        <w:rPr>
          <w:rFonts w:hint="eastAsia"/>
          <w:sz w:val="21"/>
          <w:szCs w:val="21"/>
        </w:rPr>
        <w:t>公司总经理高阳先生。</w:t>
      </w:r>
    </w:p>
    <w:p>
      <w:pPr>
        <w:pStyle w:val="7"/>
        <w:spacing w:before="0" w:beforeAutospacing="0" w:after="0" w:afterAutospacing="0" w:line="360" w:lineRule="auto"/>
        <w:ind w:firstLine="420"/>
        <w:rPr>
          <w:sz w:val="21"/>
          <w:szCs w:val="21"/>
        </w:rPr>
      </w:pPr>
      <w:r>
        <w:rPr>
          <w:rFonts w:hint="eastAsia"/>
          <w:sz w:val="21"/>
          <w:szCs w:val="21"/>
        </w:rPr>
        <w:t>公司首席资产配置官黄健斌先生。</w:t>
      </w:r>
    </w:p>
    <w:p>
      <w:pPr>
        <w:pStyle w:val="7"/>
        <w:spacing w:before="0" w:beforeAutospacing="0" w:after="0" w:afterAutospacing="0" w:line="360" w:lineRule="auto"/>
        <w:ind w:firstLine="420"/>
        <w:rPr>
          <w:sz w:val="21"/>
          <w:szCs w:val="21"/>
        </w:rPr>
      </w:pPr>
      <w:r>
        <w:rPr>
          <w:rFonts w:hint="eastAsia"/>
          <w:sz w:val="21"/>
          <w:szCs w:val="21"/>
        </w:rPr>
        <w:t>首席基金经理过钧先生。</w:t>
      </w:r>
    </w:p>
    <w:p>
      <w:pPr>
        <w:pStyle w:val="7"/>
        <w:spacing w:before="0" w:beforeAutospacing="0" w:after="0" w:afterAutospacing="0" w:line="360" w:lineRule="auto"/>
        <w:ind w:firstLine="420"/>
        <w:rPr>
          <w:sz w:val="21"/>
          <w:szCs w:val="21"/>
        </w:rPr>
      </w:pPr>
      <w:r>
        <w:rPr>
          <w:rFonts w:hint="eastAsia"/>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sz w:val="21"/>
          <w:szCs w:val="21"/>
        </w:rPr>
      </w:pPr>
      <w:r>
        <w:rPr>
          <w:rFonts w:hint="eastAsia"/>
          <w:sz w:val="21"/>
          <w:szCs w:val="21"/>
        </w:rPr>
        <w:t>权益投资三部投资总监蔡滨先生。</w:t>
      </w:r>
    </w:p>
    <w:p>
      <w:pPr>
        <w:pStyle w:val="7"/>
        <w:spacing w:before="0" w:beforeAutospacing="0" w:after="0" w:afterAutospacing="0" w:line="360" w:lineRule="auto"/>
        <w:ind w:firstLine="420"/>
        <w:rPr>
          <w:sz w:val="21"/>
          <w:szCs w:val="21"/>
        </w:rPr>
      </w:pPr>
      <w:r>
        <w:rPr>
          <w:rFonts w:hint="eastAsia"/>
          <w:sz w:val="21"/>
          <w:szCs w:val="21"/>
        </w:rPr>
        <w:t>公司董事总经理兼年金投资部总经理、投资总监杨帆先生。</w:t>
      </w:r>
    </w:p>
    <w:p>
      <w:pPr>
        <w:pStyle w:val="7"/>
        <w:spacing w:before="0" w:beforeAutospacing="0" w:after="0" w:afterAutospacing="0" w:line="360" w:lineRule="auto"/>
        <w:ind w:firstLine="420"/>
        <w:rPr>
          <w:sz w:val="21"/>
          <w:szCs w:val="21"/>
        </w:rPr>
      </w:pPr>
      <w:r>
        <w:rPr>
          <w:rFonts w:hint="eastAsia"/>
          <w:sz w:val="21"/>
          <w:szCs w:val="21"/>
        </w:rPr>
        <w:t>指数与量化投资部投资总监赵云阳先生。</w:t>
      </w:r>
    </w:p>
    <w:p>
      <w:pPr>
        <w:pStyle w:val="7"/>
        <w:spacing w:before="0" w:beforeAutospacing="0" w:after="0" w:afterAutospacing="0" w:line="360" w:lineRule="auto"/>
        <w:ind w:firstLine="420"/>
        <w:rPr>
          <w:sz w:val="21"/>
          <w:szCs w:val="21"/>
        </w:rPr>
      </w:pPr>
      <w:r>
        <w:rPr>
          <w:rFonts w:hint="eastAsia"/>
          <w:sz w:val="21"/>
          <w:szCs w:val="21"/>
        </w:rPr>
        <w:t>行业研究部研究总监兼副总经理金晟哲先生。</w:t>
      </w:r>
    </w:p>
    <w:p>
      <w:pPr>
        <w:pStyle w:val="7"/>
        <w:spacing w:before="0" w:beforeAutospacing="0" w:after="0" w:afterAutospacing="0" w:line="360" w:lineRule="auto"/>
        <w:ind w:firstLine="420"/>
        <w:rPr>
          <w:sz w:val="21"/>
          <w:szCs w:val="21"/>
        </w:rPr>
      </w:pPr>
      <w:r>
        <w:rPr>
          <w:rFonts w:hint="eastAsia"/>
          <w:sz w:val="21"/>
          <w:szCs w:val="21"/>
        </w:rPr>
        <w:t xml:space="preserve">6、上述人员之间均不存在近亲属关系。 </w:t>
      </w:r>
      <w:bookmarkStart w:id="46" w:name="field_0_managerpersoninfo2_1_end"/>
      <w:bookmarkEnd w:id="46"/>
      <w:r>
        <w:rPr>
          <w:rFonts w:hint="eastAsia"/>
          <w:sz w:val="21"/>
          <w:szCs w:val="21"/>
        </w:rPr>
        <w:t xml:space="preserve">  </w:t>
      </w:r>
    </w:p>
    <w:p>
      <w:pPr>
        <w:pStyle w:val="7"/>
        <w:spacing w:before="0" w:beforeAutospacing="0" w:after="0" w:afterAutospacing="0" w:line="360" w:lineRule="auto"/>
        <w:ind w:firstLine="420"/>
        <w:rPr>
          <w:sz w:val="21"/>
          <w:szCs w:val="21"/>
        </w:rPr>
      </w:pPr>
      <w:bookmarkStart w:id="47" w:name="chapter_level1_5_53_section_4"/>
      <w:bookmarkEnd w:id="47"/>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但依法向监管机构、司法机关及审计、法律等向外部专业顾问提供的情况除外；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8" w:name="chapter_level1_5_53_section_4_end"/>
      <w:bookmarkEnd w:id="48"/>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_Toc113549569"/>
      <w:bookmarkStart w:id="50" w:name="chapter_level1_6_55"/>
      <w:r>
        <w:rPr>
          <w:rFonts w:hint="eastAsia" w:ascii="宋体" w:hAnsi="宋体" w:eastAsia="宋体"/>
          <w:sz w:val="30"/>
        </w:rPr>
        <w:t>第四部分  基金托管人</w:t>
      </w:r>
      <w:bookmarkEnd w:id="49"/>
      <w:bookmarkEnd w:id="50"/>
    </w:p>
    <w:p>
      <w:pPr>
        <w:pStyle w:val="7"/>
        <w:spacing w:before="0" w:beforeAutospacing="0" w:after="0" w:afterAutospacing="0" w:line="360" w:lineRule="auto"/>
        <w:ind w:firstLine="420"/>
        <w:rPr>
          <w:sz w:val="21"/>
          <w:szCs w:val="21"/>
        </w:rPr>
      </w:pPr>
      <w:bookmarkStart w:id="51" w:name="chapter_level1_6_55_section_1"/>
      <w:bookmarkEnd w:id="51"/>
      <w:bookmarkStart w:id="52" w:name="field_0_trustcompanyinfo_1_start"/>
      <w:bookmarkEnd w:id="52"/>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名称：中国银行股份有限公司（简称“中国银行”） </w:t>
      </w:r>
    </w:p>
    <w:p>
      <w:pPr>
        <w:pStyle w:val="7"/>
        <w:spacing w:before="0" w:beforeAutospacing="0" w:after="0" w:afterAutospacing="0" w:line="360" w:lineRule="auto"/>
        <w:ind w:firstLine="420"/>
        <w:rPr>
          <w:sz w:val="21"/>
          <w:szCs w:val="21"/>
        </w:rPr>
      </w:pPr>
      <w:r>
        <w:rPr>
          <w:rFonts w:hint="eastAsia"/>
          <w:sz w:val="21"/>
          <w:szCs w:val="21"/>
        </w:rPr>
        <w:t xml:space="preserve">住所及办公地址：北京市西城区复兴门内大街1号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首次注册登记日期：1983年10月31日 </w:t>
      </w:r>
    </w:p>
    <w:p>
      <w:pPr>
        <w:pStyle w:val="7"/>
        <w:spacing w:before="0" w:beforeAutospacing="0" w:after="0" w:afterAutospacing="0" w:line="360" w:lineRule="auto"/>
        <w:ind w:firstLine="420"/>
        <w:rPr>
          <w:sz w:val="21"/>
          <w:szCs w:val="21"/>
        </w:rPr>
      </w:pPr>
      <w:r>
        <w:rPr>
          <w:rFonts w:hint="eastAsia"/>
          <w:sz w:val="21"/>
          <w:szCs w:val="21"/>
        </w:rPr>
        <w:t xml:space="preserve">注册资本：人民币贰仟玖佰肆拾叁亿捌仟柒佰柒拾玖万壹仟贰佰肆拾壹元整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托管部门信息披露联系人：许俊 </w:t>
      </w:r>
    </w:p>
    <w:p>
      <w:pPr>
        <w:pStyle w:val="7"/>
        <w:spacing w:before="0" w:beforeAutospacing="0" w:after="0" w:afterAutospacing="0" w:line="360" w:lineRule="auto"/>
        <w:ind w:firstLine="420"/>
        <w:rPr>
          <w:sz w:val="21"/>
          <w:szCs w:val="21"/>
        </w:rPr>
      </w:pPr>
      <w:r>
        <w:rPr>
          <w:rFonts w:hint="eastAsia"/>
          <w:sz w:val="21"/>
          <w:szCs w:val="21"/>
        </w:rPr>
        <w:t xml:space="preserve">传真：（010）66594942 </w:t>
      </w:r>
    </w:p>
    <w:p>
      <w:pPr>
        <w:pStyle w:val="7"/>
        <w:spacing w:before="0" w:beforeAutospacing="0" w:after="0" w:afterAutospacing="0" w:line="360" w:lineRule="auto"/>
        <w:ind w:firstLine="420"/>
        <w:rPr>
          <w:sz w:val="21"/>
          <w:szCs w:val="21"/>
        </w:rPr>
      </w:pPr>
      <w:r>
        <w:rPr>
          <w:rFonts w:hint="eastAsia"/>
          <w:sz w:val="21"/>
          <w:szCs w:val="21"/>
        </w:rPr>
        <w:t xml:space="preserve">中国银行客服电话：95566 </w:t>
      </w:r>
    </w:p>
    <w:p>
      <w:pPr>
        <w:pStyle w:val="7"/>
        <w:spacing w:before="0" w:beforeAutospacing="0" w:after="0" w:afterAutospacing="0" w:line="360" w:lineRule="auto"/>
        <w:ind w:firstLine="420"/>
        <w:rPr>
          <w:sz w:val="21"/>
          <w:szCs w:val="21"/>
        </w:rPr>
      </w:pPr>
      <w:r>
        <w:rPr>
          <w:rFonts w:hint="eastAsia"/>
          <w:sz w:val="21"/>
          <w:szCs w:val="21"/>
        </w:rPr>
        <w:t xml:space="preserve">（二）基金托管部门及主要人员情况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pPr>
        <w:pStyle w:val="7"/>
        <w:spacing w:before="0" w:beforeAutospacing="0" w:after="0" w:afterAutospacing="0" w:line="360" w:lineRule="auto"/>
        <w:ind w:firstLine="420"/>
        <w:rPr>
          <w:sz w:val="21"/>
          <w:szCs w:val="21"/>
        </w:rPr>
      </w:pPr>
      <w:r>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pPr>
        <w:pStyle w:val="7"/>
        <w:spacing w:before="0" w:beforeAutospacing="0" w:after="0" w:afterAutospacing="0" w:line="360" w:lineRule="auto"/>
        <w:ind w:firstLine="420"/>
        <w:rPr>
          <w:sz w:val="21"/>
          <w:szCs w:val="21"/>
        </w:rPr>
      </w:pPr>
      <w:r>
        <w:rPr>
          <w:rFonts w:hint="eastAsia"/>
          <w:sz w:val="21"/>
          <w:szCs w:val="21"/>
        </w:rPr>
        <w:t xml:space="preserve">（三）证券投资基金托管情况 </w:t>
      </w:r>
    </w:p>
    <w:p>
      <w:pPr>
        <w:pStyle w:val="7"/>
        <w:spacing w:before="0" w:beforeAutospacing="0" w:after="0" w:afterAutospacing="0" w:line="360" w:lineRule="auto"/>
        <w:ind w:firstLine="420"/>
        <w:rPr>
          <w:sz w:val="21"/>
          <w:szCs w:val="21"/>
        </w:rPr>
      </w:pPr>
      <w:r>
        <w:rPr>
          <w:rFonts w:hint="eastAsia"/>
          <w:sz w:val="21"/>
          <w:szCs w:val="21"/>
        </w:rPr>
        <w:t>截至2022年6月30日，中国银行已托管1021只证券投资基金，其中境内基金972只，QDII基金49只，覆盖了股票型、债券型、混合型、货币型、指数型、FOF等多种类型的基</w:t>
      </w:r>
      <w:bookmarkStart w:id="53" w:name="chapter_level1_6_55_section_1_end"/>
      <w:bookmarkEnd w:id="53"/>
      <w:r>
        <w:rPr>
          <w:rFonts w:hint="eastAsia"/>
          <w:sz w:val="21"/>
          <w:szCs w:val="21"/>
        </w:rPr>
        <w:t xml:space="preserve">金，满足了不同客户多元化的投资理财需求，基金托管规模位居同业前列。 </w:t>
      </w:r>
      <w:bookmarkStart w:id="54" w:name="field_0_trustcompanyinfo_1_end"/>
      <w:bookmarkEnd w:id="54"/>
      <w:r>
        <w:rPr>
          <w:rFonts w:hint="eastAsia"/>
          <w:sz w:val="21"/>
          <w:szCs w:val="21"/>
        </w:rPr>
        <w:t xml:space="preserve">  </w:t>
      </w:r>
    </w:p>
    <w:p>
      <w:pPr>
        <w:pStyle w:val="7"/>
        <w:spacing w:before="0" w:beforeAutospacing="0" w:after="0" w:afterAutospacing="0" w:line="360" w:lineRule="auto"/>
        <w:ind w:firstLine="420"/>
        <w:rPr>
          <w:sz w:val="21"/>
          <w:szCs w:val="21"/>
        </w:rPr>
      </w:pPr>
      <w:bookmarkStart w:id="55" w:name="chapter_level1_6_55_section_2"/>
      <w:bookmarkEnd w:id="55"/>
      <w:bookmarkStart w:id="56" w:name="field_0_trustcontrollawinfo_1_start"/>
      <w:bookmarkEnd w:id="56"/>
      <w:r>
        <w:rPr>
          <w:rFonts w:hint="eastAsia"/>
          <w:sz w:val="21"/>
          <w:szCs w:val="21"/>
        </w:rPr>
        <w:t xml:space="preserve">（四）托管业务的内部控制制度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pPr>
        <w:pStyle w:val="7"/>
        <w:spacing w:before="0" w:beforeAutospacing="0" w:after="0" w:afterAutospacing="0" w:line="360" w:lineRule="auto"/>
        <w:ind w:firstLine="420"/>
        <w:rPr>
          <w:sz w:val="21"/>
          <w:szCs w:val="21"/>
        </w:rPr>
      </w:pPr>
      <w:r>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 </w:t>
      </w:r>
    </w:p>
    <w:p>
      <w:pPr>
        <w:pStyle w:val="7"/>
        <w:spacing w:before="0" w:beforeAutospacing="0" w:after="0" w:afterAutospacing="0" w:line="360" w:lineRule="auto"/>
        <w:ind w:firstLine="420"/>
        <w:rPr>
          <w:sz w:val="21"/>
          <w:szCs w:val="21"/>
        </w:rPr>
      </w:pPr>
      <w:r>
        <w:rPr>
          <w:rFonts w:hint="eastAsia"/>
          <w:sz w:val="21"/>
          <w:szCs w:val="21"/>
        </w:rPr>
        <w:t xml:space="preserve">（五）托管人对管理人运作基金进行监督的方法和程序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7" w:name="chapter_level1_6_55_section_2_end"/>
      <w:bookmarkEnd w:id="57"/>
      <w:r>
        <w:rPr>
          <w:rFonts w:hint="eastAsia"/>
          <w:sz w:val="21"/>
          <w:szCs w:val="21"/>
        </w:rPr>
        <w:t xml:space="preserve">务院证券监督管理机构报告。 </w:t>
      </w:r>
      <w:bookmarkStart w:id="58" w:name="field_0_trustcontrollawinfo_1_end"/>
      <w:bookmarkEnd w:id="5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9" w:name="_Toc113549570"/>
      <w:bookmarkStart w:id="60" w:name="chapter_level1_7_56"/>
      <w:r>
        <w:rPr>
          <w:rFonts w:hint="eastAsia" w:ascii="宋体" w:hAnsi="宋体" w:eastAsia="宋体"/>
          <w:sz w:val="30"/>
        </w:rPr>
        <w:t>第五部分  相关服务机构</w:t>
      </w:r>
      <w:bookmarkEnd w:id="59"/>
      <w:bookmarkEnd w:id="60"/>
    </w:p>
    <w:p>
      <w:pPr>
        <w:pStyle w:val="7"/>
        <w:spacing w:before="0" w:beforeAutospacing="0" w:after="0" w:afterAutospacing="0" w:line="360" w:lineRule="auto"/>
        <w:ind w:firstLine="420"/>
        <w:rPr>
          <w:sz w:val="21"/>
          <w:szCs w:val="21"/>
        </w:rPr>
      </w:pPr>
      <w:bookmarkStart w:id="61" w:name="chapter_level1_7_56_section_1"/>
      <w:bookmarkEnd w:id="61"/>
      <w:r>
        <w:rPr>
          <w:rStyle w:val="11"/>
          <w:rFonts w:hint="eastAsia"/>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2" w:name="field_0_marketcompanyinfo_1_start"/>
      <w:bookmarkEnd w:id="62"/>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3" w:name="chapter_level1_7_56_section_1_end"/>
      <w:bookmarkEnd w:id="63"/>
      <w:r>
        <w:rPr>
          <w:rFonts w:hint="eastAsia"/>
          <w:sz w:val="21"/>
          <w:szCs w:val="21"/>
        </w:rPr>
        <w:t xml:space="preserve">博时一线通：95105568（免长途话费） </w:t>
      </w:r>
      <w:bookmarkStart w:id="64" w:name="field_0_marketcompanyinfo_1_end"/>
      <w:bookmarkEnd w:id="64"/>
      <w:r>
        <w:rPr>
          <w:rFonts w:hint="eastAsia"/>
          <w:sz w:val="21"/>
          <w:szCs w:val="21"/>
        </w:rPr>
        <w:t xml:space="preserve">  </w:t>
      </w:r>
    </w:p>
    <w:p>
      <w:pPr>
        <w:pStyle w:val="7"/>
        <w:spacing w:before="0" w:beforeAutospacing="0" w:after="0" w:afterAutospacing="0" w:line="360" w:lineRule="auto"/>
        <w:ind w:firstLine="420"/>
        <w:rPr>
          <w:sz w:val="21"/>
          <w:szCs w:val="21"/>
        </w:rPr>
      </w:pPr>
      <w:bookmarkStart w:id="65" w:name="chapter_level1_7_56_section_2"/>
      <w:bookmarkEnd w:id="65"/>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6" w:name="field_0_allproxysaletables_1_start"/>
      <w:bookmarkEnd w:id="66"/>
      <w:r>
        <w:rPr>
          <w:rFonts w:hint="eastAsia"/>
          <w:b/>
          <w:bCs/>
          <w:sz w:val="21"/>
          <w:szCs w:val="21"/>
        </w:rPr>
        <w:t>(1)中国银行股份有限公司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葛海蛟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(2)招商银行股份有限公司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(3)中信银行股份有限公司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(4)上海浦东发展银行股份有限公司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(5)兴业银行股份有限公司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福州市湖东路154号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上海市江宁路168号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吕家进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021-52629999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www.cib.com.cn </w:t>
            </w:r>
          </w:p>
        </w:tc>
      </w:tr>
    </w:tbl>
    <w:p>
      <w:pPr>
        <w:pStyle w:val="7"/>
        <w:spacing w:before="0" w:beforeAutospacing="0" w:after="0" w:afterAutospacing="0" w:line="360" w:lineRule="auto"/>
        <w:ind w:firstLine="420"/>
        <w:rPr>
          <w:sz w:val="21"/>
          <w:szCs w:val="21"/>
        </w:rPr>
      </w:pPr>
      <w:r>
        <w:rPr>
          <w:rFonts w:hint="eastAsia"/>
          <w:b/>
          <w:bCs/>
          <w:sz w:val="21"/>
          <w:szCs w:val="21"/>
        </w:rPr>
        <w:t>(6)中国民生银行股份有限公司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(7)广发银行股份有限公司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(8)平安银行股份有限公司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(9)宁波银行股份有限公司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(10)北京农村商业银行股份有限公司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(11)浙商银行股份有限公司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(12)东莞银行股份有限公司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(13)南京银行股份有限公司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(14)江苏银行股份有限公司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(15)渤海银行股份有限公司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(16)深圳农村商业银行股份有限公司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(17)浙江民泰商业银行股份有限公司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www.mintaibank.com </w:t>
            </w:r>
          </w:p>
        </w:tc>
      </w:tr>
    </w:tbl>
    <w:p>
      <w:pPr>
        <w:pStyle w:val="7"/>
        <w:spacing w:before="0" w:beforeAutospacing="0" w:after="0" w:afterAutospacing="0" w:line="360" w:lineRule="auto"/>
        <w:ind w:firstLine="420"/>
        <w:rPr>
          <w:sz w:val="21"/>
          <w:szCs w:val="21"/>
        </w:rPr>
      </w:pPr>
      <w:r>
        <w:rPr>
          <w:rFonts w:hint="eastAsia"/>
          <w:b/>
          <w:bCs/>
          <w:sz w:val="21"/>
          <w:szCs w:val="21"/>
        </w:rPr>
        <w:t>(18)重庆银行股份有限公司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(19)东莞农村商业银行股份有限公司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(20)嘉兴银行股份有限公司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(21)江苏苏州农村商业银行股份有限公司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(22)西安银行股份有限公司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(23)江苏江南农村商业银行股份有限公司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(24)苏州银行股份有限公司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(25)珠海华润银行股份有限公司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0755-82811423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http://www.crbank.com.cn/ </w:t>
            </w:r>
          </w:p>
        </w:tc>
      </w:tr>
    </w:tbl>
    <w:p>
      <w:pPr>
        <w:pStyle w:val="7"/>
        <w:spacing w:before="0" w:beforeAutospacing="0" w:after="0" w:afterAutospacing="0" w:line="360" w:lineRule="auto"/>
        <w:ind w:firstLine="420"/>
        <w:rPr>
          <w:sz w:val="21"/>
          <w:szCs w:val="21"/>
        </w:rPr>
      </w:pPr>
      <w:r>
        <w:rPr>
          <w:rFonts w:hint="eastAsia"/>
          <w:b/>
          <w:bCs/>
          <w:sz w:val="21"/>
          <w:szCs w:val="21"/>
        </w:rPr>
        <w:t>(26)四川天府银行股份有限公司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(27)晋商银行股份有限公司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(28)福建海峡银行股份有限公司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(29)鼎信汇金（北京）投资管理有限公司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齐凌峰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010-84489488-8702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010-82086110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400-158-5050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www.9ifund.com </w:t>
            </w:r>
          </w:p>
        </w:tc>
      </w:tr>
    </w:tbl>
    <w:p>
      <w:pPr>
        <w:pStyle w:val="7"/>
        <w:spacing w:before="0" w:beforeAutospacing="0" w:after="0" w:afterAutospacing="0" w:line="360" w:lineRule="auto"/>
        <w:ind w:firstLine="420"/>
        <w:rPr>
          <w:sz w:val="21"/>
          <w:szCs w:val="21"/>
        </w:rPr>
      </w:pPr>
      <w:r>
        <w:rPr>
          <w:rFonts w:hint="eastAsia"/>
          <w:b/>
          <w:bCs/>
          <w:sz w:val="21"/>
          <w:szCs w:val="21"/>
        </w:rPr>
        <w:t>(30)深圳市新兰德证券投资咨询有限公司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(31)厦门市鑫鼎盛控股有限公司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(32)腾安基金销售（深圳）有限公司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(33)北京度小满基金销售有限公司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(34)博时财富基金销售有限公司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(35)诺亚正行基金销售有限公司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(36)上海天天基金销售有限公司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(37)上海好买基金销售有限公司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(38)蚂蚁（杭州）基金销售有限公司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(39)上海长量基金销售有限公司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(40)浙江同花顺基金销售有限公司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(41)上海利得基金销售有限公司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(42)嘉实财富管理有限公司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(43)宜信普泽（北京）基金销售有限公司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(44)南京苏宁基金销售有限公司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(45)北京中植基金销售有限公司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(46)北京汇成基金销售有限公司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(47)海银基金销售有限公司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(48)上海万得基金销售有限公司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(49)上海基煜基金销售有限公司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(50)上海陆金所基金销售有限公司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(51)珠海盈米基金销售有限公司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(52)和耕传承基金销售有限公司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(53)中证金牛（北京）基金销售有限公司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(54)京东肯特瑞基金销售有限公司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(55)北京雪球基金销售有限公司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(56)海通期货股份有限公司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吴红松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俞永捷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021-38917098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021-68685550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https://www.htfutures.com/main/gw/index.shtml </w:t>
            </w:r>
          </w:p>
        </w:tc>
      </w:tr>
    </w:tbl>
    <w:p>
      <w:pPr>
        <w:pStyle w:val="7"/>
        <w:spacing w:before="0" w:beforeAutospacing="0" w:after="0" w:afterAutospacing="0" w:line="360" w:lineRule="auto"/>
        <w:ind w:firstLine="420"/>
        <w:rPr>
          <w:sz w:val="21"/>
          <w:szCs w:val="21"/>
        </w:rPr>
      </w:pPr>
      <w:r>
        <w:rPr>
          <w:rFonts w:hint="eastAsia"/>
          <w:b/>
          <w:bCs/>
          <w:sz w:val="21"/>
          <w:szCs w:val="21"/>
        </w:rPr>
        <w:t>(57)中信期货有限公司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(58)弘业期货股份有限公司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(59)和合期货有限公司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(60)国泰君安证券股份有限公司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(61)中信建投证券股份有限公司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(62)国信证券股份有限公司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(63)招商证券股份有限公司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(64)广发证券股份有限公司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(65)中信证券股份有限公司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(66)中国银河证券股份有限公司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(67)海通证券股份有限公司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(68)兴业证券股份有限公司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(69)长江证券股份有限公司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(70)安信证券股份有限公司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(71)西南证券股份有限公司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(72)湘财证券股份有限公司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(73)万联证券股份有限公司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(74)民生证券股份有限公司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北京市东城区建国门内大街28号民生金融中心A座16-18层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北京市东城区建国门内大街28号民生金融中心A座16-20层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余政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010-85127622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010-85127917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www.mszq.com </w:t>
            </w:r>
          </w:p>
        </w:tc>
      </w:tr>
    </w:tbl>
    <w:p>
      <w:pPr>
        <w:pStyle w:val="7"/>
        <w:spacing w:before="0" w:beforeAutospacing="0" w:after="0" w:afterAutospacing="0" w:line="360" w:lineRule="auto"/>
        <w:ind w:firstLine="420"/>
        <w:rPr>
          <w:sz w:val="21"/>
          <w:szCs w:val="21"/>
        </w:rPr>
      </w:pPr>
      <w:r>
        <w:rPr>
          <w:rFonts w:hint="eastAsia"/>
          <w:b/>
          <w:bCs/>
          <w:sz w:val="21"/>
          <w:szCs w:val="21"/>
        </w:rPr>
        <w:t>(75)国元证券股份有限公司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(76)渤海证券股份有限公司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(77)华泰证券股份有限公司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(78)中信证券（山东）有限责任公司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(79)东兴证券股份有限公司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(80)东吴证券股份有限公司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(81)东方证券股份有限公司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(82)方正证券股份有限公司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(83)长城证券股份有限公司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(84)光大证券股份有限公司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(85)中信证券华南股份有限公司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(86)东北证券股份有限公司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(87)南京证券股份有限公司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(88)上海证券有限责任公司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(89)诚通证券股份有限公司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(90)大同证券有限责任公司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(91)国联证券股份有限公司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(92)浙商证券股份有限公司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(93)平安证券股份有限公司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(94)华安证券股份有限公司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(95)国海证券股份有限公司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(96)东莞证券有限责任公司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(97)中原证券股份有限公司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(98)国都证券股份有限公司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http://www.guodu.com </w:t>
            </w:r>
          </w:p>
        </w:tc>
      </w:tr>
    </w:tbl>
    <w:p>
      <w:pPr>
        <w:pStyle w:val="7"/>
        <w:spacing w:before="0" w:beforeAutospacing="0" w:after="0" w:afterAutospacing="0" w:line="360" w:lineRule="auto"/>
        <w:ind w:firstLine="420"/>
        <w:rPr>
          <w:sz w:val="21"/>
          <w:szCs w:val="21"/>
        </w:rPr>
      </w:pPr>
      <w:r>
        <w:rPr>
          <w:rFonts w:hint="eastAsia"/>
          <w:b/>
          <w:bCs/>
          <w:sz w:val="21"/>
          <w:szCs w:val="21"/>
        </w:rPr>
        <w:t>(99)东海证券股份有限公司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(100)中银国际证券股份有限公司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(101)恒泰证券股份有限公司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(102)国盛证券有限责任公司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(103)华西证券股份有限公司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(104)中泰证券股份有限公司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(105)世纪证券有限责任公司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(106)第一创业证券股份有限公司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(107)金元证券股份有限公司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海口市南宝路36号证券大厦4楼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深圳市福田区深南大道4001号时代金融中心17楼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马贤清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0755-83025022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0755-83025625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www.jyzq.cn </w:t>
            </w:r>
          </w:p>
        </w:tc>
      </w:tr>
    </w:tbl>
    <w:p>
      <w:pPr>
        <w:pStyle w:val="7"/>
        <w:spacing w:before="0" w:beforeAutospacing="0" w:after="0" w:afterAutospacing="0" w:line="360" w:lineRule="auto"/>
        <w:ind w:firstLine="420"/>
        <w:rPr>
          <w:sz w:val="21"/>
          <w:szCs w:val="21"/>
        </w:rPr>
      </w:pPr>
      <w:r>
        <w:rPr>
          <w:rFonts w:hint="eastAsia"/>
          <w:b/>
          <w:bCs/>
          <w:sz w:val="21"/>
          <w:szCs w:val="21"/>
        </w:rPr>
        <w:t>(108)华林证券股份有限公司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(109)德邦证券股份有限公司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(110)西部证券股份有限公司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(111)华福证券有限责任公司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(112)华龙证券股份有限公司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(113)财通证券股份有限公司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(114)五矿证券有限公司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(115)华鑫证券有限责任公司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(116)中国中金财富证券有限公司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(117)中山证券有限责任公司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(118)东方财富证券股份有限公司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(119)粤开证券股份有限公司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(120)江海证券有限公司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(121)九州证券股份有限公司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(122)国金证券股份有限公司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(123)华宝证券股份有限公司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(124)长城国瑞证券有限公司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(125)爱建证券有限责任公司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(126)英大证券有限责任公司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(127)国新证券股份有限公司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北京市西城区车公庄大街4号2幢1层A2112室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北京市朝阳区朝阳门北大街18号中国人保寿险大厦12层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张海文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孙燕波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010-85556048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http://www.crsec.com.cn </w:t>
            </w:r>
          </w:p>
        </w:tc>
      </w:tr>
    </w:tbl>
    <w:p>
      <w:pPr>
        <w:pStyle w:val="7"/>
        <w:spacing w:before="0" w:beforeAutospacing="0" w:after="0" w:afterAutospacing="0" w:line="360" w:lineRule="auto"/>
        <w:ind w:firstLine="420"/>
        <w:rPr>
          <w:sz w:val="21"/>
          <w:szCs w:val="21"/>
        </w:rPr>
      </w:pPr>
      <w:r>
        <w:rPr>
          <w:rFonts w:hint="eastAsia"/>
          <w:b/>
          <w:bCs/>
          <w:sz w:val="21"/>
          <w:szCs w:val="21"/>
        </w:rPr>
        <w:t>(128)财达证券股份有限公司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(129)天风证券股份有限公司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http://www.tfzq.com/ </w:t>
            </w:r>
          </w:p>
        </w:tc>
      </w:tr>
    </w:tbl>
    <w:p>
      <w:pPr>
        <w:pStyle w:val="7"/>
        <w:spacing w:before="0" w:beforeAutospacing="0" w:after="0" w:afterAutospacing="0" w:line="360" w:lineRule="auto"/>
        <w:ind w:firstLine="420"/>
        <w:rPr>
          <w:sz w:val="21"/>
          <w:szCs w:val="21"/>
        </w:rPr>
      </w:pPr>
      <w:r>
        <w:rPr>
          <w:rFonts w:hint="eastAsia"/>
          <w:b/>
          <w:bCs/>
          <w:sz w:val="21"/>
          <w:szCs w:val="21"/>
        </w:rPr>
        <w:t>(130)首创证券股份有限公司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(131)宏信证券有限责任公司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成都市锦江区人民南路二段十八号川信大厦10楼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成都市锦江区人民南路二段十八号川信大厦10楼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吴玉明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028-86199665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www.hx818.com </w:t>
            </w:r>
          </w:p>
        </w:tc>
      </w:tr>
    </w:tbl>
    <w:p>
      <w:pPr>
        <w:pStyle w:val="7"/>
        <w:spacing w:before="0" w:beforeAutospacing="0" w:after="0" w:afterAutospacing="0" w:line="360" w:lineRule="auto"/>
        <w:ind w:firstLine="420"/>
        <w:rPr>
          <w:sz w:val="21"/>
          <w:szCs w:val="21"/>
        </w:rPr>
      </w:pPr>
      <w:r>
        <w:rPr>
          <w:rFonts w:hint="eastAsia"/>
          <w:b/>
          <w:bCs/>
          <w:sz w:val="21"/>
          <w:szCs w:val="21"/>
        </w:rPr>
        <w:t>(132)太平洋证券股份有限公司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(133)开源证券股份有限公司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029-88365809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86-29-88365835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95325 /400-860-8866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http://www.kysec.cn/ </w:t>
            </w:r>
          </w:p>
        </w:tc>
      </w:tr>
    </w:tbl>
    <w:p>
      <w:pPr>
        <w:pStyle w:val="7"/>
        <w:spacing w:before="0" w:beforeAutospacing="0" w:after="0" w:afterAutospacing="0" w:line="360" w:lineRule="auto"/>
        <w:ind w:firstLine="420"/>
        <w:rPr>
          <w:sz w:val="21"/>
          <w:szCs w:val="21"/>
        </w:rPr>
      </w:pPr>
      <w:r>
        <w:rPr>
          <w:rFonts w:hint="eastAsia"/>
          <w:b/>
          <w:bCs/>
          <w:sz w:val="21"/>
          <w:szCs w:val="21"/>
        </w:rPr>
        <w:t>(134)阳光人寿保险股份有限公司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(135)华融湘江银行股份有限公司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刘永生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张鹏君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0731-89828806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www.hrxjbank.com.cn </w:t>
            </w:r>
          </w:p>
        </w:tc>
      </w:tr>
    </w:tbl>
    <w:p>
      <w:pPr>
        <w:pStyle w:val="7"/>
        <w:spacing w:before="0" w:beforeAutospacing="0" w:after="0" w:afterAutospacing="0" w:line="360" w:lineRule="auto"/>
        <w:ind w:firstLine="420"/>
        <w:rPr>
          <w:sz w:val="21"/>
          <w:szCs w:val="21"/>
        </w:rPr>
      </w:pPr>
      <w:r>
        <w:rPr>
          <w:rFonts w:hint="eastAsia"/>
          <w:b/>
          <w:bCs/>
          <w:sz w:val="21"/>
          <w:szCs w:val="21"/>
        </w:rPr>
        <w:t>(136)广东南粤银行股份有限公司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湛江经济技术开发区乐山路27号财富汇金融中心1层01、02号商铺、2层01号商铺、3层01号商铺、39-45层办公室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湛江经济技术开发区乐山大道60号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蒋丹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莫振辉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18617326417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www.gdnybank.com </w:t>
            </w:r>
          </w:p>
        </w:tc>
      </w:tr>
    </w:tbl>
    <w:p>
      <w:pPr>
        <w:pStyle w:val="7"/>
        <w:spacing w:before="0" w:beforeAutospacing="0" w:after="0" w:afterAutospacing="0" w:line="360" w:lineRule="auto"/>
        <w:ind w:firstLine="420"/>
        <w:rPr>
          <w:sz w:val="21"/>
          <w:szCs w:val="21"/>
        </w:rPr>
      </w:pPr>
      <w:r>
        <w:rPr>
          <w:rFonts w:hint="eastAsia"/>
          <w:b/>
          <w:bCs/>
          <w:sz w:val="21"/>
          <w:szCs w:val="21"/>
        </w:rPr>
        <w:t>(137)云南红塔银行股份有限公司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云南省玉溪市东风南路2号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云南省昆明市盘龙区世博路低碳中心A座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0871-65236624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0871-65236614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0877-96522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www.ynhtbank.com </w:t>
            </w:r>
          </w:p>
        </w:tc>
      </w:tr>
    </w:tbl>
    <w:p>
      <w:pPr>
        <w:pStyle w:val="7"/>
        <w:spacing w:before="0" w:beforeAutospacing="0" w:after="0" w:afterAutospacing="0" w:line="360" w:lineRule="auto"/>
        <w:ind w:firstLine="420"/>
        <w:rPr>
          <w:sz w:val="21"/>
          <w:szCs w:val="21"/>
        </w:rPr>
      </w:pPr>
      <w:r>
        <w:rPr>
          <w:rFonts w:hint="eastAsia"/>
          <w:b/>
          <w:bCs/>
          <w:sz w:val="21"/>
          <w:szCs w:val="21"/>
        </w:rPr>
        <w:t>(138)兰州银行股份有限公司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(139)贵州银行股份有限公司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www.bgzchina.com </w:t>
            </w:r>
          </w:p>
        </w:tc>
      </w:tr>
    </w:tbl>
    <w:p>
      <w:pPr>
        <w:rPr>
          <w:rFonts w:ascii="宋体" w:hAnsi="宋体" w:eastAsia="宋体"/>
          <w:sz w:val="24"/>
          <w:szCs w:val="24"/>
        </w:rPr>
      </w:pPr>
      <w:bookmarkStart w:id="67" w:name="chapter_level1_7_56_section_2_end"/>
      <w:bookmarkEnd w:id="67"/>
      <w:bookmarkStart w:id="68" w:name="field_0_allproxysaletables_1_end"/>
      <w:bookmarkEnd w:id="68"/>
      <w:r>
        <w:rPr>
          <w:rFonts w:ascii="宋体" w:hAnsi="宋体" w:eastAsia="宋体"/>
        </w:rPr>
        <w:t xml:space="preserve"> </w:t>
      </w:r>
    </w:p>
    <w:p>
      <w:pPr>
        <w:pStyle w:val="7"/>
        <w:spacing w:before="0" w:beforeAutospacing="0" w:after="0" w:afterAutospacing="0" w:line="360" w:lineRule="auto"/>
        <w:ind w:firstLine="420"/>
        <w:rPr>
          <w:sz w:val="21"/>
          <w:szCs w:val="21"/>
        </w:rPr>
      </w:pPr>
      <w:bookmarkStart w:id="69" w:name="chapter_level1_7_56_section_3"/>
      <w:bookmarkEnd w:id="69"/>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70" w:name="field_0_registercompanyinfo_1_start"/>
      <w:bookmarkEnd w:id="70"/>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71" w:name="field_0_registercompanyinfo_1_end"/>
      <w:bookmarkEnd w:id="71"/>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名称：上海源泰律师事务所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负责人：廖海 </w:t>
      </w:r>
    </w:p>
    <w:p>
      <w:pPr>
        <w:pStyle w:val="7"/>
        <w:spacing w:before="0" w:beforeAutospacing="0" w:after="0" w:afterAutospacing="0" w:line="360" w:lineRule="auto"/>
        <w:ind w:firstLine="420"/>
        <w:rPr>
          <w:sz w:val="21"/>
          <w:szCs w:val="21"/>
        </w:rPr>
      </w:pPr>
      <w:r>
        <w:rPr>
          <w:rFonts w:hint="eastAsia"/>
          <w:sz w:val="21"/>
          <w:szCs w:val="21"/>
        </w:rPr>
        <w:t xml:space="preserve">电话： 021- 51150298 </w:t>
      </w:r>
    </w:p>
    <w:p>
      <w:pPr>
        <w:pStyle w:val="7"/>
        <w:spacing w:before="0" w:beforeAutospacing="0" w:after="0" w:afterAutospacing="0" w:line="360" w:lineRule="auto"/>
        <w:ind w:firstLine="420"/>
        <w:rPr>
          <w:sz w:val="21"/>
          <w:szCs w:val="21"/>
        </w:rPr>
      </w:pPr>
      <w:r>
        <w:rPr>
          <w:rFonts w:hint="eastAsia"/>
          <w:sz w:val="21"/>
          <w:szCs w:val="21"/>
        </w:rPr>
        <w:t xml:space="preserve">传真： 021- 51150398 </w:t>
      </w:r>
    </w:p>
    <w:p>
      <w:pPr>
        <w:pStyle w:val="7"/>
        <w:spacing w:before="0" w:beforeAutospacing="0" w:after="0" w:afterAutospacing="0" w:line="360" w:lineRule="auto"/>
        <w:ind w:firstLine="420"/>
        <w:rPr>
          <w:sz w:val="21"/>
          <w:szCs w:val="21"/>
        </w:rPr>
      </w:pPr>
      <w:r>
        <w:rPr>
          <w:rFonts w:hint="eastAsia"/>
          <w:sz w:val="21"/>
          <w:szCs w:val="21"/>
        </w:rPr>
        <w:t xml:space="preserve">联系人：刘佳 </w:t>
      </w:r>
    </w:p>
    <w:p>
      <w:pPr>
        <w:pStyle w:val="7"/>
        <w:spacing w:before="0" w:beforeAutospacing="0" w:after="0" w:afterAutospacing="0" w:line="360" w:lineRule="auto"/>
        <w:ind w:firstLine="420"/>
        <w:rPr>
          <w:sz w:val="21"/>
          <w:szCs w:val="21"/>
        </w:rPr>
      </w:pPr>
      <w:r>
        <w:rPr>
          <w:rFonts w:hint="eastAsia"/>
          <w:sz w:val="21"/>
          <w:szCs w:val="21"/>
        </w:rPr>
        <w:t xml:space="preserve">经办律师：廖海、刘佳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2" w:name="field_0_accountingcompanyinfo_1_start"/>
      <w:bookmarkEnd w:id="72"/>
      <w:r>
        <w:rPr>
          <w:rFonts w:hint="eastAsia"/>
          <w:sz w:val="21"/>
          <w:szCs w:val="21"/>
        </w:rPr>
        <w:t xml:space="preserve">名称：安永华明会计师事务所（特殊普通合伙）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 北京市东城区东长安街1号东方广场安永大楼17层01-12室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办公地址：北京市东城区东长安街1号东方广场安永大楼17层01-12室  </w:t>
      </w:r>
    </w:p>
    <w:p>
      <w:pPr>
        <w:pStyle w:val="7"/>
        <w:spacing w:before="0" w:beforeAutospacing="0" w:after="0" w:afterAutospacing="0" w:line="360" w:lineRule="auto"/>
        <w:ind w:firstLine="420"/>
        <w:rPr>
          <w:sz w:val="21"/>
          <w:szCs w:val="21"/>
        </w:rPr>
      </w:pPr>
      <w:r>
        <w:rPr>
          <w:rFonts w:hint="eastAsia"/>
          <w:sz w:val="21"/>
          <w:szCs w:val="21"/>
        </w:rPr>
        <w:t xml:space="preserve">执行事务合伙人：毛鞍宁  </w:t>
      </w:r>
    </w:p>
    <w:p>
      <w:pPr>
        <w:pStyle w:val="7"/>
        <w:spacing w:before="0" w:beforeAutospacing="0" w:after="0" w:afterAutospacing="0" w:line="360" w:lineRule="auto"/>
        <w:ind w:firstLine="420"/>
        <w:rPr>
          <w:sz w:val="21"/>
          <w:szCs w:val="21"/>
        </w:rPr>
      </w:pPr>
      <w:r>
        <w:rPr>
          <w:rFonts w:hint="eastAsia"/>
          <w:sz w:val="21"/>
          <w:szCs w:val="21"/>
        </w:rPr>
        <w:t xml:space="preserve">联系电话：（010）58153000  </w:t>
      </w:r>
    </w:p>
    <w:p>
      <w:pPr>
        <w:pStyle w:val="7"/>
        <w:spacing w:before="0" w:beforeAutospacing="0" w:after="0" w:afterAutospacing="0" w:line="360" w:lineRule="auto"/>
        <w:ind w:firstLine="420"/>
        <w:rPr>
          <w:sz w:val="21"/>
          <w:szCs w:val="21"/>
        </w:rPr>
      </w:pPr>
      <w:r>
        <w:rPr>
          <w:rFonts w:hint="eastAsia"/>
          <w:sz w:val="21"/>
          <w:szCs w:val="21"/>
        </w:rPr>
        <w:t xml:space="preserve">传真电话：（010）85188298  </w:t>
      </w:r>
    </w:p>
    <w:p>
      <w:pPr>
        <w:pStyle w:val="7"/>
        <w:spacing w:before="0" w:beforeAutospacing="0" w:after="0" w:afterAutospacing="0" w:line="360" w:lineRule="auto"/>
        <w:ind w:firstLine="420"/>
        <w:rPr>
          <w:sz w:val="21"/>
          <w:szCs w:val="21"/>
        </w:rPr>
      </w:pPr>
      <w:r>
        <w:rPr>
          <w:rFonts w:hint="eastAsia"/>
          <w:sz w:val="21"/>
          <w:szCs w:val="21"/>
        </w:rPr>
        <w:t xml:space="preserve">经办注册会计师： 王珊珊、朱燕 </w:t>
      </w:r>
    </w:p>
    <w:p>
      <w:pPr>
        <w:pStyle w:val="7"/>
        <w:spacing w:before="0" w:beforeAutospacing="0" w:after="0" w:afterAutospacing="0" w:line="360" w:lineRule="auto"/>
        <w:ind w:firstLine="420"/>
        <w:rPr>
          <w:sz w:val="21"/>
          <w:szCs w:val="21"/>
        </w:rPr>
      </w:pPr>
      <w:bookmarkStart w:id="73" w:name="chapter_level1_7_56_section_3_end"/>
      <w:bookmarkEnd w:id="73"/>
      <w:r>
        <w:rPr>
          <w:rFonts w:hint="eastAsia"/>
          <w:sz w:val="21"/>
          <w:szCs w:val="21"/>
        </w:rPr>
        <w:t xml:space="preserve">联系人：朱燕 </w:t>
      </w:r>
      <w:bookmarkStart w:id="74" w:name="field_0_accountingcompanyinfo_1_end"/>
      <w:bookmarkEnd w:id="7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5" w:name="chapter_level1_9_58"/>
      <w:bookmarkStart w:id="76" w:name="_Toc113549571"/>
      <w:r>
        <w:rPr>
          <w:rFonts w:hint="eastAsia" w:ascii="宋体" w:hAnsi="宋体" w:eastAsia="宋体"/>
          <w:sz w:val="30"/>
        </w:rPr>
        <w:t>第六部分 基金的募集与基金合同的生效</w:t>
      </w:r>
      <w:bookmarkEnd w:id="75"/>
      <w:bookmarkEnd w:id="76"/>
    </w:p>
    <w:p>
      <w:pPr>
        <w:pStyle w:val="7"/>
        <w:spacing w:before="0" w:beforeAutospacing="0" w:after="0" w:afterAutospacing="0" w:line="360" w:lineRule="auto"/>
        <w:ind w:firstLine="420"/>
        <w:rPr>
          <w:sz w:val="21"/>
          <w:szCs w:val="21"/>
        </w:rPr>
      </w:pPr>
      <w:bookmarkStart w:id="77" w:name="chapter_level1_9_58_section_1"/>
      <w:bookmarkEnd w:id="77"/>
      <w:r>
        <w:rPr>
          <w:rFonts w:hint="eastAsia"/>
          <w:b/>
          <w:bCs/>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78" w:name="field_2343_approveddate_2"/>
      <w:r>
        <w:rPr>
          <w:sz w:val="21"/>
          <w:szCs w:val="21"/>
        </w:rPr>
        <w:t>2020年8月7日</w:t>
      </w:r>
      <w:bookmarkEnd w:id="78"/>
      <w:r>
        <w:rPr>
          <w:rFonts w:hint="eastAsia"/>
          <w:sz w:val="21"/>
          <w:szCs w:val="21"/>
        </w:rPr>
        <w:t>证监许可</w:t>
      </w:r>
      <w:bookmarkStart w:id="79" w:name="field_2343_lotnumber_2"/>
      <w:r>
        <w:rPr>
          <w:sz w:val="21"/>
          <w:szCs w:val="21"/>
        </w:rPr>
        <w:t>[2020]1700</w:t>
      </w:r>
      <w:bookmarkEnd w:id="79"/>
      <w:r>
        <w:rPr>
          <w:rFonts w:hint="eastAsia"/>
          <w:sz w:val="21"/>
          <w:szCs w:val="21"/>
        </w:rPr>
        <w:t xml:space="preserve">号文准予募集注册。 </w:t>
      </w:r>
    </w:p>
    <w:p>
      <w:pPr>
        <w:pStyle w:val="7"/>
        <w:spacing w:before="0" w:beforeAutospacing="0" w:after="0" w:afterAutospacing="0" w:line="360" w:lineRule="auto"/>
        <w:ind w:firstLine="420"/>
        <w:rPr>
          <w:sz w:val="21"/>
          <w:szCs w:val="21"/>
        </w:rPr>
      </w:pPr>
      <w:r>
        <w:rPr>
          <w:rFonts w:hint="eastAsia"/>
          <w:sz w:val="21"/>
          <w:szCs w:val="21"/>
        </w:rPr>
        <w:t>本基金募集期自</w:t>
      </w:r>
      <w:bookmarkStart w:id="80" w:name="field_58_raisebegindate_1"/>
      <w:r>
        <w:rPr>
          <w:sz w:val="21"/>
          <w:szCs w:val="21"/>
        </w:rPr>
        <w:t>2020年10月19日</w:t>
      </w:r>
      <w:bookmarkEnd w:id="80"/>
      <w:r>
        <w:rPr>
          <w:rFonts w:hint="eastAsia"/>
          <w:sz w:val="21"/>
          <w:szCs w:val="21"/>
        </w:rPr>
        <w:t>至</w:t>
      </w:r>
      <w:bookmarkStart w:id="81" w:name="field_58_raiseenddate_1"/>
      <w:r>
        <w:rPr>
          <w:sz w:val="21"/>
          <w:szCs w:val="21"/>
        </w:rPr>
        <w:t>2020年10月21日</w:t>
      </w:r>
      <w:bookmarkEnd w:id="81"/>
      <w:r>
        <w:rPr>
          <w:rFonts w:hint="eastAsia"/>
          <w:sz w:val="21"/>
          <w:szCs w:val="21"/>
        </w:rPr>
        <w:t>期间，基金份额共募集</w:t>
      </w:r>
      <w:bookmarkStart w:id="82" w:name="field_58_raisetotal_1"/>
      <w:r>
        <w:rPr>
          <w:sz w:val="21"/>
          <w:szCs w:val="21"/>
        </w:rPr>
        <w:t>6,862,741,725.84</w:t>
      </w:r>
      <w:bookmarkEnd w:id="82"/>
      <w:r>
        <w:rPr>
          <w:rFonts w:hint="eastAsia"/>
          <w:sz w:val="21"/>
          <w:szCs w:val="21"/>
        </w:rPr>
        <w:t>份（含利息结转的份额），募集有效认购总户数为</w:t>
      </w:r>
      <w:bookmarkStart w:id="83" w:name="field_58_effectivetotal_1"/>
      <w:r>
        <w:rPr>
          <w:sz w:val="21"/>
          <w:szCs w:val="21"/>
        </w:rPr>
        <w:t>113,618</w:t>
      </w:r>
      <w:bookmarkEnd w:id="83"/>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本基金的运作方式为</w:t>
      </w:r>
      <w:bookmarkStart w:id="84" w:name="field_58_operation_1"/>
      <w:r>
        <w:rPr>
          <w:rFonts w:hint="eastAsia"/>
          <w:sz w:val="21"/>
          <w:szCs w:val="21"/>
        </w:rPr>
        <w:t>契约型开放式</w:t>
      </w:r>
      <w:bookmarkEnd w:id="84"/>
      <w:r>
        <w:rPr>
          <w:rFonts w:hint="eastAsia"/>
          <w:sz w:val="21"/>
          <w:szCs w:val="21"/>
        </w:rPr>
        <w:t>，存续期间为</w:t>
      </w:r>
      <w:bookmarkStart w:id="85" w:name="field_58_duration_1"/>
      <w:r>
        <w:rPr>
          <w:rFonts w:hint="eastAsia"/>
          <w:sz w:val="21"/>
          <w:szCs w:val="21"/>
        </w:rPr>
        <w:t>不定期</w:t>
      </w:r>
      <w:bookmarkEnd w:id="8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b/>
          <w:bCs/>
          <w:sz w:val="21"/>
          <w:szCs w:val="21"/>
        </w:rPr>
        <w:t>二、基金合同的生效</w:t>
      </w:r>
    </w:p>
    <w:p>
      <w:pPr>
        <w:pStyle w:val="7"/>
        <w:spacing w:before="0" w:beforeAutospacing="0" w:after="0" w:afterAutospacing="0" w:line="360" w:lineRule="auto"/>
        <w:ind w:firstLine="420"/>
        <w:rPr>
          <w:sz w:val="21"/>
          <w:szCs w:val="21"/>
        </w:rPr>
      </w:pPr>
      <w:bookmarkStart w:id="86" w:name="chapter_level1_9_58_section_1_end"/>
      <w:bookmarkEnd w:id="86"/>
      <w:r>
        <w:rPr>
          <w:rFonts w:hint="eastAsia"/>
          <w:sz w:val="21"/>
          <w:szCs w:val="21"/>
        </w:rPr>
        <w:t>本基金的基金合同已于</w:t>
      </w:r>
      <w:bookmarkStart w:id="87" w:name="field_0_foundday_1"/>
      <w:r>
        <w:rPr>
          <w:sz w:val="21"/>
          <w:szCs w:val="21"/>
        </w:rPr>
        <w:t>2020年10月23日</w:t>
      </w:r>
      <w:bookmarkEnd w:id="87"/>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88" w:name="chapter_level1_9_58_section_2"/>
      <w:bookmarkEnd w:id="88"/>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五十个工作日出现前述情形的，本基金将根据基金合同的约定进行基金财产清算并终止，且无需召开基金份额持有人大会。 </w:t>
      </w:r>
    </w:p>
    <w:p>
      <w:pPr>
        <w:pStyle w:val="7"/>
        <w:spacing w:before="0" w:beforeAutospacing="0" w:after="0" w:afterAutospacing="0" w:line="360" w:lineRule="auto"/>
        <w:ind w:firstLine="420"/>
        <w:rPr>
          <w:sz w:val="21"/>
          <w:szCs w:val="21"/>
        </w:rPr>
      </w:pPr>
      <w:bookmarkStart w:id="89" w:name="chapter_level1_9_58_section_2_end"/>
      <w:bookmarkEnd w:id="89"/>
      <w:r>
        <w:rPr>
          <w:rFonts w:hint="eastAsia"/>
          <w:sz w:val="21"/>
          <w:szCs w:val="21"/>
        </w:rPr>
        <w:t xml:space="preserve">法律法规或中国证监会另有规定时，从其规定。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0" w:name="_Toc113549572"/>
      <w:bookmarkStart w:id="91" w:name="chapter_level1_10_59"/>
      <w:r>
        <w:rPr>
          <w:rFonts w:hint="eastAsia" w:ascii="宋体" w:hAnsi="宋体" w:eastAsia="宋体"/>
          <w:sz w:val="30"/>
        </w:rPr>
        <w:t>第七部分  基金份额的申购与赎回</w:t>
      </w:r>
      <w:bookmarkEnd w:id="90"/>
      <w:bookmarkEnd w:id="91"/>
    </w:p>
    <w:p>
      <w:pPr>
        <w:pStyle w:val="7"/>
        <w:spacing w:before="0" w:beforeAutospacing="0" w:after="0" w:afterAutospacing="0" w:line="360" w:lineRule="auto"/>
        <w:ind w:firstLine="420"/>
        <w:rPr>
          <w:sz w:val="21"/>
          <w:szCs w:val="21"/>
        </w:rPr>
      </w:pPr>
      <w:bookmarkStart w:id="92" w:name="chapter_level1_10_59_section_1"/>
      <w:bookmarkEnd w:id="92"/>
      <w:r>
        <w:rPr>
          <w:rStyle w:val="11"/>
          <w:rFonts w:hint="eastAsia"/>
          <w:sz w:val="21"/>
          <w:szCs w:val="21"/>
        </w:rPr>
        <w:t>一、申购和赎回场所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w:t>
      </w:r>
      <w:bookmarkStart w:id="93" w:name="chapter_level1_10_59_section_1_end"/>
      <w:bookmarkEnd w:id="93"/>
      <w:r>
        <w:rPr>
          <w:rFonts w:hint="eastAsia"/>
          <w:sz w:val="21"/>
          <w:szCs w:val="21"/>
        </w:rPr>
        <w:t xml:space="preserve">与赎回。 </w:t>
      </w:r>
    </w:p>
    <w:p>
      <w:pPr>
        <w:pStyle w:val="7"/>
        <w:spacing w:before="0" w:beforeAutospacing="0" w:after="0" w:afterAutospacing="0" w:line="360" w:lineRule="auto"/>
        <w:ind w:firstLine="420"/>
        <w:rPr>
          <w:sz w:val="21"/>
          <w:szCs w:val="21"/>
        </w:rPr>
      </w:pPr>
      <w:bookmarkStart w:id="94" w:name="chapter_level1_10_59_section_2"/>
      <w:bookmarkEnd w:id="94"/>
      <w:r>
        <w:rPr>
          <w:rStyle w:val="11"/>
          <w:rFonts w:hint="eastAsia"/>
          <w:sz w:val="21"/>
          <w:szCs w:val="21"/>
        </w:rPr>
        <w:t>二、申购和赎回的开放日及时间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本基金已于2021年1月22日起开始办理申购、赎回等业务。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5" w:name="chapter_level1_10_59_section_2_end"/>
      <w:bookmarkEnd w:id="95"/>
      <w:r>
        <w:rPr>
          <w:rFonts w:hint="eastAsia"/>
          <w:sz w:val="21"/>
          <w:szCs w:val="21"/>
        </w:rPr>
        <w:t xml:space="preserve">受的，其基金份额申购、赎回价格为下一开放日该类别基金份额申购、赎回的价格。 </w:t>
      </w:r>
    </w:p>
    <w:p>
      <w:pPr>
        <w:pStyle w:val="7"/>
        <w:spacing w:before="0" w:beforeAutospacing="0" w:after="0" w:afterAutospacing="0" w:line="360" w:lineRule="auto"/>
        <w:ind w:firstLine="420"/>
        <w:rPr>
          <w:sz w:val="21"/>
          <w:szCs w:val="21"/>
        </w:rPr>
      </w:pPr>
      <w:bookmarkStart w:id="96" w:name="chapter_level1_10_59_section_3"/>
      <w:bookmarkEnd w:id="96"/>
      <w:r>
        <w:rPr>
          <w:rStyle w:val="11"/>
          <w:rFonts w:hint="eastAsia"/>
          <w:sz w:val="21"/>
          <w:szCs w:val="21"/>
        </w:rPr>
        <w:t>三、申购与赎回的原则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1、“未知价”原则，即申购、赎回价格以申请当日收市后计算的各类基金份额净值为基准进行计算；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5、办理申购、赎回业务时，应当遵循基金份额持有人利益优先原则，确保投资者的合法权益不受损害并得到公平对待。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基金管理人可在法律法规允许的情况下，对上述原则进行调整。基金管理人必须在新规则开始实施前依照《信息披露办法》的有关规定在规定媒介上公告。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四、申购与赎回的数额限制</w:t>
      </w:r>
    </w:p>
    <w:p>
      <w:pPr>
        <w:pStyle w:val="7"/>
        <w:spacing w:before="0" w:beforeAutospacing="0" w:after="0" w:afterAutospacing="0" w:line="360" w:lineRule="auto"/>
        <w:ind w:firstLine="420"/>
        <w:rPr>
          <w:sz w:val="21"/>
          <w:szCs w:val="21"/>
        </w:rPr>
      </w:pPr>
      <w:r>
        <w:rPr>
          <w:rFonts w:hint="eastAsia"/>
          <w:sz w:val="21"/>
          <w:szCs w:val="21"/>
        </w:rPr>
        <w:t>1、投资人首次申购本基金A类基金份额或C类基金份额的最低金额为</w:t>
      </w:r>
      <w:bookmarkStart w:id="97" w:name="field_59_dealerfirstpurminamount_1"/>
      <w:r>
        <w:rPr>
          <w:sz w:val="21"/>
          <w:szCs w:val="21"/>
        </w:rPr>
        <w:t>10</w:t>
      </w:r>
      <w:bookmarkEnd w:id="97"/>
      <w:r>
        <w:rPr>
          <w:rFonts w:hint="eastAsia"/>
          <w:sz w:val="21"/>
          <w:szCs w:val="21"/>
        </w:rPr>
        <w:t>元（含申购费），追加申购最低金额为</w:t>
      </w:r>
      <w:bookmarkStart w:id="98" w:name="field_59_dealerlaterpurminamount_1"/>
      <w:r>
        <w:rPr>
          <w:sz w:val="21"/>
          <w:szCs w:val="21"/>
        </w:rPr>
        <w:t>10</w:t>
      </w:r>
      <w:bookmarkEnd w:id="98"/>
      <w:r>
        <w:rPr>
          <w:rFonts w:hint="eastAsia"/>
          <w:sz w:val="21"/>
          <w:szCs w:val="21"/>
        </w:rPr>
        <w:t xml:space="preserve">元（含申购费）；详情请见当地销售机构公告；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99" w:name="field_59_minholdshare_1"/>
      <w:r>
        <w:rPr>
          <w:sz w:val="21"/>
          <w:szCs w:val="21"/>
        </w:rPr>
        <w:t>10</w:t>
      </w:r>
      <w:bookmarkEnd w:id="99"/>
      <w:r>
        <w:rPr>
          <w:rFonts w:hint="eastAsia"/>
          <w:sz w:val="21"/>
          <w:szCs w:val="21"/>
        </w:rPr>
        <w:t>份，若某笔赎回导致单个交易账户的某一类别基金份额余额少于</w:t>
      </w:r>
      <w:bookmarkStart w:id="100" w:name="field_59_minholdshare_2"/>
      <w:r>
        <w:rPr>
          <w:sz w:val="21"/>
          <w:szCs w:val="21"/>
        </w:rPr>
        <w:t>10</w:t>
      </w:r>
      <w:bookmarkEnd w:id="100"/>
      <w:r>
        <w:rPr>
          <w:rFonts w:hint="eastAsia"/>
          <w:sz w:val="21"/>
          <w:szCs w:val="21"/>
        </w:rPr>
        <w:t xml:space="preserve">份时，该类基金份额余额部分必须一同赎回； </w:t>
      </w:r>
    </w:p>
    <w:p>
      <w:pPr>
        <w:pStyle w:val="7"/>
        <w:spacing w:before="0" w:beforeAutospacing="0" w:after="0" w:afterAutospacing="0" w:line="360" w:lineRule="auto"/>
        <w:ind w:firstLine="420"/>
        <w:rPr>
          <w:sz w:val="21"/>
          <w:szCs w:val="21"/>
        </w:rPr>
      </w:pPr>
      <w:r>
        <w:rPr>
          <w:rFonts w:hint="eastAsia"/>
          <w:sz w:val="21"/>
          <w:szCs w:val="21"/>
        </w:rPr>
        <w:t>3、投资人通过销售机构赎回基金份额时，本基金单笔某一类基金份额赎回申请不得低于</w:t>
      </w:r>
      <w:bookmarkStart w:id="101" w:name="field_59_minholdshare_3"/>
      <w:r>
        <w:rPr>
          <w:sz w:val="21"/>
          <w:szCs w:val="21"/>
        </w:rPr>
        <w:t>10</w:t>
      </w:r>
      <w:bookmarkEnd w:id="101"/>
      <w:r>
        <w:rPr>
          <w:rFonts w:hint="eastAsia"/>
          <w:sz w:val="21"/>
          <w:szCs w:val="21"/>
        </w:rPr>
        <w:t>份，若投资者单个交易账户持有的某类基金份额余额不足</w:t>
      </w:r>
      <w:bookmarkStart w:id="102" w:name="field_59_minholdshare_4"/>
      <w:r>
        <w:rPr>
          <w:sz w:val="21"/>
          <w:szCs w:val="21"/>
        </w:rPr>
        <w:t>10</w:t>
      </w:r>
      <w:bookmarkEnd w:id="102"/>
      <w:r>
        <w:rPr>
          <w:rFonts w:hint="eastAsia"/>
          <w:sz w:val="21"/>
          <w:szCs w:val="21"/>
        </w:rPr>
        <w:t xml:space="preserve">份，将不受此限制，但投资者在提交赎回申请时须将该类基金份额全部赎回。各销售机构在符合上述规定的前提下，可根据自己的情况调整单笔赎回申请限制，具体以销售机构公布的为准，投资人需遵循销售机构的相关规定。 </w:t>
      </w:r>
    </w:p>
    <w:p>
      <w:pPr>
        <w:pStyle w:val="7"/>
        <w:spacing w:before="0" w:beforeAutospacing="0" w:after="0" w:afterAutospacing="0" w:line="360" w:lineRule="auto"/>
        <w:ind w:firstLine="420"/>
        <w:rPr>
          <w:sz w:val="21"/>
          <w:szCs w:val="21"/>
        </w:rPr>
      </w:pPr>
      <w:r>
        <w:rPr>
          <w:rFonts w:hint="eastAsia"/>
          <w:sz w:val="21"/>
          <w:szCs w:val="21"/>
        </w:rPr>
        <w:t xml:space="preserve">4、本基金目前对单个投资人累计持有份额不设上限限制，基金管理人可以规定单个投资者累计持有的基金份额数量限制，具体规定见更新的招募说明书或相关公告；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 </w:t>
      </w:r>
    </w:p>
    <w:p>
      <w:pPr>
        <w:pStyle w:val="7"/>
        <w:spacing w:before="0" w:beforeAutospacing="0" w:after="0" w:afterAutospacing="0" w:line="360" w:lineRule="auto"/>
        <w:ind w:firstLine="420"/>
        <w:rPr>
          <w:sz w:val="21"/>
          <w:szCs w:val="21"/>
        </w:rPr>
      </w:pPr>
      <w:r>
        <w:rPr>
          <w:rFonts w:hint="eastAsia"/>
          <w:sz w:val="21"/>
          <w:szCs w:val="21"/>
        </w:rPr>
        <w:t xml:space="preserve">6、基金管理人可在法律法规允许的情况下，调整上述规定申购金额和赎回份额的数量限制。基金管理人必须在调整实施前依照《信息披露办法》的有关规定在规定媒介上公告。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投资人申购基金份额时，必须全额交付申购款项，投资人全额交付申购款项，申购成立；基金份额登记机构确认基金份额时，申购生效。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基金份额登记机构确认赎回时，赎回生效。投资者赎回申请生效后，基金管理人将在T＋7日(包括该日)内支付赎回款项。在发生巨额赎回或基金合同约定的其他暂停赎回或延缓支付赎回款项的情形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遇交易所或交易市场数据传输延迟、通讯系统故障、银行数据交换系统故障、港股通交易系统或港股通资金交收规则限制或其他非基金管理人及基金托管人所能控制的因素影响业务处理流程，则赎回款项划付时间相应顺延至该因素消除的最近一个工作日。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基金管理人可以在法律法规和基金合同允许的范围内，对上述业务办理时间进行调整，并在调整实施前依照《信息披露办法》的有关规定在规定媒介上公告。 </w:t>
      </w:r>
    </w:p>
    <w:p>
      <w:pPr>
        <w:pStyle w:val="7"/>
        <w:spacing w:before="0" w:beforeAutospacing="0" w:after="0" w:afterAutospacing="0" w:line="360" w:lineRule="auto"/>
        <w:ind w:firstLine="420"/>
        <w:rPr>
          <w:sz w:val="21"/>
          <w:szCs w:val="21"/>
        </w:rPr>
      </w:pPr>
      <w:r>
        <w:rPr>
          <w:rStyle w:val="11"/>
          <w:rFonts w:hint="eastAsia"/>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1、投资者可以多次申购本基金，申购费率按每笔申购申请单独计算。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本基金A类基金份额在申购时收取基金申购费用；C类基金份额不收取申购费用。投资者的申购费用如下： </w:t>
      </w:r>
    </w:p>
    <w:p>
      <w:pPr>
        <w:pStyle w:val="7"/>
        <w:spacing w:before="0" w:beforeAutospacing="0" w:after="0" w:afterAutospacing="0" w:line="360" w:lineRule="auto"/>
        <w:ind w:firstLine="420"/>
        <w:rPr>
          <w:sz w:val="21"/>
          <w:szCs w:val="21"/>
        </w:rPr>
      </w:pPr>
      <w:r>
        <w:rPr>
          <w:rFonts w:hint="eastAsia"/>
          <w:sz w:val="21"/>
          <w:szCs w:val="21"/>
        </w:rPr>
        <w:t xml:space="preserve">表2：本基金的申购费率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2"/>
        <w:gridCol w:w="2817"/>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金额（M） </w:t>
            </w:r>
          </w:p>
        </w:tc>
        <w:tc>
          <w:tcPr>
            <w:tcW w:w="0" w:type="auto"/>
            <w:shd w:val="clear" w:color="auto" w:fill="auto"/>
          </w:tcPr>
          <w:p>
            <w:pPr>
              <w:pStyle w:val="7"/>
            </w:pPr>
            <w:r>
              <w:rPr>
                <w:rFonts w:hint="eastAsia"/>
              </w:rPr>
              <w:t xml:space="preserve">A类基金份额申购费率 </w:t>
            </w:r>
          </w:p>
        </w:tc>
        <w:tc>
          <w:tcPr>
            <w:tcW w:w="0" w:type="auto"/>
            <w:shd w:val="clear" w:color="auto" w:fill="auto"/>
          </w:tcPr>
          <w:p>
            <w:pPr>
              <w:pStyle w:val="7"/>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M＜100万元 </w:t>
            </w:r>
          </w:p>
        </w:tc>
        <w:tc>
          <w:tcPr>
            <w:tcW w:w="0" w:type="auto"/>
            <w:shd w:val="clear" w:color="auto" w:fill="auto"/>
          </w:tcPr>
          <w:p>
            <w:pPr>
              <w:pStyle w:val="7"/>
            </w:pPr>
            <w:r>
              <w:rPr>
                <w:rFonts w:hint="eastAsia"/>
              </w:rPr>
              <w:t xml:space="preserve">1.50% </w:t>
            </w:r>
          </w:p>
        </w:tc>
        <w:tc>
          <w:tcPr>
            <w:tcW w:w="0" w:type="auto"/>
            <w:vMerge w:val="restart"/>
            <w:shd w:val="clear" w:color="auto" w:fill="auto"/>
          </w:tcPr>
          <w:p>
            <w:pPr>
              <w:pStyle w:val="7"/>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100万元≤M＜300万元 </w:t>
            </w:r>
          </w:p>
        </w:tc>
        <w:tc>
          <w:tcPr>
            <w:tcW w:w="0" w:type="auto"/>
            <w:shd w:val="clear" w:color="auto" w:fill="auto"/>
          </w:tcPr>
          <w:p>
            <w:pPr>
              <w:pStyle w:val="7"/>
            </w:pPr>
            <w:r>
              <w:rPr>
                <w:rFonts w:hint="eastAsia"/>
              </w:rPr>
              <w:t xml:space="preserve">1.00%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300万元≤M＜500万元 </w:t>
            </w:r>
          </w:p>
        </w:tc>
        <w:tc>
          <w:tcPr>
            <w:tcW w:w="0" w:type="auto"/>
            <w:shd w:val="clear" w:color="auto" w:fill="auto"/>
          </w:tcPr>
          <w:p>
            <w:pPr>
              <w:pStyle w:val="7"/>
            </w:pPr>
            <w:r>
              <w:rPr>
                <w:rFonts w:hint="eastAsia"/>
              </w:rPr>
              <w:t xml:space="preserve">0.60%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M≥500万元 </w:t>
            </w:r>
          </w:p>
        </w:tc>
        <w:tc>
          <w:tcPr>
            <w:tcW w:w="0" w:type="auto"/>
            <w:shd w:val="clear" w:color="auto" w:fill="auto"/>
          </w:tcPr>
          <w:p>
            <w:pPr>
              <w:pStyle w:val="7"/>
            </w:pPr>
            <w:r>
              <w:rPr>
                <w:rFonts w:hint="eastAsia"/>
              </w:rPr>
              <w:t xml:space="preserve">1000元/笔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本基金的申购费用由投资人承担，主要用于本基金的市场推广、销售、登记等各项费用，不列入基金财产。 </w:t>
      </w:r>
    </w:p>
    <w:p>
      <w:pPr>
        <w:pStyle w:val="7"/>
        <w:spacing w:before="0" w:beforeAutospacing="0" w:after="0" w:afterAutospacing="0" w:line="360" w:lineRule="auto"/>
        <w:ind w:firstLine="420"/>
        <w:rPr>
          <w:sz w:val="21"/>
          <w:szCs w:val="21"/>
        </w:rPr>
      </w:pPr>
      <w:r>
        <w:rPr>
          <w:rFonts w:hint="eastAsia"/>
          <w:sz w:val="21"/>
          <w:szCs w:val="21"/>
        </w:rPr>
        <w:t xml:space="preserve">2、本基金赎回费率按基金份额持有期限递减，费率如下： </w:t>
      </w:r>
    </w:p>
    <w:p>
      <w:pPr>
        <w:pStyle w:val="7"/>
        <w:spacing w:before="0" w:beforeAutospacing="0" w:after="0" w:afterAutospacing="0" w:line="360" w:lineRule="auto"/>
        <w:ind w:firstLine="420"/>
        <w:rPr>
          <w:sz w:val="21"/>
          <w:szCs w:val="21"/>
        </w:rPr>
      </w:pPr>
      <w:r>
        <w:rPr>
          <w:rFonts w:hint="eastAsia"/>
          <w:sz w:val="21"/>
          <w:szCs w:val="21"/>
        </w:rPr>
        <w:t xml:space="preserve">表3：本基金的赎回费率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3054"/>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持有期（Y） </w:t>
            </w:r>
          </w:p>
        </w:tc>
        <w:tc>
          <w:tcPr>
            <w:tcW w:w="0" w:type="auto"/>
            <w:shd w:val="clear" w:color="auto" w:fill="auto"/>
          </w:tcPr>
          <w:p>
            <w:pPr>
              <w:pStyle w:val="7"/>
            </w:pPr>
            <w:r>
              <w:rPr>
                <w:rFonts w:hint="eastAsia"/>
              </w:rPr>
              <w:t xml:space="preserve">A类基金份额赎回费率 </w:t>
            </w:r>
          </w:p>
        </w:tc>
        <w:tc>
          <w:tcPr>
            <w:tcW w:w="0" w:type="auto"/>
            <w:shd w:val="clear" w:color="auto" w:fill="auto"/>
          </w:tcPr>
          <w:p>
            <w:pPr>
              <w:pStyle w:val="7"/>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Y＜7日 </w:t>
            </w:r>
          </w:p>
        </w:tc>
        <w:tc>
          <w:tcPr>
            <w:tcW w:w="0" w:type="auto"/>
            <w:shd w:val="clear" w:color="auto" w:fill="auto"/>
          </w:tcPr>
          <w:p>
            <w:pPr>
              <w:pStyle w:val="7"/>
            </w:pPr>
            <w:r>
              <w:rPr>
                <w:rFonts w:hint="eastAsia"/>
              </w:rPr>
              <w:t xml:space="preserve">1.50%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7日≤Y＜30日 </w:t>
            </w:r>
          </w:p>
        </w:tc>
        <w:tc>
          <w:tcPr>
            <w:tcW w:w="0" w:type="auto"/>
            <w:shd w:val="clear" w:color="auto" w:fill="auto"/>
          </w:tcPr>
          <w:p>
            <w:pPr>
              <w:pStyle w:val="7"/>
            </w:pPr>
            <w:r>
              <w:rPr>
                <w:rFonts w:hint="eastAsia"/>
              </w:rPr>
              <w:t xml:space="preserve">0.75%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30日≤Y＜6个月 </w:t>
            </w:r>
          </w:p>
        </w:tc>
        <w:tc>
          <w:tcPr>
            <w:tcW w:w="0" w:type="auto"/>
            <w:shd w:val="clear" w:color="auto" w:fill="auto"/>
          </w:tcPr>
          <w:p>
            <w:pPr>
              <w:pStyle w:val="7"/>
            </w:pPr>
            <w:r>
              <w:rPr>
                <w:rFonts w:hint="eastAsia"/>
              </w:rPr>
              <w:t xml:space="preserve">0.50% </w:t>
            </w:r>
          </w:p>
        </w:tc>
        <w:tc>
          <w:tcPr>
            <w:tcW w:w="0" w:type="auto"/>
            <w:vMerge w:val="restart"/>
            <w:shd w:val="clear" w:color="auto" w:fill="auto"/>
          </w:tcPr>
          <w:p>
            <w:pPr>
              <w:pStyle w:val="7"/>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Y≥6个月 </w:t>
            </w:r>
          </w:p>
        </w:tc>
        <w:tc>
          <w:tcPr>
            <w:tcW w:w="0" w:type="auto"/>
            <w:shd w:val="clear" w:color="auto" w:fill="auto"/>
          </w:tcPr>
          <w:p>
            <w:pPr>
              <w:pStyle w:val="7"/>
            </w:pPr>
            <w:r>
              <w:rPr>
                <w:rFonts w:hint="eastAsia"/>
              </w:rPr>
              <w:t xml:space="preserve">0% </w:t>
            </w:r>
          </w:p>
        </w:tc>
        <w:tc>
          <w:tcPr>
            <w:tcW w:w="0" w:type="auto"/>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（注：1个月=30日） </w:t>
      </w:r>
    </w:p>
    <w:p>
      <w:pPr>
        <w:pStyle w:val="7"/>
        <w:spacing w:before="0" w:beforeAutospacing="0" w:after="0" w:afterAutospacing="0" w:line="360" w:lineRule="auto"/>
        <w:ind w:firstLine="420"/>
        <w:rPr>
          <w:sz w:val="21"/>
          <w:szCs w:val="21"/>
        </w:rPr>
      </w:pPr>
      <w:r>
        <w:rPr>
          <w:rFonts w:hint="eastAsia"/>
          <w:sz w:val="21"/>
          <w:szCs w:val="21"/>
        </w:rPr>
        <w:t xml:space="preserve">本基金赎回费用由赎回基金份额的基金份额持有人承担。本基金的赎回费用在投资者赎回本基金份额时收取，扣除用于市场推广、登记费和其他手续费后的余额归入基金财产。对于A类基金份额，本基金对持续持有期少于30日的投资人收取的赎回费，全额计入基金资产；对持续持有期不少于30日但少于3个月的投资人收取的赎回费，75%计入基金资产；对持续持有期不少于3个月但少于6个月的投资人收取的赎回费，50%计入基金资产。对于C类基金份额，对持续持有期少于30日的投资人收取的赎回费全额计入基金财产。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3、基金管理人可以在基金合同约定的范围内调整费率或收费方式，并最迟应于新的费率或收费方式实施日前依照《信息披露办法》的有关规定在规定媒介上公告。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1、申购金额的计算方式： </w:t>
      </w:r>
    </w:p>
    <w:p>
      <w:pPr>
        <w:pStyle w:val="7"/>
        <w:spacing w:before="0" w:beforeAutospacing="0" w:after="0" w:afterAutospacing="0" w:line="360" w:lineRule="auto"/>
        <w:ind w:firstLine="420"/>
        <w:rPr>
          <w:sz w:val="21"/>
          <w:szCs w:val="21"/>
        </w:rPr>
      </w:pPr>
      <w:r>
        <w:rPr>
          <w:rFonts w:hint="eastAsia"/>
          <w:sz w:val="21"/>
          <w:szCs w:val="21"/>
        </w:rPr>
        <w:t xml:space="preserve">（1）A类基金份额 </w:t>
      </w:r>
    </w:p>
    <w:p>
      <w:pPr>
        <w:pStyle w:val="7"/>
        <w:spacing w:before="0" w:beforeAutospacing="0" w:after="0" w:afterAutospacing="0" w:line="360" w:lineRule="auto"/>
        <w:ind w:firstLine="420"/>
        <w:rPr>
          <w:sz w:val="21"/>
          <w:szCs w:val="21"/>
        </w:rPr>
      </w:pPr>
      <w:r>
        <w:rPr>
          <w:rFonts w:hint="eastAsia"/>
          <w:sz w:val="21"/>
          <w:szCs w:val="21"/>
        </w:rPr>
        <w:t xml:space="preserve">申购费用适用比例费率时：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申购费用适用固定金额时： </w:t>
      </w:r>
    </w:p>
    <w:p>
      <w:pPr>
        <w:pStyle w:val="7"/>
        <w:spacing w:before="0" w:beforeAutospacing="0" w:after="0" w:afterAutospacing="0" w:line="360" w:lineRule="auto"/>
        <w:ind w:firstLine="420"/>
        <w:rPr>
          <w:sz w:val="21"/>
          <w:szCs w:val="21"/>
        </w:rPr>
      </w:pPr>
      <w:r>
        <w:rPr>
          <w:rFonts w:hint="eastAsia"/>
          <w:sz w:val="21"/>
          <w:szCs w:val="21"/>
        </w:rPr>
        <w:t xml:space="preserve">申购费用＝固定金额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申购份额的计算结果均按照四舍五入方法，保留到小数点后两位，由此误差产生的损失由基金财产承担，产生的收益归基金财产所有。 </w:t>
      </w:r>
    </w:p>
    <w:p>
      <w:pPr>
        <w:pStyle w:val="7"/>
        <w:spacing w:before="0" w:beforeAutospacing="0" w:after="0" w:afterAutospacing="0" w:line="360" w:lineRule="auto"/>
        <w:ind w:firstLine="420"/>
        <w:rPr>
          <w:sz w:val="21"/>
          <w:szCs w:val="21"/>
        </w:rPr>
      </w:pPr>
      <w:r>
        <w:rPr>
          <w:rFonts w:hint="eastAsia"/>
          <w:sz w:val="21"/>
          <w:szCs w:val="21"/>
        </w:rPr>
        <w:t xml:space="preserve">（2）C类基金份额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申购份额的计算结果均按照四舍五入方法，保留到小数点后两位，由此产生的收益或损失由基金财产承担。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例1：假定T日A类基金份额净值为1.0160元，某投资人本次申购本基金A类基金份额10万元，对应的本次申购费率为1.50%，该投资人可得到的A类基金份额为：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净申购金额＝100,000/(1＋1.50%)＝98,522.17元 </w:t>
      </w:r>
    </w:p>
    <w:p>
      <w:pPr>
        <w:pStyle w:val="7"/>
        <w:spacing w:before="0" w:beforeAutospacing="0" w:after="0" w:afterAutospacing="0" w:line="360" w:lineRule="auto"/>
        <w:ind w:firstLine="420"/>
        <w:rPr>
          <w:sz w:val="21"/>
          <w:szCs w:val="21"/>
        </w:rPr>
      </w:pPr>
      <w:r>
        <w:rPr>
          <w:rFonts w:hint="eastAsia"/>
          <w:sz w:val="21"/>
          <w:szCs w:val="21"/>
        </w:rPr>
        <w:t xml:space="preserve">申购费用＝100,000－98,522.17＝1477.83元 </w:t>
      </w:r>
    </w:p>
    <w:p>
      <w:pPr>
        <w:pStyle w:val="7"/>
        <w:spacing w:before="0" w:beforeAutospacing="0" w:after="0" w:afterAutospacing="0" w:line="360" w:lineRule="auto"/>
        <w:ind w:firstLine="420"/>
        <w:rPr>
          <w:sz w:val="21"/>
          <w:szCs w:val="21"/>
        </w:rPr>
      </w:pPr>
      <w:r>
        <w:rPr>
          <w:rFonts w:hint="eastAsia"/>
          <w:sz w:val="21"/>
          <w:szCs w:val="21"/>
        </w:rPr>
        <w:t xml:space="preserve">申购份额＝98,522.17/1.0160＝96,970.64份 </w:t>
      </w:r>
    </w:p>
    <w:p>
      <w:pPr>
        <w:pStyle w:val="7"/>
        <w:spacing w:before="0" w:beforeAutospacing="0" w:after="0" w:afterAutospacing="0" w:line="360" w:lineRule="auto"/>
        <w:ind w:firstLine="420"/>
        <w:rPr>
          <w:sz w:val="21"/>
          <w:szCs w:val="21"/>
        </w:rPr>
      </w:pPr>
      <w:r>
        <w:rPr>
          <w:rFonts w:hint="eastAsia"/>
          <w:sz w:val="21"/>
          <w:szCs w:val="21"/>
        </w:rPr>
        <w:t xml:space="preserve">即：投资者投资10万元申购本基金A类基金份额，假定申购当日A类基金份额净值为1.0160元，可得到96,970.64份A类基金份额。 </w:t>
      </w:r>
    </w:p>
    <w:p>
      <w:pPr>
        <w:pStyle w:val="7"/>
        <w:spacing w:before="0" w:beforeAutospacing="0" w:after="0" w:afterAutospacing="0" w:line="360" w:lineRule="auto"/>
        <w:ind w:firstLine="420"/>
        <w:rPr>
          <w:sz w:val="21"/>
          <w:szCs w:val="21"/>
        </w:rPr>
      </w:pPr>
      <w:r>
        <w:rPr>
          <w:rFonts w:hint="eastAsia"/>
          <w:sz w:val="21"/>
          <w:szCs w:val="21"/>
        </w:rPr>
        <w:t xml:space="preserve">例2：假设某投资者投资10万元申购本基金C类基金份额，申购当日本基金C类基金份额净值为1.0600元，则可得到的申购份额为：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申购份额＝100,000/1.0600＝94,339.62份 </w:t>
      </w:r>
    </w:p>
    <w:p>
      <w:pPr>
        <w:pStyle w:val="7"/>
        <w:spacing w:before="0" w:beforeAutospacing="0" w:after="0" w:afterAutospacing="0" w:line="360" w:lineRule="auto"/>
        <w:ind w:firstLine="420"/>
        <w:rPr>
          <w:sz w:val="21"/>
          <w:szCs w:val="21"/>
        </w:rPr>
      </w:pPr>
      <w:r>
        <w:rPr>
          <w:rFonts w:hint="eastAsia"/>
          <w:sz w:val="21"/>
          <w:szCs w:val="21"/>
        </w:rPr>
        <w:t xml:space="preserve">即：投资者投资10万元申购本基金C类基金份额，假设申购当日本基金C类基金份额净值为1.0600元，则其可得到94,339.62份C类基金份额。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本基金的净赎回金额为赎回金额扣减赎回费用。采用“份额赎回”方式，赎回价格以T日的基金份额净值为基准进行计算，其中： </w:t>
      </w:r>
    </w:p>
    <w:p>
      <w:pPr>
        <w:pStyle w:val="7"/>
        <w:spacing w:before="0" w:beforeAutospacing="0" w:after="0" w:afterAutospacing="0" w:line="360" w:lineRule="auto"/>
        <w:ind w:firstLine="420"/>
        <w:rPr>
          <w:sz w:val="21"/>
          <w:szCs w:val="21"/>
        </w:rPr>
      </w:pPr>
      <w:r>
        <w:rPr>
          <w:rFonts w:hint="eastAsia"/>
          <w:sz w:val="21"/>
          <w:szCs w:val="21"/>
        </w:rPr>
        <w:t xml:space="preserve">赎回金额＝赎回份额×T日该类基金份额的基金份额净值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赎回费用＝赎回份额×T日该类基金份额的基金份额净值×赎回费率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净赎回金额＝赎回金额－赎回费 </w:t>
      </w:r>
    </w:p>
    <w:p>
      <w:pPr>
        <w:pStyle w:val="7"/>
        <w:spacing w:before="0" w:beforeAutospacing="0" w:after="0" w:afterAutospacing="0" w:line="360" w:lineRule="auto"/>
        <w:ind w:firstLine="420"/>
        <w:rPr>
          <w:sz w:val="21"/>
          <w:szCs w:val="21"/>
        </w:rPr>
      </w:pPr>
      <w:r>
        <w:rPr>
          <w:rFonts w:hint="eastAsia"/>
          <w:sz w:val="21"/>
          <w:szCs w:val="21"/>
        </w:rPr>
        <w:t xml:space="preserve">赎回金额单位为人民币元，计算结果按四舍五入方法，保留到小数点后两位，由此产生的收益或损失由基金财产承担。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例3：假设某投资者赎回A类基金份额100,000份，持有时间为1年，则对应的赎回费率为0，假设赎回当日A类基金份额净值是1.0600元，则可得到的赎回金额为：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赎回金额＝100,000×1.0600=106,000.00元 </w:t>
      </w:r>
    </w:p>
    <w:p>
      <w:pPr>
        <w:pStyle w:val="7"/>
        <w:spacing w:before="0" w:beforeAutospacing="0" w:after="0" w:afterAutospacing="0" w:line="360" w:lineRule="auto"/>
        <w:ind w:firstLine="420"/>
        <w:rPr>
          <w:sz w:val="21"/>
          <w:szCs w:val="21"/>
        </w:rPr>
      </w:pPr>
      <w:r>
        <w:rPr>
          <w:rFonts w:hint="eastAsia"/>
          <w:sz w:val="21"/>
          <w:szCs w:val="21"/>
        </w:rPr>
        <w:t xml:space="preserve">赎回费用＝100,000×1.0600×0＝0元 </w:t>
      </w:r>
    </w:p>
    <w:p>
      <w:pPr>
        <w:pStyle w:val="7"/>
        <w:spacing w:before="0" w:beforeAutospacing="0" w:after="0" w:afterAutospacing="0" w:line="360" w:lineRule="auto"/>
        <w:ind w:firstLine="420"/>
        <w:rPr>
          <w:sz w:val="21"/>
          <w:szCs w:val="21"/>
        </w:rPr>
      </w:pPr>
      <w:r>
        <w:rPr>
          <w:rFonts w:hint="eastAsia"/>
          <w:sz w:val="21"/>
          <w:szCs w:val="21"/>
        </w:rPr>
        <w:t xml:space="preserve">净赎回金额＝106,000.00-0＝106,000.00元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即：投资者赎回本基金10万份A类基金份额，持有时间为1年，假设赎回当日A类基金份额净值是1.0600元，则其可得到的赎回金额为106,000.00元。 </w:t>
      </w:r>
    </w:p>
    <w:p>
      <w:pPr>
        <w:pStyle w:val="7"/>
        <w:spacing w:before="0" w:beforeAutospacing="0" w:after="0" w:afterAutospacing="0" w:line="360" w:lineRule="auto"/>
        <w:ind w:firstLine="420"/>
        <w:rPr>
          <w:sz w:val="21"/>
          <w:szCs w:val="21"/>
        </w:rPr>
      </w:pPr>
      <w:r>
        <w:rPr>
          <w:rFonts w:hint="eastAsia"/>
          <w:sz w:val="21"/>
          <w:szCs w:val="21"/>
        </w:rPr>
        <w:t xml:space="preserve">例4：假设某投资者赎回C类基金份额100,000份，持有时间为1年，则对应的赎回费率为0，假设赎回当日C类基金份额净值是1.0600元，则可得到的赎回金额为：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赎回金额＝100,000×1.0600＝106,000.00元 </w:t>
      </w:r>
    </w:p>
    <w:p>
      <w:pPr>
        <w:pStyle w:val="7"/>
        <w:spacing w:before="0" w:beforeAutospacing="0" w:after="0" w:afterAutospacing="0" w:line="360" w:lineRule="auto"/>
        <w:ind w:firstLine="420"/>
        <w:rPr>
          <w:sz w:val="21"/>
          <w:szCs w:val="21"/>
        </w:rPr>
      </w:pPr>
      <w:r>
        <w:rPr>
          <w:rFonts w:hint="eastAsia"/>
          <w:sz w:val="21"/>
          <w:szCs w:val="21"/>
        </w:rPr>
        <w:t xml:space="preserve">赎回费用＝100,000×1.0600×0＝0元 </w:t>
      </w:r>
    </w:p>
    <w:p>
      <w:pPr>
        <w:pStyle w:val="7"/>
        <w:spacing w:before="0" w:beforeAutospacing="0" w:after="0" w:afterAutospacing="0" w:line="360" w:lineRule="auto"/>
        <w:ind w:firstLine="420"/>
        <w:rPr>
          <w:sz w:val="21"/>
          <w:szCs w:val="21"/>
        </w:rPr>
      </w:pPr>
      <w:r>
        <w:rPr>
          <w:rFonts w:hint="eastAsia"/>
          <w:sz w:val="21"/>
          <w:szCs w:val="21"/>
        </w:rPr>
        <w:t xml:space="preserve">净赎回金额＝106,000.00-0＝106,000.00元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即：投资者赎回本基金10万份C类基金份额，持有时间为1年，假设赎回当日C类基金份额净值是1.0600元，则其可得到的赎回金额为106,000.00元。 </w:t>
      </w:r>
    </w:p>
    <w:p>
      <w:pPr>
        <w:pStyle w:val="7"/>
        <w:spacing w:before="0" w:beforeAutospacing="0" w:after="0" w:afterAutospacing="0" w:line="360" w:lineRule="auto"/>
        <w:ind w:firstLine="420"/>
        <w:rPr>
          <w:sz w:val="21"/>
          <w:szCs w:val="21"/>
        </w:rPr>
      </w:pPr>
      <w:r>
        <w:rPr>
          <w:rFonts w:hint="eastAsia"/>
          <w:sz w:val="21"/>
          <w:szCs w:val="21"/>
        </w:rPr>
        <w:t xml:space="preserve">3、本基金各类基金份额净值的计算，均保留到小数点后4位，小数点后第5位四舍五入，由此产生的收益或损失由基金财产承担。T日的各类基金份额净值在当天收市后计算，并按照基金合同约定公告。遇特殊情况，经履行适当程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不违反法律法规规定及基金合同约定的情形下，且对基金份额持有人利益无实质性不利影响的前提下，根据市场情况制定基金促销计划，定期和不定期地开展基金促销活动。在基金促销活动期间，按相关监管部门要求履行必要手续后，基金管理人可以适当调低基金的申购、赎回费率和销售服务费率。 </w:t>
      </w:r>
    </w:p>
    <w:p>
      <w:pPr>
        <w:pStyle w:val="7"/>
        <w:spacing w:before="0" w:beforeAutospacing="0" w:after="0" w:afterAutospacing="0" w:line="360" w:lineRule="auto"/>
        <w:ind w:firstLine="420"/>
        <w:rPr>
          <w:sz w:val="21"/>
          <w:szCs w:val="21"/>
        </w:rPr>
      </w:pPr>
      <w:r>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pPr>
        <w:pStyle w:val="7"/>
        <w:spacing w:before="0" w:beforeAutospacing="0" w:after="0" w:afterAutospacing="0" w:line="360" w:lineRule="auto"/>
        <w:ind w:firstLine="420"/>
        <w:rPr>
          <w:sz w:val="21"/>
          <w:szCs w:val="21"/>
        </w:rPr>
      </w:pPr>
      <w:r>
        <w:rPr>
          <w:rStyle w:val="11"/>
          <w:rFonts w:hint="eastAsia"/>
          <w:sz w:val="21"/>
          <w:szCs w:val="21"/>
        </w:rPr>
        <w:t>八、拒绝或暂停申购的情形</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4、接受某笔或某些申购申请可能会影响或损害现有基金份额持有人利益或对存量基金份额持有人利益构成潜在重大不利影响。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申购申请时，基金管理人应当根据有关规定在规定媒介上刊登暂停申购公告。如果投资人的申购申请被拒绝，被拒绝的申购款项本金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九、暂停赎回或延缓支付赎回款项的情形 </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5、发生继续接受赎回申请将损害现有基金份额持有人利益的情形。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6、当特定资产占前一估值日基金资产净值50%以上的，经与基金托管人协商确认后，基金管理人应当延缓支付赎回款项或暂停接受基金赎回申请。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第4项除外）之一且基金管理人决定暂停赎回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若本基金单个开放日内的基金份额净赎回申请(赎回申请份额总数加上基金转换中转出申请份额总数后扣除申购申请份额总数及基金转换中转入申请份额总数后的余额)超过前一工作日的基金总份额的</w:t>
      </w:r>
      <w:bookmarkStart w:id="103" w:name="field_49_mintredeemscale_2"/>
      <w:r>
        <w:rPr>
          <w:sz w:val="21"/>
          <w:szCs w:val="21"/>
        </w:rPr>
        <w:t>10</w:t>
      </w:r>
      <w:bookmarkEnd w:id="103"/>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bookmarkStart w:id="104" w:name="field_49_mintredeemscale_3"/>
      <w:r>
        <w:rPr>
          <w:sz w:val="21"/>
          <w:szCs w:val="21"/>
        </w:rPr>
        <w:t>10</w:t>
      </w:r>
      <w:bookmarkEnd w:id="104"/>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（3）本基金发生巨额赎回时，对于单个基金份额持有人当日赎回申请超过上一工作日基金总份额</w:t>
      </w:r>
      <w:bookmarkStart w:id="105" w:name="field_49_mintredeemscale_4"/>
      <w:r>
        <w:rPr>
          <w:sz w:val="21"/>
          <w:szCs w:val="21"/>
        </w:rPr>
        <w:t>10</w:t>
      </w:r>
      <w:bookmarkEnd w:id="105"/>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工作日基金总份额</w:t>
      </w:r>
      <w:bookmarkStart w:id="106" w:name="field_49_mintredeemscale_5"/>
      <w:r>
        <w:rPr>
          <w:sz w:val="21"/>
          <w:szCs w:val="21"/>
        </w:rPr>
        <w:t>10</w:t>
      </w:r>
      <w:bookmarkEnd w:id="106"/>
      <w:r>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规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当发生上述巨额赎回并延期办理时，基金管理人应当通过邮寄、传真或者招募说明书规定的其他方式在3个交易日内通知基金份额持有人，说明有关处理方法，并在2日内在规定媒介上刊登公告。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十一、暂停申购或赎回的公告和重新开放申购或赎回的公告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1、发生上述暂停申购或赎回情况的，基金管理人应在规定期限内在规定媒介上刊登暂停公告。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107" w:name="chapter_level1_10_59_section_3_end"/>
      <w:bookmarkEnd w:id="107"/>
      <w:r>
        <w:rPr>
          <w:rFonts w:hint="eastAsia"/>
          <w:sz w:val="21"/>
          <w:szCs w:val="21"/>
        </w:rPr>
        <w:t xml:space="preserve">各类基金份额净值。 </w:t>
      </w:r>
    </w:p>
    <w:p>
      <w:pPr>
        <w:pStyle w:val="7"/>
        <w:spacing w:before="0" w:beforeAutospacing="0" w:after="0" w:afterAutospacing="0" w:line="360" w:lineRule="auto"/>
        <w:ind w:firstLine="420"/>
        <w:rPr>
          <w:sz w:val="21"/>
          <w:szCs w:val="21"/>
        </w:rPr>
      </w:pPr>
      <w:bookmarkStart w:id="108" w:name="chapter_level1_10_59_section_4"/>
      <w:bookmarkEnd w:id="108"/>
      <w:r>
        <w:rPr>
          <w:rStyle w:val="11"/>
          <w:rFonts w:hint="eastAsia"/>
          <w:sz w:val="21"/>
          <w:szCs w:val="21"/>
        </w:rPr>
        <w:t>十二、基金转换</w:t>
      </w:r>
    </w:p>
    <w:p>
      <w:pPr>
        <w:pStyle w:val="7"/>
        <w:spacing w:before="0" w:beforeAutospacing="0" w:after="0" w:afterAutospacing="0" w:line="360" w:lineRule="auto"/>
        <w:ind w:firstLine="420"/>
        <w:rPr>
          <w:sz w:val="21"/>
          <w:szCs w:val="21"/>
        </w:rPr>
      </w:pPr>
      <w:r>
        <w:rPr>
          <w:rFonts w:hint="eastAsia"/>
          <w:sz w:val="21"/>
          <w:szCs w:val="21"/>
        </w:rPr>
        <w:t xml:space="preserve">本基金已于2021年1月22日起开始办理转换业务。 </w:t>
      </w:r>
    </w:p>
    <w:p>
      <w:pPr>
        <w:pStyle w:val="7"/>
        <w:spacing w:before="0" w:beforeAutospacing="0" w:after="0" w:afterAutospacing="0" w:line="360" w:lineRule="auto"/>
        <w:ind w:firstLine="420"/>
        <w:rPr>
          <w:sz w:val="21"/>
          <w:szCs w:val="21"/>
        </w:rPr>
      </w:pPr>
      <w:r>
        <w:rPr>
          <w:rFonts w:hint="eastAsia"/>
          <w:sz w:val="21"/>
          <w:szCs w:val="21"/>
        </w:rPr>
        <w:t xml:space="preserve">1 转换费率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 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基金转换视同为转出基金的赎回和转入基金的申购，因此暂停基金转换适用有关转出基金和转入基金关于暂停或拒绝申购、暂停赎回的有关规定。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 xml:space="preserve">①本基金转换业务适用于可以销售包括本基金在内的两只以上（含两只），且基金注册登记机构为同一机构的博时旗下基金的销售机构。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 xml:space="preserve">②转换业务的收费计算公式及举例参见2010年3月16日刊登于本公司网站的《博时基金管理有限公司关于旗下开放式基金转换业务的公告》。  </w:t>
      </w:r>
    </w:p>
    <w:p>
      <w:pPr>
        <w:pStyle w:val="7"/>
        <w:spacing w:before="0" w:beforeAutospacing="0" w:after="0" w:afterAutospacing="0" w:line="360" w:lineRule="auto"/>
        <w:ind w:firstLine="420"/>
        <w:rPr>
          <w:sz w:val="21"/>
          <w:szCs w:val="21"/>
        </w:rPr>
      </w:pPr>
      <w:bookmarkStart w:id="109" w:name="chapter_level1_10_59_section_4_end"/>
      <w:bookmarkEnd w:id="109"/>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110" w:name="chapter_level1_10_59_section_5"/>
      <w:bookmarkEnd w:id="110"/>
      <w:r>
        <w:rPr>
          <w:rStyle w:val="11"/>
          <w:rFonts w:hint="eastAsia"/>
          <w:sz w:val="21"/>
          <w:szCs w:val="21"/>
        </w:rPr>
        <w:t>十三、基金份额的转让</w:t>
      </w:r>
    </w:p>
    <w:p>
      <w:pPr>
        <w:pStyle w:val="7"/>
        <w:spacing w:before="0" w:beforeAutospacing="0" w:after="0" w:afterAutospacing="0" w:line="360" w:lineRule="auto"/>
        <w:ind w:firstLine="420"/>
        <w:rPr>
          <w:sz w:val="21"/>
          <w:szCs w:val="21"/>
        </w:rPr>
      </w:pPr>
      <w:r>
        <w:rPr>
          <w:rFonts w:hint="eastAsia"/>
          <w:sz w:val="21"/>
          <w:szCs w:val="21"/>
        </w:rPr>
        <w:t xml:space="preserve">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十四、基金的非交易过户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十五、基金的转托管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1" w:name="chapter_level1_10_59_section_5_end"/>
      <w:bookmarkEnd w:id="111"/>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2" w:name="chapter_level1_10_59_section_6"/>
      <w:bookmarkEnd w:id="112"/>
      <w:r>
        <w:rPr>
          <w:rStyle w:val="11"/>
          <w:rFonts w:hint="eastAsia"/>
          <w:sz w:val="21"/>
          <w:szCs w:val="21"/>
        </w:rPr>
        <w:t>十六、定期定额投资计划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本基金已于2021年1月22日起开始办理定期定额投资业务。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个人投资者、机构投资者、合格境外机构投资者和人民币合格境外机构投资者以及法律法规或中国证监会规定允许购买证券投资基金的其他投资者。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本基金定期定额投资的申购费率与普通申购业务的费率相同，见上文。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投资者须遵循各销售机构有关扣款日期的规定，定投金额A类基金份额每次不少于人民币10元（含10元），定投金额C类基金份额每次不少于人民币10元（含10元）。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3" w:name="chapter_level1_10_59_section_6_end"/>
      <w:bookmarkEnd w:id="113"/>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14" w:name="chapter_level1_10_59_section_7"/>
      <w:bookmarkEnd w:id="114"/>
      <w:r>
        <w:rPr>
          <w:rStyle w:val="11"/>
          <w:rFonts w:hint="eastAsia"/>
          <w:sz w:val="21"/>
          <w:szCs w:val="21"/>
        </w:rPr>
        <w:t>十七、基金份额的冻结和解冻与质押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pPr>
        <w:pStyle w:val="7"/>
        <w:spacing w:before="0" w:beforeAutospacing="0" w:after="0" w:afterAutospacing="0" w:line="360" w:lineRule="auto"/>
        <w:ind w:firstLine="420"/>
        <w:rPr>
          <w:sz w:val="21"/>
          <w:szCs w:val="21"/>
        </w:rPr>
      </w:pPr>
      <w:r>
        <w:rPr>
          <w:rFonts w:hint="eastAsia"/>
          <w:sz w:val="21"/>
          <w:szCs w:val="21"/>
        </w:rPr>
        <w:t xml:space="preserve">对基金份额持有人无实质不利影响的前提下，如相关法律法规允许，基金管理人履行相关程序后可办理基金份额的质押业务或其他基金业务，基金管理人将制定和实施相应的业务规则。 </w:t>
      </w:r>
    </w:p>
    <w:p>
      <w:pPr>
        <w:pStyle w:val="7"/>
        <w:spacing w:before="0" w:beforeAutospacing="0" w:after="0" w:afterAutospacing="0" w:line="360" w:lineRule="auto"/>
        <w:ind w:firstLine="420"/>
        <w:rPr>
          <w:sz w:val="21"/>
          <w:szCs w:val="21"/>
        </w:rPr>
      </w:pPr>
      <w:r>
        <w:rPr>
          <w:rStyle w:val="11"/>
          <w:rFonts w:hint="eastAsia"/>
          <w:sz w:val="21"/>
          <w:szCs w:val="21"/>
        </w:rPr>
        <w:t>十八、实施侧袋机制期间本基金的申购与赎回</w:t>
      </w:r>
    </w:p>
    <w:p>
      <w:pPr>
        <w:pStyle w:val="7"/>
        <w:spacing w:before="0" w:beforeAutospacing="0" w:after="0" w:afterAutospacing="0" w:line="360" w:lineRule="auto"/>
        <w:ind w:firstLine="420"/>
        <w:rPr>
          <w:sz w:val="21"/>
          <w:szCs w:val="21"/>
        </w:rPr>
      </w:pPr>
      <w:r>
        <w:rPr>
          <w:rFonts w:hint="eastAsia"/>
          <w:sz w:val="21"/>
          <w:szCs w:val="21"/>
        </w:rPr>
        <w:t>本基金实施侧袋机制的，本基金的申购和赎回安排详见本招募说明书“侧袋机制”章节</w:t>
      </w:r>
      <w:bookmarkStart w:id="115" w:name="chapter_level1_10_59_section_7_end"/>
      <w:bookmarkEnd w:id="115"/>
      <w:r>
        <w:rPr>
          <w:rFonts w:hint="eastAsia"/>
          <w:sz w:val="21"/>
          <w:szCs w:val="21"/>
        </w:rPr>
        <w:t xml:space="preserve">或相关公告。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6" w:name="_Toc113549573"/>
      <w:bookmarkStart w:id="117" w:name="chapter_level1_11_60"/>
      <w:r>
        <w:rPr>
          <w:rFonts w:hint="eastAsia" w:ascii="宋体" w:hAnsi="宋体" w:eastAsia="宋体"/>
          <w:sz w:val="30"/>
        </w:rPr>
        <w:t>第八部分  基金的投资</w:t>
      </w:r>
      <w:bookmarkEnd w:id="116"/>
      <w:bookmarkEnd w:id="117"/>
    </w:p>
    <w:p>
      <w:pPr>
        <w:pStyle w:val="7"/>
        <w:spacing w:before="0" w:beforeAutospacing="0" w:after="0" w:afterAutospacing="0" w:line="360" w:lineRule="auto"/>
        <w:ind w:firstLine="420"/>
        <w:rPr>
          <w:sz w:val="21"/>
          <w:szCs w:val="21"/>
        </w:rPr>
      </w:pPr>
      <w:bookmarkStart w:id="118" w:name="chapter_level1_11_60_section_1"/>
      <w:bookmarkEnd w:id="118"/>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19" w:name="field_60_investmenttarget_1_start"/>
      <w:bookmarkEnd w:id="119"/>
      <w:r>
        <w:rPr>
          <w:rFonts w:hint="eastAsia"/>
          <w:sz w:val="21"/>
          <w:szCs w:val="21"/>
        </w:rPr>
        <w:t xml:space="preserve">本基金通过精选消费创新主题的优质上市公司进行投资，在严格控制风险的前提下，力争获得超越业绩比较基准的投资回报。 </w:t>
      </w:r>
      <w:bookmarkStart w:id="120" w:name="field_60_investmenttarget_1_end"/>
      <w:bookmarkEnd w:id="12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21" w:name="field_60_investmentrange_1_start"/>
      <w:bookmarkEnd w:id="121"/>
      <w:r>
        <w:rPr>
          <w:rFonts w:hint="eastAsia"/>
          <w:sz w:val="21"/>
          <w:szCs w:val="21"/>
        </w:rPr>
        <w:t xml:space="preserve">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超短期融资券、可转换债券（含可分离交易可转换债券）、可交换债、次级债等）、资产支持证券、货币市场工具、银行存款、同业存单、债券回购、股指期货、股票期权、国债期货、信用衍生品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本基金可根据相关法律法规和基金合同的约定参与融资业务。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如法律法规或监管机构以后允许基金投资其他品种，基金管理人在履行适当程序后，本基金可以将其纳入投资范围。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本基金股票资产（含存托凭证）投资比例为基金资产的60%-95%，其中投资于“消费创新主题”相关证券资产的比例不低于非现金基金资产的80%。港股通标的股票的投资比例为股票资产的0%-50%。每个交易日日终，在扣除股指期货、国债期货、股票期权合约需缴纳的交易保证金以后，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bookmarkStart w:id="122" w:name="field_60_investmentrange_1_end"/>
      <w:bookmarkEnd w:id="12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23" w:name="field_60_investmentstrategy_1_start"/>
      <w:bookmarkEnd w:id="123"/>
      <w:r>
        <w:rPr>
          <w:rFonts w:hint="eastAsia"/>
          <w:sz w:val="21"/>
          <w:szCs w:val="21"/>
        </w:rPr>
        <w:t xml:space="preserve">（一）大类资产配置策略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跟踪考量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 </w:t>
      </w:r>
    </w:p>
    <w:p>
      <w:pPr>
        <w:pStyle w:val="7"/>
        <w:spacing w:before="0" w:beforeAutospacing="0" w:after="0" w:afterAutospacing="0" w:line="360" w:lineRule="auto"/>
        <w:ind w:firstLine="420"/>
        <w:rPr>
          <w:sz w:val="21"/>
          <w:szCs w:val="21"/>
        </w:rPr>
      </w:pPr>
      <w:r>
        <w:rPr>
          <w:rFonts w:hint="eastAsia"/>
          <w:sz w:val="21"/>
          <w:szCs w:val="21"/>
        </w:rPr>
        <w:t xml:space="preserve">（二）股票投资策略 </w:t>
      </w:r>
    </w:p>
    <w:p>
      <w:pPr>
        <w:pStyle w:val="7"/>
        <w:spacing w:before="0" w:beforeAutospacing="0" w:after="0" w:afterAutospacing="0" w:line="360" w:lineRule="auto"/>
        <w:ind w:firstLine="420"/>
        <w:rPr>
          <w:sz w:val="21"/>
          <w:szCs w:val="21"/>
        </w:rPr>
      </w:pPr>
      <w:r>
        <w:rPr>
          <w:rFonts w:hint="eastAsia"/>
          <w:sz w:val="21"/>
          <w:szCs w:val="21"/>
        </w:rPr>
        <w:t xml:space="preserve">1、消费创新主题投资策略 </w:t>
      </w:r>
    </w:p>
    <w:p>
      <w:pPr>
        <w:pStyle w:val="7"/>
        <w:spacing w:before="0" w:beforeAutospacing="0" w:after="0" w:afterAutospacing="0" w:line="360" w:lineRule="auto"/>
        <w:ind w:firstLine="420"/>
        <w:rPr>
          <w:sz w:val="21"/>
          <w:szCs w:val="21"/>
        </w:rPr>
      </w:pPr>
      <w:r>
        <w:rPr>
          <w:rFonts w:hint="eastAsia"/>
          <w:sz w:val="21"/>
          <w:szCs w:val="21"/>
        </w:rPr>
        <w:t xml:space="preserve">改革开放以来，伴随中国经济发展和结构转型，第三产业占GDP比重大幅提升到53.9%；消费也是拉动经济增长的主要引擎，最终消费支出对GDP增长贡献率达到60%。但相比美日等发达经济体，中国消费占GDP比重还有很大的提升空间。 </w:t>
      </w:r>
    </w:p>
    <w:p>
      <w:pPr>
        <w:pStyle w:val="7"/>
        <w:spacing w:before="0" w:beforeAutospacing="0" w:after="0" w:afterAutospacing="0" w:line="360" w:lineRule="auto"/>
        <w:ind w:firstLine="420"/>
        <w:rPr>
          <w:sz w:val="21"/>
          <w:szCs w:val="21"/>
        </w:rPr>
      </w:pPr>
      <w:r>
        <w:rPr>
          <w:rFonts w:hint="eastAsia"/>
          <w:sz w:val="21"/>
          <w:szCs w:val="21"/>
        </w:rPr>
        <w:t xml:space="preserve">随着科技的发展、经济水平的提升以及社会形态的变化，社会的消费偏好会不断发生变化，消费领域具有供给创造需求的特点，即使在发达社会如日本美国，不同阶段也会有不同的消费偏好并成就新公司。而在中国，由于互联网的普及和渠道重构，消费新模式层出不穷，消费创新不断涌现。 </w:t>
      </w:r>
    </w:p>
    <w:p>
      <w:pPr>
        <w:pStyle w:val="7"/>
        <w:spacing w:before="0" w:beforeAutospacing="0" w:after="0" w:afterAutospacing="0" w:line="360" w:lineRule="auto"/>
        <w:ind w:firstLine="420"/>
        <w:rPr>
          <w:sz w:val="21"/>
          <w:szCs w:val="21"/>
        </w:rPr>
      </w:pPr>
      <w:r>
        <w:rPr>
          <w:rFonts w:hint="eastAsia"/>
          <w:sz w:val="21"/>
          <w:szCs w:val="21"/>
        </w:rPr>
        <w:t xml:space="preserve">本基金所投资的行业和公司，将以消费创新为着眼点，涵盖事关老百姓衣、食、住、行、文、教、卫等消费领域的各方面，通过自下而上筛选，结合产业分析比较、上市公司战略规划及国际竞争力分析等方法，精选兼具估值优势和良好成长性的个股，作为重点进行投资。 </w:t>
      </w:r>
    </w:p>
    <w:p>
      <w:pPr>
        <w:pStyle w:val="7"/>
        <w:spacing w:before="0" w:beforeAutospacing="0" w:after="0" w:afterAutospacing="0" w:line="360" w:lineRule="auto"/>
        <w:ind w:firstLine="420"/>
        <w:rPr>
          <w:sz w:val="21"/>
          <w:szCs w:val="21"/>
        </w:rPr>
      </w:pPr>
      <w:r>
        <w:rPr>
          <w:rFonts w:hint="eastAsia"/>
          <w:sz w:val="21"/>
          <w:szCs w:val="21"/>
        </w:rPr>
        <w:t xml:space="preserve">本基金所指的消费创新企业主要包括： </w:t>
      </w:r>
    </w:p>
    <w:p>
      <w:pPr>
        <w:pStyle w:val="7"/>
        <w:spacing w:before="0" w:beforeAutospacing="0" w:after="0" w:afterAutospacing="0" w:line="360" w:lineRule="auto"/>
        <w:ind w:firstLine="420"/>
        <w:rPr>
          <w:sz w:val="21"/>
          <w:szCs w:val="21"/>
        </w:rPr>
      </w:pPr>
      <w:r>
        <w:rPr>
          <w:rFonts w:hint="eastAsia"/>
          <w:sz w:val="21"/>
          <w:szCs w:val="21"/>
        </w:rPr>
        <w:t xml:space="preserve">1）符合数字经济转型、信息消费属性的新兴互联网消费品公司； </w:t>
      </w:r>
    </w:p>
    <w:p>
      <w:pPr>
        <w:pStyle w:val="7"/>
        <w:spacing w:before="0" w:beforeAutospacing="0" w:after="0" w:afterAutospacing="0" w:line="360" w:lineRule="auto"/>
        <w:ind w:firstLine="420"/>
        <w:rPr>
          <w:sz w:val="21"/>
          <w:szCs w:val="21"/>
        </w:rPr>
      </w:pPr>
      <w:r>
        <w:rPr>
          <w:rFonts w:hint="eastAsia"/>
          <w:sz w:val="21"/>
          <w:szCs w:val="21"/>
        </w:rPr>
        <w:t xml:space="preserve">2) 在商业模式、产品、渠道、品牌建设方面有创新力的新兴消费品公司； </w:t>
      </w:r>
    </w:p>
    <w:p>
      <w:pPr>
        <w:pStyle w:val="7"/>
        <w:spacing w:before="0" w:beforeAutospacing="0" w:after="0" w:afterAutospacing="0" w:line="360" w:lineRule="auto"/>
        <w:ind w:firstLine="420"/>
        <w:rPr>
          <w:sz w:val="21"/>
          <w:szCs w:val="21"/>
        </w:rPr>
      </w:pPr>
      <w:r>
        <w:rPr>
          <w:rFonts w:hint="eastAsia"/>
          <w:sz w:val="21"/>
          <w:szCs w:val="21"/>
        </w:rPr>
        <w:t xml:space="preserve">3）积极顺应时代发展、进行创新升级转型的传统消费品公司； </w:t>
      </w:r>
    </w:p>
    <w:p>
      <w:pPr>
        <w:pStyle w:val="7"/>
        <w:spacing w:before="0" w:beforeAutospacing="0" w:after="0" w:afterAutospacing="0" w:line="360" w:lineRule="auto"/>
        <w:ind w:firstLine="420"/>
        <w:rPr>
          <w:sz w:val="21"/>
          <w:szCs w:val="21"/>
        </w:rPr>
      </w:pPr>
      <w:r>
        <w:rPr>
          <w:rFonts w:hint="eastAsia"/>
          <w:sz w:val="21"/>
          <w:szCs w:val="21"/>
        </w:rPr>
        <w:t xml:space="preserve">4）医疗健康行业中符合创新升级的大消费类公司； </w:t>
      </w:r>
    </w:p>
    <w:p>
      <w:pPr>
        <w:pStyle w:val="7"/>
        <w:spacing w:before="0" w:beforeAutospacing="0" w:after="0" w:afterAutospacing="0" w:line="360" w:lineRule="auto"/>
        <w:ind w:firstLine="420"/>
        <w:rPr>
          <w:sz w:val="21"/>
          <w:szCs w:val="21"/>
        </w:rPr>
      </w:pPr>
      <w:r>
        <w:rPr>
          <w:rFonts w:hint="eastAsia"/>
          <w:sz w:val="21"/>
          <w:szCs w:val="21"/>
        </w:rPr>
        <w:t xml:space="preserve">5）符合消费创新定位的其他公司。 </w:t>
      </w:r>
    </w:p>
    <w:p>
      <w:pPr>
        <w:pStyle w:val="7"/>
        <w:spacing w:before="0" w:beforeAutospacing="0" w:after="0" w:afterAutospacing="0" w:line="360" w:lineRule="auto"/>
        <w:ind w:firstLine="420"/>
        <w:rPr>
          <w:sz w:val="21"/>
          <w:szCs w:val="21"/>
        </w:rPr>
      </w:pPr>
      <w:r>
        <w:rPr>
          <w:rFonts w:hint="eastAsia"/>
          <w:sz w:val="21"/>
          <w:szCs w:val="21"/>
        </w:rPr>
        <w:t xml:space="preserve">未来如果基金管理人认为有更适当的消费创新主题划分标准，经履行适当程序后，基金管理人有权对消费创新主题的界定方法进行变更，并在招募说明书更新中公告。 </w:t>
      </w:r>
    </w:p>
    <w:p>
      <w:pPr>
        <w:pStyle w:val="7"/>
        <w:spacing w:before="0" w:beforeAutospacing="0" w:after="0" w:afterAutospacing="0" w:line="360" w:lineRule="auto"/>
        <w:ind w:firstLine="420"/>
        <w:rPr>
          <w:sz w:val="21"/>
          <w:szCs w:val="21"/>
        </w:rPr>
      </w:pPr>
      <w:r>
        <w:rPr>
          <w:rFonts w:hint="eastAsia"/>
          <w:sz w:val="21"/>
          <w:szCs w:val="21"/>
        </w:rPr>
        <w:t xml:space="preserve">2、个股选择策略 </w:t>
      </w:r>
    </w:p>
    <w:p>
      <w:pPr>
        <w:pStyle w:val="7"/>
        <w:spacing w:before="0" w:beforeAutospacing="0" w:after="0" w:afterAutospacing="0" w:line="360" w:lineRule="auto"/>
        <w:ind w:firstLine="420"/>
        <w:rPr>
          <w:sz w:val="21"/>
          <w:szCs w:val="21"/>
        </w:rPr>
      </w:pPr>
      <w:r>
        <w:rPr>
          <w:rFonts w:hint="eastAsia"/>
          <w:sz w:val="21"/>
          <w:szCs w:val="21"/>
        </w:rPr>
        <w:t xml:space="preserve">本基金将以价值投资理念为基础，结合定量、定性分析，考察和筛选具有综合性比较优势的个股，建立本基金的初选股票池。 </w:t>
      </w:r>
    </w:p>
    <w:p>
      <w:pPr>
        <w:pStyle w:val="7"/>
        <w:spacing w:before="0" w:beforeAutospacing="0" w:after="0" w:afterAutospacing="0" w:line="360" w:lineRule="auto"/>
        <w:ind w:firstLine="420"/>
        <w:rPr>
          <w:sz w:val="21"/>
          <w:szCs w:val="21"/>
        </w:rPr>
      </w:pPr>
      <w:r>
        <w:rPr>
          <w:rFonts w:hint="eastAsia"/>
          <w:sz w:val="21"/>
          <w:szCs w:val="21"/>
        </w:rPr>
        <w:t xml:space="preserve">（1）定性分析 </w:t>
      </w:r>
    </w:p>
    <w:p>
      <w:pPr>
        <w:pStyle w:val="7"/>
        <w:spacing w:before="0" w:beforeAutospacing="0" w:after="0" w:afterAutospacing="0" w:line="360" w:lineRule="auto"/>
        <w:ind w:firstLine="420"/>
        <w:rPr>
          <w:sz w:val="21"/>
          <w:szCs w:val="21"/>
        </w:rPr>
      </w:pPr>
      <w:r>
        <w:rPr>
          <w:rFonts w:hint="eastAsia"/>
          <w:sz w:val="21"/>
          <w:szCs w:val="21"/>
        </w:rPr>
        <w:t xml:space="preserve">在股票投资上，本基金将在符合经济发展规律、有政策驱动的、推动经济结构转型的新的增长点和产业中，以自下而上的个股选择为主，重点关注公司以及所属产业的成长性与商业模式。 </w:t>
      </w:r>
    </w:p>
    <w:p>
      <w:pPr>
        <w:pStyle w:val="7"/>
        <w:spacing w:before="0" w:beforeAutospacing="0" w:after="0" w:afterAutospacing="0" w:line="360" w:lineRule="auto"/>
        <w:ind w:firstLine="420"/>
        <w:rPr>
          <w:sz w:val="21"/>
          <w:szCs w:val="21"/>
        </w:rPr>
      </w:pPr>
      <w:r>
        <w:rPr>
          <w:rFonts w:hint="eastAsia"/>
          <w:sz w:val="21"/>
          <w:szCs w:val="21"/>
        </w:rPr>
        <w:t xml:space="preserve">1)   行业选择与配置 </w:t>
      </w:r>
    </w:p>
    <w:p>
      <w:pPr>
        <w:pStyle w:val="7"/>
        <w:spacing w:before="0" w:beforeAutospacing="0" w:after="0" w:afterAutospacing="0" w:line="360" w:lineRule="auto"/>
        <w:ind w:firstLine="420"/>
        <w:rPr>
          <w:sz w:val="21"/>
          <w:szCs w:val="21"/>
        </w:rPr>
      </w:pPr>
      <w:r>
        <w:rPr>
          <w:rFonts w:hint="eastAsia"/>
          <w:sz w:val="21"/>
          <w:szCs w:val="21"/>
        </w:rPr>
        <w:t xml:space="preserve">行业的选择与配置方面，重点关注三个问题：经济运行所处的周期、产业运行周期、行业成长空间。顺应经济结构转型的变化，寻找推动经济增长的新的驱动力，重点关注行业所处的成长周期，行业的增速以及未来的空间。 </w:t>
      </w:r>
    </w:p>
    <w:p>
      <w:pPr>
        <w:pStyle w:val="7"/>
        <w:spacing w:before="0" w:beforeAutospacing="0" w:after="0" w:afterAutospacing="0" w:line="360" w:lineRule="auto"/>
        <w:ind w:firstLine="420"/>
        <w:rPr>
          <w:sz w:val="21"/>
          <w:szCs w:val="21"/>
        </w:rPr>
      </w:pPr>
      <w:r>
        <w:rPr>
          <w:rFonts w:hint="eastAsia"/>
          <w:sz w:val="21"/>
          <w:szCs w:val="21"/>
        </w:rPr>
        <w:t xml:space="preserve">2)   竞争力分析 </w:t>
      </w:r>
    </w:p>
    <w:p>
      <w:pPr>
        <w:pStyle w:val="7"/>
        <w:spacing w:before="0" w:beforeAutospacing="0" w:after="0" w:afterAutospacing="0" w:line="360" w:lineRule="auto"/>
        <w:ind w:firstLine="420"/>
        <w:rPr>
          <w:sz w:val="21"/>
          <w:szCs w:val="21"/>
        </w:rPr>
      </w:pPr>
      <w:r>
        <w:rPr>
          <w:rFonts w:hint="eastAsia"/>
          <w:sz w:val="21"/>
          <w:szCs w:val="21"/>
        </w:rPr>
        <w:t xml:space="preserve">就公司竞争策略，基于行业分析的结果判断策略的有效性、策略的实施支持和策略的执行成果；就核心竞争力，分析公司的现有竞争优势，并判断公司能否利用现有的资源、能力和定位取得可持续竞争优势。本基金强调通过核心竞争力判断上市公司未来盈利增长的潜力。 </w:t>
      </w:r>
    </w:p>
    <w:p>
      <w:pPr>
        <w:pStyle w:val="7"/>
        <w:spacing w:before="0" w:beforeAutospacing="0" w:after="0" w:afterAutospacing="0" w:line="360" w:lineRule="auto"/>
        <w:ind w:firstLine="420"/>
        <w:rPr>
          <w:sz w:val="21"/>
          <w:szCs w:val="21"/>
        </w:rPr>
      </w:pPr>
      <w:r>
        <w:rPr>
          <w:rFonts w:hint="eastAsia"/>
          <w:sz w:val="21"/>
          <w:szCs w:val="21"/>
        </w:rPr>
        <w:t xml:space="preserve">3)   管理层分析 </w:t>
      </w:r>
    </w:p>
    <w:p>
      <w:pPr>
        <w:pStyle w:val="7"/>
        <w:spacing w:before="0" w:beforeAutospacing="0" w:after="0" w:afterAutospacing="0" w:line="360" w:lineRule="auto"/>
        <w:ind w:firstLine="420"/>
        <w:rPr>
          <w:sz w:val="21"/>
          <w:szCs w:val="21"/>
        </w:rPr>
      </w:pPr>
      <w:r>
        <w:rPr>
          <w:rFonts w:hint="eastAsia"/>
          <w:sz w:val="21"/>
          <w:szCs w:val="21"/>
        </w:rPr>
        <w:t xml:space="preserve">在国内监管体系落后、公司外部治理结构不完善的基础上，上市公司的命运对管理团队的稳定性及其能力的依赖度大大增加。由此，基金管理人在投资分析中尤其强调对管理层的经营纪录以及管理制度的考查。 </w:t>
      </w:r>
    </w:p>
    <w:p>
      <w:pPr>
        <w:pStyle w:val="7"/>
        <w:spacing w:before="0" w:beforeAutospacing="0" w:after="0" w:afterAutospacing="0" w:line="360" w:lineRule="auto"/>
        <w:ind w:firstLine="420"/>
        <w:rPr>
          <w:sz w:val="21"/>
          <w:szCs w:val="21"/>
        </w:rPr>
      </w:pPr>
      <w:r>
        <w:rPr>
          <w:rFonts w:hint="eastAsia"/>
          <w:sz w:val="21"/>
          <w:szCs w:val="21"/>
        </w:rPr>
        <w:t xml:space="preserve">（2）定量分析 </w:t>
      </w:r>
    </w:p>
    <w:p>
      <w:pPr>
        <w:pStyle w:val="7"/>
        <w:spacing w:before="0" w:beforeAutospacing="0" w:after="0" w:afterAutospacing="0" w:line="360" w:lineRule="auto"/>
        <w:ind w:firstLine="420"/>
        <w:rPr>
          <w:sz w:val="21"/>
          <w:szCs w:val="21"/>
        </w:rPr>
      </w:pPr>
      <w:r>
        <w:rPr>
          <w:rFonts w:hint="eastAsia"/>
          <w:sz w:val="21"/>
          <w:szCs w:val="21"/>
        </w:rPr>
        <w:t xml:space="preserve">由于本基金投资关注范围既涵盖新兴行业，也包括传统行业进行创新升级的公司，本基金将公司分为三类，并采用相应的定量分析方法，以识别具备潜在盈利弹性或持续成长能力的个股进行投资。 </w:t>
      </w:r>
    </w:p>
    <w:p>
      <w:pPr>
        <w:pStyle w:val="7"/>
        <w:spacing w:before="0" w:beforeAutospacing="0" w:after="0" w:afterAutospacing="0" w:line="360" w:lineRule="auto"/>
        <w:ind w:firstLine="420"/>
        <w:rPr>
          <w:sz w:val="21"/>
          <w:szCs w:val="21"/>
        </w:rPr>
      </w:pPr>
      <w:r>
        <w:rPr>
          <w:rFonts w:hint="eastAsia"/>
          <w:sz w:val="21"/>
          <w:szCs w:val="21"/>
        </w:rPr>
        <w:t xml:space="preserve">1）初期成长阶段：上市公司具备核心商业模式/技术/产品/管理等优势，但由于处于行业成长初期，企业利润尚未体现。对这类公司，我们需要选取如下指标进行定量分析，识别相应投资价值。 </w:t>
      </w:r>
    </w:p>
    <w:p>
      <w:pPr>
        <w:pStyle w:val="7"/>
        <w:spacing w:before="0" w:beforeAutospacing="0" w:after="0" w:afterAutospacing="0" w:line="360" w:lineRule="auto"/>
        <w:ind w:firstLine="420"/>
        <w:rPr>
          <w:sz w:val="21"/>
          <w:szCs w:val="21"/>
        </w:rPr>
      </w:pPr>
      <w:r>
        <w:rPr>
          <w:rFonts w:hint="eastAsia"/>
          <w:sz w:val="21"/>
          <w:szCs w:val="21"/>
        </w:rPr>
        <w:t xml:space="preserve">A. 成长性指标：行业增速和潜在市场空间，产业潜在空间/公司市值比，收入增长率，息税折旧前利润（EBITDA）增长率，经营性活动现金流入增长率，自由现金流增长率； </w:t>
      </w:r>
    </w:p>
    <w:p>
      <w:pPr>
        <w:pStyle w:val="7"/>
        <w:spacing w:before="0" w:beforeAutospacing="0" w:after="0" w:afterAutospacing="0" w:line="360" w:lineRule="auto"/>
        <w:ind w:firstLine="420"/>
        <w:rPr>
          <w:sz w:val="21"/>
          <w:szCs w:val="21"/>
        </w:rPr>
      </w:pPr>
      <w:r>
        <w:rPr>
          <w:rFonts w:hint="eastAsia"/>
          <w:sz w:val="21"/>
          <w:szCs w:val="21"/>
        </w:rPr>
        <w:t xml:space="preserve">B. 财务指标：毛利率、营业利润率、净资产收益率、投入资本回报率、经营性活动现金净流量、自由现金流净额、研发费用/收入比，息税折旧前利润/收入比， </w:t>
      </w:r>
    </w:p>
    <w:p>
      <w:pPr>
        <w:pStyle w:val="7"/>
        <w:spacing w:before="0" w:beforeAutospacing="0" w:after="0" w:afterAutospacing="0" w:line="360" w:lineRule="auto"/>
        <w:ind w:firstLine="420"/>
        <w:rPr>
          <w:sz w:val="21"/>
          <w:szCs w:val="21"/>
        </w:rPr>
      </w:pPr>
      <w:r>
        <w:rPr>
          <w:rFonts w:hint="eastAsia"/>
          <w:sz w:val="21"/>
          <w:szCs w:val="21"/>
        </w:rPr>
        <w:t xml:space="preserve">C. 估值指标：市销率（P/S），市净率（P/B）、市现率（P/CF）和总市值； </w:t>
      </w:r>
    </w:p>
    <w:p>
      <w:pPr>
        <w:pStyle w:val="7"/>
        <w:spacing w:before="0" w:beforeAutospacing="0" w:after="0" w:afterAutospacing="0" w:line="360" w:lineRule="auto"/>
        <w:ind w:firstLine="420"/>
        <w:rPr>
          <w:sz w:val="21"/>
          <w:szCs w:val="21"/>
        </w:rPr>
      </w:pPr>
      <w:r>
        <w:rPr>
          <w:rFonts w:hint="eastAsia"/>
          <w:sz w:val="21"/>
          <w:szCs w:val="21"/>
        </w:rPr>
        <w:t xml:space="preserve">2）稳定成长阶段：上市公司的产品已经形成稳定销售，行业竞争格局开始趋于稳定，企业利润开始逐步体现。对这类公司，我们需要选取如下指标进行定量分析，判断公司合理价值。 </w:t>
      </w:r>
    </w:p>
    <w:p>
      <w:pPr>
        <w:pStyle w:val="7"/>
        <w:spacing w:before="0" w:beforeAutospacing="0" w:after="0" w:afterAutospacing="0" w:line="360" w:lineRule="auto"/>
        <w:ind w:firstLine="420"/>
        <w:rPr>
          <w:sz w:val="21"/>
          <w:szCs w:val="21"/>
        </w:rPr>
      </w:pPr>
      <w:r>
        <w:rPr>
          <w:rFonts w:hint="eastAsia"/>
          <w:sz w:val="21"/>
          <w:szCs w:val="21"/>
        </w:rPr>
        <w:t xml:space="preserve">A. 成长性指标：营业利润增长率、净利润增长率、收入增长率、经营性活动现金流入增长率； </w:t>
      </w:r>
    </w:p>
    <w:p>
      <w:pPr>
        <w:pStyle w:val="7"/>
        <w:spacing w:before="0" w:beforeAutospacing="0" w:after="0" w:afterAutospacing="0" w:line="360" w:lineRule="auto"/>
        <w:ind w:firstLine="420"/>
        <w:rPr>
          <w:sz w:val="21"/>
          <w:szCs w:val="21"/>
        </w:rPr>
      </w:pPr>
      <w:r>
        <w:rPr>
          <w:rFonts w:hint="eastAsia"/>
          <w:sz w:val="21"/>
          <w:szCs w:val="21"/>
        </w:rPr>
        <w:t xml:space="preserve">B. 财务指标：毛利率、营业利润率、净资产收益率、净利率、经营性活动现金净流入/利润总额等； </w:t>
      </w:r>
    </w:p>
    <w:p>
      <w:pPr>
        <w:pStyle w:val="7"/>
        <w:spacing w:before="0" w:beforeAutospacing="0" w:after="0" w:afterAutospacing="0" w:line="360" w:lineRule="auto"/>
        <w:ind w:firstLine="420"/>
        <w:rPr>
          <w:sz w:val="21"/>
          <w:szCs w:val="21"/>
        </w:rPr>
      </w:pPr>
      <w:r>
        <w:rPr>
          <w:rFonts w:hint="eastAsia"/>
          <w:sz w:val="21"/>
          <w:szCs w:val="21"/>
        </w:rPr>
        <w:t xml:space="preserve">C. 估值指标： 市盈率（P/E）、市盈率相对盈利增长比率（PEG）、市净率（P/B）、市销率（PS）和总市值； </w:t>
      </w:r>
    </w:p>
    <w:p>
      <w:pPr>
        <w:pStyle w:val="7"/>
        <w:spacing w:before="0" w:beforeAutospacing="0" w:after="0" w:afterAutospacing="0" w:line="360" w:lineRule="auto"/>
        <w:ind w:firstLine="420"/>
        <w:rPr>
          <w:sz w:val="21"/>
          <w:szCs w:val="21"/>
        </w:rPr>
      </w:pPr>
      <w:r>
        <w:rPr>
          <w:rFonts w:hint="eastAsia"/>
          <w:sz w:val="21"/>
          <w:szCs w:val="21"/>
        </w:rPr>
        <w:t xml:space="preserve">3）成熟阶段：上市公司所处行业为成熟行业，但上市公司仍能通过份额扩张、产品创新或管理挖潜等优势实现超越行业的增速。对这类公司，我们重点关注如下指标进行定量分析，判断公司合理价值。 </w:t>
      </w:r>
    </w:p>
    <w:p>
      <w:pPr>
        <w:pStyle w:val="7"/>
        <w:spacing w:before="0" w:beforeAutospacing="0" w:after="0" w:afterAutospacing="0" w:line="360" w:lineRule="auto"/>
        <w:ind w:firstLine="420"/>
        <w:rPr>
          <w:sz w:val="21"/>
          <w:szCs w:val="21"/>
        </w:rPr>
      </w:pPr>
      <w:r>
        <w:rPr>
          <w:rFonts w:hint="eastAsia"/>
          <w:sz w:val="21"/>
          <w:szCs w:val="21"/>
        </w:rPr>
        <w:t xml:space="preserve">A. 成长性指标：营业利润增长率、净利润增长率、收入增长率、经营性活动现金流入增长率； </w:t>
      </w:r>
    </w:p>
    <w:p>
      <w:pPr>
        <w:pStyle w:val="7"/>
        <w:spacing w:before="0" w:beforeAutospacing="0" w:after="0" w:afterAutospacing="0" w:line="360" w:lineRule="auto"/>
        <w:ind w:firstLine="420"/>
        <w:rPr>
          <w:sz w:val="21"/>
          <w:szCs w:val="21"/>
        </w:rPr>
      </w:pPr>
      <w:r>
        <w:rPr>
          <w:rFonts w:hint="eastAsia"/>
          <w:sz w:val="21"/>
          <w:szCs w:val="21"/>
        </w:rPr>
        <w:t xml:space="preserve">B. 财务指标：成本、毛利率、管理费用率、销售费用率、营业利润率、净资产收益率、净利率、经营性活动现金净流入/利润总额等； </w:t>
      </w:r>
    </w:p>
    <w:p>
      <w:pPr>
        <w:pStyle w:val="7"/>
        <w:spacing w:before="0" w:beforeAutospacing="0" w:after="0" w:afterAutospacing="0" w:line="360" w:lineRule="auto"/>
        <w:ind w:firstLine="420"/>
        <w:rPr>
          <w:sz w:val="21"/>
          <w:szCs w:val="21"/>
        </w:rPr>
      </w:pPr>
      <w:r>
        <w:rPr>
          <w:rFonts w:hint="eastAsia"/>
          <w:sz w:val="21"/>
          <w:szCs w:val="21"/>
        </w:rPr>
        <w:t xml:space="preserve">C. 估值指标： 市盈率（P/E）、市盈率相对盈利增长比率（PEG）、市净率（P/B）、市销率（PS）和总市值。 </w:t>
      </w:r>
    </w:p>
    <w:p>
      <w:pPr>
        <w:pStyle w:val="7"/>
        <w:spacing w:before="0" w:beforeAutospacing="0" w:after="0" w:afterAutospacing="0" w:line="360" w:lineRule="auto"/>
        <w:ind w:firstLine="420"/>
        <w:rPr>
          <w:sz w:val="21"/>
          <w:szCs w:val="21"/>
        </w:rPr>
      </w:pPr>
      <w:r>
        <w:rPr>
          <w:rFonts w:hint="eastAsia"/>
          <w:sz w:val="21"/>
          <w:szCs w:val="21"/>
        </w:rPr>
        <w:t xml:space="preserve">（3）组合股票的投资吸引力评估分析 </w:t>
      </w:r>
    </w:p>
    <w:p>
      <w:pPr>
        <w:pStyle w:val="7"/>
        <w:spacing w:before="0" w:beforeAutospacing="0" w:after="0" w:afterAutospacing="0" w:line="360" w:lineRule="auto"/>
        <w:ind w:firstLine="420"/>
        <w:rPr>
          <w:sz w:val="21"/>
          <w:szCs w:val="21"/>
        </w:rPr>
      </w:pPr>
      <w:r>
        <w:rPr>
          <w:rFonts w:hint="eastAsia"/>
          <w:sz w:val="21"/>
          <w:szCs w:val="21"/>
        </w:rPr>
        <w:t xml:space="preserve">本基金紧密对组合中股票进行动态评估，使用相对价值评估方法，形成最终股票组合进行投资。相对估值主要包括两个方面： </w:t>
      </w:r>
    </w:p>
    <w:p>
      <w:pPr>
        <w:pStyle w:val="7"/>
        <w:spacing w:before="0" w:beforeAutospacing="0" w:after="0" w:afterAutospacing="0" w:line="360" w:lineRule="auto"/>
        <w:ind w:firstLine="420"/>
        <w:rPr>
          <w:sz w:val="21"/>
          <w:szCs w:val="21"/>
        </w:rPr>
      </w:pPr>
      <w:r>
        <w:rPr>
          <w:rFonts w:hint="eastAsia"/>
          <w:sz w:val="21"/>
          <w:szCs w:val="21"/>
        </w:rPr>
        <w:t xml:space="preserve">1）纵向对比：采用专业估值模型，合理使用市盈率、市净率和市销率指标，评估并确定新经济类公司上市前历次融资中的估值走廊，确定二级市场公司估值中枢。 </w:t>
      </w:r>
    </w:p>
    <w:p>
      <w:pPr>
        <w:pStyle w:val="7"/>
        <w:spacing w:before="0" w:beforeAutospacing="0" w:after="0" w:afterAutospacing="0" w:line="360" w:lineRule="auto"/>
        <w:ind w:firstLine="420"/>
        <w:rPr>
          <w:sz w:val="21"/>
          <w:szCs w:val="21"/>
        </w:rPr>
      </w:pPr>
      <w:r>
        <w:rPr>
          <w:rFonts w:hint="eastAsia"/>
          <w:sz w:val="21"/>
          <w:szCs w:val="21"/>
        </w:rPr>
        <w:t xml:space="preserve">2）横向对比：运用国际化视野，合理使用上述估值指标，评估并比较关注标的相对沪深市场/海外市场中类似业务公司的估值指标，选择其中价值被低估的公司。 </w:t>
      </w:r>
    </w:p>
    <w:p>
      <w:pPr>
        <w:pStyle w:val="7"/>
        <w:spacing w:before="0" w:beforeAutospacing="0" w:after="0" w:afterAutospacing="0" w:line="360" w:lineRule="auto"/>
        <w:ind w:firstLine="420"/>
        <w:rPr>
          <w:sz w:val="21"/>
          <w:szCs w:val="21"/>
        </w:rPr>
      </w:pPr>
      <w:r>
        <w:rPr>
          <w:rFonts w:hint="eastAsia"/>
          <w:sz w:val="21"/>
          <w:szCs w:val="21"/>
        </w:rPr>
        <w:t xml:space="preserve">本基金采用包括自由现金流贴现模型、股息贴现模型、市盈率法、市净率法、PEG、EV/EBITDA、P/S、产业潜在空间/公司市值比等估值方法，选择最具投资价值的股票构建投资组合。 </w:t>
      </w:r>
    </w:p>
    <w:p>
      <w:pPr>
        <w:pStyle w:val="7"/>
        <w:spacing w:before="0" w:beforeAutospacing="0" w:after="0" w:afterAutospacing="0" w:line="360" w:lineRule="auto"/>
        <w:ind w:firstLine="420"/>
        <w:rPr>
          <w:sz w:val="21"/>
          <w:szCs w:val="21"/>
        </w:rPr>
      </w:pPr>
      <w:r>
        <w:rPr>
          <w:rFonts w:hint="eastAsia"/>
          <w:sz w:val="21"/>
          <w:szCs w:val="21"/>
        </w:rPr>
        <w:t xml:space="preserve">（4）投资组合构建与优化 </w:t>
      </w:r>
    </w:p>
    <w:p>
      <w:pPr>
        <w:pStyle w:val="7"/>
        <w:spacing w:before="0" w:beforeAutospacing="0" w:after="0" w:afterAutospacing="0" w:line="360" w:lineRule="auto"/>
        <w:ind w:firstLine="420"/>
        <w:rPr>
          <w:sz w:val="21"/>
          <w:szCs w:val="21"/>
        </w:rPr>
      </w:pPr>
      <w:r>
        <w:rPr>
          <w:rFonts w:hint="eastAsia"/>
          <w:sz w:val="21"/>
          <w:szCs w:val="21"/>
        </w:rPr>
        <w:t xml:space="preserve">分别按照初期成长/稳定成长/成熟阶段的标准划分，定期动态评估基金组合中单个证券的预期收益及风险特性，对组合持仓进行动态优化，在合理风险水平下追求基金收益最大化。同时监控组合中证券的估值水平和企业社会责任履行情况，在市场价格明显高于其内在合理价值、或者公司治理/企业社会责任出现重大风险时卖出证券。 </w:t>
      </w:r>
    </w:p>
    <w:p>
      <w:pPr>
        <w:pStyle w:val="7"/>
        <w:spacing w:before="0" w:beforeAutospacing="0" w:after="0" w:afterAutospacing="0" w:line="360" w:lineRule="auto"/>
        <w:ind w:firstLine="420"/>
        <w:rPr>
          <w:sz w:val="21"/>
          <w:szCs w:val="21"/>
        </w:rPr>
      </w:pPr>
      <w:r>
        <w:rPr>
          <w:rFonts w:hint="eastAsia"/>
          <w:sz w:val="21"/>
          <w:szCs w:val="21"/>
        </w:rPr>
        <w:t xml:space="preserve">3、港股通标的股票投资策略 </w:t>
      </w:r>
    </w:p>
    <w:p>
      <w:pPr>
        <w:pStyle w:val="7"/>
        <w:spacing w:before="0" w:beforeAutospacing="0" w:after="0" w:afterAutospacing="0" w:line="360" w:lineRule="auto"/>
        <w:ind w:firstLine="420"/>
        <w:rPr>
          <w:sz w:val="21"/>
          <w:szCs w:val="21"/>
        </w:rPr>
      </w:pPr>
      <w:r>
        <w:rPr>
          <w:rFonts w:hint="eastAsia"/>
          <w:sz w:val="21"/>
          <w:szCs w:val="21"/>
        </w:rPr>
        <w:t xml:space="preserve">本基金基金资产通过港股通投资于港股，将重点关注以下几类港股通股票： </w:t>
      </w:r>
    </w:p>
    <w:p>
      <w:pPr>
        <w:pStyle w:val="7"/>
        <w:spacing w:before="0" w:beforeAutospacing="0" w:after="0" w:afterAutospacing="0" w:line="360" w:lineRule="auto"/>
        <w:ind w:firstLine="420"/>
        <w:rPr>
          <w:sz w:val="21"/>
          <w:szCs w:val="21"/>
        </w:rPr>
      </w:pPr>
      <w:r>
        <w:rPr>
          <w:rFonts w:hint="eastAsia"/>
          <w:sz w:val="21"/>
          <w:szCs w:val="21"/>
        </w:rPr>
        <w:t xml:space="preserve">1）在港股市场上市，行业中居于龙头地位，在技术或产品、市场竞争力强的代表性中资企业； </w:t>
      </w:r>
    </w:p>
    <w:p>
      <w:pPr>
        <w:pStyle w:val="7"/>
        <w:spacing w:before="0" w:beforeAutospacing="0" w:after="0" w:afterAutospacing="0" w:line="360" w:lineRule="auto"/>
        <w:ind w:firstLine="420"/>
        <w:rPr>
          <w:sz w:val="21"/>
          <w:szCs w:val="21"/>
        </w:rPr>
      </w:pPr>
      <w:r>
        <w:rPr>
          <w:rFonts w:hint="eastAsia"/>
          <w:sz w:val="21"/>
          <w:szCs w:val="21"/>
        </w:rPr>
        <w:t xml:space="preserve">2）所处行业为国家鼓励的新兴行业、公司掌握核心技术优势、在我国境内有业务布局的香港本地和外资公司； </w:t>
      </w:r>
    </w:p>
    <w:p>
      <w:pPr>
        <w:pStyle w:val="7"/>
        <w:spacing w:before="0" w:beforeAutospacing="0" w:after="0" w:afterAutospacing="0" w:line="360" w:lineRule="auto"/>
        <w:ind w:firstLine="420"/>
        <w:rPr>
          <w:sz w:val="21"/>
          <w:szCs w:val="21"/>
        </w:rPr>
      </w:pPr>
      <w:r>
        <w:rPr>
          <w:rFonts w:hint="eastAsia"/>
          <w:sz w:val="21"/>
          <w:szCs w:val="21"/>
        </w:rPr>
        <w:t xml:space="preserve">3）港股市场在行业竞争结构、估值、AH股折溢价、股息率等方面具有吸引力的投资标的。 </w:t>
      </w:r>
    </w:p>
    <w:p>
      <w:pPr>
        <w:pStyle w:val="7"/>
        <w:spacing w:before="0" w:beforeAutospacing="0" w:after="0" w:afterAutospacing="0" w:line="360" w:lineRule="auto"/>
        <w:ind w:firstLine="420"/>
        <w:rPr>
          <w:sz w:val="21"/>
          <w:szCs w:val="21"/>
        </w:rPr>
      </w:pPr>
      <w:r>
        <w:rPr>
          <w:rFonts w:hint="eastAsia"/>
          <w:sz w:val="21"/>
          <w:szCs w:val="21"/>
        </w:rPr>
        <w:t xml:space="preserve">4、存托凭证投资策略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（三）债券投资策略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本基金采用的债券投资策略包括：期限结构策略、信用策略、互换策略、息差策略、可转换债券投资策略等。 </w:t>
      </w:r>
    </w:p>
    <w:p>
      <w:pPr>
        <w:pStyle w:val="7"/>
        <w:spacing w:before="0" w:beforeAutospacing="0" w:after="0" w:afterAutospacing="0" w:line="360" w:lineRule="auto"/>
        <w:ind w:firstLine="420"/>
        <w:rPr>
          <w:sz w:val="21"/>
          <w:szCs w:val="21"/>
        </w:rPr>
      </w:pPr>
      <w:r>
        <w:rPr>
          <w:rFonts w:hint="eastAsia"/>
          <w:sz w:val="21"/>
          <w:szCs w:val="21"/>
        </w:rPr>
        <w:t xml:space="preserve">1、期限结构策略 </w:t>
      </w:r>
    </w:p>
    <w:p>
      <w:pPr>
        <w:pStyle w:val="7"/>
        <w:spacing w:before="0" w:beforeAutospacing="0" w:after="0" w:afterAutospacing="0" w:line="360" w:lineRule="auto"/>
        <w:ind w:firstLine="420"/>
        <w:rPr>
          <w:sz w:val="21"/>
          <w:szCs w:val="21"/>
        </w:rPr>
      </w:pPr>
      <w:r>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pPr>
        <w:pStyle w:val="7"/>
        <w:spacing w:before="0" w:beforeAutospacing="0" w:after="0" w:afterAutospacing="0" w:line="360" w:lineRule="auto"/>
        <w:ind w:firstLine="420"/>
        <w:rPr>
          <w:sz w:val="21"/>
          <w:szCs w:val="21"/>
        </w:rPr>
      </w:pPr>
      <w:r>
        <w:rPr>
          <w:rFonts w:hint="eastAsia"/>
          <w:sz w:val="21"/>
          <w:szCs w:val="21"/>
        </w:rPr>
        <w:t xml:space="preserve">2、信用策略 </w:t>
      </w:r>
    </w:p>
    <w:p>
      <w:pPr>
        <w:pStyle w:val="7"/>
        <w:spacing w:before="0" w:beforeAutospacing="0" w:after="0" w:afterAutospacing="0" w:line="360" w:lineRule="auto"/>
        <w:ind w:firstLine="420"/>
        <w:rPr>
          <w:sz w:val="21"/>
          <w:szCs w:val="21"/>
        </w:rPr>
      </w:pPr>
      <w:r>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pPr>
        <w:pStyle w:val="7"/>
        <w:spacing w:before="0" w:beforeAutospacing="0" w:after="0" w:afterAutospacing="0" w:line="360" w:lineRule="auto"/>
        <w:ind w:firstLine="420"/>
        <w:rPr>
          <w:sz w:val="21"/>
          <w:szCs w:val="21"/>
        </w:rPr>
      </w:pPr>
      <w:r>
        <w:rPr>
          <w:rFonts w:hint="eastAsia"/>
          <w:sz w:val="21"/>
          <w:szCs w:val="21"/>
        </w:rPr>
        <w:t xml:space="preserve">3、互换策略 </w:t>
      </w:r>
    </w:p>
    <w:p>
      <w:pPr>
        <w:pStyle w:val="7"/>
        <w:spacing w:before="0" w:beforeAutospacing="0" w:after="0" w:afterAutospacing="0" w:line="360" w:lineRule="auto"/>
        <w:ind w:firstLine="420"/>
        <w:rPr>
          <w:sz w:val="21"/>
          <w:szCs w:val="21"/>
        </w:rPr>
      </w:pPr>
      <w:r>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pPr>
        <w:pStyle w:val="7"/>
        <w:spacing w:before="0" w:beforeAutospacing="0" w:after="0" w:afterAutospacing="0" w:line="360" w:lineRule="auto"/>
        <w:ind w:firstLine="420"/>
        <w:rPr>
          <w:sz w:val="21"/>
          <w:szCs w:val="21"/>
        </w:rPr>
      </w:pPr>
      <w:r>
        <w:rPr>
          <w:rFonts w:hint="eastAsia"/>
          <w:sz w:val="21"/>
          <w:szCs w:val="21"/>
        </w:rPr>
        <w:t xml:space="preserve">4、息差策略 </w:t>
      </w:r>
    </w:p>
    <w:p>
      <w:pPr>
        <w:pStyle w:val="7"/>
        <w:spacing w:before="0" w:beforeAutospacing="0" w:after="0" w:afterAutospacing="0" w:line="360" w:lineRule="auto"/>
        <w:ind w:firstLine="420"/>
        <w:rPr>
          <w:sz w:val="21"/>
          <w:szCs w:val="21"/>
        </w:rPr>
      </w:pPr>
      <w:r>
        <w:rPr>
          <w:rFonts w:hint="eastAsia"/>
          <w:sz w:val="21"/>
          <w:szCs w:val="21"/>
        </w:rPr>
        <w:t xml:space="preserve">通过正回购，融资买入收益率高于回购成本的债券，从而获得杠杆放大收益。 </w:t>
      </w:r>
    </w:p>
    <w:p>
      <w:pPr>
        <w:pStyle w:val="7"/>
        <w:spacing w:before="0" w:beforeAutospacing="0" w:after="0" w:afterAutospacing="0" w:line="360" w:lineRule="auto"/>
        <w:ind w:firstLine="420"/>
        <w:rPr>
          <w:sz w:val="21"/>
          <w:szCs w:val="21"/>
        </w:rPr>
      </w:pPr>
      <w:r>
        <w:rPr>
          <w:rFonts w:hint="eastAsia"/>
          <w:sz w:val="21"/>
          <w:szCs w:val="21"/>
        </w:rPr>
        <w:t xml:space="preserve">5、可转换债券投资策略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pPr>
        <w:pStyle w:val="7"/>
        <w:spacing w:before="0" w:beforeAutospacing="0" w:after="0" w:afterAutospacing="0" w:line="360" w:lineRule="auto"/>
        <w:ind w:firstLine="420"/>
        <w:rPr>
          <w:sz w:val="21"/>
          <w:szCs w:val="21"/>
        </w:rPr>
      </w:pPr>
      <w:r>
        <w:rPr>
          <w:rFonts w:hint="eastAsia"/>
          <w:sz w:val="21"/>
          <w:szCs w:val="21"/>
        </w:rPr>
        <w:t xml:space="preserve">（四）衍生品投资策略 </w:t>
      </w:r>
    </w:p>
    <w:p>
      <w:pPr>
        <w:pStyle w:val="7"/>
        <w:spacing w:before="0" w:beforeAutospacing="0" w:after="0" w:afterAutospacing="0" w:line="360" w:lineRule="auto"/>
        <w:ind w:firstLine="420"/>
        <w:rPr>
          <w:sz w:val="21"/>
          <w:szCs w:val="21"/>
        </w:rPr>
      </w:pPr>
      <w:r>
        <w:rPr>
          <w:rFonts w:hint="eastAsia"/>
          <w:sz w:val="21"/>
          <w:szCs w:val="21"/>
        </w:rPr>
        <w:t xml:space="preserve">1、股指期货、国债期货投资策略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2、股票期权投资策略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本基金将按照风险管理的原则，以套期保值为主要目的参与股票期权交易。本基金将结合投资目标、比例限制、风险收益特征以及法律法规的相关限定和要求，确定参与股票期权交易的投资时机和投资比例。 </w:t>
      </w:r>
    </w:p>
    <w:p>
      <w:pPr>
        <w:pStyle w:val="7"/>
        <w:spacing w:before="0" w:beforeAutospacing="0" w:after="0" w:afterAutospacing="0" w:line="360" w:lineRule="auto"/>
        <w:ind w:firstLine="420"/>
        <w:rPr>
          <w:sz w:val="21"/>
          <w:szCs w:val="21"/>
        </w:rPr>
      </w:pPr>
      <w:r>
        <w:rPr>
          <w:rFonts w:hint="eastAsia"/>
          <w:sz w:val="21"/>
          <w:szCs w:val="21"/>
        </w:rPr>
        <w:t xml:space="preserve">本基金投资股票期权，基金管理人将根据审慎原则，建立股票期权交易决策部门或小组，授权特定的管理人员负责股票期权的投资审批事项，以防范股票期权投资的风险。 </w:t>
      </w:r>
    </w:p>
    <w:p>
      <w:pPr>
        <w:pStyle w:val="7"/>
        <w:spacing w:before="0" w:beforeAutospacing="0" w:after="0" w:afterAutospacing="0" w:line="360" w:lineRule="auto"/>
        <w:ind w:firstLine="420"/>
        <w:rPr>
          <w:sz w:val="21"/>
          <w:szCs w:val="21"/>
        </w:rPr>
      </w:pPr>
      <w:r>
        <w:rPr>
          <w:rFonts w:hint="eastAsia"/>
          <w:sz w:val="21"/>
          <w:szCs w:val="21"/>
        </w:rPr>
        <w:t xml:space="preserve">3、购买信用衍生品规避个券信用风险策略 </w:t>
      </w:r>
    </w:p>
    <w:p>
      <w:pPr>
        <w:pStyle w:val="7"/>
        <w:spacing w:before="0" w:beforeAutospacing="0" w:after="0" w:afterAutospacing="0" w:line="360" w:lineRule="auto"/>
        <w:ind w:firstLine="420"/>
        <w:rPr>
          <w:sz w:val="21"/>
          <w:szCs w:val="21"/>
        </w:rPr>
      </w:pPr>
      <w:r>
        <w:rPr>
          <w:rFonts w:hint="eastAsia"/>
          <w:sz w:val="21"/>
          <w:szCs w:val="21"/>
        </w:rPr>
        <w:t xml:space="preserve">依托于公司整体的信用研究团队，当预期某只债券有较高的违约风险时，可以购买对应债券的信用衍生品来控制标的债券的信用风险冲击。 </w:t>
      </w:r>
    </w:p>
    <w:p>
      <w:pPr>
        <w:pStyle w:val="7"/>
        <w:spacing w:before="0" w:beforeAutospacing="0" w:after="0" w:afterAutospacing="0" w:line="360" w:lineRule="auto"/>
        <w:ind w:firstLine="420"/>
        <w:rPr>
          <w:sz w:val="21"/>
          <w:szCs w:val="21"/>
        </w:rPr>
      </w:pPr>
      <w:r>
        <w:rPr>
          <w:rFonts w:hint="eastAsia"/>
          <w:sz w:val="21"/>
          <w:szCs w:val="21"/>
        </w:rPr>
        <w:t xml:space="preserve">本基金按风险管理的原则，以风险对冲为目的参与信用衍生品交易，同时会根据实际情况尽量保持信用衍生品的名义本金与对应标的债券的面值相一致。 </w:t>
      </w:r>
    </w:p>
    <w:p>
      <w:pPr>
        <w:pStyle w:val="7"/>
        <w:spacing w:before="0" w:beforeAutospacing="0" w:after="0" w:afterAutospacing="0" w:line="360" w:lineRule="auto"/>
        <w:ind w:firstLine="420"/>
        <w:rPr>
          <w:sz w:val="21"/>
          <w:szCs w:val="21"/>
        </w:rPr>
      </w:pPr>
      <w:r>
        <w:rPr>
          <w:rFonts w:hint="eastAsia"/>
          <w:sz w:val="21"/>
          <w:szCs w:val="21"/>
        </w:rPr>
        <w:t xml:space="preserve">（五）资产支持证券投资策略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pPr>
        <w:pStyle w:val="7"/>
        <w:spacing w:before="0" w:beforeAutospacing="0" w:after="0" w:afterAutospacing="0" w:line="360" w:lineRule="auto"/>
        <w:ind w:firstLine="420"/>
        <w:rPr>
          <w:sz w:val="21"/>
          <w:szCs w:val="21"/>
        </w:rPr>
      </w:pPr>
      <w:r>
        <w:rPr>
          <w:rFonts w:hint="eastAsia"/>
          <w:sz w:val="21"/>
          <w:szCs w:val="21"/>
        </w:rPr>
        <w:t xml:space="preserve">（六）流通受限证券投资策略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本基金将根据基金管理人的净资本规模，以及本基金的投资风格和流动性特点，兼顾基金投资的安全性、流动性和收益性，合理控制基金投资流通受限证券的比例。 </w:t>
      </w:r>
    </w:p>
    <w:p>
      <w:pPr>
        <w:pStyle w:val="7"/>
        <w:spacing w:before="0" w:beforeAutospacing="0" w:after="0" w:afterAutospacing="0" w:line="360" w:lineRule="auto"/>
        <w:ind w:firstLine="420"/>
        <w:rPr>
          <w:sz w:val="21"/>
          <w:szCs w:val="21"/>
        </w:rPr>
      </w:pPr>
      <w:r>
        <w:rPr>
          <w:rFonts w:hint="eastAsia"/>
          <w:sz w:val="21"/>
          <w:szCs w:val="21"/>
        </w:rPr>
        <w:t xml:space="preserve">（七）参与融资业务的投资策略 </w:t>
      </w:r>
    </w:p>
    <w:p>
      <w:pPr>
        <w:pStyle w:val="7"/>
        <w:spacing w:before="0" w:beforeAutospacing="0" w:after="0" w:afterAutospacing="0" w:line="360" w:lineRule="auto"/>
        <w:ind w:firstLine="420"/>
        <w:rPr>
          <w:sz w:val="21"/>
          <w:szCs w:val="21"/>
        </w:rPr>
      </w:pPr>
      <w:r>
        <w:rPr>
          <w:rFonts w:hint="eastAsia"/>
          <w:sz w:val="21"/>
          <w:szCs w:val="21"/>
        </w:rPr>
        <w:t xml:space="preserve">为了更好地实现投资目标，在综合考虑预期风险、收益、流动性等因素的基础上，本基金可参与融资业务。 </w:t>
      </w:r>
    </w:p>
    <w:p>
      <w:pPr>
        <w:pStyle w:val="7"/>
        <w:spacing w:before="0" w:beforeAutospacing="0" w:after="0" w:afterAutospacing="0" w:line="360" w:lineRule="auto"/>
        <w:ind w:firstLine="420"/>
        <w:rPr>
          <w:sz w:val="21"/>
          <w:szCs w:val="21"/>
        </w:rPr>
      </w:pPr>
      <w:r>
        <w:rPr>
          <w:rFonts w:hint="eastAsia"/>
          <w:sz w:val="21"/>
          <w:szCs w:val="21"/>
        </w:rPr>
        <w:t>今后，随着证券市场的发展、金融工具的丰富和交易方式的创新等，基金还将积极寻求其他投资机会，如法律法规或监管机构以后允许基金投资其他品种，本基金将在履行适当程</w:t>
      </w:r>
      <w:bookmarkStart w:id="124" w:name="chapter_level1_11_60_section_1_end"/>
      <w:bookmarkEnd w:id="124"/>
      <w:r>
        <w:rPr>
          <w:rFonts w:hint="eastAsia"/>
          <w:sz w:val="21"/>
          <w:szCs w:val="21"/>
        </w:rPr>
        <w:t xml:space="preserve">序后，将其纳入投资范围以丰富组合投资策略。 </w:t>
      </w:r>
      <w:bookmarkStart w:id="125" w:name="field_60_investmentstrategy_1_end"/>
      <w:bookmarkEnd w:id="125"/>
      <w:r>
        <w:rPr>
          <w:rFonts w:hint="eastAsia"/>
          <w:sz w:val="21"/>
          <w:szCs w:val="21"/>
        </w:rPr>
        <w:t xml:space="preserve">  </w:t>
      </w:r>
    </w:p>
    <w:p>
      <w:pPr>
        <w:pStyle w:val="7"/>
        <w:spacing w:before="0" w:beforeAutospacing="0" w:after="0" w:afterAutospacing="0" w:line="360" w:lineRule="auto"/>
        <w:ind w:firstLine="420"/>
        <w:rPr>
          <w:sz w:val="21"/>
          <w:szCs w:val="21"/>
        </w:rPr>
      </w:pPr>
      <w:bookmarkStart w:id="126" w:name="chapter_level1_11_60_section_2"/>
      <w:bookmarkEnd w:id="126"/>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（1）本基金股票资产（含存托凭证）投资比例为基金资产的60%-95%，其中投资于“消费创新主题”相关证券资产的比例不低于非现金基金资产的80%；港股通标的股票的投资比例为股票资产的0%-50%；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股票期权、国债期货合约需缴纳的交易保证金以后，本基金持有现金或到期日在一年以内的政府债券的比例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（4）本基金管理人管理的全部基金持有一家公司发行的证券（含存托凭证），不超过该证券（若同时持有一家公司发行的A股和H股，则为A股与H股合计）的10％； </w:t>
      </w:r>
    </w:p>
    <w:p>
      <w:pPr>
        <w:pStyle w:val="7"/>
        <w:spacing w:before="0" w:beforeAutospacing="0" w:after="0" w:afterAutospacing="0" w:line="360" w:lineRule="auto"/>
        <w:ind w:firstLine="420"/>
        <w:rPr>
          <w:sz w:val="21"/>
          <w:szCs w:val="21"/>
        </w:rPr>
      </w:pPr>
      <w:r>
        <w:rPr>
          <w:rFonts w:hint="eastAsia"/>
          <w:sz w:val="21"/>
          <w:szCs w:val="21"/>
        </w:rPr>
        <w:t xml:space="preserve">（5）本基金资产总值不得超过基金资产净值的140%；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（7）本基金持有的全部资产支持证券，其市值不得超过基金资产净值的20％；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（8）本基金持有的同一(指同一信用级别)资产支持证券的比例，不得超过该资产支持证券规模的10％；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（9）本基金管理人管理的全部基金投资于同一原始权益人的各类资产支持证券，不得超过其各类资产支持证券合计规模的10％；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（11）基金财产参与股票发行申购，本基金所申报的金额不超过本基金的总资产，本基金所申报的股票数量不超过拟发行股票公司本次发行股票的总量；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（12）本基金进入全国银行间同业市场进行债券回购的资金余额不得超过基金资产净值的40%；在全国银行间同业市场中的债券回购最长期限为1年，债券回购到期后不展期； </w:t>
      </w:r>
    </w:p>
    <w:p>
      <w:pPr>
        <w:pStyle w:val="7"/>
        <w:spacing w:before="0" w:beforeAutospacing="0" w:after="0" w:afterAutospacing="0" w:line="360" w:lineRule="auto"/>
        <w:ind w:firstLine="420"/>
        <w:rPr>
          <w:sz w:val="21"/>
          <w:szCs w:val="21"/>
        </w:rPr>
      </w:pPr>
      <w:r>
        <w:rPr>
          <w:rFonts w:hint="eastAsia"/>
          <w:sz w:val="21"/>
          <w:szCs w:val="21"/>
        </w:rPr>
        <w:t xml:space="preserve">（13）本基金参与股指期货、国债期货投资的，应遵循下列限制：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3）在任何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5）本基金在任何交易日日终，持有的卖出国债期货合约价值不得超过基金持有的债券总市值的30%；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8）本基金所持有的股票市值和买入、卖出股指期货合约价值，合计（轧差计算）应当符合基金合同关于股票投资比例的有关规定；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7"/>
        <w:spacing w:before="0" w:beforeAutospacing="0" w:after="0" w:afterAutospacing="0" w:line="360" w:lineRule="auto"/>
        <w:ind w:firstLine="420"/>
        <w:rPr>
          <w:sz w:val="21"/>
          <w:szCs w:val="21"/>
        </w:rPr>
      </w:pPr>
      <w:r>
        <w:rPr>
          <w:rFonts w:hint="eastAsia"/>
          <w:sz w:val="21"/>
          <w:szCs w:val="21"/>
        </w:rPr>
        <w:t xml:space="preserve">（14）本基金参与股票期权交易的，需遵守下列规定： </w:t>
      </w:r>
    </w:p>
    <w:p>
      <w:pPr>
        <w:pStyle w:val="7"/>
        <w:spacing w:before="0" w:beforeAutospacing="0" w:after="0" w:afterAutospacing="0" w:line="360" w:lineRule="auto"/>
        <w:ind w:firstLine="420"/>
        <w:rPr>
          <w:sz w:val="21"/>
          <w:szCs w:val="21"/>
        </w:rPr>
      </w:pPr>
      <w:r>
        <w:rPr>
          <w:rFonts w:hint="eastAsia"/>
          <w:sz w:val="21"/>
          <w:szCs w:val="21"/>
        </w:rPr>
        <w:t xml:space="preserve">1）因未平仓的股票期权合约支付和收取的权利金总额不得超过基金资产净值的10%；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2）开仓卖出认购股票期权的，应持有足额标的证券；开仓卖出认沽股票期权的，应持有合约行权所需的全额现金或交易所规则认可的可冲抵股票期权保证金的现金等价物； </w:t>
      </w:r>
    </w:p>
    <w:p>
      <w:pPr>
        <w:pStyle w:val="7"/>
        <w:spacing w:before="0" w:beforeAutospacing="0" w:after="0" w:afterAutospacing="0" w:line="360" w:lineRule="auto"/>
        <w:ind w:firstLine="420"/>
        <w:rPr>
          <w:sz w:val="21"/>
          <w:szCs w:val="21"/>
        </w:rPr>
      </w:pPr>
      <w:r>
        <w:rPr>
          <w:rFonts w:hint="eastAsia"/>
          <w:sz w:val="21"/>
          <w:szCs w:val="21"/>
        </w:rPr>
        <w:t xml:space="preserve">3）未平仓的股票期权合约面值不得超过基金资产净值的20%。其中，合约面值按照行权价乘以合约乘数计算； </w:t>
      </w:r>
    </w:p>
    <w:p>
      <w:pPr>
        <w:pStyle w:val="7"/>
        <w:spacing w:before="0" w:beforeAutospacing="0" w:after="0" w:afterAutospacing="0" w:line="360" w:lineRule="auto"/>
        <w:ind w:firstLine="420"/>
        <w:rPr>
          <w:sz w:val="21"/>
          <w:szCs w:val="21"/>
        </w:rPr>
      </w:pPr>
      <w:r>
        <w:rPr>
          <w:rFonts w:hint="eastAsia"/>
          <w:sz w:val="21"/>
          <w:szCs w:val="21"/>
        </w:rPr>
        <w:t xml:space="preserve">4）基金投资股票期权应符合基金合同约定的比例限制（如股票仓位、个股占比等）、投资目标和风险收益特征； </w:t>
      </w:r>
    </w:p>
    <w:p>
      <w:pPr>
        <w:pStyle w:val="7"/>
        <w:spacing w:before="0" w:beforeAutospacing="0" w:after="0" w:afterAutospacing="0" w:line="360" w:lineRule="auto"/>
        <w:ind w:firstLine="420"/>
        <w:rPr>
          <w:sz w:val="21"/>
          <w:szCs w:val="21"/>
        </w:rPr>
      </w:pPr>
      <w:r>
        <w:rPr>
          <w:rFonts w:hint="eastAsia"/>
          <w:sz w:val="21"/>
          <w:szCs w:val="21"/>
        </w:rPr>
        <w:t xml:space="preserve">（15）本基金不持有具有信用保护卖方属性的信用衍生品，不持有合约类信用衍生品，本基金持有的信用衍生品名义本金不得超过本基金中所对应受保护债券面值的100%； </w:t>
      </w:r>
    </w:p>
    <w:p>
      <w:pPr>
        <w:pStyle w:val="7"/>
        <w:spacing w:before="0" w:beforeAutospacing="0" w:after="0" w:afterAutospacing="0" w:line="360" w:lineRule="auto"/>
        <w:ind w:firstLine="420"/>
        <w:rPr>
          <w:sz w:val="21"/>
          <w:szCs w:val="21"/>
        </w:rPr>
      </w:pPr>
      <w:r>
        <w:rPr>
          <w:rFonts w:hint="eastAsia"/>
          <w:sz w:val="21"/>
          <w:szCs w:val="21"/>
        </w:rPr>
        <w:t xml:space="preserve">（16）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（18）本基金主动投资于流动性受限资产的市值合计不得超过该基金资产净值的15%；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（20）基金参与融资业务后，在任何交易日日终，本基金持有的融资买入股票与其他有价证券市值之和，不得超过基金资产净值的95%；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第（2）、（10）、（16）、（18）、（19）条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bookmarkStart w:id="127" w:name="chapter_level1_11_60_section_2_end"/>
      <w:bookmarkEnd w:id="127"/>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28" w:name="chapter_level1_11_60_section_3"/>
      <w:bookmarkEnd w:id="128"/>
      <w:r>
        <w:rPr>
          <w:rFonts w:hint="eastAsia"/>
          <w:sz w:val="21"/>
          <w:szCs w:val="21"/>
        </w:rPr>
        <w:t>本基金的业绩比较基准为：</w:t>
      </w:r>
      <w:bookmarkStart w:id="129" w:name="field_60_benchmark_1_start"/>
      <w:bookmarkEnd w:id="129"/>
      <w:r>
        <w:rPr>
          <w:rFonts w:hint="eastAsia"/>
          <w:sz w:val="21"/>
          <w:szCs w:val="21"/>
        </w:rPr>
        <w:t xml:space="preserve">中证主要消费指数收益率×30%+中证可选消费指数收益率×30%+中证港股通综合指数(人民币)收益率×20%+中债综合财富（总值）指数收益率×20% </w:t>
      </w:r>
      <w:bookmarkStart w:id="130" w:name="field_60_benchmark_1_end"/>
      <w:bookmarkEnd w:id="13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中证主要消费指数由中证800指数样本股中的主要消费行业股票组成，以反映该行业公司股票的整体表现。中证可选消费指数由中证800指数样本股中的可选消费行业股票组成，以反映该行业公司股票的整体表现。中证港股通综合指数选取符合港股通资格的普通股作为样本股，采用自由流通市值加权计算，以反映港股通范围内上市公司的整体状况和走势；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pPr>
        <w:pStyle w:val="7"/>
        <w:spacing w:before="0" w:beforeAutospacing="0" w:after="0" w:afterAutospacing="0" w:line="360" w:lineRule="auto"/>
        <w:ind w:firstLine="420"/>
        <w:rPr>
          <w:sz w:val="21"/>
          <w:szCs w:val="21"/>
        </w:rPr>
      </w:pPr>
      <w:r>
        <w:rPr>
          <w:rFonts w:hint="eastAsia"/>
          <w:sz w:val="21"/>
          <w:szCs w:val="21"/>
        </w:rPr>
        <w:t xml:space="preserve">基于本基金的投资范围和投资比例限制，选用上述业绩比较基准能够较好的反映本基金的风险收益特征。 </w:t>
      </w:r>
    </w:p>
    <w:p>
      <w:pPr>
        <w:pStyle w:val="7"/>
        <w:spacing w:before="0" w:beforeAutospacing="0" w:after="0" w:afterAutospacing="0" w:line="360" w:lineRule="auto"/>
        <w:ind w:firstLine="420"/>
        <w:rPr>
          <w:sz w:val="21"/>
          <w:szCs w:val="21"/>
        </w:rPr>
      </w:pPr>
      <w:r>
        <w:rPr>
          <w:rFonts w:hint="eastAsia"/>
          <w:sz w:val="21"/>
          <w:szCs w:val="21"/>
        </w:rPr>
        <w:t>如果相关法律法规发生变化，或者有更权威的、更能为市场普遍接受的业绩比较基准推出，或者市场发生变化导致本业绩比较基准不再适用或本业绩比较基准采用的指数停止发布或更改名称，经基金管理人与基金托管人协商，本基金可以在报中国证监会备案后变更业绩</w:t>
      </w:r>
      <w:bookmarkStart w:id="131" w:name="chapter_level1_11_60_section_3_end"/>
      <w:bookmarkEnd w:id="131"/>
      <w:r>
        <w:rPr>
          <w:rFonts w:hint="eastAsia"/>
          <w:sz w:val="21"/>
          <w:szCs w:val="21"/>
        </w:rPr>
        <w:t xml:space="preserve">比较基准并及时公告，而无须召开基金份额持有人大会。 </w:t>
      </w:r>
    </w:p>
    <w:p>
      <w:pPr>
        <w:pStyle w:val="7"/>
        <w:spacing w:before="0" w:beforeAutospacing="0" w:after="0" w:afterAutospacing="0" w:line="360" w:lineRule="auto"/>
        <w:ind w:firstLine="420"/>
        <w:rPr>
          <w:sz w:val="21"/>
          <w:szCs w:val="21"/>
        </w:rPr>
      </w:pPr>
      <w:bookmarkStart w:id="132" w:name="chapter_level1_11_60_section_4"/>
      <w:bookmarkEnd w:id="132"/>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33" w:name="field_60_riskyield_1_start"/>
      <w:bookmarkEnd w:id="133"/>
      <w:r>
        <w:rPr>
          <w:rFonts w:hint="eastAsia"/>
          <w:sz w:val="21"/>
          <w:szCs w:val="21"/>
        </w:rPr>
        <w:t xml:space="preserve">本基金是混合型证券投资基金，其预期收益和预期风险水平高于债券型基金产品和货币市场基金，低于股票型基金。本基金如果投资港股通标的股票，需承担汇率风险以及境外市场的风险。 </w:t>
      </w:r>
      <w:bookmarkStart w:id="134" w:name="field_60_riskyield_1_end"/>
      <w:bookmarkEnd w:id="13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七、基金管理人代表基金行使股东或债权人权利的处理原则及方法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1、基金管理人按照国家有关规定代表基金独立行使股东或债权人权利，保护基金份额持有人的利益；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 xml:space="preserve">4、不通过关联交易为自身、雇员、授权代理人或任何存在利害关系的第三人牟取任何不当利益。 </w:t>
      </w:r>
    </w:p>
    <w:p>
      <w:pPr>
        <w:pStyle w:val="7"/>
        <w:spacing w:before="0" w:beforeAutospacing="0" w:after="0" w:afterAutospacing="0" w:line="360" w:lineRule="auto"/>
        <w:ind w:firstLine="420"/>
        <w:rPr>
          <w:sz w:val="21"/>
          <w:szCs w:val="21"/>
        </w:rPr>
      </w:pPr>
      <w:r>
        <w:rPr>
          <w:rStyle w:val="11"/>
          <w:rFonts w:hint="eastAsia"/>
          <w:sz w:val="21"/>
          <w:szCs w:val="21"/>
        </w:rPr>
        <w:t>八、侧袋机制的实施和投资运作安排</w:t>
      </w:r>
    </w:p>
    <w:p>
      <w:pPr>
        <w:pStyle w:val="7"/>
        <w:spacing w:before="0" w:beforeAutospacing="0" w:after="0" w:afterAutospacing="0" w:line="360" w:lineRule="auto"/>
        <w:ind w:firstLine="420"/>
        <w:rPr>
          <w:sz w:val="21"/>
          <w:szCs w:val="21"/>
        </w:rPr>
      </w:pPr>
      <w:r>
        <w:rPr>
          <w:rFonts w:hint="eastAsia"/>
          <w:sz w:val="21"/>
          <w:szCs w:val="21"/>
        </w:rPr>
        <w:t xml:space="preserve">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侧袋机制实施期间，本部分约定的投资组合比例、投资策略、组合限制、业绩比较基准、风险收益特征等约定仅适用于主袋账户。 </w:t>
      </w:r>
    </w:p>
    <w:p>
      <w:pPr>
        <w:pStyle w:val="7"/>
        <w:spacing w:before="0" w:beforeAutospacing="0" w:after="0" w:afterAutospacing="0" w:line="360" w:lineRule="auto"/>
        <w:ind w:firstLine="420"/>
        <w:rPr>
          <w:sz w:val="21"/>
          <w:szCs w:val="21"/>
        </w:rPr>
      </w:pPr>
      <w:r>
        <w:rPr>
          <w:rFonts w:hint="eastAsia"/>
          <w:sz w:val="21"/>
          <w:szCs w:val="21"/>
        </w:rPr>
        <w:t>侧袋账户的实施条件、实施程序、运作安排、投资安排、特定资产的处置变现和支付等</w:t>
      </w:r>
      <w:bookmarkStart w:id="135" w:name="chapter_level1_11_60_section_4_end"/>
      <w:bookmarkEnd w:id="135"/>
      <w:r>
        <w:rPr>
          <w:rFonts w:hint="eastAsia"/>
          <w:sz w:val="21"/>
          <w:szCs w:val="21"/>
        </w:rPr>
        <w:t xml:space="preserve">对投资者权益有重大影响的事项详见本招募说明书“侧袋机制”章节的规定。 </w:t>
      </w:r>
    </w:p>
    <w:p>
      <w:pPr>
        <w:pStyle w:val="7"/>
        <w:spacing w:before="0" w:beforeAutospacing="0" w:after="0" w:afterAutospacing="0" w:line="360" w:lineRule="auto"/>
        <w:ind w:firstLine="420"/>
        <w:rPr>
          <w:sz w:val="21"/>
          <w:szCs w:val="21"/>
        </w:rPr>
      </w:pPr>
      <w:bookmarkStart w:id="136" w:name="chapter_level1_11_60_section_5_end"/>
      <w:bookmarkEnd w:id="136"/>
      <w:bookmarkStart w:id="137" w:name="chapter_level1_11_60_section_5"/>
      <w:bookmarkEnd w:id="137"/>
      <w:r>
        <w:rPr>
          <w:rStyle w:val="11"/>
          <w:rFonts w:hint="eastAsia"/>
          <w:sz w:val="21"/>
          <w:szCs w:val="21"/>
        </w:rPr>
        <w:t>九、基金投资组合报告</w:t>
      </w:r>
    </w:p>
    <w:p>
      <w:pPr>
        <w:pStyle w:val="7"/>
        <w:spacing w:before="0" w:beforeAutospacing="0" w:after="0" w:afterAutospacing="0" w:line="360" w:lineRule="auto"/>
        <w:ind w:firstLine="420"/>
        <w:rPr>
          <w:sz w:val="21"/>
          <w:szCs w:val="21"/>
        </w:rPr>
      </w:pPr>
      <w:bookmarkStart w:id="138" w:name="chapter_level1_11_60_section_6"/>
      <w:bookmarkEnd w:id="138"/>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基金托管人根据本基金合同规定，复核了本报告中的净值表现和投资组合报告等内容，保证复核内容不存在虚假记载、误导性陈述或者重大遗漏。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39" w:name="field_2343_financeendday_2"/>
      <w:r>
        <w:rPr>
          <w:sz w:val="21"/>
          <w:szCs w:val="21"/>
        </w:rPr>
        <w:t>2022年6月30日</w:t>
      </w:r>
      <w:bookmarkEnd w:id="139"/>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111"/>
        <w:gridCol w:w="2517"/>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序号 </w:t>
            </w:r>
          </w:p>
        </w:tc>
        <w:tc>
          <w:tcPr>
            <w:tcW w:w="4200" w:type="dxa"/>
            <w:shd w:val="clear" w:color="auto" w:fill="auto"/>
          </w:tcPr>
          <w:p>
            <w:pPr>
              <w:pStyle w:val="7"/>
              <w:jc w:val="center"/>
              <w:rPr>
                <w:sz w:val="21"/>
                <w:szCs w:val="21"/>
              </w:rPr>
            </w:pPr>
            <w:r>
              <w:rPr>
                <w:rFonts w:hint="eastAsia"/>
                <w:sz w:val="21"/>
                <w:szCs w:val="21"/>
              </w:rPr>
              <w:t xml:space="preserve">项目 </w:t>
            </w:r>
          </w:p>
        </w:tc>
        <w:tc>
          <w:tcPr>
            <w:tcW w:w="2790" w:type="dxa"/>
            <w:shd w:val="clear" w:color="auto" w:fill="auto"/>
          </w:tcPr>
          <w:p>
            <w:pPr>
              <w:pStyle w:val="7"/>
              <w:jc w:val="center"/>
              <w:rPr>
                <w:sz w:val="21"/>
                <w:szCs w:val="21"/>
              </w:rPr>
            </w:pPr>
            <w:r>
              <w:rPr>
                <w:rFonts w:hint="eastAsia"/>
                <w:sz w:val="21"/>
                <w:szCs w:val="21"/>
              </w:rPr>
              <w:t xml:space="preserve">金额(元) </w:t>
            </w:r>
          </w:p>
        </w:tc>
        <w:tc>
          <w:tcPr>
            <w:tcW w:w="2775" w:type="dxa"/>
            <w:shd w:val="clear" w:color="auto" w:fill="auto"/>
          </w:tcPr>
          <w:p>
            <w:pPr>
              <w:pStyle w:val="7"/>
              <w:jc w:val="center"/>
              <w:rPr>
                <w:sz w:val="21"/>
                <w:szCs w:val="21"/>
              </w:rPr>
            </w:pPr>
            <w:r>
              <w:rPr>
                <w:rFonts w:hint="eastAsia"/>
                <w:sz w:val="21"/>
                <w:szCs w:val="21"/>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4200" w:type="dxa"/>
            <w:shd w:val="clear" w:color="auto" w:fill="auto"/>
          </w:tcPr>
          <w:p>
            <w:pPr>
              <w:pStyle w:val="7"/>
              <w:rPr>
                <w:sz w:val="21"/>
                <w:szCs w:val="21"/>
              </w:rPr>
            </w:pPr>
            <w:r>
              <w:rPr>
                <w:rFonts w:hint="eastAsia"/>
                <w:sz w:val="21"/>
                <w:szCs w:val="21"/>
              </w:rPr>
              <w:t xml:space="preserve">权益投资 </w:t>
            </w:r>
          </w:p>
        </w:tc>
        <w:tc>
          <w:tcPr>
            <w:tcW w:w="2790" w:type="dxa"/>
            <w:shd w:val="clear" w:color="auto" w:fill="auto"/>
          </w:tcPr>
          <w:p>
            <w:pPr>
              <w:pStyle w:val="7"/>
              <w:jc w:val="right"/>
              <w:rPr>
                <w:sz w:val="21"/>
                <w:szCs w:val="21"/>
              </w:rPr>
            </w:pPr>
            <w:r>
              <w:rPr>
                <w:rFonts w:hint="eastAsia"/>
                <w:sz w:val="21"/>
                <w:szCs w:val="21"/>
              </w:rPr>
              <w:t xml:space="preserve">1,743,084,430.93 </w:t>
            </w:r>
          </w:p>
        </w:tc>
        <w:tc>
          <w:tcPr>
            <w:tcW w:w="2775" w:type="dxa"/>
            <w:shd w:val="clear" w:color="auto" w:fill="auto"/>
          </w:tcPr>
          <w:p>
            <w:pPr>
              <w:pStyle w:val="7"/>
              <w:jc w:val="right"/>
              <w:rPr>
                <w:sz w:val="21"/>
                <w:szCs w:val="21"/>
              </w:rPr>
            </w:pPr>
            <w:r>
              <w:rPr>
                <w:rFonts w:hint="eastAsia"/>
                <w:sz w:val="21"/>
                <w:szCs w:val="21"/>
              </w:rPr>
              <w:t xml:space="preserve">89.46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其中：股票 </w:t>
            </w:r>
          </w:p>
        </w:tc>
        <w:tc>
          <w:tcPr>
            <w:tcW w:w="2790" w:type="dxa"/>
            <w:shd w:val="clear" w:color="auto" w:fill="auto"/>
          </w:tcPr>
          <w:p>
            <w:pPr>
              <w:pStyle w:val="7"/>
              <w:jc w:val="right"/>
              <w:rPr>
                <w:sz w:val="21"/>
                <w:szCs w:val="21"/>
              </w:rPr>
            </w:pPr>
            <w:r>
              <w:rPr>
                <w:rFonts w:hint="eastAsia"/>
                <w:sz w:val="21"/>
                <w:szCs w:val="21"/>
              </w:rPr>
              <w:t xml:space="preserve">1,743,084,430.93 </w:t>
            </w:r>
          </w:p>
        </w:tc>
        <w:tc>
          <w:tcPr>
            <w:tcW w:w="2775" w:type="dxa"/>
            <w:shd w:val="clear" w:color="auto" w:fill="auto"/>
          </w:tcPr>
          <w:p>
            <w:pPr>
              <w:pStyle w:val="7"/>
              <w:jc w:val="right"/>
              <w:rPr>
                <w:sz w:val="21"/>
                <w:szCs w:val="21"/>
              </w:rPr>
            </w:pPr>
            <w:r>
              <w:rPr>
                <w:rFonts w:hint="eastAsia"/>
                <w:sz w:val="21"/>
                <w:szCs w:val="21"/>
              </w:rPr>
              <w:t xml:space="preserve">89.46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4200" w:type="dxa"/>
            <w:shd w:val="clear" w:color="auto" w:fill="auto"/>
          </w:tcPr>
          <w:p>
            <w:pPr>
              <w:pStyle w:val="7"/>
              <w:rPr>
                <w:sz w:val="21"/>
                <w:szCs w:val="21"/>
              </w:rPr>
            </w:pPr>
            <w:r>
              <w:rPr>
                <w:rFonts w:hint="eastAsia"/>
                <w:sz w:val="21"/>
                <w:szCs w:val="21"/>
              </w:rPr>
              <w:t xml:space="preserve">基金投资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4200" w:type="dxa"/>
            <w:shd w:val="clear" w:color="auto" w:fill="auto"/>
          </w:tcPr>
          <w:p>
            <w:pPr>
              <w:pStyle w:val="7"/>
              <w:rPr>
                <w:sz w:val="21"/>
                <w:szCs w:val="21"/>
              </w:rPr>
            </w:pPr>
            <w:r>
              <w:rPr>
                <w:rFonts w:hint="eastAsia"/>
                <w:sz w:val="21"/>
                <w:szCs w:val="21"/>
              </w:rPr>
              <w:t xml:space="preserve">固定收益投资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其中：债券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资产支持证券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4200" w:type="dxa"/>
            <w:shd w:val="clear" w:color="auto" w:fill="auto"/>
          </w:tcPr>
          <w:p>
            <w:pPr>
              <w:pStyle w:val="7"/>
              <w:rPr>
                <w:sz w:val="21"/>
                <w:szCs w:val="21"/>
              </w:rPr>
            </w:pPr>
            <w:r>
              <w:rPr>
                <w:rFonts w:hint="eastAsia"/>
                <w:sz w:val="21"/>
                <w:szCs w:val="21"/>
              </w:rPr>
              <w:t xml:space="preserve">贵金属投资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4200" w:type="dxa"/>
            <w:shd w:val="clear" w:color="auto" w:fill="auto"/>
          </w:tcPr>
          <w:p>
            <w:pPr>
              <w:pStyle w:val="7"/>
              <w:rPr>
                <w:sz w:val="21"/>
                <w:szCs w:val="21"/>
              </w:rPr>
            </w:pPr>
            <w:r>
              <w:rPr>
                <w:rFonts w:hint="eastAsia"/>
                <w:sz w:val="21"/>
                <w:szCs w:val="21"/>
              </w:rPr>
              <w:t xml:space="preserve">金融衍生品投资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4200" w:type="dxa"/>
            <w:shd w:val="clear" w:color="auto" w:fill="auto"/>
          </w:tcPr>
          <w:p>
            <w:pPr>
              <w:pStyle w:val="7"/>
              <w:rPr>
                <w:sz w:val="21"/>
                <w:szCs w:val="21"/>
              </w:rPr>
            </w:pPr>
            <w:r>
              <w:rPr>
                <w:rFonts w:hint="eastAsia"/>
                <w:sz w:val="21"/>
                <w:szCs w:val="21"/>
              </w:rPr>
              <w:t xml:space="preserve">买入返售金融资产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其中：买断式回购的买入返售金融资产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4200" w:type="dxa"/>
            <w:shd w:val="clear" w:color="auto" w:fill="auto"/>
          </w:tcPr>
          <w:p>
            <w:pPr>
              <w:pStyle w:val="7"/>
              <w:rPr>
                <w:sz w:val="21"/>
                <w:szCs w:val="21"/>
              </w:rPr>
            </w:pPr>
            <w:r>
              <w:rPr>
                <w:rFonts w:hint="eastAsia"/>
                <w:sz w:val="21"/>
                <w:szCs w:val="21"/>
              </w:rPr>
              <w:t xml:space="preserve">银行存款和结算备付金合计 </w:t>
            </w:r>
          </w:p>
        </w:tc>
        <w:tc>
          <w:tcPr>
            <w:tcW w:w="2790" w:type="dxa"/>
            <w:shd w:val="clear" w:color="auto" w:fill="auto"/>
          </w:tcPr>
          <w:p>
            <w:pPr>
              <w:pStyle w:val="7"/>
              <w:jc w:val="right"/>
              <w:rPr>
                <w:sz w:val="21"/>
                <w:szCs w:val="21"/>
              </w:rPr>
            </w:pPr>
            <w:r>
              <w:rPr>
                <w:rFonts w:hint="eastAsia"/>
                <w:sz w:val="21"/>
                <w:szCs w:val="21"/>
              </w:rPr>
              <w:t xml:space="preserve">203,029,279.83 </w:t>
            </w:r>
          </w:p>
        </w:tc>
        <w:tc>
          <w:tcPr>
            <w:tcW w:w="2775" w:type="dxa"/>
            <w:shd w:val="clear" w:color="auto" w:fill="auto"/>
          </w:tcPr>
          <w:p>
            <w:pPr>
              <w:pStyle w:val="7"/>
              <w:jc w:val="right"/>
              <w:rPr>
                <w:sz w:val="21"/>
                <w:szCs w:val="21"/>
              </w:rPr>
            </w:pPr>
            <w:r>
              <w:rPr>
                <w:rFonts w:hint="eastAsia"/>
                <w:sz w:val="21"/>
                <w:szCs w:val="21"/>
              </w:rPr>
              <w:t xml:space="preserve">10.42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4200" w:type="dxa"/>
            <w:shd w:val="clear" w:color="auto" w:fill="auto"/>
          </w:tcPr>
          <w:p>
            <w:pPr>
              <w:pStyle w:val="7"/>
              <w:rPr>
                <w:sz w:val="21"/>
                <w:szCs w:val="21"/>
              </w:rPr>
            </w:pPr>
            <w:r>
              <w:rPr>
                <w:rFonts w:hint="eastAsia"/>
                <w:sz w:val="21"/>
                <w:szCs w:val="21"/>
              </w:rPr>
              <w:t xml:space="preserve">其他各项资产 </w:t>
            </w:r>
          </w:p>
        </w:tc>
        <w:tc>
          <w:tcPr>
            <w:tcW w:w="2790" w:type="dxa"/>
            <w:shd w:val="clear" w:color="auto" w:fill="auto"/>
          </w:tcPr>
          <w:p>
            <w:pPr>
              <w:pStyle w:val="7"/>
              <w:jc w:val="right"/>
              <w:rPr>
                <w:sz w:val="21"/>
                <w:szCs w:val="21"/>
              </w:rPr>
            </w:pPr>
            <w:r>
              <w:rPr>
                <w:rFonts w:hint="eastAsia"/>
                <w:sz w:val="21"/>
                <w:szCs w:val="21"/>
              </w:rPr>
              <w:t xml:space="preserve">2,391,984.61 </w:t>
            </w:r>
          </w:p>
        </w:tc>
        <w:tc>
          <w:tcPr>
            <w:tcW w:w="2775" w:type="dxa"/>
            <w:shd w:val="clear" w:color="auto" w:fill="auto"/>
          </w:tcPr>
          <w:p>
            <w:pPr>
              <w:pStyle w:val="7"/>
              <w:jc w:val="right"/>
              <w:rPr>
                <w:sz w:val="21"/>
                <w:szCs w:val="21"/>
              </w:rPr>
            </w:pPr>
            <w:r>
              <w:rPr>
                <w:rFonts w:hint="eastAsia"/>
                <w:sz w:val="21"/>
                <w:szCs w:val="21"/>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4200" w:type="dxa"/>
            <w:shd w:val="clear" w:color="auto" w:fill="auto"/>
          </w:tcPr>
          <w:p>
            <w:pPr>
              <w:pStyle w:val="7"/>
              <w:rPr>
                <w:sz w:val="21"/>
                <w:szCs w:val="21"/>
              </w:rPr>
            </w:pPr>
            <w:r>
              <w:rPr>
                <w:rFonts w:hint="eastAsia"/>
                <w:sz w:val="21"/>
                <w:szCs w:val="21"/>
              </w:rPr>
              <w:t xml:space="preserve">合计 </w:t>
            </w:r>
          </w:p>
        </w:tc>
        <w:tc>
          <w:tcPr>
            <w:tcW w:w="2790" w:type="dxa"/>
            <w:shd w:val="clear" w:color="auto" w:fill="auto"/>
          </w:tcPr>
          <w:p>
            <w:pPr>
              <w:pStyle w:val="7"/>
              <w:jc w:val="right"/>
              <w:rPr>
                <w:sz w:val="21"/>
                <w:szCs w:val="21"/>
              </w:rPr>
            </w:pPr>
            <w:r>
              <w:rPr>
                <w:rFonts w:hint="eastAsia"/>
                <w:sz w:val="21"/>
                <w:szCs w:val="21"/>
              </w:rPr>
              <w:t xml:space="preserve">1,948,505,695.37 </w:t>
            </w:r>
          </w:p>
        </w:tc>
        <w:tc>
          <w:tcPr>
            <w:tcW w:w="2775" w:type="dxa"/>
            <w:shd w:val="clear" w:color="auto" w:fill="auto"/>
          </w:tcPr>
          <w:p>
            <w:pPr>
              <w:pStyle w:val="7"/>
              <w:jc w:val="right"/>
              <w:rPr>
                <w:sz w:val="21"/>
                <w:szCs w:val="21"/>
              </w:rPr>
            </w:pPr>
            <w:r>
              <w:rPr>
                <w:rFonts w:hint="eastAsia"/>
                <w:sz w:val="21"/>
                <w:szCs w:val="21"/>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注：权益投资中通过港股通机制投资香港股票金额404,450,095.09元，净值占比20.82%。 </w:t>
      </w:r>
    </w:p>
    <w:p>
      <w:pPr>
        <w:pStyle w:val="7"/>
        <w:spacing w:before="0" w:beforeAutospacing="0" w:after="0" w:afterAutospacing="0" w:line="360" w:lineRule="auto"/>
        <w:ind w:firstLine="420"/>
        <w:rPr>
          <w:sz w:val="21"/>
          <w:szCs w:val="21"/>
        </w:rPr>
      </w:pPr>
      <w:r>
        <w:rPr>
          <w:rFonts w:hint="eastAsia"/>
          <w:sz w:val="21"/>
          <w:szCs w:val="21"/>
        </w:rPr>
        <w:t xml:space="preserve">2报告期末按行业分类的股票投资组合 </w:t>
      </w:r>
    </w:p>
    <w:p>
      <w:pPr>
        <w:pStyle w:val="7"/>
        <w:spacing w:before="0" w:beforeAutospacing="0" w:after="0" w:afterAutospacing="0" w:line="360" w:lineRule="auto"/>
        <w:ind w:firstLine="420"/>
        <w:rPr>
          <w:sz w:val="21"/>
          <w:szCs w:val="21"/>
        </w:rPr>
      </w:pPr>
      <w:r>
        <w:rPr>
          <w:rFonts w:hint="eastAsia"/>
          <w:sz w:val="21"/>
          <w:szCs w:val="21"/>
        </w:rPr>
        <w:t xml:space="preserve">2.1报告期末按行业分类的境内股票投资组合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868"/>
        <w:gridCol w:w="282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代码 </w:t>
            </w:r>
          </w:p>
        </w:tc>
        <w:tc>
          <w:tcPr>
            <w:tcW w:w="3840" w:type="dxa"/>
            <w:shd w:val="clear" w:color="auto" w:fill="auto"/>
          </w:tcPr>
          <w:p>
            <w:pPr>
              <w:pStyle w:val="7"/>
              <w:jc w:val="center"/>
              <w:rPr>
                <w:sz w:val="21"/>
                <w:szCs w:val="21"/>
              </w:rPr>
            </w:pPr>
            <w:r>
              <w:rPr>
                <w:rFonts w:hint="eastAsia"/>
                <w:sz w:val="21"/>
                <w:szCs w:val="21"/>
              </w:rPr>
              <w:t xml:space="preserve">行业类别 </w:t>
            </w:r>
          </w:p>
        </w:tc>
        <w:tc>
          <w:tcPr>
            <w:tcW w:w="3255" w:type="dxa"/>
            <w:shd w:val="clear" w:color="auto" w:fill="auto"/>
          </w:tcPr>
          <w:p>
            <w:pPr>
              <w:pStyle w:val="7"/>
              <w:jc w:val="center"/>
              <w:rPr>
                <w:sz w:val="21"/>
                <w:szCs w:val="21"/>
              </w:rPr>
            </w:pPr>
            <w:r>
              <w:rPr>
                <w:rFonts w:hint="eastAsia"/>
                <w:sz w:val="21"/>
                <w:szCs w:val="21"/>
              </w:rPr>
              <w:t xml:space="preserve">公允价值（元） </w:t>
            </w:r>
          </w:p>
        </w:tc>
        <w:tc>
          <w:tcPr>
            <w:tcW w:w="279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A </w:t>
            </w:r>
          </w:p>
        </w:tc>
        <w:tc>
          <w:tcPr>
            <w:tcW w:w="3840" w:type="dxa"/>
            <w:shd w:val="clear" w:color="auto" w:fill="auto"/>
          </w:tcPr>
          <w:p>
            <w:pPr>
              <w:pStyle w:val="7"/>
              <w:ind w:left="105"/>
              <w:rPr>
                <w:sz w:val="21"/>
                <w:szCs w:val="21"/>
              </w:rPr>
            </w:pPr>
            <w:r>
              <w:rPr>
                <w:rFonts w:hint="eastAsia"/>
                <w:sz w:val="21"/>
                <w:szCs w:val="21"/>
              </w:rPr>
              <w:t xml:space="preserve">农、林、牧、渔业 </w:t>
            </w:r>
          </w:p>
        </w:tc>
        <w:tc>
          <w:tcPr>
            <w:tcW w:w="3255" w:type="dxa"/>
            <w:shd w:val="clear" w:color="auto" w:fill="auto"/>
          </w:tcPr>
          <w:p>
            <w:pPr>
              <w:pStyle w:val="7"/>
              <w:jc w:val="right"/>
              <w:rPr>
                <w:sz w:val="21"/>
                <w:szCs w:val="21"/>
              </w:rPr>
            </w:pPr>
            <w:r>
              <w:rPr>
                <w:rFonts w:hint="eastAsia"/>
                <w:sz w:val="21"/>
                <w:szCs w:val="21"/>
              </w:rPr>
              <w:t xml:space="preserve">224,230,944.69 </w:t>
            </w:r>
          </w:p>
        </w:tc>
        <w:tc>
          <w:tcPr>
            <w:tcW w:w="2790" w:type="dxa"/>
            <w:shd w:val="clear" w:color="auto" w:fill="auto"/>
          </w:tcPr>
          <w:p>
            <w:pPr>
              <w:pStyle w:val="7"/>
              <w:jc w:val="right"/>
              <w:rPr>
                <w:sz w:val="21"/>
                <w:szCs w:val="21"/>
              </w:rPr>
            </w:pPr>
            <w:r>
              <w:rPr>
                <w:rFonts w:hint="eastAsia"/>
                <w:sz w:val="21"/>
                <w:szCs w:val="21"/>
              </w:rPr>
              <w:t xml:space="preserve">11.54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shd w:val="clear" w:color="auto" w:fill="auto"/>
          </w:tcPr>
          <w:p>
            <w:pPr>
              <w:pStyle w:val="7"/>
              <w:jc w:val="center"/>
              <w:rPr>
                <w:sz w:val="21"/>
                <w:szCs w:val="21"/>
              </w:rPr>
            </w:pPr>
            <w:r>
              <w:rPr>
                <w:rFonts w:hint="eastAsia"/>
                <w:sz w:val="21"/>
                <w:szCs w:val="21"/>
              </w:rPr>
              <w:t xml:space="preserve">B </w:t>
            </w:r>
          </w:p>
        </w:tc>
        <w:tc>
          <w:tcPr>
            <w:tcW w:w="3840" w:type="dxa"/>
            <w:shd w:val="clear" w:color="auto" w:fill="auto"/>
          </w:tcPr>
          <w:p>
            <w:pPr>
              <w:pStyle w:val="7"/>
              <w:ind w:left="105"/>
              <w:rPr>
                <w:sz w:val="21"/>
                <w:szCs w:val="21"/>
              </w:rPr>
            </w:pPr>
            <w:r>
              <w:rPr>
                <w:rFonts w:hint="eastAsia"/>
                <w:sz w:val="21"/>
                <w:szCs w:val="21"/>
              </w:rPr>
              <w:t xml:space="preserve">采矿业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C </w:t>
            </w:r>
          </w:p>
        </w:tc>
        <w:tc>
          <w:tcPr>
            <w:tcW w:w="3840" w:type="dxa"/>
            <w:shd w:val="clear" w:color="auto" w:fill="auto"/>
          </w:tcPr>
          <w:p>
            <w:pPr>
              <w:pStyle w:val="7"/>
              <w:ind w:left="105"/>
              <w:rPr>
                <w:sz w:val="21"/>
                <w:szCs w:val="21"/>
              </w:rPr>
            </w:pPr>
            <w:r>
              <w:rPr>
                <w:rFonts w:hint="eastAsia"/>
                <w:sz w:val="21"/>
                <w:szCs w:val="21"/>
              </w:rPr>
              <w:t xml:space="preserve">制造业 </w:t>
            </w:r>
          </w:p>
        </w:tc>
        <w:tc>
          <w:tcPr>
            <w:tcW w:w="3255" w:type="dxa"/>
            <w:shd w:val="clear" w:color="auto" w:fill="auto"/>
          </w:tcPr>
          <w:p>
            <w:pPr>
              <w:pStyle w:val="7"/>
              <w:jc w:val="right"/>
              <w:rPr>
                <w:sz w:val="21"/>
                <w:szCs w:val="21"/>
              </w:rPr>
            </w:pPr>
            <w:r>
              <w:rPr>
                <w:rFonts w:hint="eastAsia"/>
                <w:sz w:val="21"/>
                <w:szCs w:val="21"/>
              </w:rPr>
              <w:t xml:space="preserve">1,004,915,012.21 </w:t>
            </w:r>
          </w:p>
        </w:tc>
        <w:tc>
          <w:tcPr>
            <w:tcW w:w="2790" w:type="dxa"/>
            <w:shd w:val="clear" w:color="auto" w:fill="auto"/>
          </w:tcPr>
          <w:p>
            <w:pPr>
              <w:pStyle w:val="7"/>
              <w:jc w:val="right"/>
              <w:rPr>
                <w:sz w:val="21"/>
                <w:szCs w:val="21"/>
              </w:rPr>
            </w:pPr>
            <w:r>
              <w:rPr>
                <w:rFonts w:hint="eastAsia"/>
                <w:sz w:val="21"/>
                <w:szCs w:val="21"/>
              </w:rPr>
              <w:t xml:space="preserve">51.74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D </w:t>
            </w:r>
          </w:p>
        </w:tc>
        <w:tc>
          <w:tcPr>
            <w:tcW w:w="3840" w:type="dxa"/>
            <w:shd w:val="clear" w:color="auto" w:fill="auto"/>
          </w:tcPr>
          <w:p>
            <w:pPr>
              <w:pStyle w:val="7"/>
              <w:ind w:left="105"/>
              <w:rPr>
                <w:sz w:val="21"/>
                <w:szCs w:val="21"/>
              </w:rPr>
            </w:pPr>
            <w:r>
              <w:rPr>
                <w:rFonts w:hint="eastAsia"/>
                <w:sz w:val="21"/>
                <w:szCs w:val="21"/>
              </w:rPr>
              <w:t xml:space="preserve">电力、热力、燃气及水生产和供应业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shd w:val="clear" w:color="auto" w:fill="auto"/>
          </w:tcPr>
          <w:p>
            <w:pPr>
              <w:pStyle w:val="7"/>
              <w:jc w:val="center"/>
              <w:rPr>
                <w:sz w:val="21"/>
                <w:szCs w:val="21"/>
              </w:rPr>
            </w:pPr>
            <w:r>
              <w:rPr>
                <w:rFonts w:hint="eastAsia"/>
                <w:sz w:val="21"/>
                <w:szCs w:val="21"/>
              </w:rPr>
              <w:t xml:space="preserve">E </w:t>
            </w:r>
          </w:p>
        </w:tc>
        <w:tc>
          <w:tcPr>
            <w:tcW w:w="3840" w:type="dxa"/>
            <w:shd w:val="clear" w:color="auto" w:fill="auto"/>
          </w:tcPr>
          <w:p>
            <w:pPr>
              <w:pStyle w:val="7"/>
              <w:ind w:left="105"/>
              <w:rPr>
                <w:sz w:val="21"/>
                <w:szCs w:val="21"/>
              </w:rPr>
            </w:pPr>
            <w:r>
              <w:rPr>
                <w:rFonts w:hint="eastAsia"/>
                <w:sz w:val="21"/>
                <w:szCs w:val="21"/>
              </w:rPr>
              <w:t xml:space="preserve">建筑业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F </w:t>
            </w:r>
          </w:p>
        </w:tc>
        <w:tc>
          <w:tcPr>
            <w:tcW w:w="3840" w:type="dxa"/>
            <w:shd w:val="clear" w:color="auto" w:fill="auto"/>
          </w:tcPr>
          <w:p>
            <w:pPr>
              <w:pStyle w:val="7"/>
              <w:ind w:left="105"/>
              <w:rPr>
                <w:sz w:val="21"/>
                <w:szCs w:val="21"/>
              </w:rPr>
            </w:pPr>
            <w:r>
              <w:rPr>
                <w:rFonts w:hint="eastAsia"/>
                <w:sz w:val="21"/>
                <w:szCs w:val="21"/>
              </w:rPr>
              <w:t xml:space="preserve">批发和零售业 </w:t>
            </w:r>
          </w:p>
        </w:tc>
        <w:tc>
          <w:tcPr>
            <w:tcW w:w="3255" w:type="dxa"/>
            <w:shd w:val="clear" w:color="auto" w:fill="auto"/>
          </w:tcPr>
          <w:p>
            <w:pPr>
              <w:pStyle w:val="7"/>
              <w:jc w:val="right"/>
              <w:rPr>
                <w:sz w:val="21"/>
                <w:szCs w:val="21"/>
              </w:rPr>
            </w:pPr>
            <w:r>
              <w:rPr>
                <w:rFonts w:hint="eastAsia"/>
                <w:sz w:val="21"/>
                <w:szCs w:val="21"/>
              </w:rPr>
              <w:t xml:space="preserve">72,080,367.56 </w:t>
            </w:r>
          </w:p>
        </w:tc>
        <w:tc>
          <w:tcPr>
            <w:tcW w:w="2790" w:type="dxa"/>
            <w:shd w:val="clear" w:color="auto" w:fill="auto"/>
          </w:tcPr>
          <w:p>
            <w:pPr>
              <w:pStyle w:val="7"/>
              <w:jc w:val="right"/>
              <w:rPr>
                <w:sz w:val="21"/>
                <w:szCs w:val="21"/>
              </w:rPr>
            </w:pPr>
            <w:r>
              <w:rPr>
                <w:rFonts w:hint="eastAsia"/>
                <w:sz w:val="21"/>
                <w:szCs w:val="21"/>
              </w:rPr>
              <w:t xml:space="preserve">3.71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G </w:t>
            </w:r>
          </w:p>
        </w:tc>
        <w:tc>
          <w:tcPr>
            <w:tcW w:w="3840" w:type="dxa"/>
            <w:shd w:val="clear" w:color="auto" w:fill="auto"/>
          </w:tcPr>
          <w:p>
            <w:pPr>
              <w:pStyle w:val="7"/>
              <w:ind w:left="105"/>
              <w:rPr>
                <w:sz w:val="21"/>
                <w:szCs w:val="21"/>
              </w:rPr>
            </w:pPr>
            <w:r>
              <w:rPr>
                <w:rFonts w:hint="eastAsia"/>
                <w:sz w:val="21"/>
                <w:szCs w:val="21"/>
              </w:rPr>
              <w:t xml:space="preserve">交通运输、仓储和邮政业 </w:t>
            </w:r>
          </w:p>
        </w:tc>
        <w:tc>
          <w:tcPr>
            <w:tcW w:w="3255" w:type="dxa"/>
            <w:shd w:val="clear" w:color="auto" w:fill="auto"/>
          </w:tcPr>
          <w:p>
            <w:pPr>
              <w:pStyle w:val="7"/>
              <w:jc w:val="right"/>
              <w:rPr>
                <w:sz w:val="21"/>
                <w:szCs w:val="21"/>
              </w:rPr>
            </w:pPr>
            <w:r>
              <w:rPr>
                <w:rFonts w:hint="eastAsia"/>
                <w:sz w:val="21"/>
                <w:szCs w:val="21"/>
              </w:rPr>
              <w:t xml:space="preserve">36,429,153.64 </w:t>
            </w:r>
          </w:p>
        </w:tc>
        <w:tc>
          <w:tcPr>
            <w:tcW w:w="2790" w:type="dxa"/>
            <w:shd w:val="clear" w:color="auto" w:fill="auto"/>
          </w:tcPr>
          <w:p>
            <w:pPr>
              <w:pStyle w:val="7"/>
              <w:jc w:val="right"/>
              <w:rPr>
                <w:sz w:val="21"/>
                <w:szCs w:val="21"/>
              </w:rPr>
            </w:pPr>
            <w:r>
              <w:rPr>
                <w:rFonts w:hint="eastAsia"/>
                <w:sz w:val="21"/>
                <w:szCs w:val="21"/>
              </w:rPr>
              <w:t xml:space="preserve">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H </w:t>
            </w:r>
          </w:p>
        </w:tc>
        <w:tc>
          <w:tcPr>
            <w:tcW w:w="3840" w:type="dxa"/>
            <w:shd w:val="clear" w:color="auto" w:fill="auto"/>
          </w:tcPr>
          <w:p>
            <w:pPr>
              <w:pStyle w:val="7"/>
              <w:ind w:left="105"/>
              <w:rPr>
                <w:sz w:val="21"/>
                <w:szCs w:val="21"/>
              </w:rPr>
            </w:pPr>
            <w:r>
              <w:rPr>
                <w:rFonts w:hint="eastAsia"/>
                <w:sz w:val="21"/>
                <w:szCs w:val="21"/>
              </w:rPr>
              <w:t xml:space="preserve">住宿和餐饮业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I </w:t>
            </w:r>
          </w:p>
        </w:tc>
        <w:tc>
          <w:tcPr>
            <w:tcW w:w="3840" w:type="dxa"/>
            <w:shd w:val="clear" w:color="auto" w:fill="auto"/>
          </w:tcPr>
          <w:p>
            <w:pPr>
              <w:pStyle w:val="7"/>
              <w:ind w:left="105"/>
              <w:rPr>
                <w:sz w:val="21"/>
                <w:szCs w:val="21"/>
              </w:rPr>
            </w:pPr>
            <w:r>
              <w:rPr>
                <w:rFonts w:hint="eastAsia"/>
                <w:sz w:val="21"/>
                <w:szCs w:val="21"/>
              </w:rPr>
              <w:t xml:space="preserve">信息传输、软件和信息技术服务业 </w:t>
            </w:r>
          </w:p>
        </w:tc>
        <w:tc>
          <w:tcPr>
            <w:tcW w:w="3255" w:type="dxa"/>
            <w:shd w:val="clear" w:color="auto" w:fill="auto"/>
          </w:tcPr>
          <w:p>
            <w:pPr>
              <w:pStyle w:val="7"/>
              <w:jc w:val="right"/>
              <w:rPr>
                <w:sz w:val="21"/>
                <w:szCs w:val="21"/>
              </w:rPr>
            </w:pPr>
            <w:r>
              <w:rPr>
                <w:rFonts w:hint="eastAsia"/>
                <w:sz w:val="21"/>
                <w:szCs w:val="21"/>
              </w:rPr>
              <w:t xml:space="preserve">358,614.12 </w:t>
            </w:r>
          </w:p>
        </w:tc>
        <w:tc>
          <w:tcPr>
            <w:tcW w:w="279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J </w:t>
            </w:r>
          </w:p>
        </w:tc>
        <w:tc>
          <w:tcPr>
            <w:tcW w:w="3840" w:type="dxa"/>
            <w:shd w:val="clear" w:color="auto" w:fill="auto"/>
          </w:tcPr>
          <w:p>
            <w:pPr>
              <w:pStyle w:val="7"/>
              <w:ind w:left="105"/>
              <w:rPr>
                <w:sz w:val="21"/>
                <w:szCs w:val="21"/>
              </w:rPr>
            </w:pPr>
            <w:r>
              <w:rPr>
                <w:rFonts w:hint="eastAsia"/>
                <w:sz w:val="21"/>
                <w:szCs w:val="21"/>
              </w:rPr>
              <w:t xml:space="preserve">金融业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K </w:t>
            </w:r>
          </w:p>
        </w:tc>
        <w:tc>
          <w:tcPr>
            <w:tcW w:w="3840" w:type="dxa"/>
            <w:shd w:val="clear" w:color="auto" w:fill="auto"/>
          </w:tcPr>
          <w:p>
            <w:pPr>
              <w:pStyle w:val="7"/>
              <w:ind w:left="105"/>
              <w:rPr>
                <w:sz w:val="21"/>
                <w:szCs w:val="21"/>
              </w:rPr>
            </w:pPr>
            <w:r>
              <w:rPr>
                <w:rFonts w:hint="eastAsia"/>
                <w:sz w:val="21"/>
                <w:szCs w:val="21"/>
              </w:rPr>
              <w:t xml:space="preserve">房地产业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L </w:t>
            </w:r>
          </w:p>
        </w:tc>
        <w:tc>
          <w:tcPr>
            <w:tcW w:w="3840" w:type="dxa"/>
            <w:shd w:val="clear" w:color="auto" w:fill="auto"/>
          </w:tcPr>
          <w:p>
            <w:pPr>
              <w:pStyle w:val="7"/>
              <w:ind w:left="105"/>
              <w:rPr>
                <w:sz w:val="21"/>
                <w:szCs w:val="21"/>
              </w:rPr>
            </w:pPr>
            <w:r>
              <w:rPr>
                <w:rFonts w:hint="eastAsia"/>
                <w:sz w:val="21"/>
                <w:szCs w:val="21"/>
              </w:rPr>
              <w:t xml:space="preserve">租赁和商务服务业 </w:t>
            </w:r>
          </w:p>
        </w:tc>
        <w:tc>
          <w:tcPr>
            <w:tcW w:w="3255" w:type="dxa"/>
            <w:shd w:val="clear" w:color="auto" w:fill="auto"/>
          </w:tcPr>
          <w:p>
            <w:pPr>
              <w:pStyle w:val="7"/>
              <w:jc w:val="right"/>
              <w:rPr>
                <w:sz w:val="21"/>
                <w:szCs w:val="21"/>
              </w:rPr>
            </w:pPr>
            <w:r>
              <w:rPr>
                <w:rFonts w:hint="eastAsia"/>
                <w:sz w:val="21"/>
                <w:szCs w:val="21"/>
              </w:rPr>
              <w:t xml:space="preserve">19,959.78 </w:t>
            </w:r>
          </w:p>
        </w:tc>
        <w:tc>
          <w:tcPr>
            <w:tcW w:w="2790" w:type="dxa"/>
            <w:shd w:val="clear" w:color="auto" w:fill="auto"/>
          </w:tcPr>
          <w:p>
            <w:pPr>
              <w:pStyle w:val="7"/>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M </w:t>
            </w:r>
          </w:p>
        </w:tc>
        <w:tc>
          <w:tcPr>
            <w:tcW w:w="3840" w:type="dxa"/>
            <w:shd w:val="clear" w:color="auto" w:fill="auto"/>
          </w:tcPr>
          <w:p>
            <w:pPr>
              <w:pStyle w:val="7"/>
              <w:ind w:left="105"/>
              <w:rPr>
                <w:sz w:val="21"/>
                <w:szCs w:val="21"/>
              </w:rPr>
            </w:pPr>
            <w:r>
              <w:rPr>
                <w:rFonts w:hint="eastAsia"/>
                <w:sz w:val="21"/>
                <w:szCs w:val="21"/>
              </w:rPr>
              <w:t xml:space="preserve">科学研究和技术服务业 </w:t>
            </w:r>
          </w:p>
        </w:tc>
        <w:tc>
          <w:tcPr>
            <w:tcW w:w="3255" w:type="dxa"/>
            <w:shd w:val="clear" w:color="auto" w:fill="auto"/>
          </w:tcPr>
          <w:p>
            <w:pPr>
              <w:pStyle w:val="7"/>
              <w:jc w:val="right"/>
              <w:rPr>
                <w:sz w:val="21"/>
                <w:szCs w:val="21"/>
              </w:rPr>
            </w:pPr>
            <w:r>
              <w:rPr>
                <w:rFonts w:hint="eastAsia"/>
                <w:sz w:val="21"/>
                <w:szCs w:val="21"/>
              </w:rPr>
              <w:t xml:space="preserve">332,594.34 </w:t>
            </w:r>
          </w:p>
        </w:tc>
        <w:tc>
          <w:tcPr>
            <w:tcW w:w="279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N </w:t>
            </w:r>
          </w:p>
        </w:tc>
        <w:tc>
          <w:tcPr>
            <w:tcW w:w="3840" w:type="dxa"/>
            <w:shd w:val="clear" w:color="auto" w:fill="auto"/>
          </w:tcPr>
          <w:p>
            <w:pPr>
              <w:pStyle w:val="7"/>
              <w:ind w:left="105"/>
              <w:rPr>
                <w:sz w:val="21"/>
                <w:szCs w:val="21"/>
              </w:rPr>
            </w:pPr>
            <w:r>
              <w:rPr>
                <w:rFonts w:hint="eastAsia"/>
                <w:sz w:val="21"/>
                <w:szCs w:val="21"/>
              </w:rPr>
              <w:t xml:space="preserve">水利、环境和公共设施管理业 </w:t>
            </w:r>
          </w:p>
        </w:tc>
        <w:tc>
          <w:tcPr>
            <w:tcW w:w="3255" w:type="dxa"/>
            <w:shd w:val="clear" w:color="auto" w:fill="auto"/>
          </w:tcPr>
          <w:p>
            <w:pPr>
              <w:pStyle w:val="7"/>
              <w:jc w:val="right"/>
              <w:rPr>
                <w:sz w:val="21"/>
                <w:szCs w:val="21"/>
              </w:rPr>
            </w:pPr>
            <w:r>
              <w:rPr>
                <w:rFonts w:hint="eastAsia"/>
                <w:sz w:val="21"/>
                <w:szCs w:val="21"/>
              </w:rPr>
              <w:t xml:space="preserve">267,689.50 </w:t>
            </w:r>
          </w:p>
        </w:tc>
        <w:tc>
          <w:tcPr>
            <w:tcW w:w="2790" w:type="dxa"/>
            <w:shd w:val="clear" w:color="auto" w:fill="auto"/>
          </w:tcPr>
          <w:p>
            <w:pPr>
              <w:pStyle w:val="7"/>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O </w:t>
            </w:r>
          </w:p>
        </w:tc>
        <w:tc>
          <w:tcPr>
            <w:tcW w:w="3840" w:type="dxa"/>
            <w:shd w:val="clear" w:color="auto" w:fill="auto"/>
          </w:tcPr>
          <w:p>
            <w:pPr>
              <w:pStyle w:val="7"/>
              <w:ind w:left="105"/>
              <w:rPr>
                <w:sz w:val="21"/>
                <w:szCs w:val="21"/>
              </w:rPr>
            </w:pPr>
            <w:r>
              <w:rPr>
                <w:rFonts w:hint="eastAsia"/>
                <w:sz w:val="21"/>
                <w:szCs w:val="21"/>
              </w:rPr>
              <w:t xml:space="preserve">居民服务、修理和其他服务业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P </w:t>
            </w:r>
          </w:p>
        </w:tc>
        <w:tc>
          <w:tcPr>
            <w:tcW w:w="3840" w:type="dxa"/>
            <w:shd w:val="clear" w:color="auto" w:fill="auto"/>
          </w:tcPr>
          <w:p>
            <w:pPr>
              <w:pStyle w:val="7"/>
              <w:ind w:left="105"/>
              <w:rPr>
                <w:sz w:val="21"/>
                <w:szCs w:val="21"/>
              </w:rPr>
            </w:pPr>
            <w:r>
              <w:rPr>
                <w:rFonts w:hint="eastAsia"/>
                <w:sz w:val="21"/>
                <w:szCs w:val="21"/>
              </w:rPr>
              <w:t xml:space="preserve">教育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Q </w:t>
            </w:r>
          </w:p>
        </w:tc>
        <w:tc>
          <w:tcPr>
            <w:tcW w:w="3840" w:type="dxa"/>
            <w:shd w:val="clear" w:color="auto" w:fill="auto"/>
          </w:tcPr>
          <w:p>
            <w:pPr>
              <w:pStyle w:val="7"/>
              <w:ind w:left="105"/>
              <w:rPr>
                <w:sz w:val="21"/>
                <w:szCs w:val="21"/>
              </w:rPr>
            </w:pPr>
            <w:r>
              <w:rPr>
                <w:rFonts w:hint="eastAsia"/>
                <w:sz w:val="21"/>
                <w:szCs w:val="21"/>
              </w:rPr>
              <w:t xml:space="preserve">卫生和社会工作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R </w:t>
            </w:r>
          </w:p>
        </w:tc>
        <w:tc>
          <w:tcPr>
            <w:tcW w:w="3840" w:type="dxa"/>
            <w:shd w:val="clear" w:color="auto" w:fill="auto"/>
          </w:tcPr>
          <w:p>
            <w:pPr>
              <w:pStyle w:val="7"/>
              <w:ind w:left="105"/>
              <w:rPr>
                <w:sz w:val="21"/>
                <w:szCs w:val="21"/>
              </w:rPr>
            </w:pPr>
            <w:r>
              <w:rPr>
                <w:rFonts w:hint="eastAsia"/>
                <w:sz w:val="21"/>
                <w:szCs w:val="21"/>
              </w:rPr>
              <w:t xml:space="preserve">文化、体育和娱乐业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S </w:t>
            </w:r>
          </w:p>
        </w:tc>
        <w:tc>
          <w:tcPr>
            <w:tcW w:w="3840" w:type="dxa"/>
            <w:shd w:val="clear" w:color="auto" w:fill="auto"/>
          </w:tcPr>
          <w:p>
            <w:pPr>
              <w:pStyle w:val="7"/>
              <w:ind w:left="105"/>
              <w:rPr>
                <w:sz w:val="21"/>
                <w:szCs w:val="21"/>
              </w:rPr>
            </w:pPr>
            <w:r>
              <w:rPr>
                <w:rFonts w:hint="eastAsia"/>
                <w:sz w:val="21"/>
                <w:szCs w:val="21"/>
              </w:rPr>
              <w:t xml:space="preserve">综合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rPr>
                <w:rFonts w:ascii="宋体" w:hAnsi="宋体" w:eastAsia="宋体" w:cs="宋体"/>
                <w:szCs w:val="21"/>
              </w:rPr>
            </w:pPr>
          </w:p>
        </w:tc>
        <w:tc>
          <w:tcPr>
            <w:tcW w:w="3840" w:type="dxa"/>
            <w:shd w:val="clear" w:color="auto" w:fill="auto"/>
          </w:tcPr>
          <w:p>
            <w:pPr>
              <w:pStyle w:val="7"/>
              <w:ind w:left="105"/>
              <w:rPr>
                <w:sz w:val="21"/>
                <w:szCs w:val="21"/>
              </w:rPr>
            </w:pPr>
            <w:r>
              <w:rPr>
                <w:rFonts w:hint="eastAsia"/>
                <w:sz w:val="21"/>
                <w:szCs w:val="21"/>
              </w:rPr>
              <w:t xml:space="preserve">合计 </w:t>
            </w:r>
          </w:p>
        </w:tc>
        <w:tc>
          <w:tcPr>
            <w:tcW w:w="3255" w:type="dxa"/>
            <w:shd w:val="clear" w:color="auto" w:fill="auto"/>
          </w:tcPr>
          <w:p>
            <w:pPr>
              <w:pStyle w:val="7"/>
              <w:jc w:val="right"/>
              <w:rPr>
                <w:sz w:val="21"/>
                <w:szCs w:val="21"/>
              </w:rPr>
            </w:pPr>
            <w:r>
              <w:rPr>
                <w:rFonts w:hint="eastAsia"/>
                <w:sz w:val="21"/>
                <w:szCs w:val="21"/>
              </w:rPr>
              <w:t xml:space="preserve">1,338,634,335.84 </w:t>
            </w:r>
          </w:p>
        </w:tc>
        <w:tc>
          <w:tcPr>
            <w:tcW w:w="2790" w:type="dxa"/>
            <w:shd w:val="clear" w:color="auto" w:fill="auto"/>
          </w:tcPr>
          <w:p>
            <w:pPr>
              <w:pStyle w:val="7"/>
              <w:jc w:val="right"/>
              <w:rPr>
                <w:sz w:val="21"/>
                <w:szCs w:val="21"/>
              </w:rPr>
            </w:pPr>
            <w:r>
              <w:rPr>
                <w:rFonts w:hint="eastAsia"/>
                <w:sz w:val="21"/>
                <w:szCs w:val="21"/>
              </w:rPr>
              <w:t xml:space="preserve">68.92 </w:t>
            </w:r>
          </w:p>
        </w:tc>
      </w:tr>
    </w:tbl>
    <w:p>
      <w:pPr>
        <w:pStyle w:val="7"/>
        <w:spacing w:before="0" w:beforeAutospacing="0" w:after="0" w:afterAutospacing="0" w:line="360" w:lineRule="auto"/>
        <w:ind w:firstLine="420"/>
        <w:rPr>
          <w:sz w:val="21"/>
          <w:szCs w:val="21"/>
        </w:rPr>
      </w:pPr>
      <w:r>
        <w:rPr>
          <w:rFonts w:hint="eastAsia"/>
          <w:sz w:val="21"/>
          <w:szCs w:val="21"/>
        </w:rPr>
        <w:t xml:space="preserve">2.2报告期末按行业分类的港股通投资股票投资组合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6"/>
        <w:gridCol w:w="3038"/>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jc w:val="center"/>
              <w:rPr>
                <w:sz w:val="21"/>
                <w:szCs w:val="21"/>
              </w:rPr>
            </w:pPr>
            <w:r>
              <w:rPr>
                <w:rFonts w:hint="eastAsia"/>
                <w:sz w:val="21"/>
                <w:szCs w:val="21"/>
              </w:rPr>
              <w:t xml:space="preserve">行业类别 </w:t>
            </w:r>
          </w:p>
        </w:tc>
        <w:tc>
          <w:tcPr>
            <w:tcW w:w="3540" w:type="dxa"/>
            <w:shd w:val="clear" w:color="auto" w:fill="auto"/>
          </w:tcPr>
          <w:p>
            <w:pPr>
              <w:pStyle w:val="7"/>
              <w:jc w:val="center"/>
              <w:rPr>
                <w:sz w:val="21"/>
                <w:szCs w:val="21"/>
              </w:rPr>
            </w:pPr>
            <w:r>
              <w:rPr>
                <w:rFonts w:hint="eastAsia"/>
                <w:sz w:val="21"/>
                <w:szCs w:val="21"/>
              </w:rPr>
              <w:t xml:space="preserve">公允价值（人民币） </w:t>
            </w:r>
          </w:p>
        </w:tc>
        <w:tc>
          <w:tcPr>
            <w:tcW w:w="354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非日常生活消费品 </w:t>
            </w:r>
          </w:p>
        </w:tc>
        <w:tc>
          <w:tcPr>
            <w:tcW w:w="3540" w:type="dxa"/>
            <w:shd w:val="clear" w:color="auto" w:fill="auto"/>
          </w:tcPr>
          <w:p>
            <w:pPr>
              <w:pStyle w:val="7"/>
              <w:jc w:val="right"/>
              <w:rPr>
                <w:sz w:val="21"/>
                <w:szCs w:val="21"/>
              </w:rPr>
            </w:pPr>
            <w:r>
              <w:rPr>
                <w:rFonts w:hint="eastAsia"/>
                <w:sz w:val="21"/>
                <w:szCs w:val="21"/>
              </w:rPr>
              <w:t xml:space="preserve">203,371,955.69 </w:t>
            </w:r>
          </w:p>
        </w:tc>
        <w:tc>
          <w:tcPr>
            <w:tcW w:w="3540" w:type="dxa"/>
            <w:shd w:val="clear" w:color="auto" w:fill="auto"/>
          </w:tcPr>
          <w:p>
            <w:pPr>
              <w:pStyle w:val="7"/>
              <w:jc w:val="right"/>
              <w:rPr>
                <w:sz w:val="21"/>
                <w:szCs w:val="21"/>
              </w:rPr>
            </w:pPr>
            <w:r>
              <w:rPr>
                <w:rFonts w:hint="eastAsia"/>
                <w:sz w:val="21"/>
                <w:szCs w:val="21"/>
              </w:rPr>
              <w:t xml:space="preserve">10.47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日常消费品 </w:t>
            </w:r>
          </w:p>
        </w:tc>
        <w:tc>
          <w:tcPr>
            <w:tcW w:w="3540" w:type="dxa"/>
            <w:shd w:val="clear" w:color="auto" w:fill="auto"/>
          </w:tcPr>
          <w:p>
            <w:pPr>
              <w:pStyle w:val="7"/>
              <w:jc w:val="right"/>
              <w:rPr>
                <w:sz w:val="21"/>
                <w:szCs w:val="21"/>
              </w:rPr>
            </w:pPr>
            <w:r>
              <w:rPr>
                <w:rFonts w:hint="eastAsia"/>
                <w:sz w:val="21"/>
                <w:szCs w:val="21"/>
              </w:rPr>
              <w:t xml:space="preserve">146,411,435.64 </w:t>
            </w:r>
          </w:p>
        </w:tc>
        <w:tc>
          <w:tcPr>
            <w:tcW w:w="3540" w:type="dxa"/>
            <w:shd w:val="clear" w:color="auto" w:fill="auto"/>
          </w:tcPr>
          <w:p>
            <w:pPr>
              <w:pStyle w:val="7"/>
              <w:jc w:val="right"/>
              <w:rPr>
                <w:sz w:val="21"/>
                <w:szCs w:val="21"/>
              </w:rPr>
            </w:pPr>
            <w:r>
              <w:rPr>
                <w:rFonts w:hint="eastAsia"/>
                <w:sz w:val="21"/>
                <w:szCs w:val="21"/>
              </w:rPr>
              <w:t xml:space="preserve">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信息技术 </w:t>
            </w:r>
          </w:p>
        </w:tc>
        <w:tc>
          <w:tcPr>
            <w:tcW w:w="3540" w:type="dxa"/>
            <w:shd w:val="clear" w:color="auto" w:fill="auto"/>
          </w:tcPr>
          <w:p>
            <w:pPr>
              <w:pStyle w:val="7"/>
              <w:jc w:val="right"/>
              <w:rPr>
                <w:sz w:val="21"/>
                <w:szCs w:val="21"/>
              </w:rPr>
            </w:pPr>
            <w:r>
              <w:rPr>
                <w:rFonts w:hint="eastAsia"/>
                <w:sz w:val="21"/>
                <w:szCs w:val="21"/>
              </w:rPr>
              <w:t xml:space="preserve">54,666,703.76 </w:t>
            </w:r>
          </w:p>
        </w:tc>
        <w:tc>
          <w:tcPr>
            <w:tcW w:w="3540" w:type="dxa"/>
            <w:shd w:val="clear" w:color="auto" w:fill="auto"/>
          </w:tcPr>
          <w:p>
            <w:pPr>
              <w:pStyle w:val="7"/>
              <w:jc w:val="right"/>
              <w:rPr>
                <w:sz w:val="21"/>
                <w:szCs w:val="21"/>
              </w:rPr>
            </w:pPr>
            <w:r>
              <w:rPr>
                <w:rFonts w:hint="eastAsia"/>
                <w:sz w:val="21"/>
                <w:szCs w:val="21"/>
              </w:rPr>
              <w:t xml:space="preserve">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合计 </w:t>
            </w:r>
          </w:p>
        </w:tc>
        <w:tc>
          <w:tcPr>
            <w:tcW w:w="3540" w:type="dxa"/>
            <w:shd w:val="clear" w:color="auto" w:fill="auto"/>
          </w:tcPr>
          <w:p>
            <w:pPr>
              <w:pStyle w:val="7"/>
              <w:jc w:val="right"/>
              <w:rPr>
                <w:sz w:val="21"/>
                <w:szCs w:val="21"/>
              </w:rPr>
            </w:pPr>
            <w:r>
              <w:rPr>
                <w:rFonts w:hint="eastAsia"/>
                <w:sz w:val="21"/>
                <w:szCs w:val="21"/>
              </w:rPr>
              <w:t xml:space="preserve">404,450,095.09 </w:t>
            </w:r>
          </w:p>
        </w:tc>
        <w:tc>
          <w:tcPr>
            <w:tcW w:w="3540" w:type="dxa"/>
            <w:shd w:val="clear" w:color="auto" w:fill="auto"/>
          </w:tcPr>
          <w:p>
            <w:pPr>
              <w:pStyle w:val="7"/>
              <w:jc w:val="right"/>
              <w:rPr>
                <w:sz w:val="21"/>
                <w:szCs w:val="21"/>
              </w:rPr>
            </w:pPr>
            <w:r>
              <w:rPr>
                <w:rFonts w:hint="eastAsia"/>
                <w:sz w:val="21"/>
                <w:szCs w:val="21"/>
              </w:rPr>
              <w:t xml:space="preserve">20.82 </w:t>
            </w:r>
          </w:p>
        </w:tc>
      </w:tr>
    </w:tbl>
    <w:p>
      <w:pPr>
        <w:pStyle w:val="7"/>
        <w:spacing w:before="0" w:beforeAutospacing="0" w:after="0" w:afterAutospacing="0" w:line="360" w:lineRule="auto"/>
        <w:ind w:firstLine="420"/>
        <w:rPr>
          <w:sz w:val="21"/>
          <w:szCs w:val="21"/>
        </w:rPr>
      </w:pPr>
      <w:r>
        <w:rPr>
          <w:rFonts w:hint="eastAsia"/>
          <w:sz w:val="21"/>
          <w:szCs w:val="21"/>
        </w:rPr>
        <w:t xml:space="preserve">注：以上分类采用彭博提供的国际通用行业分类标准。 </w:t>
      </w:r>
    </w:p>
    <w:p>
      <w:pPr>
        <w:pStyle w:val="7"/>
        <w:spacing w:before="0" w:beforeAutospacing="0" w:after="0" w:afterAutospacing="0" w:line="360" w:lineRule="auto"/>
        <w:ind w:firstLine="420"/>
        <w:rPr>
          <w:sz w:val="21"/>
          <w:szCs w:val="21"/>
        </w:rPr>
      </w:pPr>
      <w:r>
        <w:rPr>
          <w:rFonts w:hint="eastAsia"/>
          <w:sz w:val="21"/>
          <w:szCs w:val="21"/>
        </w:rPr>
        <w:t xml:space="preserve">3报告期末按公允价值占基金资产净值比例大小排序的前十名股票投资明细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226"/>
        <w:gridCol w:w="1080"/>
        <w:gridCol w:w="1664"/>
        <w:gridCol w:w="190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序号 </w:t>
            </w:r>
          </w:p>
        </w:tc>
        <w:tc>
          <w:tcPr>
            <w:tcW w:w="1470" w:type="dxa"/>
            <w:shd w:val="clear" w:color="auto" w:fill="auto"/>
          </w:tcPr>
          <w:p>
            <w:pPr>
              <w:pStyle w:val="7"/>
              <w:jc w:val="center"/>
              <w:rPr>
                <w:sz w:val="21"/>
                <w:szCs w:val="21"/>
              </w:rPr>
            </w:pPr>
            <w:r>
              <w:rPr>
                <w:rFonts w:hint="eastAsia"/>
                <w:sz w:val="21"/>
                <w:szCs w:val="21"/>
              </w:rPr>
              <w:t xml:space="preserve">股票代码 </w:t>
            </w:r>
          </w:p>
        </w:tc>
        <w:tc>
          <w:tcPr>
            <w:tcW w:w="1500" w:type="dxa"/>
            <w:shd w:val="clear" w:color="auto" w:fill="auto"/>
          </w:tcPr>
          <w:p>
            <w:pPr>
              <w:pStyle w:val="7"/>
              <w:jc w:val="center"/>
              <w:rPr>
                <w:sz w:val="21"/>
                <w:szCs w:val="21"/>
              </w:rPr>
            </w:pPr>
            <w:r>
              <w:rPr>
                <w:rFonts w:hint="eastAsia"/>
                <w:sz w:val="21"/>
                <w:szCs w:val="21"/>
              </w:rPr>
              <w:t xml:space="preserve">股票名称 </w:t>
            </w:r>
          </w:p>
        </w:tc>
        <w:tc>
          <w:tcPr>
            <w:tcW w:w="1920" w:type="dxa"/>
            <w:shd w:val="clear" w:color="auto" w:fill="auto"/>
          </w:tcPr>
          <w:p>
            <w:pPr>
              <w:pStyle w:val="7"/>
              <w:jc w:val="center"/>
              <w:rPr>
                <w:sz w:val="21"/>
                <w:szCs w:val="21"/>
              </w:rPr>
            </w:pPr>
            <w:r>
              <w:rPr>
                <w:rFonts w:hint="eastAsia"/>
                <w:sz w:val="21"/>
                <w:szCs w:val="21"/>
              </w:rPr>
              <w:t xml:space="preserve">数量(股) </w:t>
            </w:r>
          </w:p>
        </w:tc>
        <w:tc>
          <w:tcPr>
            <w:tcW w:w="2040" w:type="dxa"/>
            <w:shd w:val="clear" w:color="auto" w:fill="auto"/>
          </w:tcPr>
          <w:p>
            <w:pPr>
              <w:pStyle w:val="7"/>
              <w:jc w:val="center"/>
              <w:rPr>
                <w:sz w:val="21"/>
                <w:szCs w:val="21"/>
              </w:rPr>
            </w:pPr>
            <w:r>
              <w:rPr>
                <w:rFonts w:hint="eastAsia"/>
                <w:sz w:val="21"/>
                <w:szCs w:val="21"/>
              </w:rPr>
              <w:t xml:space="preserve">公允价值(元) </w:t>
            </w:r>
          </w:p>
        </w:tc>
        <w:tc>
          <w:tcPr>
            <w:tcW w:w="283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1470" w:type="dxa"/>
            <w:shd w:val="clear" w:color="auto" w:fill="auto"/>
          </w:tcPr>
          <w:p>
            <w:pPr>
              <w:pStyle w:val="7"/>
              <w:jc w:val="center"/>
              <w:rPr>
                <w:sz w:val="21"/>
                <w:szCs w:val="21"/>
              </w:rPr>
            </w:pPr>
            <w:r>
              <w:rPr>
                <w:rFonts w:hint="eastAsia"/>
                <w:sz w:val="21"/>
                <w:szCs w:val="21"/>
              </w:rPr>
              <w:t xml:space="preserve">002385 </w:t>
            </w:r>
          </w:p>
        </w:tc>
        <w:tc>
          <w:tcPr>
            <w:tcW w:w="1500" w:type="dxa"/>
            <w:shd w:val="clear" w:color="auto" w:fill="auto"/>
          </w:tcPr>
          <w:p>
            <w:pPr>
              <w:pStyle w:val="7"/>
              <w:jc w:val="center"/>
              <w:rPr>
                <w:sz w:val="21"/>
                <w:szCs w:val="21"/>
              </w:rPr>
            </w:pPr>
            <w:r>
              <w:rPr>
                <w:rFonts w:hint="eastAsia"/>
                <w:sz w:val="21"/>
                <w:szCs w:val="21"/>
              </w:rPr>
              <w:t xml:space="preserve">大北农 </w:t>
            </w:r>
          </w:p>
        </w:tc>
        <w:tc>
          <w:tcPr>
            <w:tcW w:w="1920" w:type="dxa"/>
            <w:shd w:val="clear" w:color="auto" w:fill="auto"/>
          </w:tcPr>
          <w:p>
            <w:pPr>
              <w:pStyle w:val="7"/>
              <w:jc w:val="right"/>
              <w:rPr>
                <w:sz w:val="21"/>
                <w:szCs w:val="21"/>
              </w:rPr>
            </w:pPr>
            <w:r>
              <w:rPr>
                <w:rFonts w:hint="eastAsia"/>
                <w:sz w:val="21"/>
                <w:szCs w:val="21"/>
              </w:rPr>
              <w:t xml:space="preserve">15,440,650 </w:t>
            </w:r>
          </w:p>
        </w:tc>
        <w:tc>
          <w:tcPr>
            <w:tcW w:w="2040" w:type="dxa"/>
            <w:shd w:val="clear" w:color="auto" w:fill="auto"/>
          </w:tcPr>
          <w:p>
            <w:pPr>
              <w:pStyle w:val="7"/>
              <w:jc w:val="right"/>
              <w:rPr>
                <w:sz w:val="21"/>
                <w:szCs w:val="21"/>
              </w:rPr>
            </w:pPr>
            <w:r>
              <w:rPr>
                <w:rFonts w:hint="eastAsia"/>
                <w:sz w:val="21"/>
                <w:szCs w:val="21"/>
              </w:rPr>
              <w:t xml:space="preserve">120,591,476.50 </w:t>
            </w:r>
          </w:p>
        </w:tc>
        <w:tc>
          <w:tcPr>
            <w:tcW w:w="2835" w:type="dxa"/>
            <w:shd w:val="clear" w:color="auto" w:fill="auto"/>
          </w:tcPr>
          <w:p>
            <w:pPr>
              <w:pStyle w:val="7"/>
              <w:jc w:val="right"/>
              <w:rPr>
                <w:sz w:val="21"/>
                <w:szCs w:val="21"/>
              </w:rPr>
            </w:pPr>
            <w:r>
              <w:rPr>
                <w:rFonts w:hint="eastAsia"/>
                <w:sz w:val="21"/>
                <w:szCs w:val="21"/>
              </w:rPr>
              <w:t xml:space="preserve">6.21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1470" w:type="dxa"/>
            <w:shd w:val="clear" w:color="auto" w:fill="auto"/>
          </w:tcPr>
          <w:p>
            <w:pPr>
              <w:pStyle w:val="7"/>
              <w:jc w:val="center"/>
              <w:rPr>
                <w:sz w:val="21"/>
                <w:szCs w:val="21"/>
              </w:rPr>
            </w:pPr>
            <w:r>
              <w:rPr>
                <w:rFonts w:hint="eastAsia"/>
                <w:sz w:val="21"/>
                <w:szCs w:val="21"/>
              </w:rPr>
              <w:t xml:space="preserve">002714 </w:t>
            </w:r>
          </w:p>
        </w:tc>
        <w:tc>
          <w:tcPr>
            <w:tcW w:w="1500" w:type="dxa"/>
            <w:shd w:val="clear" w:color="auto" w:fill="auto"/>
          </w:tcPr>
          <w:p>
            <w:pPr>
              <w:pStyle w:val="7"/>
              <w:jc w:val="center"/>
              <w:rPr>
                <w:sz w:val="21"/>
                <w:szCs w:val="21"/>
              </w:rPr>
            </w:pPr>
            <w:r>
              <w:rPr>
                <w:rFonts w:hint="eastAsia"/>
                <w:sz w:val="21"/>
                <w:szCs w:val="21"/>
              </w:rPr>
              <w:t xml:space="preserve">牧原股份 </w:t>
            </w:r>
          </w:p>
        </w:tc>
        <w:tc>
          <w:tcPr>
            <w:tcW w:w="1920" w:type="dxa"/>
            <w:shd w:val="clear" w:color="auto" w:fill="auto"/>
          </w:tcPr>
          <w:p>
            <w:pPr>
              <w:pStyle w:val="7"/>
              <w:jc w:val="right"/>
              <w:rPr>
                <w:sz w:val="21"/>
                <w:szCs w:val="21"/>
              </w:rPr>
            </w:pPr>
            <w:r>
              <w:rPr>
                <w:rFonts w:hint="eastAsia"/>
                <w:sz w:val="21"/>
                <w:szCs w:val="21"/>
              </w:rPr>
              <w:t xml:space="preserve">1,999,787 </w:t>
            </w:r>
          </w:p>
        </w:tc>
        <w:tc>
          <w:tcPr>
            <w:tcW w:w="2040" w:type="dxa"/>
            <w:shd w:val="clear" w:color="auto" w:fill="auto"/>
          </w:tcPr>
          <w:p>
            <w:pPr>
              <w:pStyle w:val="7"/>
              <w:jc w:val="right"/>
              <w:rPr>
                <w:sz w:val="21"/>
                <w:szCs w:val="21"/>
              </w:rPr>
            </w:pPr>
            <w:r>
              <w:rPr>
                <w:rFonts w:hint="eastAsia"/>
                <w:sz w:val="21"/>
                <w:szCs w:val="21"/>
              </w:rPr>
              <w:t xml:space="preserve">110,528,227.49 </w:t>
            </w:r>
          </w:p>
        </w:tc>
        <w:tc>
          <w:tcPr>
            <w:tcW w:w="2835" w:type="dxa"/>
            <w:shd w:val="clear" w:color="auto" w:fill="auto"/>
          </w:tcPr>
          <w:p>
            <w:pPr>
              <w:pStyle w:val="7"/>
              <w:jc w:val="right"/>
              <w:rPr>
                <w:sz w:val="21"/>
                <w:szCs w:val="21"/>
              </w:rPr>
            </w:pPr>
            <w:r>
              <w:rPr>
                <w:rFonts w:hint="eastAsia"/>
                <w:sz w:val="21"/>
                <w:szCs w:val="21"/>
              </w:rPr>
              <w:t xml:space="preserve">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1470" w:type="dxa"/>
            <w:shd w:val="clear" w:color="auto" w:fill="auto"/>
          </w:tcPr>
          <w:p>
            <w:pPr>
              <w:pStyle w:val="7"/>
              <w:jc w:val="center"/>
              <w:rPr>
                <w:sz w:val="21"/>
                <w:szCs w:val="21"/>
              </w:rPr>
            </w:pPr>
            <w:r>
              <w:rPr>
                <w:rFonts w:hint="eastAsia"/>
                <w:sz w:val="21"/>
                <w:szCs w:val="21"/>
              </w:rPr>
              <w:t xml:space="preserve">300498 </w:t>
            </w:r>
          </w:p>
        </w:tc>
        <w:tc>
          <w:tcPr>
            <w:tcW w:w="1500" w:type="dxa"/>
            <w:shd w:val="clear" w:color="auto" w:fill="auto"/>
          </w:tcPr>
          <w:p>
            <w:pPr>
              <w:pStyle w:val="7"/>
              <w:jc w:val="center"/>
              <w:rPr>
                <w:sz w:val="21"/>
                <w:szCs w:val="21"/>
              </w:rPr>
            </w:pPr>
            <w:r>
              <w:rPr>
                <w:rFonts w:hint="eastAsia"/>
                <w:sz w:val="21"/>
                <w:szCs w:val="21"/>
              </w:rPr>
              <w:t xml:space="preserve">温氏股份 </w:t>
            </w:r>
          </w:p>
        </w:tc>
        <w:tc>
          <w:tcPr>
            <w:tcW w:w="1920" w:type="dxa"/>
            <w:shd w:val="clear" w:color="auto" w:fill="auto"/>
          </w:tcPr>
          <w:p>
            <w:pPr>
              <w:pStyle w:val="7"/>
              <w:jc w:val="right"/>
              <w:rPr>
                <w:sz w:val="21"/>
                <w:szCs w:val="21"/>
              </w:rPr>
            </w:pPr>
            <w:r>
              <w:rPr>
                <w:rFonts w:hint="eastAsia"/>
                <w:sz w:val="21"/>
                <w:szCs w:val="21"/>
              </w:rPr>
              <w:t xml:space="preserve">4,512,280 </w:t>
            </w:r>
          </w:p>
        </w:tc>
        <w:tc>
          <w:tcPr>
            <w:tcW w:w="2040" w:type="dxa"/>
            <w:shd w:val="clear" w:color="auto" w:fill="auto"/>
          </w:tcPr>
          <w:p>
            <w:pPr>
              <w:pStyle w:val="7"/>
              <w:jc w:val="right"/>
              <w:rPr>
                <w:sz w:val="21"/>
                <w:szCs w:val="21"/>
              </w:rPr>
            </w:pPr>
            <w:r>
              <w:rPr>
                <w:rFonts w:hint="eastAsia"/>
                <w:sz w:val="21"/>
                <w:szCs w:val="21"/>
              </w:rPr>
              <w:t xml:space="preserve">96,066,441.20 </w:t>
            </w:r>
          </w:p>
        </w:tc>
        <w:tc>
          <w:tcPr>
            <w:tcW w:w="2835" w:type="dxa"/>
            <w:shd w:val="clear" w:color="auto" w:fill="auto"/>
          </w:tcPr>
          <w:p>
            <w:pPr>
              <w:pStyle w:val="7"/>
              <w:jc w:val="right"/>
              <w:rPr>
                <w:sz w:val="21"/>
                <w:szCs w:val="21"/>
              </w:rPr>
            </w:pPr>
            <w:r>
              <w:rPr>
                <w:rFonts w:hint="eastAsia"/>
                <w:sz w:val="21"/>
                <w:szCs w:val="21"/>
              </w:rPr>
              <w:t xml:space="preserve">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1470" w:type="dxa"/>
            <w:shd w:val="clear" w:color="auto" w:fill="auto"/>
          </w:tcPr>
          <w:p>
            <w:pPr>
              <w:pStyle w:val="7"/>
              <w:jc w:val="center"/>
              <w:rPr>
                <w:sz w:val="21"/>
                <w:szCs w:val="21"/>
              </w:rPr>
            </w:pPr>
            <w:r>
              <w:rPr>
                <w:rFonts w:hint="eastAsia"/>
                <w:sz w:val="21"/>
                <w:szCs w:val="21"/>
              </w:rPr>
              <w:t xml:space="preserve">600519 </w:t>
            </w:r>
          </w:p>
        </w:tc>
        <w:tc>
          <w:tcPr>
            <w:tcW w:w="1500" w:type="dxa"/>
            <w:shd w:val="clear" w:color="auto" w:fill="auto"/>
          </w:tcPr>
          <w:p>
            <w:pPr>
              <w:pStyle w:val="7"/>
              <w:jc w:val="center"/>
              <w:rPr>
                <w:sz w:val="21"/>
                <w:szCs w:val="21"/>
              </w:rPr>
            </w:pPr>
            <w:r>
              <w:rPr>
                <w:rFonts w:hint="eastAsia"/>
                <w:sz w:val="21"/>
                <w:szCs w:val="21"/>
              </w:rPr>
              <w:t xml:space="preserve">贵州茅台 </w:t>
            </w:r>
          </w:p>
        </w:tc>
        <w:tc>
          <w:tcPr>
            <w:tcW w:w="1920" w:type="dxa"/>
            <w:shd w:val="clear" w:color="auto" w:fill="auto"/>
          </w:tcPr>
          <w:p>
            <w:pPr>
              <w:pStyle w:val="7"/>
              <w:jc w:val="right"/>
              <w:rPr>
                <w:sz w:val="21"/>
                <w:szCs w:val="21"/>
              </w:rPr>
            </w:pPr>
            <w:r>
              <w:rPr>
                <w:rFonts w:hint="eastAsia"/>
                <w:sz w:val="21"/>
                <w:szCs w:val="21"/>
              </w:rPr>
              <w:t xml:space="preserve">45,100 </w:t>
            </w:r>
          </w:p>
        </w:tc>
        <w:tc>
          <w:tcPr>
            <w:tcW w:w="2040" w:type="dxa"/>
            <w:shd w:val="clear" w:color="auto" w:fill="auto"/>
          </w:tcPr>
          <w:p>
            <w:pPr>
              <w:pStyle w:val="7"/>
              <w:jc w:val="right"/>
              <w:rPr>
                <w:sz w:val="21"/>
                <w:szCs w:val="21"/>
              </w:rPr>
            </w:pPr>
            <w:r>
              <w:rPr>
                <w:rFonts w:hint="eastAsia"/>
                <w:sz w:val="21"/>
                <w:szCs w:val="21"/>
              </w:rPr>
              <w:t xml:space="preserve">92,229,500.00 </w:t>
            </w:r>
          </w:p>
        </w:tc>
        <w:tc>
          <w:tcPr>
            <w:tcW w:w="2835" w:type="dxa"/>
            <w:shd w:val="clear" w:color="auto" w:fill="auto"/>
          </w:tcPr>
          <w:p>
            <w:pPr>
              <w:pStyle w:val="7"/>
              <w:jc w:val="right"/>
              <w:rPr>
                <w:sz w:val="21"/>
                <w:szCs w:val="21"/>
              </w:rPr>
            </w:pPr>
            <w:r>
              <w:rPr>
                <w:rFonts w:hint="eastAsia"/>
                <w:sz w:val="21"/>
                <w:szCs w:val="21"/>
              </w:rPr>
              <w:t xml:space="preserve">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1470" w:type="dxa"/>
            <w:shd w:val="clear" w:color="auto" w:fill="auto"/>
          </w:tcPr>
          <w:p>
            <w:pPr>
              <w:pStyle w:val="7"/>
              <w:jc w:val="center"/>
              <w:rPr>
                <w:sz w:val="21"/>
                <w:szCs w:val="21"/>
              </w:rPr>
            </w:pPr>
            <w:r>
              <w:rPr>
                <w:rFonts w:hint="eastAsia"/>
                <w:sz w:val="21"/>
                <w:szCs w:val="21"/>
              </w:rPr>
              <w:t xml:space="preserve">601012 </w:t>
            </w:r>
          </w:p>
        </w:tc>
        <w:tc>
          <w:tcPr>
            <w:tcW w:w="1500" w:type="dxa"/>
            <w:shd w:val="clear" w:color="auto" w:fill="auto"/>
          </w:tcPr>
          <w:p>
            <w:pPr>
              <w:pStyle w:val="7"/>
              <w:jc w:val="center"/>
              <w:rPr>
                <w:sz w:val="21"/>
                <w:szCs w:val="21"/>
              </w:rPr>
            </w:pPr>
            <w:r>
              <w:rPr>
                <w:rFonts w:hint="eastAsia"/>
                <w:sz w:val="21"/>
                <w:szCs w:val="21"/>
              </w:rPr>
              <w:t xml:space="preserve">隆基绿能 </w:t>
            </w:r>
          </w:p>
        </w:tc>
        <w:tc>
          <w:tcPr>
            <w:tcW w:w="1920" w:type="dxa"/>
            <w:shd w:val="clear" w:color="auto" w:fill="auto"/>
          </w:tcPr>
          <w:p>
            <w:pPr>
              <w:pStyle w:val="7"/>
              <w:jc w:val="right"/>
              <w:rPr>
                <w:sz w:val="21"/>
                <w:szCs w:val="21"/>
              </w:rPr>
            </w:pPr>
            <w:r>
              <w:rPr>
                <w:rFonts w:hint="eastAsia"/>
                <w:sz w:val="21"/>
                <w:szCs w:val="21"/>
              </w:rPr>
              <w:t xml:space="preserve">1,309,840 </w:t>
            </w:r>
          </w:p>
        </w:tc>
        <w:tc>
          <w:tcPr>
            <w:tcW w:w="2040" w:type="dxa"/>
            <w:shd w:val="clear" w:color="auto" w:fill="auto"/>
          </w:tcPr>
          <w:p>
            <w:pPr>
              <w:pStyle w:val="7"/>
              <w:jc w:val="right"/>
              <w:rPr>
                <w:sz w:val="21"/>
                <w:szCs w:val="21"/>
              </w:rPr>
            </w:pPr>
            <w:r>
              <w:rPr>
                <w:rFonts w:hint="eastAsia"/>
                <w:sz w:val="21"/>
                <w:szCs w:val="21"/>
              </w:rPr>
              <w:t xml:space="preserve">87,274,639.20 </w:t>
            </w:r>
          </w:p>
        </w:tc>
        <w:tc>
          <w:tcPr>
            <w:tcW w:w="2835" w:type="dxa"/>
            <w:shd w:val="clear" w:color="auto" w:fill="auto"/>
          </w:tcPr>
          <w:p>
            <w:pPr>
              <w:pStyle w:val="7"/>
              <w:jc w:val="right"/>
              <w:rPr>
                <w:sz w:val="21"/>
                <w:szCs w:val="21"/>
              </w:rPr>
            </w:pPr>
            <w:r>
              <w:rPr>
                <w:rFonts w:hint="eastAsia"/>
                <w:sz w:val="21"/>
                <w:szCs w:val="21"/>
              </w:rPr>
              <w:t xml:space="preserve">4.49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1470" w:type="dxa"/>
            <w:shd w:val="clear" w:color="auto" w:fill="auto"/>
          </w:tcPr>
          <w:p>
            <w:pPr>
              <w:pStyle w:val="7"/>
              <w:jc w:val="center"/>
              <w:rPr>
                <w:sz w:val="21"/>
                <w:szCs w:val="21"/>
              </w:rPr>
            </w:pPr>
            <w:r>
              <w:rPr>
                <w:rFonts w:hint="eastAsia"/>
                <w:sz w:val="21"/>
                <w:szCs w:val="21"/>
              </w:rPr>
              <w:t xml:space="preserve">6969 </w:t>
            </w:r>
          </w:p>
        </w:tc>
        <w:tc>
          <w:tcPr>
            <w:tcW w:w="1500" w:type="dxa"/>
            <w:shd w:val="clear" w:color="auto" w:fill="auto"/>
          </w:tcPr>
          <w:p>
            <w:pPr>
              <w:pStyle w:val="7"/>
              <w:jc w:val="center"/>
              <w:rPr>
                <w:sz w:val="21"/>
                <w:szCs w:val="21"/>
              </w:rPr>
            </w:pPr>
            <w:r>
              <w:rPr>
                <w:rFonts w:hint="eastAsia"/>
                <w:sz w:val="21"/>
                <w:szCs w:val="21"/>
              </w:rPr>
              <w:t xml:space="preserve">思摩尔国际 </w:t>
            </w:r>
          </w:p>
        </w:tc>
        <w:tc>
          <w:tcPr>
            <w:tcW w:w="1920" w:type="dxa"/>
            <w:shd w:val="clear" w:color="auto" w:fill="auto"/>
          </w:tcPr>
          <w:p>
            <w:pPr>
              <w:pStyle w:val="7"/>
              <w:jc w:val="right"/>
              <w:rPr>
                <w:sz w:val="21"/>
                <w:szCs w:val="21"/>
              </w:rPr>
            </w:pPr>
            <w:r>
              <w:rPr>
                <w:rFonts w:hint="eastAsia"/>
                <w:sz w:val="21"/>
                <w:szCs w:val="21"/>
              </w:rPr>
              <w:t xml:space="preserve">4,077,000 </w:t>
            </w:r>
          </w:p>
        </w:tc>
        <w:tc>
          <w:tcPr>
            <w:tcW w:w="2040" w:type="dxa"/>
            <w:shd w:val="clear" w:color="auto" w:fill="auto"/>
          </w:tcPr>
          <w:p>
            <w:pPr>
              <w:pStyle w:val="7"/>
              <w:jc w:val="right"/>
              <w:rPr>
                <w:sz w:val="21"/>
                <w:szCs w:val="21"/>
              </w:rPr>
            </w:pPr>
            <w:r>
              <w:rPr>
                <w:rFonts w:hint="eastAsia"/>
                <w:sz w:val="21"/>
                <w:szCs w:val="21"/>
              </w:rPr>
              <w:t xml:space="preserve">84,375,953.04 </w:t>
            </w:r>
          </w:p>
        </w:tc>
        <w:tc>
          <w:tcPr>
            <w:tcW w:w="2835" w:type="dxa"/>
            <w:shd w:val="clear" w:color="auto" w:fill="auto"/>
          </w:tcPr>
          <w:p>
            <w:pPr>
              <w:pStyle w:val="7"/>
              <w:jc w:val="right"/>
              <w:rPr>
                <w:sz w:val="21"/>
                <w:szCs w:val="21"/>
              </w:rPr>
            </w:pPr>
            <w:r>
              <w:rPr>
                <w:rFonts w:hint="eastAsia"/>
                <w:sz w:val="21"/>
                <w:szCs w:val="21"/>
              </w:rPr>
              <w:t xml:space="preserve">4.34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1470" w:type="dxa"/>
            <w:shd w:val="clear" w:color="auto" w:fill="auto"/>
          </w:tcPr>
          <w:p>
            <w:pPr>
              <w:pStyle w:val="7"/>
              <w:jc w:val="center"/>
              <w:rPr>
                <w:sz w:val="21"/>
                <w:szCs w:val="21"/>
              </w:rPr>
            </w:pPr>
            <w:r>
              <w:rPr>
                <w:rFonts w:hint="eastAsia"/>
                <w:sz w:val="21"/>
                <w:szCs w:val="21"/>
              </w:rPr>
              <w:t xml:space="preserve">1368 </w:t>
            </w:r>
          </w:p>
        </w:tc>
        <w:tc>
          <w:tcPr>
            <w:tcW w:w="1500" w:type="dxa"/>
            <w:shd w:val="clear" w:color="auto" w:fill="auto"/>
          </w:tcPr>
          <w:p>
            <w:pPr>
              <w:pStyle w:val="7"/>
              <w:jc w:val="center"/>
              <w:rPr>
                <w:sz w:val="21"/>
                <w:szCs w:val="21"/>
              </w:rPr>
            </w:pPr>
            <w:r>
              <w:rPr>
                <w:rFonts w:hint="eastAsia"/>
                <w:sz w:val="21"/>
                <w:szCs w:val="21"/>
              </w:rPr>
              <w:t xml:space="preserve">特步国际 </w:t>
            </w:r>
          </w:p>
        </w:tc>
        <w:tc>
          <w:tcPr>
            <w:tcW w:w="1920" w:type="dxa"/>
            <w:shd w:val="clear" w:color="auto" w:fill="auto"/>
          </w:tcPr>
          <w:p>
            <w:pPr>
              <w:pStyle w:val="7"/>
              <w:jc w:val="right"/>
              <w:rPr>
                <w:sz w:val="21"/>
                <w:szCs w:val="21"/>
              </w:rPr>
            </w:pPr>
            <w:r>
              <w:rPr>
                <w:rFonts w:hint="eastAsia"/>
                <w:sz w:val="21"/>
                <w:szCs w:val="21"/>
              </w:rPr>
              <w:t xml:space="preserve">6,215,500 </w:t>
            </w:r>
          </w:p>
        </w:tc>
        <w:tc>
          <w:tcPr>
            <w:tcW w:w="2040" w:type="dxa"/>
            <w:shd w:val="clear" w:color="auto" w:fill="auto"/>
          </w:tcPr>
          <w:p>
            <w:pPr>
              <w:pStyle w:val="7"/>
              <w:jc w:val="right"/>
              <w:rPr>
                <w:sz w:val="21"/>
                <w:szCs w:val="21"/>
              </w:rPr>
            </w:pPr>
            <w:r>
              <w:rPr>
                <w:rFonts w:hint="eastAsia"/>
                <w:sz w:val="21"/>
                <w:szCs w:val="21"/>
              </w:rPr>
              <w:t xml:space="preserve">75,479,154.92 </w:t>
            </w:r>
          </w:p>
        </w:tc>
        <w:tc>
          <w:tcPr>
            <w:tcW w:w="2835" w:type="dxa"/>
            <w:shd w:val="clear" w:color="auto" w:fill="auto"/>
          </w:tcPr>
          <w:p>
            <w:pPr>
              <w:pStyle w:val="7"/>
              <w:jc w:val="right"/>
              <w:rPr>
                <w:sz w:val="21"/>
                <w:szCs w:val="21"/>
              </w:rPr>
            </w:pPr>
            <w:r>
              <w:rPr>
                <w:rFonts w:hint="eastAsia"/>
                <w:sz w:val="21"/>
                <w:szCs w:val="21"/>
              </w:rPr>
              <w:t xml:space="preserve">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1470" w:type="dxa"/>
            <w:shd w:val="clear" w:color="auto" w:fill="auto"/>
          </w:tcPr>
          <w:p>
            <w:pPr>
              <w:pStyle w:val="7"/>
              <w:jc w:val="center"/>
              <w:rPr>
                <w:sz w:val="21"/>
                <w:szCs w:val="21"/>
              </w:rPr>
            </w:pPr>
            <w:r>
              <w:rPr>
                <w:rFonts w:hint="eastAsia"/>
                <w:sz w:val="21"/>
                <w:szCs w:val="21"/>
              </w:rPr>
              <w:t xml:space="preserve">002241 </w:t>
            </w:r>
          </w:p>
        </w:tc>
        <w:tc>
          <w:tcPr>
            <w:tcW w:w="1500" w:type="dxa"/>
            <w:shd w:val="clear" w:color="auto" w:fill="auto"/>
          </w:tcPr>
          <w:p>
            <w:pPr>
              <w:pStyle w:val="7"/>
              <w:jc w:val="center"/>
              <w:rPr>
                <w:sz w:val="21"/>
                <w:szCs w:val="21"/>
              </w:rPr>
            </w:pPr>
            <w:r>
              <w:rPr>
                <w:rFonts w:hint="eastAsia"/>
                <w:sz w:val="21"/>
                <w:szCs w:val="21"/>
              </w:rPr>
              <w:t xml:space="preserve">歌尔股份 </w:t>
            </w:r>
          </w:p>
        </w:tc>
        <w:tc>
          <w:tcPr>
            <w:tcW w:w="1920" w:type="dxa"/>
            <w:shd w:val="clear" w:color="auto" w:fill="auto"/>
          </w:tcPr>
          <w:p>
            <w:pPr>
              <w:pStyle w:val="7"/>
              <w:jc w:val="right"/>
              <w:rPr>
                <w:sz w:val="21"/>
                <w:szCs w:val="21"/>
              </w:rPr>
            </w:pPr>
            <w:r>
              <w:rPr>
                <w:rFonts w:hint="eastAsia"/>
                <w:sz w:val="21"/>
                <w:szCs w:val="21"/>
              </w:rPr>
              <w:t xml:space="preserve">2,151,247 </w:t>
            </w:r>
          </w:p>
        </w:tc>
        <w:tc>
          <w:tcPr>
            <w:tcW w:w="2040" w:type="dxa"/>
            <w:shd w:val="clear" w:color="auto" w:fill="auto"/>
          </w:tcPr>
          <w:p>
            <w:pPr>
              <w:pStyle w:val="7"/>
              <w:jc w:val="right"/>
              <w:rPr>
                <w:sz w:val="21"/>
                <w:szCs w:val="21"/>
              </w:rPr>
            </w:pPr>
            <w:r>
              <w:rPr>
                <w:rFonts w:hint="eastAsia"/>
                <w:sz w:val="21"/>
                <w:szCs w:val="21"/>
              </w:rPr>
              <w:t xml:space="preserve">72,281,899.20 </w:t>
            </w:r>
          </w:p>
        </w:tc>
        <w:tc>
          <w:tcPr>
            <w:tcW w:w="2835" w:type="dxa"/>
            <w:shd w:val="clear" w:color="auto" w:fill="auto"/>
          </w:tcPr>
          <w:p>
            <w:pPr>
              <w:pStyle w:val="7"/>
              <w:jc w:val="right"/>
              <w:rPr>
                <w:sz w:val="21"/>
                <w:szCs w:val="21"/>
              </w:rPr>
            </w:pPr>
            <w:r>
              <w:rPr>
                <w:rFonts w:hint="eastAsia"/>
                <w:sz w:val="21"/>
                <w:szCs w:val="21"/>
              </w:rPr>
              <w:t xml:space="preserve">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1470" w:type="dxa"/>
            <w:shd w:val="clear" w:color="auto" w:fill="auto"/>
          </w:tcPr>
          <w:p>
            <w:pPr>
              <w:pStyle w:val="7"/>
              <w:jc w:val="center"/>
              <w:rPr>
                <w:sz w:val="21"/>
                <w:szCs w:val="21"/>
              </w:rPr>
            </w:pPr>
            <w:r>
              <w:rPr>
                <w:rFonts w:hint="eastAsia"/>
                <w:sz w:val="21"/>
                <w:szCs w:val="21"/>
              </w:rPr>
              <w:t xml:space="preserve">002572 </w:t>
            </w:r>
          </w:p>
        </w:tc>
        <w:tc>
          <w:tcPr>
            <w:tcW w:w="1500" w:type="dxa"/>
            <w:shd w:val="clear" w:color="auto" w:fill="auto"/>
          </w:tcPr>
          <w:p>
            <w:pPr>
              <w:pStyle w:val="7"/>
              <w:jc w:val="center"/>
              <w:rPr>
                <w:sz w:val="21"/>
                <w:szCs w:val="21"/>
              </w:rPr>
            </w:pPr>
            <w:r>
              <w:rPr>
                <w:rFonts w:hint="eastAsia"/>
                <w:sz w:val="21"/>
                <w:szCs w:val="21"/>
              </w:rPr>
              <w:t xml:space="preserve">索菲亚 </w:t>
            </w:r>
          </w:p>
        </w:tc>
        <w:tc>
          <w:tcPr>
            <w:tcW w:w="1920" w:type="dxa"/>
            <w:shd w:val="clear" w:color="auto" w:fill="auto"/>
          </w:tcPr>
          <w:p>
            <w:pPr>
              <w:pStyle w:val="7"/>
              <w:jc w:val="right"/>
              <w:rPr>
                <w:sz w:val="21"/>
                <w:szCs w:val="21"/>
              </w:rPr>
            </w:pPr>
            <w:r>
              <w:rPr>
                <w:rFonts w:hint="eastAsia"/>
                <w:sz w:val="21"/>
                <w:szCs w:val="21"/>
              </w:rPr>
              <w:t xml:space="preserve">2,559,839 </w:t>
            </w:r>
          </w:p>
        </w:tc>
        <w:tc>
          <w:tcPr>
            <w:tcW w:w="2040" w:type="dxa"/>
            <w:shd w:val="clear" w:color="auto" w:fill="auto"/>
          </w:tcPr>
          <w:p>
            <w:pPr>
              <w:pStyle w:val="7"/>
              <w:jc w:val="right"/>
              <w:rPr>
                <w:sz w:val="21"/>
                <w:szCs w:val="21"/>
              </w:rPr>
            </w:pPr>
            <w:r>
              <w:rPr>
                <w:rFonts w:hint="eastAsia"/>
                <w:sz w:val="21"/>
                <w:szCs w:val="21"/>
              </w:rPr>
              <w:t xml:space="preserve">70,395,572.50 </w:t>
            </w:r>
          </w:p>
        </w:tc>
        <w:tc>
          <w:tcPr>
            <w:tcW w:w="2835" w:type="dxa"/>
            <w:shd w:val="clear" w:color="auto" w:fill="auto"/>
          </w:tcPr>
          <w:p>
            <w:pPr>
              <w:pStyle w:val="7"/>
              <w:jc w:val="right"/>
              <w:rPr>
                <w:sz w:val="21"/>
                <w:szCs w:val="21"/>
              </w:rPr>
            </w:pPr>
            <w:r>
              <w:rPr>
                <w:rFonts w:hint="eastAsia"/>
                <w:sz w:val="21"/>
                <w:szCs w:val="21"/>
              </w:rPr>
              <w:t xml:space="preserve">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10 </w:t>
            </w:r>
          </w:p>
        </w:tc>
        <w:tc>
          <w:tcPr>
            <w:tcW w:w="1470" w:type="dxa"/>
            <w:shd w:val="clear" w:color="auto" w:fill="auto"/>
          </w:tcPr>
          <w:p>
            <w:pPr>
              <w:pStyle w:val="7"/>
              <w:jc w:val="center"/>
              <w:rPr>
                <w:sz w:val="21"/>
                <w:szCs w:val="21"/>
              </w:rPr>
            </w:pPr>
            <w:r>
              <w:rPr>
                <w:rFonts w:hint="eastAsia"/>
                <w:sz w:val="21"/>
                <w:szCs w:val="21"/>
              </w:rPr>
              <w:t xml:space="preserve">000895 </w:t>
            </w:r>
          </w:p>
        </w:tc>
        <w:tc>
          <w:tcPr>
            <w:tcW w:w="1500" w:type="dxa"/>
            <w:shd w:val="clear" w:color="auto" w:fill="auto"/>
          </w:tcPr>
          <w:p>
            <w:pPr>
              <w:pStyle w:val="7"/>
              <w:jc w:val="center"/>
              <w:rPr>
                <w:sz w:val="21"/>
                <w:szCs w:val="21"/>
              </w:rPr>
            </w:pPr>
            <w:r>
              <w:rPr>
                <w:rFonts w:hint="eastAsia"/>
                <w:sz w:val="21"/>
                <w:szCs w:val="21"/>
              </w:rPr>
              <w:t xml:space="preserve">双汇发展 </w:t>
            </w:r>
          </w:p>
        </w:tc>
        <w:tc>
          <w:tcPr>
            <w:tcW w:w="1920" w:type="dxa"/>
            <w:shd w:val="clear" w:color="auto" w:fill="auto"/>
          </w:tcPr>
          <w:p>
            <w:pPr>
              <w:pStyle w:val="7"/>
              <w:jc w:val="right"/>
              <w:rPr>
                <w:sz w:val="21"/>
                <w:szCs w:val="21"/>
              </w:rPr>
            </w:pPr>
            <w:r>
              <w:rPr>
                <w:rFonts w:hint="eastAsia"/>
                <w:sz w:val="21"/>
                <w:szCs w:val="21"/>
              </w:rPr>
              <w:t xml:space="preserve">2,122,500 </w:t>
            </w:r>
          </w:p>
        </w:tc>
        <w:tc>
          <w:tcPr>
            <w:tcW w:w="2040" w:type="dxa"/>
            <w:shd w:val="clear" w:color="auto" w:fill="auto"/>
          </w:tcPr>
          <w:p>
            <w:pPr>
              <w:pStyle w:val="7"/>
              <w:jc w:val="right"/>
              <w:rPr>
                <w:sz w:val="21"/>
                <w:szCs w:val="21"/>
              </w:rPr>
            </w:pPr>
            <w:r>
              <w:rPr>
                <w:rFonts w:hint="eastAsia"/>
                <w:sz w:val="21"/>
                <w:szCs w:val="21"/>
              </w:rPr>
              <w:t xml:space="preserve">62,189,250.00 </w:t>
            </w:r>
          </w:p>
        </w:tc>
        <w:tc>
          <w:tcPr>
            <w:tcW w:w="2835" w:type="dxa"/>
            <w:shd w:val="clear" w:color="auto" w:fill="auto"/>
          </w:tcPr>
          <w:p>
            <w:pPr>
              <w:pStyle w:val="7"/>
              <w:jc w:val="right"/>
              <w:rPr>
                <w:sz w:val="21"/>
                <w:szCs w:val="21"/>
              </w:rPr>
            </w:pPr>
            <w:r>
              <w:rPr>
                <w:rFonts w:hint="eastAsia"/>
                <w:sz w:val="21"/>
                <w:szCs w:val="21"/>
              </w:rPr>
              <w:t xml:space="preserve">3.20 </w:t>
            </w:r>
          </w:p>
        </w:tc>
      </w:tr>
    </w:tbl>
    <w:p>
      <w:pPr>
        <w:pStyle w:val="7"/>
        <w:spacing w:before="0" w:beforeAutospacing="0" w:after="0" w:afterAutospacing="0" w:line="360" w:lineRule="auto"/>
        <w:ind w:firstLine="420"/>
        <w:rPr>
          <w:sz w:val="21"/>
          <w:szCs w:val="21"/>
        </w:rPr>
      </w:pPr>
      <w:r>
        <w:rPr>
          <w:rFonts w:hint="eastAsia"/>
          <w:sz w:val="21"/>
          <w:szCs w:val="21"/>
        </w:rPr>
        <w:t xml:space="preserve">4报告期末按债券品种分类的债券投资组合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5报告期末按公允价值占基金资产净值比例大小排序的前五名债券投资明细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6报告期末按公允价值占基金资产净值比例大小排序的前十名资产支持证券投资明细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769"/>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shd w:val="clear" w:color="auto" w:fill="auto"/>
          </w:tcPr>
          <w:p>
            <w:pPr>
              <w:pStyle w:val="7"/>
              <w:jc w:val="center"/>
              <w:rPr>
                <w:sz w:val="21"/>
                <w:szCs w:val="21"/>
              </w:rPr>
            </w:pPr>
            <w:r>
              <w:rPr>
                <w:rFonts w:hint="eastAsia"/>
                <w:sz w:val="21"/>
                <w:szCs w:val="21"/>
              </w:rPr>
              <w:t xml:space="preserve">序号 </w:t>
            </w:r>
          </w:p>
        </w:tc>
        <w:tc>
          <w:tcPr>
            <w:tcW w:w="4890" w:type="dxa"/>
            <w:shd w:val="clear" w:color="auto" w:fill="auto"/>
          </w:tcPr>
          <w:p>
            <w:pPr>
              <w:pStyle w:val="7"/>
              <w:jc w:val="center"/>
              <w:rPr>
                <w:sz w:val="21"/>
                <w:szCs w:val="21"/>
              </w:rPr>
            </w:pPr>
            <w:r>
              <w:rPr>
                <w:rFonts w:hint="eastAsia"/>
                <w:sz w:val="21"/>
                <w:szCs w:val="21"/>
              </w:rPr>
              <w:t xml:space="preserve">名称 </w:t>
            </w:r>
          </w:p>
        </w:tc>
        <w:tc>
          <w:tcPr>
            <w:tcW w:w="4890" w:type="dxa"/>
            <w:shd w:val="clear" w:color="auto" w:fill="auto"/>
          </w:tcPr>
          <w:p>
            <w:pPr>
              <w:pStyle w:val="7"/>
              <w:jc w:val="center"/>
              <w:rPr>
                <w:sz w:val="21"/>
                <w:szCs w:val="21"/>
              </w:rPr>
            </w:pPr>
            <w:r>
              <w:rPr>
                <w:rFonts w:hint="eastAsia"/>
                <w:sz w:val="21"/>
                <w:szCs w:val="21"/>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1 </w:t>
            </w:r>
          </w:p>
        </w:tc>
        <w:tc>
          <w:tcPr>
            <w:tcW w:w="4890" w:type="dxa"/>
            <w:shd w:val="clear" w:color="auto" w:fill="auto"/>
          </w:tcPr>
          <w:p>
            <w:pPr>
              <w:pStyle w:val="7"/>
              <w:rPr>
                <w:sz w:val="21"/>
                <w:szCs w:val="21"/>
              </w:rPr>
            </w:pPr>
            <w:r>
              <w:rPr>
                <w:rFonts w:hint="eastAsia"/>
                <w:sz w:val="21"/>
                <w:szCs w:val="21"/>
              </w:rPr>
              <w:t xml:space="preserve">存出保证金 </w:t>
            </w:r>
          </w:p>
        </w:tc>
        <w:tc>
          <w:tcPr>
            <w:tcW w:w="4890" w:type="dxa"/>
            <w:shd w:val="clear" w:color="auto" w:fill="auto"/>
          </w:tcPr>
          <w:p>
            <w:pPr>
              <w:pStyle w:val="7"/>
              <w:jc w:val="right"/>
              <w:rPr>
                <w:sz w:val="21"/>
                <w:szCs w:val="21"/>
              </w:rPr>
            </w:pPr>
            <w:r>
              <w:rPr>
                <w:rFonts w:hint="eastAsia"/>
                <w:sz w:val="21"/>
                <w:szCs w:val="21"/>
              </w:rPr>
              <w:t xml:space="preserve">268,526.90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2 </w:t>
            </w:r>
          </w:p>
        </w:tc>
        <w:tc>
          <w:tcPr>
            <w:tcW w:w="4890" w:type="dxa"/>
            <w:shd w:val="clear" w:color="auto" w:fill="auto"/>
          </w:tcPr>
          <w:p>
            <w:pPr>
              <w:pStyle w:val="7"/>
              <w:rPr>
                <w:sz w:val="21"/>
                <w:szCs w:val="21"/>
              </w:rPr>
            </w:pPr>
            <w:r>
              <w:rPr>
                <w:rFonts w:hint="eastAsia"/>
                <w:sz w:val="21"/>
                <w:szCs w:val="21"/>
              </w:rPr>
              <w:t xml:space="preserve">应收证券清算款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3 </w:t>
            </w:r>
          </w:p>
        </w:tc>
        <w:tc>
          <w:tcPr>
            <w:tcW w:w="4890" w:type="dxa"/>
            <w:shd w:val="clear" w:color="auto" w:fill="auto"/>
          </w:tcPr>
          <w:p>
            <w:pPr>
              <w:pStyle w:val="7"/>
              <w:rPr>
                <w:sz w:val="21"/>
                <w:szCs w:val="21"/>
              </w:rPr>
            </w:pPr>
            <w:r>
              <w:rPr>
                <w:rFonts w:hint="eastAsia"/>
                <w:sz w:val="21"/>
                <w:szCs w:val="21"/>
              </w:rPr>
              <w:t xml:space="preserve">应收股利 </w:t>
            </w:r>
          </w:p>
        </w:tc>
        <w:tc>
          <w:tcPr>
            <w:tcW w:w="4890" w:type="dxa"/>
            <w:shd w:val="clear" w:color="auto" w:fill="auto"/>
          </w:tcPr>
          <w:p>
            <w:pPr>
              <w:pStyle w:val="7"/>
              <w:jc w:val="right"/>
              <w:rPr>
                <w:sz w:val="21"/>
                <w:szCs w:val="21"/>
              </w:rPr>
            </w:pPr>
            <w:r>
              <w:rPr>
                <w:rFonts w:hint="eastAsia"/>
                <w:sz w:val="21"/>
                <w:szCs w:val="21"/>
              </w:rPr>
              <w:t xml:space="preserve">1,534,460.99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4 </w:t>
            </w:r>
          </w:p>
        </w:tc>
        <w:tc>
          <w:tcPr>
            <w:tcW w:w="4890" w:type="dxa"/>
            <w:shd w:val="clear" w:color="auto" w:fill="auto"/>
          </w:tcPr>
          <w:p>
            <w:pPr>
              <w:pStyle w:val="7"/>
              <w:rPr>
                <w:sz w:val="21"/>
                <w:szCs w:val="21"/>
              </w:rPr>
            </w:pPr>
            <w:r>
              <w:rPr>
                <w:rFonts w:hint="eastAsia"/>
                <w:sz w:val="21"/>
                <w:szCs w:val="21"/>
              </w:rPr>
              <w:t xml:space="preserve">应收利息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5 </w:t>
            </w:r>
          </w:p>
        </w:tc>
        <w:tc>
          <w:tcPr>
            <w:tcW w:w="4890" w:type="dxa"/>
            <w:shd w:val="clear" w:color="auto" w:fill="auto"/>
          </w:tcPr>
          <w:p>
            <w:pPr>
              <w:pStyle w:val="7"/>
              <w:rPr>
                <w:sz w:val="21"/>
                <w:szCs w:val="21"/>
              </w:rPr>
            </w:pPr>
            <w:r>
              <w:rPr>
                <w:rFonts w:hint="eastAsia"/>
                <w:sz w:val="21"/>
                <w:szCs w:val="21"/>
              </w:rPr>
              <w:t xml:space="preserve">应收申购款 </w:t>
            </w:r>
          </w:p>
        </w:tc>
        <w:tc>
          <w:tcPr>
            <w:tcW w:w="4890" w:type="dxa"/>
            <w:shd w:val="clear" w:color="auto" w:fill="auto"/>
          </w:tcPr>
          <w:p>
            <w:pPr>
              <w:pStyle w:val="7"/>
              <w:jc w:val="right"/>
              <w:rPr>
                <w:sz w:val="21"/>
                <w:szCs w:val="21"/>
              </w:rPr>
            </w:pPr>
            <w:r>
              <w:rPr>
                <w:rFonts w:hint="eastAsia"/>
                <w:sz w:val="21"/>
                <w:szCs w:val="21"/>
              </w:rPr>
              <w:t xml:space="preserve">588,996.72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6 </w:t>
            </w:r>
          </w:p>
        </w:tc>
        <w:tc>
          <w:tcPr>
            <w:tcW w:w="4890" w:type="dxa"/>
            <w:shd w:val="clear" w:color="auto" w:fill="auto"/>
          </w:tcPr>
          <w:p>
            <w:pPr>
              <w:pStyle w:val="7"/>
              <w:rPr>
                <w:sz w:val="21"/>
                <w:szCs w:val="21"/>
              </w:rPr>
            </w:pPr>
            <w:r>
              <w:rPr>
                <w:rFonts w:hint="eastAsia"/>
                <w:sz w:val="21"/>
                <w:szCs w:val="21"/>
              </w:rPr>
              <w:t xml:space="preserve">其他应收款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7 </w:t>
            </w:r>
          </w:p>
        </w:tc>
        <w:tc>
          <w:tcPr>
            <w:tcW w:w="4890" w:type="dxa"/>
            <w:shd w:val="clear" w:color="auto" w:fill="auto"/>
          </w:tcPr>
          <w:p>
            <w:pPr>
              <w:pStyle w:val="7"/>
              <w:rPr>
                <w:sz w:val="21"/>
                <w:szCs w:val="21"/>
              </w:rPr>
            </w:pPr>
            <w:r>
              <w:rPr>
                <w:rFonts w:hint="eastAsia"/>
                <w:sz w:val="21"/>
                <w:szCs w:val="21"/>
              </w:rPr>
              <w:t xml:space="preserve">待摊费用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8 </w:t>
            </w:r>
          </w:p>
        </w:tc>
        <w:tc>
          <w:tcPr>
            <w:tcW w:w="4890" w:type="dxa"/>
            <w:shd w:val="clear" w:color="auto" w:fill="auto"/>
          </w:tcPr>
          <w:p>
            <w:pPr>
              <w:pStyle w:val="7"/>
              <w:rPr>
                <w:sz w:val="21"/>
                <w:szCs w:val="21"/>
              </w:rPr>
            </w:pPr>
            <w:r>
              <w:rPr>
                <w:rFonts w:hint="eastAsia"/>
                <w:sz w:val="21"/>
                <w:szCs w:val="21"/>
              </w:rPr>
              <w:t xml:space="preserve">其他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9 </w:t>
            </w:r>
          </w:p>
        </w:tc>
        <w:tc>
          <w:tcPr>
            <w:tcW w:w="4890" w:type="dxa"/>
            <w:shd w:val="clear" w:color="auto" w:fill="auto"/>
          </w:tcPr>
          <w:p>
            <w:pPr>
              <w:pStyle w:val="7"/>
              <w:rPr>
                <w:sz w:val="21"/>
                <w:szCs w:val="21"/>
              </w:rPr>
            </w:pPr>
            <w:r>
              <w:rPr>
                <w:rFonts w:hint="eastAsia"/>
                <w:sz w:val="21"/>
                <w:szCs w:val="21"/>
              </w:rPr>
              <w:t xml:space="preserve">合计 </w:t>
            </w:r>
          </w:p>
        </w:tc>
        <w:tc>
          <w:tcPr>
            <w:tcW w:w="4890" w:type="dxa"/>
            <w:shd w:val="clear" w:color="auto" w:fill="auto"/>
          </w:tcPr>
          <w:p>
            <w:pPr>
              <w:pStyle w:val="7"/>
              <w:jc w:val="right"/>
              <w:rPr>
                <w:sz w:val="21"/>
                <w:szCs w:val="21"/>
              </w:rPr>
            </w:pPr>
            <w:r>
              <w:rPr>
                <w:rFonts w:hint="eastAsia"/>
                <w:sz w:val="21"/>
                <w:szCs w:val="21"/>
              </w:rPr>
              <w:t xml:space="preserve">2,391,984.61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7"/>
        <w:spacing w:before="0" w:beforeAutospacing="0" w:after="0" w:afterAutospacing="0" w:line="360" w:lineRule="auto"/>
        <w:ind w:firstLine="420"/>
        <w:rPr>
          <w:sz w:val="21"/>
          <w:szCs w:val="21"/>
        </w:rPr>
      </w:pPr>
      <w:bookmarkStart w:id="140" w:name="chapter_level1_11_60_section_6_end"/>
      <w:bookmarkEnd w:id="140"/>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1" w:name="_Toc113549574"/>
      <w:bookmarkStart w:id="142" w:name="chapter_level1_12_3500"/>
      <w:r>
        <w:rPr>
          <w:rFonts w:hint="eastAsia" w:ascii="宋体" w:hAnsi="宋体" w:eastAsia="宋体"/>
          <w:sz w:val="30"/>
        </w:rPr>
        <w:t>第九部分 基金的业绩</w:t>
      </w:r>
      <w:bookmarkEnd w:id="141"/>
      <w:bookmarkEnd w:id="142"/>
    </w:p>
    <w:p>
      <w:pPr>
        <w:pStyle w:val="7"/>
        <w:spacing w:before="0" w:beforeAutospacing="0" w:after="0" w:afterAutospacing="0" w:line="360" w:lineRule="auto"/>
        <w:ind w:firstLine="420"/>
        <w:rPr>
          <w:sz w:val="21"/>
          <w:szCs w:val="21"/>
        </w:rPr>
      </w:pPr>
      <w:bookmarkStart w:id="143" w:name="chapter_level1_12_3500_section_1"/>
      <w:bookmarkEnd w:id="143"/>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44" w:name="field_0_indatatable_1_start"/>
      <w:bookmarkEnd w:id="144"/>
      <w:r>
        <w:rPr>
          <w:rFonts w:hint="eastAsia"/>
          <w:sz w:val="21"/>
          <w:szCs w:val="21"/>
        </w:rPr>
        <w:t xml:space="preserve">博时消费创新混合A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4"/>
        <w:gridCol w:w="951"/>
        <w:gridCol w:w="941"/>
        <w:gridCol w:w="942"/>
        <w:gridCol w:w="943"/>
        <w:gridCol w:w="952"/>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期间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①净值增长率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②净值增长率标准差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③业绩比较基准收益率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④业绩比较基准收益率标准差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①-③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2020.10.23-2020.12.31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6.25%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0.43%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10.33%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0.84%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-4.08%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2021.01.01-2021.12.31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-18.24%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1.52%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-6.17%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1.06%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-12.07%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2022.01.01-2022.06.30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-15.33%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1.66%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-3.34%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1.30%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-11.99%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2020.10.23-2022.06.30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-26.45%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1.48%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0.06%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1.11%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-26.51%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0.37% </w:t>
            </w:r>
          </w:p>
        </w:tc>
      </w:tr>
    </w:tbl>
    <w:p>
      <w:pPr>
        <w:pStyle w:val="7"/>
        <w:spacing w:before="0" w:beforeAutospacing="0" w:after="0" w:afterAutospacing="0" w:line="360" w:lineRule="auto"/>
        <w:ind w:firstLine="420"/>
        <w:rPr>
          <w:sz w:val="21"/>
          <w:szCs w:val="21"/>
        </w:rPr>
      </w:pPr>
      <w:r>
        <w:rPr>
          <w:rFonts w:hint="eastAsia"/>
          <w:sz w:val="21"/>
          <w:szCs w:val="21"/>
        </w:rPr>
        <w:t xml:space="preserve">博时消费创新混合C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4"/>
        <w:gridCol w:w="951"/>
        <w:gridCol w:w="941"/>
        <w:gridCol w:w="942"/>
        <w:gridCol w:w="943"/>
        <w:gridCol w:w="952"/>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期间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①净值增长率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②净值增长率标准差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③业绩比较基准收益率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④业绩比较基准收益率标准差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①-③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2020.10.23-2020.12.31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6.09%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0.43%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10.33%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0.84%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-4.24%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2021.01.01-2021.12.31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-18.89%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1.52%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-6.17%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1.06%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-12.72%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2022.01.01-2022.06.30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-15.68%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1.66%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-3.34%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1.30%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-12.34%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1" w:type="pct"/>
            <w:shd w:val="clear" w:color="auto" w:fill="auto"/>
          </w:tcPr>
          <w:p>
            <w:pPr>
              <w:rPr>
                <w:rFonts w:ascii="宋体" w:hAnsi="宋体" w:eastAsia="宋体" w:cs="宋体"/>
                <w:sz w:val="24"/>
                <w:szCs w:val="24"/>
              </w:rPr>
            </w:pPr>
            <w:r>
              <w:rPr>
                <w:rFonts w:hint="eastAsia" w:ascii="宋体" w:hAnsi="宋体" w:eastAsia="宋体"/>
              </w:rPr>
              <w:t xml:space="preserve">2020.10.23-2022.06.30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-27.44% </w:t>
            </w:r>
          </w:p>
        </w:tc>
        <w:tc>
          <w:tcPr>
            <w:tcW w:w="554" w:type="pct"/>
            <w:shd w:val="clear" w:color="auto" w:fill="auto"/>
          </w:tcPr>
          <w:p>
            <w:pPr>
              <w:rPr>
                <w:rFonts w:ascii="宋体" w:hAnsi="宋体" w:eastAsia="宋体" w:cs="宋体"/>
                <w:sz w:val="24"/>
                <w:szCs w:val="24"/>
              </w:rPr>
            </w:pPr>
            <w:r>
              <w:rPr>
                <w:rFonts w:hint="eastAsia" w:ascii="宋体" w:hAnsi="宋体" w:eastAsia="宋体"/>
              </w:rPr>
              <w:t xml:space="preserve">1.48%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0.06%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1.11%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-27.50% </w:t>
            </w:r>
          </w:p>
        </w:tc>
        <w:tc>
          <w:tcPr>
            <w:tcW w:w="555" w:type="pct"/>
            <w:shd w:val="clear" w:color="auto" w:fill="auto"/>
          </w:tcPr>
          <w:p>
            <w:pPr>
              <w:rPr>
                <w:rFonts w:ascii="宋体" w:hAnsi="宋体" w:eastAsia="宋体" w:cs="宋体"/>
                <w:sz w:val="24"/>
                <w:szCs w:val="24"/>
              </w:rPr>
            </w:pPr>
            <w:r>
              <w:rPr>
                <w:rFonts w:hint="eastAsia" w:ascii="宋体" w:hAnsi="宋体" w:eastAsia="宋体"/>
              </w:rPr>
              <w:t xml:space="preserve">0.37% </w:t>
            </w:r>
          </w:p>
        </w:tc>
      </w:tr>
    </w:tbl>
    <w:p>
      <w:pPr>
        <w:pStyle w:val="7"/>
        <w:spacing w:before="0" w:beforeAutospacing="0" w:after="0" w:afterAutospacing="0" w:line="360" w:lineRule="auto"/>
        <w:ind w:firstLine="420"/>
        <w:rPr>
          <w:sz w:val="21"/>
          <w:szCs w:val="21"/>
        </w:rPr>
      </w:pPr>
      <w:r>
        <w:rPr>
          <w:rFonts w:hint="eastAsia"/>
          <w:sz w:val="21"/>
          <w:szCs w:val="21"/>
        </w:rPr>
        <w:br w:type="textWrapping"/>
      </w:r>
      <w:bookmarkStart w:id="145" w:name="chapter_level1_12_3500_section_1_end"/>
      <w:bookmarkEnd w:id="145"/>
      <w:bookmarkStart w:id="146" w:name="field_0_indatatable_1_end"/>
      <w:bookmarkEnd w:id="146"/>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7" w:name="chapter_level1_13_62"/>
      <w:bookmarkStart w:id="148" w:name="_Toc113549575"/>
      <w:r>
        <w:rPr>
          <w:rFonts w:hint="eastAsia" w:ascii="宋体" w:hAnsi="宋体" w:eastAsia="宋体"/>
          <w:sz w:val="30"/>
        </w:rPr>
        <w:t>第十部分  基金的财产</w:t>
      </w:r>
      <w:bookmarkEnd w:id="147"/>
      <w:bookmarkEnd w:id="148"/>
    </w:p>
    <w:p>
      <w:pPr>
        <w:pStyle w:val="7"/>
        <w:spacing w:before="0" w:beforeAutospacing="0" w:after="0" w:afterAutospacing="0" w:line="360" w:lineRule="auto"/>
        <w:ind w:firstLine="420"/>
        <w:rPr>
          <w:sz w:val="21"/>
          <w:szCs w:val="21"/>
        </w:rPr>
      </w:pPr>
      <w:bookmarkStart w:id="149" w:name="chapter_level1_13_62_section_1"/>
      <w:bookmarkEnd w:id="149"/>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基金资产总值是指基金拥有的各类有价证券、银行存款本息、基金应收款项及其他资产的价值总和。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0" w:name="chapter_level1_13_62_section_1_end"/>
      <w:bookmarkEnd w:id="150"/>
      <w:r>
        <w:rPr>
          <w:rFonts w:hint="eastAsia"/>
          <w:sz w:val="21"/>
          <w:szCs w:val="21"/>
        </w:rPr>
        <w:t xml:space="preserve">得相互抵销。非因基金财产本身承担的债务，不得对基金财产强制执行。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1" w:name="chapter_level1_14_63"/>
      <w:bookmarkStart w:id="152" w:name="_Toc113549576"/>
      <w:r>
        <w:rPr>
          <w:rFonts w:hint="eastAsia" w:ascii="宋体" w:hAnsi="宋体" w:eastAsia="宋体"/>
          <w:sz w:val="30"/>
        </w:rPr>
        <w:t>第十一部分  基金资产的估值</w:t>
      </w:r>
      <w:bookmarkEnd w:id="151"/>
      <w:bookmarkEnd w:id="152"/>
    </w:p>
    <w:p>
      <w:pPr>
        <w:pStyle w:val="7"/>
        <w:spacing w:before="0" w:beforeAutospacing="0" w:after="0" w:afterAutospacing="0" w:line="360" w:lineRule="auto"/>
        <w:ind w:firstLine="420"/>
        <w:rPr>
          <w:sz w:val="21"/>
          <w:szCs w:val="21"/>
        </w:rPr>
      </w:pPr>
      <w:bookmarkStart w:id="153" w:name="chapter_level1_14_63_section_1"/>
      <w:bookmarkEnd w:id="153"/>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基金所拥有的股票、股指期货合约、国债期货合约、股票期权合约、信用衍生品、债券和银行存款本息、应收款项、资产支持证券、其它投资等资产及负债。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三、估值原则</w:t>
      </w:r>
    </w:p>
    <w:p>
      <w:pPr>
        <w:pStyle w:val="7"/>
        <w:spacing w:before="0" w:beforeAutospacing="0" w:after="0" w:afterAutospacing="0" w:line="360" w:lineRule="auto"/>
        <w:ind w:firstLine="420"/>
        <w:rPr>
          <w:sz w:val="21"/>
          <w:szCs w:val="21"/>
        </w:rPr>
      </w:pPr>
      <w:r>
        <w:rPr>
          <w:rFonts w:hint="eastAsia"/>
          <w:sz w:val="21"/>
          <w:szCs w:val="21"/>
        </w:rPr>
        <w:t xml:space="preserve">基金管理人在确定相关金融资产和金融负债的公允价值时，应符合《企业会计准则》、监管部门有关规定。 </w:t>
      </w:r>
    </w:p>
    <w:p>
      <w:pPr>
        <w:pStyle w:val="7"/>
        <w:spacing w:before="0" w:beforeAutospacing="0" w:after="0" w:afterAutospacing="0" w:line="360" w:lineRule="auto"/>
        <w:ind w:firstLine="420"/>
        <w:rPr>
          <w:sz w:val="21"/>
          <w:szCs w:val="21"/>
        </w:rPr>
      </w:pPr>
      <w:r>
        <w:rPr>
          <w:rFonts w:hint="eastAsia"/>
          <w:sz w:val="21"/>
          <w:szCs w:val="21"/>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pPr>
        <w:pStyle w:val="7"/>
        <w:spacing w:before="0" w:beforeAutospacing="0" w:after="0" w:afterAutospacing="0" w:line="360" w:lineRule="auto"/>
        <w:ind w:firstLine="420"/>
        <w:rPr>
          <w:sz w:val="21"/>
          <w:szCs w:val="21"/>
        </w:rPr>
      </w:pPr>
      <w:r>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pPr>
        <w:pStyle w:val="7"/>
        <w:spacing w:before="0" w:beforeAutospacing="0" w:after="0" w:afterAutospacing="0" w:line="360" w:lineRule="auto"/>
        <w:ind w:firstLine="420"/>
        <w:rPr>
          <w:sz w:val="21"/>
          <w:szCs w:val="21"/>
        </w:rPr>
      </w:pPr>
      <w:r>
        <w:rPr>
          <w:rFonts w:hint="eastAsia"/>
          <w:sz w:val="21"/>
          <w:szCs w:val="21"/>
        </w:rPr>
        <w:t xml:space="preserve">（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pPr>
        <w:pStyle w:val="7"/>
        <w:spacing w:before="0" w:beforeAutospacing="0" w:after="0" w:afterAutospacing="0" w:line="360" w:lineRule="auto"/>
        <w:ind w:firstLine="420"/>
        <w:rPr>
          <w:sz w:val="21"/>
          <w:szCs w:val="21"/>
        </w:rPr>
      </w:pPr>
      <w:r>
        <w:rPr>
          <w:rFonts w:hint="eastAsia"/>
          <w:sz w:val="21"/>
          <w:szCs w:val="21"/>
        </w:rPr>
        <w:t xml:space="preserve">（三）如经济环境发生重大变化或证券发行人发生影响证券价格的重大事件，使潜在估值调整对前一估值日的基金资产净值的影响在0.25%以上的，应对估值进行调整并确定公允价值。 </w:t>
      </w:r>
    </w:p>
    <w:p>
      <w:pPr>
        <w:pStyle w:val="7"/>
        <w:spacing w:before="0" w:beforeAutospacing="0" w:after="0" w:afterAutospacing="0" w:line="360" w:lineRule="auto"/>
        <w:ind w:firstLine="420"/>
        <w:rPr>
          <w:sz w:val="21"/>
          <w:szCs w:val="21"/>
        </w:rPr>
      </w:pPr>
      <w:r>
        <w:rPr>
          <w:rStyle w:val="11"/>
          <w:rFonts w:hint="eastAsia"/>
          <w:sz w:val="21"/>
          <w:szCs w:val="21"/>
        </w:rPr>
        <w:t>四、估值方法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（2）交易所市场上市交易或挂牌转让的固定收益品种（基金合同另有约定的除外），选取估值日第三方估值机构提供的相应品种对应的估值净价估值，具体估值机构由基金管理人与基金托管人共同确定；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pPr>
        <w:pStyle w:val="7"/>
        <w:spacing w:before="0" w:beforeAutospacing="0" w:after="0" w:afterAutospacing="0" w:line="360" w:lineRule="auto"/>
        <w:ind w:firstLine="420"/>
        <w:rPr>
          <w:sz w:val="21"/>
          <w:szCs w:val="21"/>
        </w:rPr>
      </w:pPr>
      <w:r>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（2）首次公开发行未上市或未挂牌转让的股票、债券，采用估值技术确定公允价值，在估值技术难以可靠计量公允价值的情况下，按成本估值；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4、同一证券同时在两个或两个以上市场交易的，按证券所处的市场分别估值。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6、本基金投资股票期权，根据相关法律法规以及监管部门的规定估值。 </w:t>
      </w:r>
    </w:p>
    <w:p>
      <w:pPr>
        <w:pStyle w:val="7"/>
        <w:spacing w:before="0" w:beforeAutospacing="0" w:after="0" w:afterAutospacing="0" w:line="360" w:lineRule="auto"/>
        <w:ind w:firstLine="420"/>
        <w:rPr>
          <w:sz w:val="21"/>
          <w:szCs w:val="21"/>
        </w:rPr>
      </w:pPr>
      <w:r>
        <w:rPr>
          <w:rFonts w:hint="eastAsia"/>
          <w:sz w:val="21"/>
          <w:szCs w:val="21"/>
        </w:rPr>
        <w:t xml:space="preserve">7、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8、本基金参与融资业务，按照相关法律法规和行业协会的相关规定进行估值。 </w:t>
      </w:r>
    </w:p>
    <w:p>
      <w:pPr>
        <w:pStyle w:val="7"/>
        <w:spacing w:before="0" w:beforeAutospacing="0" w:after="0" w:afterAutospacing="0" w:line="360" w:lineRule="auto"/>
        <w:ind w:firstLine="420"/>
        <w:rPr>
          <w:sz w:val="21"/>
          <w:szCs w:val="21"/>
        </w:rPr>
      </w:pPr>
      <w:r>
        <w:rPr>
          <w:rFonts w:hint="eastAsia"/>
          <w:sz w:val="21"/>
          <w:szCs w:val="21"/>
        </w:rPr>
        <w:t xml:space="preserve">9、汇率 </w:t>
      </w:r>
    </w:p>
    <w:p>
      <w:pPr>
        <w:pStyle w:val="7"/>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7"/>
        <w:spacing w:before="0" w:beforeAutospacing="0" w:after="0" w:afterAutospacing="0" w:line="360" w:lineRule="auto"/>
        <w:ind w:firstLine="420"/>
        <w:rPr>
          <w:sz w:val="21"/>
          <w:szCs w:val="21"/>
        </w:rPr>
      </w:pPr>
      <w:r>
        <w:rPr>
          <w:rFonts w:hint="eastAsia"/>
          <w:sz w:val="21"/>
          <w:szCs w:val="21"/>
        </w:rPr>
        <w:t xml:space="preserve">10、当发生大额申购或赎回情形时，基金管理人可以采用摆动定价机制，以确保基金估值的公平性。具体处理原则与操作规范遵循相关法律法规以及监管部门、自律规则的规定。 </w:t>
      </w:r>
    </w:p>
    <w:p>
      <w:pPr>
        <w:pStyle w:val="7"/>
        <w:spacing w:before="0" w:beforeAutospacing="0" w:after="0" w:afterAutospacing="0" w:line="360" w:lineRule="auto"/>
        <w:ind w:firstLine="420"/>
        <w:rPr>
          <w:sz w:val="21"/>
          <w:szCs w:val="21"/>
        </w:rPr>
      </w:pPr>
      <w:r>
        <w:rPr>
          <w:rFonts w:hint="eastAsia"/>
          <w:sz w:val="21"/>
          <w:szCs w:val="21"/>
        </w:rPr>
        <w:t xml:space="preserve">11、本基金投资存托凭证的估值核算，依照境内上市交易的股票执行。 </w:t>
      </w:r>
    </w:p>
    <w:p>
      <w:pPr>
        <w:pStyle w:val="7"/>
        <w:spacing w:before="0" w:beforeAutospacing="0" w:after="0" w:afterAutospacing="0" w:line="360" w:lineRule="auto"/>
        <w:ind w:firstLine="420"/>
        <w:rPr>
          <w:sz w:val="21"/>
          <w:szCs w:val="21"/>
        </w:rPr>
      </w:pPr>
      <w:r>
        <w:rPr>
          <w:rFonts w:hint="eastAsia"/>
          <w:sz w:val="21"/>
          <w:szCs w:val="21"/>
        </w:rPr>
        <w:t xml:space="preserve">12、如有确凿证据表明按上述方法进行估值不能客观反映其公允价值的，基金管理人可根据具体情况与基金托管人商定后，按最能反映公允价值的价格估值。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13、相关法律法规以及监管部门有强制规定的，从其规定。如有新增事项，按国家最新规定估值。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w:t>
      </w:r>
      <w:bookmarkStart w:id="154" w:name="chapter_level1_14_63_section_1_end"/>
      <w:bookmarkEnd w:id="154"/>
      <w:r>
        <w:rPr>
          <w:rFonts w:hint="eastAsia"/>
          <w:sz w:val="21"/>
          <w:szCs w:val="21"/>
        </w:rPr>
        <w:t xml:space="preserve">对外予以公布。 </w:t>
      </w:r>
    </w:p>
    <w:p>
      <w:pPr>
        <w:pStyle w:val="7"/>
        <w:spacing w:before="0" w:beforeAutospacing="0" w:after="0" w:afterAutospacing="0" w:line="360" w:lineRule="auto"/>
        <w:ind w:firstLine="420"/>
        <w:rPr>
          <w:sz w:val="21"/>
          <w:szCs w:val="21"/>
        </w:rPr>
      </w:pPr>
      <w:bookmarkStart w:id="155" w:name="chapter_level1_14_63_section_2"/>
      <w:bookmarkEnd w:id="155"/>
      <w:r>
        <w:rPr>
          <w:rStyle w:val="11"/>
          <w:rFonts w:hint="eastAsia"/>
          <w:sz w:val="21"/>
          <w:szCs w:val="21"/>
        </w:rPr>
        <w:t>五、估值程序</w:t>
      </w:r>
    </w:p>
    <w:p>
      <w:pPr>
        <w:pStyle w:val="7"/>
        <w:spacing w:before="0" w:beforeAutospacing="0" w:after="0" w:afterAutospacing="0" w:line="360" w:lineRule="auto"/>
        <w:ind w:firstLine="420"/>
        <w:rPr>
          <w:sz w:val="21"/>
          <w:szCs w:val="21"/>
        </w:rPr>
      </w:pPr>
      <w:r>
        <w:rPr>
          <w:rFonts w:hint="eastAsia"/>
          <w:sz w:val="21"/>
          <w:szCs w:val="21"/>
        </w:rPr>
        <w:t>1、各类基金份额净值是按照每个工作日闭市后，该类基金资产净值除以当日该类基金份额的余额数量计算，均精确到</w:t>
      </w:r>
      <w:bookmarkStart w:id="156" w:name="field_63_netdecimalvalue_1"/>
      <w:r>
        <w:rPr>
          <w:sz w:val="21"/>
          <w:szCs w:val="21"/>
        </w:rPr>
        <w:t>0.0001</w:t>
      </w:r>
      <w:bookmarkEnd w:id="156"/>
      <w:r>
        <w:rPr>
          <w:rFonts w:hint="eastAsia"/>
          <w:sz w:val="21"/>
          <w:szCs w:val="21"/>
        </w:rPr>
        <w:t>元，小数点后第</w:t>
      </w:r>
      <w:bookmarkStart w:id="157" w:name="field_0_netdecimaladd1_1"/>
      <w:r>
        <w:rPr>
          <w:sz w:val="21"/>
          <w:szCs w:val="21"/>
        </w:rPr>
        <w:t>5</w:t>
      </w:r>
      <w:bookmarkEnd w:id="157"/>
      <w:r>
        <w:rPr>
          <w:rFonts w:hint="eastAsia"/>
          <w:sz w:val="21"/>
          <w:szCs w:val="21"/>
        </w:rPr>
        <w:t xml:space="preserve">位四舍五入。基金管理人可以设立大额赎回情形下的净值精度应急调整机制。国家另有规定的，从其规定。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基金管理人于每个工作日计算基金资产净值及各类基金份额净值，并按规定公告。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六、估值错误的处理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58" w:name="field_63_netdecimal_1"/>
      <w:r>
        <w:rPr>
          <w:sz w:val="21"/>
          <w:szCs w:val="21"/>
        </w:rPr>
        <w:t>4</w:t>
      </w:r>
      <w:bookmarkEnd w:id="158"/>
      <w:r>
        <w:rPr>
          <w:rFonts w:hint="eastAsia"/>
          <w:sz w:val="21"/>
          <w:szCs w:val="21"/>
        </w:rPr>
        <w:t>位以内(含第</w:t>
      </w:r>
      <w:bookmarkStart w:id="159" w:name="field_63_netdecimal_2"/>
      <w:r>
        <w:rPr>
          <w:sz w:val="21"/>
          <w:szCs w:val="21"/>
        </w:rPr>
        <w:t>4</w:t>
      </w:r>
      <w:bookmarkEnd w:id="159"/>
      <w:r>
        <w:rPr>
          <w:rFonts w:hint="eastAsia"/>
          <w:sz w:val="21"/>
          <w:szCs w:val="21"/>
        </w:rPr>
        <w:t xml:space="preserve">位)发生估值错误时，视为该类基金份额净值错误。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（3）基金管理人和基金托管人由于各自技术系统设置而产生的净值计算尾差，以基金管理人计算结果为准。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（4）前述内容如法律法规或监管机关另有规定的，从其规定处理。如果行业另有通行做法，基金管理人、基金托管人应本着平等和保护基金份额持有人利益的原则进行协商。 </w:t>
      </w:r>
    </w:p>
    <w:p>
      <w:pPr>
        <w:pStyle w:val="7"/>
        <w:spacing w:before="0" w:beforeAutospacing="0" w:after="0" w:afterAutospacing="0" w:line="360" w:lineRule="auto"/>
        <w:ind w:firstLine="420"/>
        <w:rPr>
          <w:sz w:val="21"/>
          <w:szCs w:val="21"/>
        </w:rPr>
      </w:pPr>
      <w:r>
        <w:rPr>
          <w:rStyle w:val="11"/>
          <w:rFonts w:hint="eastAsia"/>
          <w:sz w:val="21"/>
          <w:szCs w:val="21"/>
        </w:rPr>
        <w:t>七、暂停估值的情形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1、基金投资所涉及的证券、期货交易市场或外汇市场遇法定节假日或因其他原因暂停营业时；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3、当特定资产占前一估值日基金资产净值50%以上的，经与基金托管人协商确认后，基金管理人应当暂停估值；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八、基金净值的确认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 </w:t>
      </w:r>
    </w:p>
    <w:p>
      <w:pPr>
        <w:pStyle w:val="7"/>
        <w:spacing w:before="0" w:beforeAutospacing="0" w:after="0" w:afterAutospacing="0" w:line="360" w:lineRule="auto"/>
        <w:ind w:firstLine="420"/>
        <w:rPr>
          <w:sz w:val="21"/>
          <w:szCs w:val="21"/>
        </w:rPr>
      </w:pPr>
      <w:r>
        <w:rPr>
          <w:rStyle w:val="11"/>
          <w:rFonts w:hint="eastAsia"/>
          <w:sz w:val="21"/>
          <w:szCs w:val="21"/>
        </w:rPr>
        <w:t>九、特殊情况的处理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1、基金管理人或基金托管人按估值方法的第12项进行估值时，所造成的误差不作为基金资产估值错误处理。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有关会计制度变化或不可抗力原因，或由于证券、期货交易所或登记结算公司等第三方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Style w:val="11"/>
          <w:rFonts w:hint="eastAsia"/>
          <w:sz w:val="21"/>
          <w:szCs w:val="21"/>
        </w:rPr>
        <w:t>十、实施侧袋机制期间的基金资产估值</w:t>
      </w:r>
    </w:p>
    <w:p>
      <w:pPr>
        <w:pStyle w:val="7"/>
        <w:spacing w:before="0" w:beforeAutospacing="0" w:after="0" w:afterAutospacing="0" w:line="360" w:lineRule="auto"/>
        <w:ind w:firstLine="420"/>
        <w:rPr>
          <w:sz w:val="21"/>
          <w:szCs w:val="21"/>
        </w:rPr>
      </w:pPr>
      <w:r>
        <w:rPr>
          <w:rFonts w:hint="eastAsia"/>
          <w:sz w:val="21"/>
          <w:szCs w:val="21"/>
        </w:rPr>
        <w:t>本基金实施侧袋机制的，应根据本部分的约定对主袋账户资产进行估值并披露主袋账户</w:t>
      </w:r>
      <w:bookmarkStart w:id="160" w:name="chapter_level1_14_63_section_2_end"/>
      <w:bookmarkEnd w:id="160"/>
      <w:r>
        <w:rPr>
          <w:rFonts w:hint="eastAsia"/>
          <w:sz w:val="21"/>
          <w:szCs w:val="21"/>
        </w:rPr>
        <w:t xml:space="preserve">的基金份额净值和基金份额累计净值，暂停披露侧袋账户份额净值。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1" w:name="_Toc113549577"/>
      <w:bookmarkStart w:id="162" w:name="chapter_level1_15_64"/>
      <w:r>
        <w:rPr>
          <w:rFonts w:hint="eastAsia" w:ascii="宋体" w:hAnsi="宋体" w:eastAsia="宋体"/>
          <w:sz w:val="30"/>
        </w:rPr>
        <w:t>第十二部分  基金的收益与分配</w:t>
      </w:r>
      <w:bookmarkEnd w:id="161"/>
      <w:bookmarkEnd w:id="162"/>
    </w:p>
    <w:p>
      <w:pPr>
        <w:pStyle w:val="7"/>
        <w:spacing w:before="0" w:beforeAutospacing="0" w:after="0" w:afterAutospacing="0" w:line="360" w:lineRule="auto"/>
        <w:ind w:firstLine="420"/>
        <w:rPr>
          <w:sz w:val="21"/>
          <w:szCs w:val="21"/>
        </w:rPr>
      </w:pPr>
      <w:bookmarkStart w:id="163" w:name="chapter_level1_15_64_section_1"/>
      <w:bookmarkEnd w:id="163"/>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1、本基金收益分配方式分两种：现金分红与红利再投资，投资者可选择现金红利或将现金红利自动转为相应类别的基金份额进行再投资；若投资者不选择，本基金默认的收益分配方式是现金分红；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3、由于本基金A类基金份额不收取销售服务费，C类基金份额收取销售服务费，各基金份额类别对应的可分配收益将有所不同。本基金同一类别的每一基金份额享有同等分配权；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r>
        <w:rPr>
          <w:rFonts w:hint="eastAsia"/>
          <w:sz w:val="21"/>
          <w:szCs w:val="21"/>
        </w:rPr>
        <w:t>在符合法律法规及基金合同约定并对基金份额持有人利益无实质不利影响的前提下，基</w:t>
      </w:r>
      <w:bookmarkStart w:id="164" w:name="chapter_level1_15_64_section_1_end"/>
      <w:bookmarkEnd w:id="164"/>
      <w:r>
        <w:rPr>
          <w:rFonts w:hint="eastAsia"/>
          <w:sz w:val="21"/>
          <w:szCs w:val="21"/>
        </w:rPr>
        <w:t xml:space="preserve">金管理人可对基金收益分配原则和支付方式进行调整，不需召开基金份额持有人大会。 </w:t>
      </w:r>
    </w:p>
    <w:p>
      <w:pPr>
        <w:pStyle w:val="7"/>
        <w:spacing w:before="0" w:beforeAutospacing="0" w:after="0" w:afterAutospacing="0" w:line="360" w:lineRule="auto"/>
        <w:ind w:firstLine="420"/>
        <w:rPr>
          <w:sz w:val="21"/>
          <w:szCs w:val="21"/>
        </w:rPr>
      </w:pPr>
      <w:bookmarkStart w:id="165" w:name="chapter_level1_15_64_section_2"/>
      <w:bookmarkEnd w:id="165"/>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本基金收益分配方案由基金管理人拟定，并由基金托管人复核，依照《信息披露办法》的有关规定在规定媒介公告。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 xml:space="preserve">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 </w:t>
      </w:r>
    </w:p>
    <w:p>
      <w:pPr>
        <w:pStyle w:val="7"/>
        <w:spacing w:before="0" w:beforeAutospacing="0" w:after="0" w:afterAutospacing="0" w:line="360" w:lineRule="auto"/>
        <w:ind w:firstLine="420"/>
        <w:rPr>
          <w:sz w:val="21"/>
          <w:szCs w:val="21"/>
        </w:rPr>
      </w:pPr>
      <w:r>
        <w:rPr>
          <w:rStyle w:val="11"/>
          <w:rFonts w:hint="eastAsia"/>
          <w:sz w:val="21"/>
          <w:szCs w:val="21"/>
        </w:rPr>
        <w:t>七、实施侧袋机制期间的收益分配</w:t>
      </w:r>
    </w:p>
    <w:p>
      <w:pPr>
        <w:pStyle w:val="7"/>
        <w:spacing w:before="0" w:beforeAutospacing="0" w:after="0" w:afterAutospacing="0" w:line="360" w:lineRule="auto"/>
        <w:ind w:firstLine="420"/>
        <w:rPr>
          <w:sz w:val="21"/>
          <w:szCs w:val="21"/>
        </w:rPr>
      </w:pPr>
      <w:r>
        <w:rPr>
          <w:rFonts w:hint="eastAsia"/>
          <w:sz w:val="21"/>
          <w:szCs w:val="21"/>
        </w:rPr>
        <w:t>本基金实施侧袋机制的，侧袋账户不进行收益分配，详见本招募说明书“侧袋机制”章</w:t>
      </w:r>
      <w:bookmarkStart w:id="166" w:name="chapter_level1_15_64_section_2_end"/>
      <w:bookmarkEnd w:id="166"/>
      <w:r>
        <w:rPr>
          <w:rFonts w:hint="eastAsia"/>
          <w:sz w:val="21"/>
          <w:szCs w:val="21"/>
        </w:rPr>
        <w:t xml:space="preserve">节的规定。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7" w:name="_Toc113549578"/>
      <w:bookmarkStart w:id="168" w:name="chapter_level1_16_65"/>
      <w:r>
        <w:rPr>
          <w:rFonts w:hint="eastAsia" w:ascii="宋体" w:hAnsi="宋体" w:eastAsia="宋体"/>
          <w:sz w:val="30"/>
        </w:rPr>
        <w:t>第十三部分  基金的费用与税收</w:t>
      </w:r>
      <w:bookmarkEnd w:id="167"/>
      <w:bookmarkEnd w:id="168"/>
    </w:p>
    <w:p>
      <w:pPr>
        <w:pStyle w:val="7"/>
        <w:spacing w:before="0" w:beforeAutospacing="0" w:after="0" w:afterAutospacing="0" w:line="360" w:lineRule="auto"/>
        <w:ind w:firstLine="420"/>
        <w:rPr>
          <w:sz w:val="21"/>
          <w:szCs w:val="21"/>
        </w:rPr>
      </w:pPr>
      <w:bookmarkStart w:id="169" w:name="chapter_level1_16_65_section_1"/>
      <w:bookmarkEnd w:id="169"/>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5、《基金合同》生效后与基金相关的会计师费、律师费、公证费、诉讼费和仲裁费；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7、基金的证券、期货、股票期权交易费用；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10、因投资港股通标的股票而产生的各项合理费用； </w:t>
      </w:r>
    </w:p>
    <w:p>
      <w:pPr>
        <w:pStyle w:val="7"/>
        <w:spacing w:before="0" w:beforeAutospacing="0" w:after="0" w:afterAutospacing="0" w:line="360" w:lineRule="auto"/>
        <w:ind w:firstLine="420"/>
        <w:rPr>
          <w:sz w:val="21"/>
          <w:szCs w:val="21"/>
        </w:rPr>
      </w:pPr>
      <w:r>
        <w:rPr>
          <w:rFonts w:hint="eastAsia"/>
          <w:sz w:val="21"/>
          <w:szCs w:val="21"/>
        </w:rPr>
        <w:t xml:space="preserve">11、按照国家有关规定和《基金合同》约定，可以在基金财产中列支的其他费用。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70" w:name="field_0_managementrate_1"/>
      <w:r>
        <w:rPr>
          <w:sz w:val="21"/>
          <w:szCs w:val="21"/>
        </w:rPr>
        <w:t>1.</w:t>
      </w:r>
      <w:r>
        <w:rPr>
          <w:rFonts w:hint="eastAsia"/>
          <w:sz w:val="21"/>
          <w:szCs w:val="21"/>
        </w:rPr>
        <w:t>2</w:t>
      </w:r>
      <w:r>
        <w:rPr>
          <w:sz w:val="21"/>
          <w:szCs w:val="21"/>
        </w:rPr>
        <w:t>0</w:t>
      </w:r>
      <w:bookmarkEnd w:id="170"/>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1" w:name="field_0_managementrate_2"/>
      <w:r>
        <w:rPr>
          <w:sz w:val="21"/>
          <w:szCs w:val="21"/>
        </w:rPr>
        <w:t>1.</w:t>
      </w:r>
      <w:r>
        <w:rPr>
          <w:rFonts w:hint="eastAsia"/>
          <w:sz w:val="21"/>
          <w:szCs w:val="21"/>
        </w:rPr>
        <w:t>2</w:t>
      </w:r>
      <w:r>
        <w:rPr>
          <w:sz w:val="21"/>
          <w:szCs w:val="21"/>
        </w:rPr>
        <w:t>0</w:t>
      </w:r>
      <w:bookmarkEnd w:id="171"/>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提，逐日累计至每月月末，按月支付，由基金管理人与基金托管人核对一致后，基金托管人按照与基金管理人协商一致的方式于次月前5个工作日内从基金财产中一次性支付给基金管理人。若遇法定节假日、公休假或不可抗力等，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72" w:name="field_0_trusteerate_1"/>
      <w:r>
        <w:rPr>
          <w:sz w:val="21"/>
          <w:szCs w:val="21"/>
        </w:rPr>
        <w:t>0.2</w:t>
      </w:r>
      <w:bookmarkEnd w:id="172"/>
      <w:r>
        <w:rPr>
          <w:rFonts w:hint="eastAsia"/>
          <w:sz w:val="21"/>
          <w:szCs w:val="21"/>
        </w:rPr>
        <w:t xml:space="preserve">0%年费率计提。托管费的计算方法如下：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3" w:name="field_0_trusteerate_2"/>
      <w:r>
        <w:rPr>
          <w:sz w:val="21"/>
          <w:szCs w:val="21"/>
        </w:rPr>
        <w:t>0.2</w:t>
      </w:r>
      <w:bookmarkEnd w:id="173"/>
      <w:r>
        <w:rPr>
          <w:rFonts w:hint="eastAsia"/>
          <w:sz w:val="21"/>
          <w:szCs w:val="21"/>
        </w:rPr>
        <w:t xml:space="preserve">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提，逐日累计至每月月末，按月支付，由基金管理人与基金托管人核对一致后，基金托管人按照与基金管理人协商一致的方式于次月前5个工作日内从基金财产中一次性支取。若遇法定节假日、公休假或不可抗力等，支付日期顺延。 </w:t>
      </w:r>
    </w:p>
    <w:p>
      <w:pPr>
        <w:pStyle w:val="7"/>
        <w:spacing w:before="0" w:beforeAutospacing="0" w:after="0" w:afterAutospacing="0" w:line="360" w:lineRule="auto"/>
        <w:ind w:firstLine="420"/>
        <w:rPr>
          <w:sz w:val="21"/>
          <w:szCs w:val="21"/>
        </w:rPr>
      </w:pPr>
      <w:r>
        <w:rPr>
          <w:rFonts w:hint="eastAsia"/>
          <w:sz w:val="21"/>
          <w:szCs w:val="21"/>
        </w:rPr>
        <w:t xml:space="preserve">3、C类份额的销售服务费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本基金A类基金份额不收取销售服务费，C类基金份额的销售服务费年费率为0.80%。 </w:t>
      </w:r>
    </w:p>
    <w:p>
      <w:pPr>
        <w:pStyle w:val="7"/>
        <w:spacing w:before="0" w:beforeAutospacing="0" w:after="0" w:afterAutospacing="0" w:line="360" w:lineRule="auto"/>
        <w:ind w:firstLine="420"/>
        <w:rPr>
          <w:sz w:val="21"/>
          <w:szCs w:val="21"/>
        </w:rPr>
      </w:pPr>
      <w:r>
        <w:rPr>
          <w:rFonts w:hint="eastAsia"/>
          <w:sz w:val="21"/>
          <w:szCs w:val="21"/>
        </w:rPr>
        <w:t xml:space="preserve">本基金销售服务费按前一日C类基金资产净值的0.80%年费率计提。计算方法如下：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H＝E×0.80%÷当年天数 </w:t>
      </w:r>
    </w:p>
    <w:p>
      <w:pPr>
        <w:pStyle w:val="7"/>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7"/>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销售服务费每日计提，逐日累计至每月月末，按月支付。由基金管理人与基金托管人核对一致后，基金托管人按照与基金管理人协商一致的方式于次月前5个工作日内从基金财产中一次性划出，由登记机构代收，登记机构收到后按相关合同规定支付给基金销售机构。若遇法定节假日、公休假或不可抗力等，支付日期顺延。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上述“一、基金费用的种类”中第4－11项费用，根据有关法规及相应协议规定，按费用实际支出金额列入当期费用，由基金托管人从基金财产中支付。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四、实施侧袋机制期间的基金费用</w:t>
      </w:r>
    </w:p>
    <w:p>
      <w:pPr>
        <w:pStyle w:val="7"/>
        <w:spacing w:before="0" w:beforeAutospacing="0" w:after="0" w:afterAutospacing="0" w:line="360" w:lineRule="auto"/>
        <w:ind w:firstLine="420"/>
        <w:rPr>
          <w:sz w:val="21"/>
          <w:szCs w:val="21"/>
        </w:rPr>
      </w:pPr>
      <w:r>
        <w:rPr>
          <w:rFonts w:hint="eastAsia"/>
          <w:sz w:val="21"/>
          <w:szCs w:val="21"/>
        </w:rPr>
        <w:t xml:space="preserve">本基金实施侧袋机制的，与侧袋账户有关的费用可以从侧袋账户中列支，但应待侧袋账户资产变现后方可列支，有关费用可酌情收取或减免，但不得收取管理费，详见本招募说明书“侧袋机制”章节的规定。 </w:t>
      </w:r>
    </w:p>
    <w:p>
      <w:pPr>
        <w:pStyle w:val="7"/>
        <w:spacing w:before="0" w:beforeAutospacing="0" w:after="0" w:afterAutospacing="0" w:line="360" w:lineRule="auto"/>
        <w:ind w:firstLine="420"/>
        <w:rPr>
          <w:sz w:val="21"/>
          <w:szCs w:val="21"/>
        </w:rPr>
      </w:pPr>
      <w:r>
        <w:rPr>
          <w:rStyle w:val="11"/>
          <w:rFonts w:hint="eastAsia"/>
          <w:sz w:val="21"/>
          <w:szCs w:val="21"/>
        </w:rPr>
        <w:t>五、基金税收</w:t>
      </w:r>
    </w:p>
    <w:p>
      <w:pPr>
        <w:pStyle w:val="7"/>
        <w:spacing w:before="0" w:beforeAutospacing="0" w:after="0" w:afterAutospacing="0" w:line="360" w:lineRule="auto"/>
        <w:ind w:firstLine="420"/>
        <w:rPr>
          <w:sz w:val="21"/>
          <w:szCs w:val="21"/>
        </w:rPr>
      </w:pPr>
      <w:r>
        <w:rPr>
          <w:rFonts w:hint="eastAsia"/>
          <w:sz w:val="21"/>
          <w:szCs w:val="21"/>
        </w:rPr>
        <w:t xml:space="preserve">本基金支付给管理人、托管人的各项费用均为含税价格，具体税率适用中国税务主管机关的规定。 </w:t>
      </w:r>
    </w:p>
    <w:p>
      <w:pPr>
        <w:pStyle w:val="7"/>
        <w:spacing w:before="0" w:beforeAutospacing="0" w:after="0" w:afterAutospacing="0" w:line="360" w:lineRule="auto"/>
        <w:ind w:firstLine="420"/>
        <w:rPr>
          <w:sz w:val="21"/>
          <w:szCs w:val="21"/>
        </w:rPr>
      </w:pPr>
      <w:r>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174" w:name="chapter_level1_16_65_section_1_end"/>
      <w:bookmarkEnd w:id="174"/>
      <w:r>
        <w:rPr>
          <w:rFonts w:hint="eastAsia"/>
          <w:sz w:val="21"/>
          <w:szCs w:val="21"/>
        </w:rPr>
        <w:t xml:space="preserve">税收征收的规定代扣代缴。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5" w:name="_Toc113549579"/>
      <w:bookmarkStart w:id="176" w:name="chapter_level1_17_66"/>
      <w:r>
        <w:rPr>
          <w:rFonts w:hint="eastAsia" w:ascii="宋体" w:hAnsi="宋体" w:eastAsia="宋体"/>
          <w:sz w:val="30"/>
        </w:rPr>
        <w:t>第十四部分  基金的会计与审计</w:t>
      </w:r>
      <w:bookmarkEnd w:id="175"/>
      <w:bookmarkEnd w:id="176"/>
    </w:p>
    <w:p>
      <w:pPr>
        <w:pStyle w:val="7"/>
        <w:spacing w:before="0" w:beforeAutospacing="0" w:after="0" w:afterAutospacing="0" w:line="360" w:lineRule="auto"/>
        <w:ind w:firstLine="420"/>
        <w:rPr>
          <w:sz w:val="21"/>
          <w:szCs w:val="21"/>
        </w:rPr>
      </w:pPr>
      <w:bookmarkStart w:id="177" w:name="chapter_level1_17_66_section_1"/>
      <w:bookmarkEnd w:id="177"/>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1、基金管理人聘请与基金管理人、基金托管人相互独立的符合《证券法》规定的会计师事务所及其注册会计师对本基金的年度财务报表进行审计。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78" w:name="chapter_level1_17_66_section_1_end"/>
      <w:bookmarkEnd w:id="178"/>
      <w:r>
        <w:rPr>
          <w:rFonts w:hint="eastAsia"/>
          <w:sz w:val="21"/>
          <w:szCs w:val="21"/>
        </w:rPr>
        <w:t xml:space="preserve">务所需按照《信息披露办法》的有关规定在规定媒介公告。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9" w:name="_Toc113549580"/>
      <w:bookmarkStart w:id="180" w:name="chapter_level1_18_67"/>
      <w:r>
        <w:rPr>
          <w:rFonts w:hint="eastAsia" w:ascii="宋体" w:hAnsi="宋体" w:eastAsia="宋体"/>
          <w:sz w:val="30"/>
        </w:rPr>
        <w:t>第十五部分  基金的信息披露</w:t>
      </w:r>
      <w:bookmarkEnd w:id="179"/>
      <w:bookmarkEnd w:id="180"/>
    </w:p>
    <w:p>
      <w:pPr>
        <w:pStyle w:val="7"/>
        <w:spacing w:before="0" w:beforeAutospacing="0" w:after="0" w:afterAutospacing="0" w:line="360" w:lineRule="auto"/>
        <w:ind w:firstLine="420"/>
        <w:rPr>
          <w:sz w:val="21"/>
          <w:szCs w:val="21"/>
        </w:rPr>
      </w:pPr>
      <w:bookmarkStart w:id="181" w:name="chapter_level1_18_67_section_1"/>
      <w:bookmarkEnd w:id="181"/>
      <w:r>
        <w:rPr>
          <w:rStyle w:val="11"/>
          <w:rFonts w:hint="eastAsia"/>
          <w:sz w:val="21"/>
          <w:szCs w:val="21"/>
        </w:rPr>
        <w:t>一、本基金的信息披露应符合《基金法》、《运作办法》、《信息披露办法》、《流动性风险管理规定》、《基金合同》及其他有关规定。相关法律法规关于信息披露的规定发生变化时，本基金从其最新规定。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82" w:name="chapter_level1_18_67_section_1_end"/>
      <w:bookmarkEnd w:id="182"/>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3" w:name="chapter_level1_18_67_section_2"/>
      <w:bookmarkEnd w:id="183"/>
      <w:r>
        <w:rPr>
          <w:rStyle w:val="11"/>
          <w:rFonts w:hint="eastAsia"/>
          <w:sz w:val="21"/>
          <w:szCs w:val="21"/>
        </w:rPr>
        <w:t>五、公开披露的基金信息</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基金管理人应当在收到中国证监会确认文件的次日在规定报刊和规定网站上登载《基金合同》生效公告。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《基金合同》生效后，在开始办理基金份额申购或者赎回前，基金管理人应当至少每周在规定网站披露一次各类基金份额净值和各类基金份额累计净值。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在开始办理基金份额申购或者赎回后，基金管理人应当在不晚于每个开放日的次日，通过规定网站、基金销售机构网站或营业网点披露开放日的各类基金份额净值和各类基金份额累计净值。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基金管理人应在不晚于半年度和年度最后一日的次日，在规定网站披露半年度和年度最后一日的各类基金份额净值和各类基金份额累计净值。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（六）基金定期报告，包括基金年度报告、基金中期报告和基金季度报告（含资产组合季度报告）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基金管理人应当在上半年结束之日起两个月内，编制完成基金中期报告，将中期报告登载在规定网站上，并将中期报告提示性公告登载在规定报刊上。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基金管理人应当在季度结束之日起15个工作日内，编制完成基金季度报告，将季度报告登载在规定网站上，并将季度报告提示性公告登载在规定报刊上。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本基金发生重大事件，有关信息披露义务人应按规定编制临时报告书，并登载在规定报刊和规定网站上。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8、基金募集期延长或提前结束募集；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11、涉及基金管理业务、基金财产、基金托管业务的诉讼或仲裁；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16、任一类基金份额净值计价错误达该类基金份额净值百分之零点五；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22、基金管理人采用摆动定价机制进行估值； </w:t>
      </w:r>
    </w:p>
    <w:p>
      <w:pPr>
        <w:pStyle w:val="7"/>
        <w:spacing w:before="0" w:beforeAutospacing="0" w:after="0" w:afterAutospacing="0" w:line="360" w:lineRule="auto"/>
        <w:ind w:firstLine="420"/>
        <w:rPr>
          <w:sz w:val="21"/>
          <w:szCs w:val="21"/>
        </w:rPr>
      </w:pPr>
      <w:r>
        <w:rPr>
          <w:rFonts w:hint="eastAsia"/>
          <w:sz w:val="21"/>
          <w:szCs w:val="21"/>
        </w:rPr>
        <w:t xml:space="preserve">23、调整基金份额类别的设置； </w:t>
      </w:r>
    </w:p>
    <w:p>
      <w:pPr>
        <w:pStyle w:val="7"/>
        <w:spacing w:before="0" w:beforeAutospacing="0" w:after="0" w:afterAutospacing="0" w:line="360" w:lineRule="auto"/>
        <w:ind w:firstLine="420"/>
        <w:rPr>
          <w:sz w:val="21"/>
          <w:szCs w:val="21"/>
        </w:rPr>
      </w:pPr>
      <w:r>
        <w:rPr>
          <w:rFonts w:hint="eastAsia"/>
          <w:sz w:val="21"/>
          <w:szCs w:val="21"/>
        </w:rPr>
        <w:t xml:space="preserve">24、基金推出新业务或服务；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25、连续30个工作日、40个工作日及45个工作日出现基金份额持有人数量不满二百人或者基金资产净值低于五千万元情形的； </w:t>
      </w:r>
    </w:p>
    <w:p>
      <w:pPr>
        <w:pStyle w:val="7"/>
        <w:spacing w:before="0" w:beforeAutospacing="0" w:after="0" w:afterAutospacing="0" w:line="360" w:lineRule="auto"/>
        <w:ind w:firstLine="420"/>
        <w:rPr>
          <w:sz w:val="21"/>
          <w:szCs w:val="21"/>
        </w:rPr>
      </w:pPr>
      <w:r>
        <w:rPr>
          <w:rFonts w:hint="eastAsia"/>
          <w:sz w:val="21"/>
          <w:szCs w:val="21"/>
        </w:rPr>
        <w:t xml:space="preserve">26、基金信息披露义务人认为可能对基金份额持有人权益或者基金份额的价格产生重大影响的其他事项或中国证监会规定的其他事项。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基金终止运作的，基金管理人应当依法组织基金财产清算小组对基金财产进行清算并作出清算报告。基金财产清算小组应当将清算报告登载在规定网站上，并将清算报告提示性公告登载在规定报刊上。 </w:t>
      </w:r>
    </w:p>
    <w:p>
      <w:pPr>
        <w:pStyle w:val="7"/>
        <w:spacing w:before="0" w:beforeAutospacing="0" w:after="0" w:afterAutospacing="0" w:line="360" w:lineRule="auto"/>
        <w:ind w:firstLine="420"/>
        <w:rPr>
          <w:sz w:val="21"/>
          <w:szCs w:val="21"/>
        </w:rPr>
      </w:pPr>
      <w:r>
        <w:rPr>
          <w:rFonts w:hint="eastAsia"/>
          <w:sz w:val="21"/>
          <w:szCs w:val="21"/>
        </w:rPr>
        <w:t xml:space="preserve">（十一）投资股指期货、国债期货、股票期权相关公告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国债期货、股票期权交易情况，包括投资政策、持仓情况、损益情况、风险指标等，并充分揭示股指期货、国债期货、股票期权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（十二）投资资产支持证券相关公告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（十三）投资港股通标的股票的信息披露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（十四）投资流通受限证券的信息披露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流通受限证券总额、流通受限证券市值占基金净资产的比例和报告期内所有的流通受限证券明细。基金管理人应在基金季度报告中披露其持有的流通受限证券总额、流通受限证券市值占基金净资产的比例和报告期末按市值占基金净资产比例大小排序的前10名流通受限证券明细。 </w:t>
      </w:r>
    </w:p>
    <w:p>
      <w:pPr>
        <w:pStyle w:val="7"/>
        <w:spacing w:before="0" w:beforeAutospacing="0" w:after="0" w:afterAutospacing="0" w:line="360" w:lineRule="auto"/>
        <w:ind w:firstLine="420"/>
        <w:rPr>
          <w:sz w:val="21"/>
          <w:szCs w:val="21"/>
        </w:rPr>
      </w:pPr>
      <w:r>
        <w:rPr>
          <w:rFonts w:hint="eastAsia"/>
          <w:sz w:val="21"/>
          <w:szCs w:val="21"/>
        </w:rPr>
        <w:t xml:space="preserve">（十五）参与融资业务的信息披露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本基金参与融资业务的，基金管理人应当在季度报告、中期报告、年度报告等定期报告和招募说明书（更新）等文件中披露参与融资业务的情况，包括投资策略、业务开展情况、损益情况、风险及其管理情况等。 </w:t>
      </w:r>
    </w:p>
    <w:p>
      <w:pPr>
        <w:pStyle w:val="7"/>
        <w:spacing w:before="0" w:beforeAutospacing="0" w:after="0" w:afterAutospacing="0" w:line="360" w:lineRule="auto"/>
        <w:ind w:firstLine="420"/>
        <w:rPr>
          <w:sz w:val="21"/>
          <w:szCs w:val="21"/>
        </w:rPr>
      </w:pPr>
      <w:r>
        <w:rPr>
          <w:rFonts w:hint="eastAsia"/>
          <w:sz w:val="21"/>
          <w:szCs w:val="21"/>
        </w:rPr>
        <w:t xml:space="preserve">（十六）投资信用衍生品的信息披露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基金管理人应当在定期报告及招募说明书（更新）等文件中详细披露信用衍生品的投资情况，包括投资策略、持仓情况等，并充分揭示投资信用衍生品对基金总体风险的影响以及是否符合既定的投资目标及策略。 </w:t>
      </w:r>
    </w:p>
    <w:p>
      <w:pPr>
        <w:pStyle w:val="7"/>
        <w:spacing w:before="0" w:beforeAutospacing="0" w:after="0" w:afterAutospacing="0" w:line="360" w:lineRule="auto"/>
        <w:ind w:firstLine="420"/>
        <w:rPr>
          <w:sz w:val="21"/>
          <w:szCs w:val="21"/>
        </w:rPr>
      </w:pPr>
      <w:r>
        <w:rPr>
          <w:rFonts w:hint="eastAsia"/>
          <w:sz w:val="21"/>
          <w:szCs w:val="21"/>
        </w:rPr>
        <w:t xml:space="preserve">（十七）实施侧袋机制期间的信息披露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本基金实施侧袋机制的，相关信息披露义务人应当根据法律法规、基金合同和招募说明书的规定进行信息披露，详见本招募说明书“侧袋机制”章节的规定。 </w:t>
      </w:r>
    </w:p>
    <w:p>
      <w:pPr>
        <w:pStyle w:val="7"/>
        <w:spacing w:before="0" w:beforeAutospacing="0" w:after="0" w:afterAutospacing="0" w:line="360" w:lineRule="auto"/>
        <w:ind w:firstLine="420"/>
        <w:rPr>
          <w:sz w:val="21"/>
          <w:szCs w:val="21"/>
        </w:rPr>
      </w:pPr>
      <w:bookmarkStart w:id="184" w:name="chapter_level1_18_67_section_2_end"/>
      <w:bookmarkEnd w:id="184"/>
      <w:r>
        <w:rPr>
          <w:rFonts w:hint="eastAsia"/>
          <w:sz w:val="21"/>
          <w:szCs w:val="21"/>
        </w:rPr>
        <w:t xml:space="preserve">（十八）中国证监会规定的其他信息 </w:t>
      </w:r>
    </w:p>
    <w:p>
      <w:pPr>
        <w:pStyle w:val="7"/>
        <w:spacing w:before="0" w:beforeAutospacing="0" w:after="0" w:afterAutospacing="0" w:line="360" w:lineRule="auto"/>
        <w:ind w:firstLine="420"/>
        <w:rPr>
          <w:sz w:val="21"/>
          <w:szCs w:val="21"/>
        </w:rPr>
      </w:pPr>
      <w:bookmarkStart w:id="185" w:name="chapter_level1_18_67_section_3"/>
      <w:bookmarkEnd w:id="185"/>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基金管理人、基金托管人应当在规定报刊中选择一家报刊披露本基金信息。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基金管理人、基金托管人除依法在规定媒介上披露信息外，还可以根据需要在其他公共媒介披露信息，但是其他公共媒介不得早于规定媒介披露信息，并且在不同媒介上披露同一信息的内容应当一致。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pStyle w:val="7"/>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依法必须披露的信息发布后，基金管理人、基金托管人应当按照相关法律法规规定将信息置备于公司住所，以供社会公众查阅、复制。 </w:t>
      </w:r>
    </w:p>
    <w:p>
      <w:pPr>
        <w:pStyle w:val="7"/>
        <w:spacing w:before="0" w:beforeAutospacing="0" w:after="0" w:afterAutospacing="0" w:line="360" w:lineRule="auto"/>
        <w:ind w:firstLine="420"/>
        <w:rPr>
          <w:sz w:val="21"/>
          <w:szCs w:val="21"/>
        </w:rPr>
      </w:pPr>
      <w:r>
        <w:rPr>
          <w:rStyle w:val="11"/>
          <w:rFonts w:hint="eastAsia"/>
          <w:sz w:val="21"/>
          <w:szCs w:val="21"/>
        </w:rPr>
        <w:t>八、暂停或延迟信息披露的情形</w:t>
      </w:r>
    </w:p>
    <w:p>
      <w:pPr>
        <w:pStyle w:val="7"/>
        <w:spacing w:before="0" w:beforeAutospacing="0" w:after="0" w:afterAutospacing="0" w:line="360" w:lineRule="auto"/>
        <w:ind w:firstLine="420"/>
        <w:rPr>
          <w:sz w:val="21"/>
          <w:szCs w:val="21"/>
        </w:rPr>
      </w:pPr>
      <w:r>
        <w:rPr>
          <w:rFonts w:hint="eastAsia"/>
          <w:sz w:val="21"/>
          <w:szCs w:val="21"/>
        </w:rPr>
        <w:t xml:space="preserve">1、不可抗力； </w:t>
      </w:r>
    </w:p>
    <w:p>
      <w:pPr>
        <w:pStyle w:val="7"/>
        <w:spacing w:before="0" w:beforeAutospacing="0" w:after="0" w:afterAutospacing="0" w:line="360" w:lineRule="auto"/>
        <w:ind w:firstLine="420"/>
        <w:rPr>
          <w:sz w:val="21"/>
          <w:szCs w:val="21"/>
        </w:rPr>
      </w:pPr>
      <w:r>
        <w:rPr>
          <w:rFonts w:hint="eastAsia"/>
          <w:sz w:val="21"/>
          <w:szCs w:val="21"/>
        </w:rPr>
        <w:t xml:space="preserve">2、基金投资所涉及的证券、期货交易所或外汇市场遇法定节假日或因其他原因暂停营业时； </w:t>
      </w:r>
    </w:p>
    <w:p>
      <w:pPr>
        <w:pStyle w:val="7"/>
        <w:spacing w:before="0" w:beforeAutospacing="0" w:after="0" w:afterAutospacing="0" w:line="360" w:lineRule="auto"/>
        <w:ind w:firstLine="420"/>
        <w:rPr>
          <w:sz w:val="21"/>
          <w:szCs w:val="21"/>
        </w:rPr>
      </w:pPr>
      <w:bookmarkStart w:id="186" w:name="chapter_level1_18_67_section_3_end"/>
      <w:bookmarkEnd w:id="186"/>
      <w:r>
        <w:rPr>
          <w:rFonts w:hint="eastAsia"/>
          <w:sz w:val="21"/>
          <w:szCs w:val="21"/>
        </w:rPr>
        <w:t xml:space="preserve">3、法律法规规定、中国证监会或基金合同认定的其他情形。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7" w:name="_Toc113549581"/>
      <w:bookmarkStart w:id="188" w:name="chapter_level1_19_56497"/>
      <w:r>
        <w:rPr>
          <w:rFonts w:hint="eastAsia" w:ascii="宋体" w:hAnsi="宋体" w:eastAsia="宋体"/>
          <w:sz w:val="30"/>
        </w:rPr>
        <w:t>第十六部分  侧袋机制</w:t>
      </w:r>
      <w:bookmarkEnd w:id="187"/>
      <w:bookmarkEnd w:id="188"/>
    </w:p>
    <w:p>
      <w:pPr>
        <w:pStyle w:val="7"/>
        <w:spacing w:before="0" w:beforeAutospacing="0" w:after="0" w:afterAutospacing="0" w:line="360" w:lineRule="auto"/>
        <w:ind w:firstLine="420"/>
        <w:rPr>
          <w:sz w:val="21"/>
          <w:szCs w:val="21"/>
        </w:rPr>
      </w:pPr>
      <w:bookmarkStart w:id="189" w:name="chapter_level1_19_56497_section_1"/>
      <w:bookmarkEnd w:id="189"/>
      <w:r>
        <w:rPr>
          <w:rStyle w:val="11"/>
          <w:rFonts w:hint="eastAsia"/>
          <w:sz w:val="21"/>
          <w:szCs w:val="21"/>
        </w:rPr>
        <w:t>一、侧袋机制的实施条件、实施程序和特定资产范围</w:t>
      </w:r>
    </w:p>
    <w:p>
      <w:pPr>
        <w:pStyle w:val="7"/>
        <w:spacing w:before="0" w:beforeAutospacing="0" w:after="0" w:afterAutospacing="0" w:line="360" w:lineRule="auto"/>
        <w:ind w:firstLine="420"/>
        <w:rPr>
          <w:sz w:val="21"/>
          <w:szCs w:val="21"/>
        </w:rPr>
      </w:pPr>
      <w:r>
        <w:rPr>
          <w:rFonts w:hint="eastAsia"/>
          <w:sz w:val="21"/>
          <w:szCs w:val="21"/>
        </w:rPr>
        <w:t xml:space="preserve">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 </w:t>
      </w:r>
    </w:p>
    <w:p>
      <w:pPr>
        <w:pStyle w:val="7"/>
        <w:spacing w:before="0" w:beforeAutospacing="0" w:after="0" w:afterAutospacing="0" w:line="360" w:lineRule="auto"/>
        <w:ind w:firstLine="420"/>
        <w:rPr>
          <w:sz w:val="21"/>
          <w:szCs w:val="21"/>
        </w:rPr>
      </w:pPr>
      <w:r>
        <w:rPr>
          <w:rFonts w:hint="eastAsia"/>
          <w:sz w:val="21"/>
          <w:szCs w:val="21"/>
        </w:rPr>
        <w:t xml:space="preserve">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 </w:t>
      </w:r>
    </w:p>
    <w:p>
      <w:pPr>
        <w:pStyle w:val="7"/>
        <w:spacing w:before="0" w:beforeAutospacing="0" w:after="0" w:afterAutospacing="0" w:line="360" w:lineRule="auto"/>
        <w:ind w:firstLine="420"/>
        <w:rPr>
          <w:sz w:val="21"/>
          <w:szCs w:val="21"/>
        </w:rPr>
      </w:pPr>
      <w:r>
        <w:rPr>
          <w:rFonts w:hint="eastAsia"/>
          <w:sz w:val="21"/>
          <w:szCs w:val="21"/>
        </w:rPr>
        <w:t xml:space="preserve">启用侧袋机制当日，基金管理人应以基金份额持有人的原有账户份额为基础，确认相应侧袋账户份额。 </w:t>
      </w:r>
    </w:p>
    <w:p>
      <w:pPr>
        <w:pStyle w:val="7"/>
        <w:spacing w:before="0" w:beforeAutospacing="0" w:after="0" w:afterAutospacing="0" w:line="360" w:lineRule="auto"/>
        <w:ind w:firstLine="420"/>
        <w:rPr>
          <w:sz w:val="21"/>
          <w:szCs w:val="21"/>
        </w:rPr>
      </w:pPr>
      <w:r>
        <w:rPr>
          <w:rStyle w:val="11"/>
          <w:rFonts w:hint="eastAsia"/>
          <w:sz w:val="21"/>
          <w:szCs w:val="21"/>
        </w:rPr>
        <w:t>二、侧袋机制实施期间的基金运作安排</w:t>
      </w:r>
    </w:p>
    <w:p>
      <w:pPr>
        <w:pStyle w:val="7"/>
        <w:spacing w:before="0" w:beforeAutospacing="0" w:after="0" w:afterAutospacing="0" w:line="360" w:lineRule="auto"/>
        <w:ind w:firstLine="420"/>
        <w:rPr>
          <w:sz w:val="21"/>
          <w:szCs w:val="21"/>
        </w:rPr>
      </w:pPr>
      <w:r>
        <w:rPr>
          <w:rFonts w:hint="eastAsia"/>
          <w:sz w:val="21"/>
          <w:szCs w:val="21"/>
        </w:rPr>
        <w:t xml:space="preserve">（一）基金份额的申购与赎回 </w:t>
      </w:r>
    </w:p>
    <w:p>
      <w:pPr>
        <w:pStyle w:val="7"/>
        <w:spacing w:before="0" w:beforeAutospacing="0" w:after="0" w:afterAutospacing="0" w:line="360" w:lineRule="auto"/>
        <w:ind w:firstLine="420"/>
        <w:rPr>
          <w:sz w:val="21"/>
          <w:szCs w:val="21"/>
        </w:rPr>
      </w:pPr>
      <w:r>
        <w:rPr>
          <w:rFonts w:hint="eastAsia"/>
          <w:sz w:val="21"/>
          <w:szCs w:val="21"/>
        </w:rPr>
        <w:t xml:space="preserve">1、侧袋机制实施期间，基金管理人不办理侧袋账户的申购、赎回和转换。基金份额持有人申请申购、赎回或转换侧袋账户份额的，该申购、赎回或转换申请将被拒绝。 </w:t>
      </w:r>
    </w:p>
    <w:p>
      <w:pPr>
        <w:pStyle w:val="7"/>
        <w:spacing w:before="0" w:beforeAutospacing="0" w:after="0" w:afterAutospacing="0" w:line="360" w:lineRule="auto"/>
        <w:ind w:firstLine="420"/>
        <w:rPr>
          <w:sz w:val="21"/>
          <w:szCs w:val="21"/>
        </w:rPr>
      </w:pPr>
      <w:r>
        <w:rPr>
          <w:rFonts w:hint="eastAsia"/>
          <w:sz w:val="21"/>
          <w:szCs w:val="21"/>
        </w:rPr>
        <w:t xml:space="preserve">2、当特定资产占前一估值日基金资产净值50%以上的，经与基金托管人协商确认后，基金管理人应当暂停基金估值，并暂停接受基金申购赎回申请或延缓支付赎回款项。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3、基金管理人依法保障主袋账户份额持有人享有基金合同约定的赎回权利，并根据主袋账户运作情况合理确定申购事项，具体事项届时由基金管理人在相关公告中规定。 </w:t>
      </w:r>
    </w:p>
    <w:p>
      <w:pPr>
        <w:pStyle w:val="7"/>
        <w:spacing w:before="0" w:beforeAutospacing="0" w:after="0" w:afterAutospacing="0" w:line="360" w:lineRule="auto"/>
        <w:ind w:firstLine="420"/>
        <w:rPr>
          <w:sz w:val="21"/>
          <w:szCs w:val="21"/>
        </w:rPr>
      </w:pPr>
      <w:r>
        <w:rPr>
          <w:rFonts w:hint="eastAsia"/>
          <w:sz w:val="21"/>
          <w:szCs w:val="21"/>
        </w:rPr>
        <w:t xml:space="preserve">（二）基金的投资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侧袋机制实施期间，本基金的各项投资运作指标和基金业绩指标应当以主袋账户资产为基准。 </w:t>
      </w:r>
    </w:p>
    <w:p>
      <w:pPr>
        <w:pStyle w:val="7"/>
        <w:spacing w:before="0" w:beforeAutospacing="0" w:after="0" w:afterAutospacing="0" w:line="360" w:lineRule="auto"/>
        <w:ind w:firstLine="420"/>
        <w:rPr>
          <w:sz w:val="21"/>
          <w:szCs w:val="21"/>
        </w:rPr>
      </w:pPr>
      <w:r>
        <w:rPr>
          <w:rFonts w:hint="eastAsia"/>
          <w:sz w:val="21"/>
          <w:szCs w:val="21"/>
        </w:rPr>
        <w:t xml:space="preserve">基金管理人原则上应当在侧袋机制启用后20个交易日内完成对主袋账户投资组合的调整，但因资产流动性受限等中国证监会规定的情形除外。 </w:t>
      </w:r>
    </w:p>
    <w:p>
      <w:pPr>
        <w:pStyle w:val="7"/>
        <w:spacing w:before="0" w:beforeAutospacing="0" w:after="0" w:afterAutospacing="0" w:line="360" w:lineRule="auto"/>
        <w:ind w:firstLine="420"/>
        <w:rPr>
          <w:sz w:val="21"/>
          <w:szCs w:val="21"/>
        </w:rPr>
      </w:pPr>
      <w:r>
        <w:rPr>
          <w:rFonts w:hint="eastAsia"/>
          <w:sz w:val="21"/>
          <w:szCs w:val="21"/>
        </w:rPr>
        <w:t xml:space="preserve">（三）基金的费用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侧袋机制实施期间，侧袋账户资产不收取管理费。 </w:t>
      </w:r>
    </w:p>
    <w:p>
      <w:pPr>
        <w:pStyle w:val="7"/>
        <w:spacing w:before="0" w:beforeAutospacing="0" w:after="0" w:afterAutospacing="0" w:line="360" w:lineRule="auto"/>
        <w:ind w:firstLine="420"/>
        <w:rPr>
          <w:sz w:val="21"/>
          <w:szCs w:val="21"/>
        </w:rPr>
      </w:pPr>
      <w:r>
        <w:rPr>
          <w:rFonts w:hint="eastAsia"/>
          <w:sz w:val="21"/>
          <w:szCs w:val="21"/>
        </w:rPr>
        <w:t xml:space="preserve">基金管理人可以将与侧袋账户有关的费用从侧袋账户资产中列支，但应待特定资产变现后方可列支。 </w:t>
      </w:r>
    </w:p>
    <w:p>
      <w:pPr>
        <w:pStyle w:val="7"/>
        <w:spacing w:before="0" w:beforeAutospacing="0" w:after="0" w:afterAutospacing="0" w:line="360" w:lineRule="auto"/>
        <w:ind w:firstLine="420"/>
        <w:rPr>
          <w:sz w:val="21"/>
          <w:szCs w:val="21"/>
        </w:rPr>
      </w:pPr>
      <w:r>
        <w:rPr>
          <w:rFonts w:hint="eastAsia"/>
          <w:sz w:val="21"/>
          <w:szCs w:val="21"/>
        </w:rPr>
        <w:t xml:space="preserve">（四）基金的收益分配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侧袋机制实施期间，在主袋账户份额满足基金合同收益分配条件的情形下，基金管理人可对主袋账户份额进行收益分配。侧袋账户份额不再适用基金合同的收益与分配条款。 </w:t>
      </w:r>
    </w:p>
    <w:p>
      <w:pPr>
        <w:pStyle w:val="7"/>
        <w:spacing w:before="0" w:beforeAutospacing="0" w:after="0" w:afterAutospacing="0" w:line="360" w:lineRule="auto"/>
        <w:ind w:firstLine="420"/>
        <w:rPr>
          <w:sz w:val="21"/>
          <w:szCs w:val="21"/>
        </w:rPr>
      </w:pPr>
      <w:r>
        <w:rPr>
          <w:rFonts w:hint="eastAsia"/>
          <w:sz w:val="21"/>
          <w:szCs w:val="21"/>
        </w:rPr>
        <w:t xml:space="preserve">（五）基金的信息披露 </w:t>
      </w:r>
    </w:p>
    <w:p>
      <w:pPr>
        <w:pStyle w:val="7"/>
        <w:spacing w:before="0" w:beforeAutospacing="0" w:after="0" w:afterAutospacing="0" w:line="360" w:lineRule="auto"/>
        <w:ind w:firstLine="420"/>
        <w:rPr>
          <w:sz w:val="21"/>
          <w:szCs w:val="21"/>
        </w:rPr>
      </w:pPr>
      <w:r>
        <w:rPr>
          <w:rFonts w:hint="eastAsia"/>
          <w:sz w:val="21"/>
          <w:szCs w:val="21"/>
        </w:rPr>
        <w:t xml:space="preserve">1、基金净值信息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侧袋机制实施期间，基金管理人应当暂停披露侧袋账户的基金份额净值和基金份额累计净值。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2、定期报告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基金管理人应当在基金定期报告中披露报告期内特定资产处置进展情况。基金管理人披露报告期末特定资产可变现净值或净值区间的，该净值或净值区间并不代表特定资产最终变现价格。 </w:t>
      </w:r>
    </w:p>
    <w:p>
      <w:pPr>
        <w:pStyle w:val="7"/>
        <w:spacing w:before="0" w:beforeAutospacing="0" w:after="0" w:afterAutospacing="0" w:line="360" w:lineRule="auto"/>
        <w:ind w:firstLine="420"/>
        <w:rPr>
          <w:sz w:val="21"/>
          <w:szCs w:val="21"/>
        </w:rPr>
      </w:pPr>
      <w:r>
        <w:rPr>
          <w:rFonts w:hint="eastAsia"/>
          <w:sz w:val="21"/>
          <w:szCs w:val="21"/>
        </w:rPr>
        <w:t xml:space="preserve">3、临时报告 </w:t>
      </w:r>
    </w:p>
    <w:p>
      <w:pPr>
        <w:pStyle w:val="7"/>
        <w:spacing w:before="0" w:beforeAutospacing="0" w:after="0" w:afterAutospacing="0" w:line="360" w:lineRule="auto"/>
        <w:ind w:firstLine="420"/>
        <w:rPr>
          <w:sz w:val="21"/>
          <w:szCs w:val="21"/>
        </w:rPr>
      </w:pPr>
      <w:r>
        <w:rPr>
          <w:rFonts w:hint="eastAsia"/>
          <w:sz w:val="21"/>
          <w:szCs w:val="21"/>
        </w:rPr>
        <w:t xml:space="preserve">基金管理人在启用侧袋机制、处置特定资产、终止侧袋机制以及发生其他可能对投资者利益产生重大影响的事项后应及时发布临时公告。 </w:t>
      </w:r>
    </w:p>
    <w:p>
      <w:pPr>
        <w:pStyle w:val="7"/>
        <w:spacing w:before="0" w:beforeAutospacing="0" w:after="0" w:afterAutospacing="0" w:line="360" w:lineRule="auto"/>
        <w:ind w:firstLine="420"/>
        <w:rPr>
          <w:sz w:val="21"/>
          <w:szCs w:val="21"/>
        </w:rPr>
      </w:pPr>
      <w:r>
        <w:rPr>
          <w:rFonts w:hint="eastAsia"/>
          <w:sz w:val="21"/>
          <w:szCs w:val="21"/>
        </w:rPr>
        <w:t xml:space="preserve">启用侧袋机制的临时公告内容应当包括启用原因及程序、特定资产流动性和估值情况、对投资者申购赎回的影响、风险提示等重要信息。 </w:t>
      </w:r>
    </w:p>
    <w:p>
      <w:pPr>
        <w:pStyle w:val="7"/>
        <w:spacing w:before="0" w:beforeAutospacing="0" w:after="0" w:afterAutospacing="0" w:line="360" w:lineRule="auto"/>
        <w:ind w:firstLine="420"/>
        <w:rPr>
          <w:sz w:val="21"/>
          <w:szCs w:val="21"/>
        </w:rPr>
      </w:pPr>
      <w:r>
        <w:rPr>
          <w:rFonts w:hint="eastAsia"/>
          <w:sz w:val="21"/>
          <w:szCs w:val="21"/>
        </w:rPr>
        <w:t xml:space="preserve">处置特定资产的临时公告内容应当包括特定资产处置价格和时间、向侧袋账户份额持有人支付的款项、相关费用发生情况等重要信息。 </w:t>
      </w:r>
    </w:p>
    <w:p>
      <w:pPr>
        <w:pStyle w:val="7"/>
        <w:spacing w:before="0" w:beforeAutospacing="0" w:after="0" w:afterAutospacing="0" w:line="360" w:lineRule="auto"/>
        <w:ind w:firstLine="420"/>
        <w:rPr>
          <w:sz w:val="21"/>
          <w:szCs w:val="21"/>
        </w:rPr>
      </w:pPr>
      <w:r>
        <w:rPr>
          <w:rFonts w:hint="eastAsia"/>
          <w:sz w:val="21"/>
          <w:szCs w:val="21"/>
        </w:rPr>
        <w:t xml:space="preserve">（六）特定资产处置清算 </w:t>
      </w:r>
    </w:p>
    <w:p>
      <w:pPr>
        <w:pStyle w:val="7"/>
        <w:spacing w:before="0" w:beforeAutospacing="0" w:after="0" w:afterAutospacing="0" w:line="360" w:lineRule="auto"/>
        <w:ind w:firstLine="420"/>
        <w:rPr>
          <w:sz w:val="21"/>
          <w:szCs w:val="21"/>
        </w:rPr>
      </w:pPr>
      <w:r>
        <w:rPr>
          <w:rFonts w:hint="eastAsia"/>
          <w:sz w:val="21"/>
          <w:szCs w:val="21"/>
        </w:rPr>
        <w:t xml:space="preserve">基金管理人将按照基金份额持有人利益最大化原则，采取将特定资产予以处置变现等方式，及时向侧袋账户份额持有人支付对应款项。 </w:t>
      </w:r>
    </w:p>
    <w:p>
      <w:pPr>
        <w:pStyle w:val="7"/>
        <w:spacing w:before="0" w:beforeAutospacing="0" w:after="0" w:afterAutospacing="0" w:line="360" w:lineRule="auto"/>
        <w:ind w:firstLine="420"/>
        <w:rPr>
          <w:sz w:val="21"/>
          <w:szCs w:val="21"/>
        </w:rPr>
      </w:pPr>
      <w:r>
        <w:rPr>
          <w:rFonts w:hint="eastAsia"/>
          <w:sz w:val="21"/>
          <w:szCs w:val="21"/>
        </w:rPr>
        <w:t xml:space="preserve">（七）侧袋的审计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基金管理人应当在启用侧袋机制和终止侧袋机制后，及时聘请符合《证券法》规定的会计师事务所进行审计并披露专项审计意见。 </w:t>
      </w:r>
    </w:p>
    <w:p>
      <w:pPr>
        <w:pStyle w:val="7"/>
        <w:spacing w:before="0" w:beforeAutospacing="0" w:after="0" w:afterAutospacing="0" w:line="360" w:lineRule="auto"/>
        <w:ind w:firstLine="420"/>
        <w:rPr>
          <w:sz w:val="21"/>
          <w:szCs w:val="21"/>
        </w:rPr>
      </w:pPr>
      <w:r>
        <w:rPr>
          <w:rStyle w:val="11"/>
          <w:rFonts w:hint="eastAsia"/>
          <w:sz w:val="21"/>
          <w:szCs w:val="21"/>
        </w:rPr>
        <w:t>三、本部分关于侧袋机制的相关规定，凡是直接引用法律法规或监管规则的部分，如将来法律法规或监管规则修改导致相关内容被取消或变更的，或将来法律法规或监管规则针对侧袋机制的内容有进一步规定的，基金管理人经与基金托管人协商一致并履行适当程序后，在对基金份额持有人利益无实质性不利影响的前提下，可直接对本部分内容进行修</w:t>
      </w:r>
      <w:bookmarkStart w:id="190" w:name="chapter_level1_19_56497_section_1_end"/>
      <w:bookmarkEnd w:id="190"/>
      <w:r>
        <w:rPr>
          <w:rStyle w:val="11"/>
          <w:rFonts w:hint="eastAsia"/>
          <w:sz w:val="21"/>
          <w:szCs w:val="21"/>
        </w:rPr>
        <w:t>改、调整或补充，无需召开基金份额持有人大会审议。</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1" w:name="chapter_level1_20_68"/>
      <w:bookmarkStart w:id="192" w:name="_Toc113549582"/>
      <w:r>
        <w:rPr>
          <w:rFonts w:hint="eastAsia" w:ascii="宋体" w:hAnsi="宋体" w:eastAsia="宋体"/>
          <w:sz w:val="30"/>
        </w:rPr>
        <w:t>第十七部分  风险揭示</w:t>
      </w:r>
      <w:bookmarkEnd w:id="191"/>
      <w:bookmarkEnd w:id="192"/>
    </w:p>
    <w:p>
      <w:pPr>
        <w:pStyle w:val="7"/>
        <w:spacing w:before="0" w:beforeAutospacing="0" w:after="0" w:afterAutospacing="0" w:line="360" w:lineRule="auto"/>
        <w:ind w:firstLine="420"/>
        <w:rPr>
          <w:sz w:val="21"/>
          <w:szCs w:val="21"/>
        </w:rPr>
      </w:pPr>
      <w:bookmarkStart w:id="193" w:name="chapter_level1_20_68_section_1"/>
      <w:bookmarkEnd w:id="193"/>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投资于本基金的主要风险有：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（2）经济周期风险。随着经济运行的周期性变化，证券市场的收益水平也呈周期性变化。本基金主要投资于股票，收益水平也会随之变化，从而产生风险。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6）杠杆风险。本基金可以通过债券回购放大杠杆，进行杠杆操作将会放大组合收益波动，对组合业绩稳定性有较大影响，同时杠杆成本波动也会影响组合收益率水平，在市场下行或杠杆成本异常上升时，有可能导致基金财产收益的超预期下降风险。 </w:t>
      </w:r>
    </w:p>
    <w:p>
      <w:pPr>
        <w:pStyle w:val="7"/>
        <w:spacing w:before="0" w:beforeAutospacing="0" w:after="0" w:afterAutospacing="0" w:line="360" w:lineRule="auto"/>
        <w:ind w:firstLine="420"/>
        <w:rPr>
          <w:sz w:val="21"/>
          <w:szCs w:val="21"/>
        </w:rPr>
      </w:pPr>
      <w:r>
        <w:rPr>
          <w:rFonts w:hint="eastAsia"/>
          <w:sz w:val="21"/>
          <w:szCs w:val="21"/>
        </w:rPr>
        <w:t xml:space="preserve">（7）波动性风险 </w:t>
      </w:r>
    </w:p>
    <w:p>
      <w:pPr>
        <w:pStyle w:val="7"/>
        <w:spacing w:before="0" w:beforeAutospacing="0" w:after="0" w:afterAutospacing="0" w:line="360" w:lineRule="auto"/>
        <w:ind w:firstLine="420"/>
        <w:rPr>
          <w:sz w:val="21"/>
          <w:szCs w:val="21"/>
        </w:rPr>
      </w:pPr>
      <w:r>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期货交易所、全国银行间债券市场等流动性较好的规范型交易场所，主要投资对象为具有良好流动性的金融工具（包括国内依法发行上市的股票、港股通标的股票、债券、股指期货、国债期货、股票期权、货币市场工具、信用衍生品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摆动定价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（5）启用侧袋机制的风险 </w:t>
      </w:r>
    </w:p>
    <w:p>
      <w:pPr>
        <w:pStyle w:val="7"/>
        <w:spacing w:before="0" w:beforeAutospacing="0" w:after="0" w:afterAutospacing="0" w:line="360" w:lineRule="auto"/>
        <w:ind w:firstLine="420"/>
        <w:rPr>
          <w:sz w:val="21"/>
          <w:szCs w:val="21"/>
        </w:rPr>
      </w:pPr>
      <w:r>
        <w:rPr>
          <w:rFonts w:hint="eastAsia"/>
          <w:sz w:val="21"/>
          <w:szCs w:val="21"/>
        </w:rPr>
        <w:t xml:space="preserve">当本基金启用侧袋机制时，实施侧袋机制期间，侧袋账户份额将停止披露基金份额净值，并不得办理申购、赎回和转换。因特定资产的变现时间具有不确定性，最终变现价格也具有不确定性并且有可能大幅低于启用侧袋机制时的特定资产的估值，基金份额持有人可能因此面临损失。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7、本基金的特有风险 </w:t>
      </w:r>
    </w:p>
    <w:p>
      <w:pPr>
        <w:pStyle w:val="7"/>
        <w:spacing w:before="0" w:beforeAutospacing="0" w:after="0" w:afterAutospacing="0" w:line="360" w:lineRule="auto"/>
        <w:ind w:firstLine="420"/>
        <w:rPr>
          <w:sz w:val="21"/>
          <w:szCs w:val="21"/>
        </w:rPr>
      </w:pPr>
      <w:r>
        <w:rPr>
          <w:rFonts w:hint="eastAsia"/>
          <w:sz w:val="21"/>
          <w:szCs w:val="21"/>
        </w:rPr>
        <w:t xml:space="preserve">（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 </w:t>
      </w:r>
    </w:p>
    <w:p>
      <w:pPr>
        <w:pStyle w:val="7"/>
        <w:spacing w:before="0" w:beforeAutospacing="0" w:after="0" w:afterAutospacing="0" w:line="360" w:lineRule="auto"/>
        <w:ind w:firstLine="420"/>
        <w:rPr>
          <w:sz w:val="21"/>
          <w:szCs w:val="21"/>
        </w:rPr>
      </w:pPr>
      <w:r>
        <w:rPr>
          <w:rFonts w:hint="eastAsia"/>
          <w:sz w:val="21"/>
          <w:szCs w:val="21"/>
        </w:rPr>
        <w:t xml:space="preserve">（2）期货、期权等金融衍生品投资风险 </w:t>
      </w:r>
    </w:p>
    <w:p>
      <w:pPr>
        <w:pStyle w:val="7"/>
        <w:spacing w:before="0" w:beforeAutospacing="0" w:after="0" w:afterAutospacing="0" w:line="360" w:lineRule="auto"/>
        <w:ind w:firstLine="420"/>
        <w:rPr>
          <w:sz w:val="21"/>
          <w:szCs w:val="21"/>
        </w:rPr>
      </w:pPr>
      <w:r>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pPr>
        <w:pStyle w:val="7"/>
        <w:spacing w:before="0" w:beforeAutospacing="0" w:after="0" w:afterAutospacing="0" w:line="360" w:lineRule="auto"/>
        <w:ind w:firstLine="420"/>
        <w:rPr>
          <w:sz w:val="21"/>
          <w:szCs w:val="21"/>
        </w:rPr>
      </w:pPr>
      <w:r>
        <w:rPr>
          <w:rFonts w:hint="eastAsia"/>
          <w:sz w:val="21"/>
          <w:szCs w:val="21"/>
        </w:rPr>
        <w:t xml:space="preserve">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 </w:t>
      </w:r>
    </w:p>
    <w:p>
      <w:pPr>
        <w:pStyle w:val="7"/>
        <w:spacing w:before="0" w:beforeAutospacing="0" w:after="0" w:afterAutospacing="0" w:line="360" w:lineRule="auto"/>
        <w:ind w:firstLine="420"/>
        <w:rPr>
          <w:sz w:val="21"/>
          <w:szCs w:val="21"/>
        </w:rPr>
      </w:pPr>
      <w:r>
        <w:rPr>
          <w:rFonts w:hint="eastAsia"/>
          <w:sz w:val="21"/>
          <w:szCs w:val="21"/>
        </w:rPr>
        <w:t xml:space="preserve">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pPr>
        <w:pStyle w:val="7"/>
        <w:spacing w:before="0" w:beforeAutospacing="0" w:after="0" w:afterAutospacing="0" w:line="360" w:lineRule="auto"/>
        <w:ind w:firstLine="420"/>
        <w:rPr>
          <w:sz w:val="21"/>
          <w:szCs w:val="21"/>
        </w:rPr>
      </w:pPr>
      <w:r>
        <w:rPr>
          <w:rFonts w:hint="eastAsia"/>
          <w:sz w:val="21"/>
          <w:szCs w:val="21"/>
        </w:rPr>
        <w:t xml:space="preserve">本基金参与股票期权交易以套期保值为主要目的，投资股票期权的主要风险包括价格波动风险、市场流动性风险、强制平仓风险、合约到期风险、行权失败风险、交易违约风险等。影响期权价格的因素较多，有时会出现价格较大波动，而且期权有到期日，不同的期权合约又有不同的到期日，若到期日当天没有做好行权准备，期权合约就会作废，不再有任何价值。此外，行权失败和交收违约也是股票期权交易可能出现的风险，期权义务方无法在较首日备齐足额资金或证券用于交收履约，会被判为交收违约并受罚，相应地，行权投资者就会面临行权失败而失去交易机会。 </w:t>
      </w:r>
    </w:p>
    <w:p>
      <w:pPr>
        <w:pStyle w:val="7"/>
        <w:spacing w:before="0" w:beforeAutospacing="0" w:after="0" w:afterAutospacing="0" w:line="360" w:lineRule="auto"/>
        <w:ind w:firstLine="420"/>
        <w:rPr>
          <w:sz w:val="21"/>
          <w:szCs w:val="21"/>
        </w:rPr>
      </w:pPr>
      <w:r>
        <w:rPr>
          <w:rFonts w:hint="eastAsia"/>
          <w:sz w:val="21"/>
          <w:szCs w:val="21"/>
        </w:rPr>
        <w:t xml:space="preserve">（3）资产支持证券投资风险 </w:t>
      </w:r>
    </w:p>
    <w:p>
      <w:pPr>
        <w:pStyle w:val="7"/>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（4）港股通机制下，港股投资风险 </w:t>
      </w:r>
    </w:p>
    <w:p>
      <w:pPr>
        <w:pStyle w:val="7"/>
        <w:spacing w:before="0" w:beforeAutospacing="0" w:after="0" w:afterAutospacing="0" w:line="360" w:lineRule="auto"/>
        <w:ind w:firstLine="420"/>
        <w:rPr>
          <w:sz w:val="21"/>
          <w:szCs w:val="21"/>
        </w:rPr>
      </w:pPr>
      <w:r>
        <w:rPr>
          <w:rFonts w:hint="eastAsia"/>
          <w:sz w:val="21"/>
          <w:szCs w:val="21"/>
        </w:rPr>
        <w:t xml:space="preserve">本基金投资范围为具有良好流动性的金融工具，包括沪/深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包括但不限于： </w:t>
      </w:r>
    </w:p>
    <w:p>
      <w:pPr>
        <w:pStyle w:val="7"/>
        <w:spacing w:before="0" w:beforeAutospacing="0" w:after="0" w:afterAutospacing="0" w:line="360" w:lineRule="auto"/>
        <w:ind w:firstLine="420"/>
        <w:rPr>
          <w:sz w:val="21"/>
          <w:szCs w:val="21"/>
        </w:rPr>
      </w:pPr>
      <w:r>
        <w:rPr>
          <w:rFonts w:hint="eastAsia"/>
          <w:sz w:val="21"/>
          <w:szCs w:val="21"/>
        </w:rPr>
        <w:t xml:space="preserve">1）市场联动的风险 </w:t>
      </w:r>
    </w:p>
    <w:p>
      <w:pPr>
        <w:pStyle w:val="7"/>
        <w:spacing w:before="0" w:beforeAutospacing="0" w:after="0" w:afterAutospacing="0" w:line="360" w:lineRule="auto"/>
        <w:ind w:firstLine="420"/>
        <w:rPr>
          <w:sz w:val="21"/>
          <w:szCs w:val="21"/>
        </w:rPr>
      </w:pPr>
      <w:r>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pPr>
        <w:pStyle w:val="7"/>
        <w:spacing w:before="0" w:beforeAutospacing="0" w:after="0" w:afterAutospacing="0" w:line="360" w:lineRule="auto"/>
        <w:ind w:firstLine="420"/>
        <w:rPr>
          <w:sz w:val="21"/>
          <w:szCs w:val="21"/>
        </w:rPr>
      </w:pPr>
      <w:r>
        <w:rPr>
          <w:rFonts w:hint="eastAsia"/>
          <w:sz w:val="21"/>
          <w:szCs w:val="21"/>
        </w:rPr>
        <w:t xml:space="preserve">2）股价波动的风险 </w:t>
      </w:r>
    </w:p>
    <w:p>
      <w:pPr>
        <w:pStyle w:val="7"/>
        <w:spacing w:before="0" w:beforeAutospacing="0" w:after="0" w:afterAutospacing="0" w:line="360" w:lineRule="auto"/>
        <w:ind w:firstLine="420"/>
        <w:rPr>
          <w:sz w:val="21"/>
          <w:szCs w:val="21"/>
        </w:rPr>
      </w:pPr>
      <w:r>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pPr>
        <w:pStyle w:val="7"/>
        <w:spacing w:before="0" w:beforeAutospacing="0" w:after="0" w:afterAutospacing="0" w:line="360" w:lineRule="auto"/>
        <w:ind w:firstLine="420"/>
        <w:rPr>
          <w:sz w:val="21"/>
          <w:szCs w:val="21"/>
        </w:rPr>
      </w:pPr>
      <w:r>
        <w:rPr>
          <w:rFonts w:hint="eastAsia"/>
          <w:sz w:val="21"/>
          <w:szCs w:val="21"/>
        </w:rPr>
        <w:t xml:space="preserve">3）汇率风险 </w:t>
      </w:r>
    </w:p>
    <w:p>
      <w:pPr>
        <w:pStyle w:val="7"/>
        <w:spacing w:before="0" w:beforeAutospacing="0" w:after="0" w:afterAutospacing="0" w:line="360" w:lineRule="auto"/>
        <w:ind w:firstLine="420"/>
        <w:rPr>
          <w:sz w:val="21"/>
          <w:szCs w:val="21"/>
        </w:rPr>
      </w:pPr>
      <w:r>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pPr>
        <w:pStyle w:val="7"/>
        <w:spacing w:before="0" w:beforeAutospacing="0" w:after="0" w:afterAutospacing="0" w:line="360" w:lineRule="auto"/>
        <w:ind w:firstLine="420"/>
        <w:rPr>
          <w:sz w:val="21"/>
          <w:szCs w:val="21"/>
        </w:rPr>
      </w:pPr>
      <w:r>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pPr>
        <w:pStyle w:val="7"/>
        <w:spacing w:before="0" w:beforeAutospacing="0" w:after="0" w:afterAutospacing="0" w:line="360" w:lineRule="auto"/>
        <w:ind w:firstLine="420"/>
        <w:rPr>
          <w:sz w:val="21"/>
          <w:szCs w:val="21"/>
        </w:rPr>
      </w:pPr>
      <w:r>
        <w:rPr>
          <w:rFonts w:hint="eastAsia"/>
          <w:sz w:val="21"/>
          <w:szCs w:val="21"/>
        </w:rPr>
        <w:t xml:space="preserve">4）港股通额度限制 </w:t>
      </w:r>
    </w:p>
    <w:p>
      <w:pPr>
        <w:pStyle w:val="7"/>
        <w:spacing w:before="0" w:beforeAutospacing="0" w:after="0" w:afterAutospacing="0" w:line="360" w:lineRule="auto"/>
        <w:ind w:firstLine="420"/>
        <w:rPr>
          <w:sz w:val="21"/>
          <w:szCs w:val="21"/>
        </w:rPr>
      </w:pPr>
      <w:r>
        <w:rPr>
          <w:rFonts w:hint="eastAsia"/>
          <w:sz w:val="21"/>
          <w:szCs w:val="21"/>
        </w:rPr>
        <w:t xml:space="preserve">现行的港股通规则，对港股通设有每日额度上限的限制；本基金可能因为港股通市场每日额度不足，而不能买入看好之投资标的进而错失投资机会的风险。 </w:t>
      </w:r>
    </w:p>
    <w:p>
      <w:pPr>
        <w:pStyle w:val="7"/>
        <w:spacing w:before="0" w:beforeAutospacing="0" w:after="0" w:afterAutospacing="0" w:line="360" w:lineRule="auto"/>
        <w:ind w:firstLine="420"/>
        <w:rPr>
          <w:sz w:val="21"/>
          <w:szCs w:val="21"/>
        </w:rPr>
      </w:pPr>
      <w:r>
        <w:rPr>
          <w:rFonts w:hint="eastAsia"/>
          <w:sz w:val="21"/>
          <w:szCs w:val="21"/>
        </w:rPr>
        <w:t xml:space="preserve">5）港股通可投资标的范围调整带来的风险 </w:t>
      </w:r>
    </w:p>
    <w:p>
      <w:pPr>
        <w:pStyle w:val="7"/>
        <w:spacing w:before="0" w:beforeAutospacing="0" w:after="0" w:afterAutospacing="0" w:line="360" w:lineRule="auto"/>
        <w:ind w:firstLine="420"/>
        <w:rPr>
          <w:sz w:val="21"/>
          <w:szCs w:val="21"/>
        </w:rPr>
      </w:pPr>
      <w:r>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pPr>
        <w:pStyle w:val="7"/>
        <w:spacing w:before="0" w:beforeAutospacing="0" w:after="0" w:afterAutospacing="0" w:line="360" w:lineRule="auto"/>
        <w:ind w:firstLine="420"/>
        <w:rPr>
          <w:sz w:val="21"/>
          <w:szCs w:val="21"/>
        </w:rPr>
      </w:pPr>
      <w:r>
        <w:rPr>
          <w:rFonts w:hint="eastAsia"/>
          <w:sz w:val="21"/>
          <w:szCs w:val="21"/>
        </w:rPr>
        <w:t xml:space="preserve">6）港股通交易日设定的风险 </w:t>
      </w:r>
    </w:p>
    <w:p>
      <w:pPr>
        <w:pStyle w:val="7"/>
        <w:spacing w:before="0" w:beforeAutospacing="0" w:after="0" w:afterAutospacing="0" w:line="360" w:lineRule="auto"/>
        <w:ind w:firstLine="420"/>
        <w:rPr>
          <w:sz w:val="21"/>
          <w:szCs w:val="21"/>
        </w:rPr>
      </w:pPr>
      <w:r>
        <w:rPr>
          <w:rFonts w:hint="eastAsia"/>
          <w:sz w:val="21"/>
          <w:szCs w:val="21"/>
        </w:rPr>
        <w:t xml:space="preserve">根据现行的港股通规则，只有沪/深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pPr>
        <w:pStyle w:val="7"/>
        <w:spacing w:before="0" w:beforeAutospacing="0" w:after="0" w:afterAutospacing="0" w:line="360" w:lineRule="auto"/>
        <w:ind w:firstLine="420"/>
        <w:rPr>
          <w:sz w:val="21"/>
          <w:szCs w:val="21"/>
        </w:rPr>
      </w:pPr>
      <w:r>
        <w:rPr>
          <w:rFonts w:hint="eastAsia"/>
          <w:sz w:val="21"/>
          <w:szCs w:val="21"/>
        </w:rPr>
        <w:t xml:space="preserve">7）交收制度带来的基金流动性风险 </w:t>
      </w:r>
    </w:p>
    <w:p>
      <w:pPr>
        <w:pStyle w:val="7"/>
        <w:spacing w:before="0" w:beforeAutospacing="0" w:after="0" w:afterAutospacing="0" w:line="360" w:lineRule="auto"/>
        <w:ind w:firstLine="420"/>
        <w:rPr>
          <w:sz w:val="21"/>
          <w:szCs w:val="21"/>
        </w:rPr>
      </w:pPr>
      <w:r>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pPr>
        <w:pStyle w:val="7"/>
        <w:spacing w:before="0" w:beforeAutospacing="0" w:after="0" w:afterAutospacing="0" w:line="360" w:lineRule="auto"/>
        <w:ind w:firstLine="420"/>
        <w:rPr>
          <w:sz w:val="21"/>
          <w:szCs w:val="21"/>
        </w:rPr>
      </w:pPr>
      <w:r>
        <w:rPr>
          <w:rFonts w:hint="eastAsia"/>
          <w:sz w:val="21"/>
          <w:szCs w:val="21"/>
        </w:rPr>
        <w:t xml:space="preserve">8）港股通下对公司行为的处理规则带来的风险 </w:t>
      </w:r>
    </w:p>
    <w:p>
      <w:pPr>
        <w:pStyle w:val="7"/>
        <w:spacing w:before="0" w:beforeAutospacing="0" w:after="0" w:afterAutospacing="0" w:line="360" w:lineRule="auto"/>
        <w:ind w:firstLine="420"/>
        <w:rPr>
          <w:sz w:val="21"/>
          <w:szCs w:val="21"/>
        </w:rPr>
      </w:pPr>
      <w:r>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pPr>
        <w:pStyle w:val="7"/>
        <w:spacing w:before="0" w:beforeAutospacing="0" w:after="0" w:afterAutospacing="0" w:line="360" w:lineRule="auto"/>
        <w:ind w:firstLine="420"/>
        <w:rPr>
          <w:sz w:val="21"/>
          <w:szCs w:val="21"/>
        </w:rPr>
      </w:pPr>
      <w:r>
        <w:rPr>
          <w:rFonts w:hint="eastAsia"/>
          <w:sz w:val="21"/>
          <w:szCs w:val="21"/>
        </w:rPr>
        <w:t xml:space="preserve">本基金存在因上述规则，利益得不到最大化甚至受损的风险。 </w:t>
      </w:r>
    </w:p>
    <w:p>
      <w:pPr>
        <w:pStyle w:val="7"/>
        <w:spacing w:before="0" w:beforeAutospacing="0" w:after="0" w:afterAutospacing="0" w:line="360" w:lineRule="auto"/>
        <w:ind w:firstLine="420"/>
        <w:rPr>
          <w:sz w:val="21"/>
          <w:szCs w:val="21"/>
        </w:rPr>
      </w:pPr>
      <w:r>
        <w:rPr>
          <w:rFonts w:hint="eastAsia"/>
          <w:sz w:val="21"/>
          <w:szCs w:val="21"/>
        </w:rPr>
        <w:t xml:space="preserve">9）香港联合交易所停牌、退市等制度性差异带来的风险 </w:t>
      </w:r>
    </w:p>
    <w:p>
      <w:pPr>
        <w:pStyle w:val="7"/>
        <w:spacing w:before="0" w:beforeAutospacing="0" w:after="0" w:afterAutospacing="0" w:line="360" w:lineRule="auto"/>
        <w:ind w:firstLine="420"/>
        <w:rPr>
          <w:sz w:val="21"/>
          <w:szCs w:val="21"/>
        </w:rPr>
      </w:pPr>
      <w:r>
        <w:rPr>
          <w:rFonts w:hint="eastAsia"/>
          <w:sz w:val="21"/>
          <w:szCs w:val="21"/>
        </w:rPr>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pPr>
        <w:pStyle w:val="7"/>
        <w:spacing w:before="0" w:beforeAutospacing="0" w:after="0" w:afterAutospacing="0" w:line="360" w:lineRule="auto"/>
        <w:ind w:firstLine="420"/>
        <w:rPr>
          <w:sz w:val="21"/>
          <w:szCs w:val="21"/>
        </w:rPr>
      </w:pPr>
      <w:r>
        <w:rPr>
          <w:rFonts w:hint="eastAsia"/>
          <w:sz w:val="21"/>
          <w:szCs w:val="21"/>
        </w:rPr>
        <w:t xml:space="preserve">因该等制度性差异，本基金可能存在因所持个股遭遇非预期性的停牌甚至退市而给基金带来损失的风险。 </w:t>
      </w:r>
    </w:p>
    <w:p>
      <w:pPr>
        <w:pStyle w:val="7"/>
        <w:spacing w:before="0" w:beforeAutospacing="0" w:after="0" w:afterAutospacing="0" w:line="360" w:lineRule="auto"/>
        <w:ind w:firstLine="420"/>
        <w:rPr>
          <w:sz w:val="21"/>
          <w:szCs w:val="21"/>
        </w:rPr>
      </w:pPr>
      <w:r>
        <w:rPr>
          <w:rFonts w:hint="eastAsia"/>
          <w:sz w:val="21"/>
          <w:szCs w:val="21"/>
        </w:rPr>
        <w:t xml:space="preserve">10）港股通规则变动带来的风险 </w:t>
      </w:r>
    </w:p>
    <w:p>
      <w:pPr>
        <w:pStyle w:val="7"/>
        <w:spacing w:before="0" w:beforeAutospacing="0" w:after="0" w:afterAutospacing="0" w:line="360" w:lineRule="auto"/>
        <w:ind w:firstLine="420"/>
        <w:rPr>
          <w:sz w:val="21"/>
          <w:szCs w:val="21"/>
        </w:rPr>
      </w:pPr>
      <w:r>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pPr>
        <w:pStyle w:val="7"/>
        <w:spacing w:before="0" w:beforeAutospacing="0" w:after="0" w:afterAutospacing="0" w:line="360" w:lineRule="auto"/>
        <w:ind w:firstLine="420"/>
        <w:rPr>
          <w:sz w:val="21"/>
          <w:szCs w:val="21"/>
        </w:rPr>
      </w:pPr>
      <w:r>
        <w:rPr>
          <w:rFonts w:hint="eastAsia"/>
          <w:sz w:val="21"/>
          <w:szCs w:val="21"/>
        </w:rPr>
        <w:t xml:space="preserve">11）其他可能的风险 </w:t>
      </w:r>
    </w:p>
    <w:p>
      <w:pPr>
        <w:pStyle w:val="7"/>
        <w:spacing w:before="0" w:beforeAutospacing="0" w:after="0" w:afterAutospacing="0" w:line="360" w:lineRule="auto"/>
        <w:ind w:firstLine="420"/>
        <w:rPr>
          <w:sz w:val="21"/>
          <w:szCs w:val="21"/>
        </w:rPr>
      </w:pPr>
      <w:r>
        <w:rPr>
          <w:rFonts w:hint="eastAsia"/>
          <w:sz w:val="21"/>
          <w:szCs w:val="21"/>
        </w:rPr>
        <w:t xml:space="preserve">除上述显著风险外，本基金参与港股通投资，还可能面临的其他风险，包括但不限于： </w:t>
      </w:r>
    </w:p>
    <w:p>
      <w:pPr>
        <w:pStyle w:val="7"/>
        <w:spacing w:before="0" w:beforeAutospacing="0" w:after="0" w:afterAutospacing="0" w:line="360" w:lineRule="auto"/>
        <w:ind w:firstLine="420"/>
        <w:rPr>
          <w:sz w:val="21"/>
          <w:szCs w:val="21"/>
        </w:rPr>
      </w:pPr>
      <w:r>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pPr>
        <w:pStyle w:val="7"/>
        <w:spacing w:before="0" w:beforeAutospacing="0" w:after="0" w:afterAutospacing="0" w:line="360" w:lineRule="auto"/>
        <w:ind w:firstLine="420"/>
        <w:rPr>
          <w:sz w:val="21"/>
          <w:szCs w:val="21"/>
        </w:rPr>
      </w:pPr>
      <w:r>
        <w:rPr>
          <w:rFonts w:hint="eastAsia"/>
          <w:sz w:val="21"/>
          <w:szCs w:val="21"/>
        </w:rPr>
        <w:t xml:space="preserve">②在香港市场，部分中小市值港股成交量则相对较少，流动较为缺乏，本基金投资此类股票可能因缺乏交易对手而面临个股流动性风险； </w:t>
      </w:r>
    </w:p>
    <w:p>
      <w:pPr>
        <w:pStyle w:val="7"/>
        <w:spacing w:before="0" w:beforeAutospacing="0" w:after="0" w:afterAutospacing="0" w:line="360" w:lineRule="auto"/>
        <w:ind w:firstLine="420"/>
        <w:rPr>
          <w:sz w:val="21"/>
          <w:szCs w:val="21"/>
        </w:rPr>
      </w:pPr>
      <w:r>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pPr>
        <w:pStyle w:val="7"/>
        <w:spacing w:before="0" w:beforeAutospacing="0" w:after="0" w:afterAutospacing="0" w:line="360" w:lineRule="auto"/>
        <w:ind w:firstLine="420"/>
        <w:rPr>
          <w:sz w:val="21"/>
          <w:szCs w:val="21"/>
        </w:rPr>
      </w:pPr>
      <w:r>
        <w:rPr>
          <w:rFonts w:hint="eastAsia"/>
          <w:sz w:val="21"/>
          <w:szCs w:val="21"/>
        </w:rPr>
        <w:t xml:space="preserve">④存在港股通香港结算机构因极端情况下无法交付证券和资金的结算风险；另外港股通境内结算实施分级结算原则，本基金可能面临 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pPr>
        <w:pStyle w:val="7"/>
        <w:spacing w:before="0" w:beforeAutospacing="0" w:after="0" w:afterAutospacing="0" w:line="360" w:lineRule="auto"/>
        <w:ind w:firstLine="420"/>
        <w:rPr>
          <w:sz w:val="21"/>
          <w:szCs w:val="21"/>
        </w:rPr>
      </w:pPr>
      <w:r>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pPr>
        <w:pStyle w:val="7"/>
        <w:spacing w:before="0" w:beforeAutospacing="0" w:after="0" w:afterAutospacing="0" w:line="360" w:lineRule="auto"/>
        <w:ind w:firstLine="420"/>
        <w:rPr>
          <w:sz w:val="21"/>
          <w:szCs w:val="21"/>
        </w:rPr>
      </w:pPr>
      <w:r>
        <w:rPr>
          <w:rFonts w:hint="eastAsia"/>
          <w:sz w:val="21"/>
          <w:szCs w:val="21"/>
        </w:rPr>
        <w:t xml:space="preserve">（5）基金投资信用衍生品的风险 </w:t>
      </w:r>
    </w:p>
    <w:p>
      <w:pPr>
        <w:pStyle w:val="7"/>
        <w:spacing w:before="0" w:beforeAutospacing="0" w:after="0" w:afterAutospacing="0" w:line="360" w:lineRule="auto"/>
        <w:ind w:firstLine="420"/>
        <w:rPr>
          <w:sz w:val="21"/>
          <w:szCs w:val="21"/>
        </w:rPr>
      </w:pPr>
      <w:r>
        <w:rPr>
          <w:rFonts w:hint="eastAsia"/>
          <w:sz w:val="21"/>
          <w:szCs w:val="21"/>
        </w:rPr>
        <w:t xml:space="preserve">本基金可以投资于信用衍生品，由于信用衍生品市场价值随着市场因素的变化而变化，当信用衍生品价值为正时面临交易对手违约的风险。信用衍生品主要场外市场交易，产品自身的流动性不高，此时倘若市场中发生交易对手违约或者信用评级被降级等信用事件，将会降低产品的流动性，使得产品的流动性溢价提高。信用衍生品本身高杠杆的特点，有时即为微小的失误可能带来风险的急剧放大，信用衍生品在估值、风险对冲方面存在模型风险。 </w:t>
      </w:r>
    </w:p>
    <w:p>
      <w:pPr>
        <w:pStyle w:val="7"/>
        <w:spacing w:before="0" w:beforeAutospacing="0" w:after="0" w:afterAutospacing="0" w:line="360" w:lineRule="auto"/>
        <w:ind w:firstLine="420"/>
        <w:rPr>
          <w:sz w:val="21"/>
          <w:szCs w:val="21"/>
        </w:rPr>
      </w:pPr>
      <w:r>
        <w:rPr>
          <w:rFonts w:hint="eastAsia"/>
          <w:sz w:val="21"/>
          <w:szCs w:val="21"/>
        </w:rPr>
        <w:t xml:space="preserve">（6）基金投资存托凭证的风险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（7）自动清算的风险 </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五十个工作日出现前述情形的，本基金将根据基金合同的约定进行基金财产清算并终止，且无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8、操作或技术风险 </w:t>
      </w:r>
    </w:p>
    <w:p>
      <w:pPr>
        <w:pStyle w:val="7"/>
        <w:spacing w:before="0" w:beforeAutospacing="0" w:after="0" w:afterAutospacing="0" w:line="360" w:lineRule="auto"/>
        <w:ind w:firstLine="420"/>
        <w:rPr>
          <w:sz w:val="21"/>
          <w:szCs w:val="21"/>
        </w:rPr>
      </w:pPr>
      <w:r>
        <w:rPr>
          <w:rFonts w:hint="eastAsia"/>
          <w:sz w:val="21"/>
          <w:szCs w:val="21"/>
        </w:rPr>
        <w:t xml:space="preserve">（1）技术风险：在定向资产管理业务的日常交易中，可能因为技术系统的故障或者差错而影响交易的正常进行或者导致投资者的利益受到影响。这种技术风险可能来自管理人、托管人、证券交易所、期货交易所、证券登记结算机构等。 </w:t>
      </w:r>
    </w:p>
    <w:p>
      <w:pPr>
        <w:pStyle w:val="7"/>
        <w:spacing w:before="0" w:beforeAutospacing="0" w:after="0" w:afterAutospacing="0" w:line="360" w:lineRule="auto"/>
        <w:ind w:firstLine="420"/>
        <w:rPr>
          <w:sz w:val="21"/>
          <w:szCs w:val="21"/>
        </w:rPr>
      </w:pPr>
      <w:r>
        <w:rPr>
          <w:rFonts w:hint="eastAsia"/>
          <w:sz w:val="21"/>
          <w:szCs w:val="21"/>
        </w:rPr>
        <w:t xml:space="preserve">（2）操作风险：证券交易所、期货交易所、证券登记结算机构等在业务操作过程中，因操作失误或违反操作规程而引起的风险。 </w:t>
      </w:r>
    </w:p>
    <w:p>
      <w:pPr>
        <w:pStyle w:val="7"/>
        <w:spacing w:before="0" w:beforeAutospacing="0" w:after="0" w:afterAutospacing="0" w:line="360" w:lineRule="auto"/>
        <w:ind w:firstLine="420"/>
        <w:rPr>
          <w:sz w:val="21"/>
          <w:szCs w:val="21"/>
        </w:rPr>
      </w:pPr>
      <w:r>
        <w:rPr>
          <w:rFonts w:hint="eastAsia"/>
          <w:sz w:val="21"/>
          <w:szCs w:val="21"/>
        </w:rPr>
        <w:t xml:space="preserve">9、其它风险 </w:t>
      </w:r>
    </w:p>
    <w:p>
      <w:pPr>
        <w:pStyle w:val="7"/>
        <w:spacing w:before="0" w:beforeAutospacing="0" w:after="0" w:afterAutospacing="0" w:line="360" w:lineRule="auto"/>
        <w:ind w:firstLine="420"/>
        <w:rPr>
          <w:sz w:val="21"/>
          <w:szCs w:val="21"/>
        </w:rPr>
      </w:pPr>
      <w:r>
        <w:rPr>
          <w:rFonts w:hint="eastAsia"/>
          <w:sz w:val="21"/>
          <w:szCs w:val="21"/>
        </w:rPr>
        <w:t xml:space="preserve">（1）战争、自然灾害等不可抗力因素的出现，将会严重影响证券市场的运行，可能导致委托财产的损失； </w:t>
      </w:r>
    </w:p>
    <w:p>
      <w:pPr>
        <w:pStyle w:val="7"/>
        <w:spacing w:before="0" w:beforeAutospacing="0" w:after="0" w:afterAutospacing="0" w:line="360" w:lineRule="auto"/>
        <w:ind w:firstLine="420"/>
        <w:rPr>
          <w:sz w:val="21"/>
          <w:szCs w:val="21"/>
        </w:rPr>
      </w:pPr>
      <w:r>
        <w:rPr>
          <w:rFonts w:hint="eastAsia"/>
          <w:sz w:val="21"/>
          <w:szCs w:val="21"/>
        </w:rPr>
        <w:t xml:space="preserve">（2）金融市场危机、行业竞争、代理商违约等超出基金管理人自身直接控制能力之外的风险，也可能导致资产委托人利益受损。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2、除基金管理人直接办理本基金的销售外，本基金还通过基金销售机构销售，基金管</w:t>
      </w:r>
      <w:bookmarkStart w:id="194" w:name="chapter_level1_20_68_section_1_end"/>
      <w:bookmarkEnd w:id="194"/>
      <w:r>
        <w:rPr>
          <w:rFonts w:hint="eastAsia"/>
          <w:sz w:val="21"/>
          <w:szCs w:val="21"/>
        </w:rPr>
        <w:t xml:space="preserve">理人与基金销售机构都不能保证其收益或本金安全。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5" w:name="chapter_level1_21_69"/>
      <w:bookmarkStart w:id="196" w:name="_Toc113549583"/>
      <w:r>
        <w:rPr>
          <w:rFonts w:hint="eastAsia" w:ascii="宋体" w:hAnsi="宋体" w:eastAsia="宋体"/>
          <w:sz w:val="30"/>
        </w:rPr>
        <w:t>第十八部分  基金合同的变更、终止与基金财产的清算</w:t>
      </w:r>
      <w:bookmarkEnd w:id="195"/>
      <w:bookmarkEnd w:id="196"/>
    </w:p>
    <w:p>
      <w:pPr>
        <w:pStyle w:val="7"/>
        <w:spacing w:before="0" w:beforeAutospacing="0" w:after="0" w:afterAutospacing="0" w:line="360" w:lineRule="auto"/>
        <w:ind w:firstLine="420"/>
        <w:rPr>
          <w:sz w:val="21"/>
          <w:szCs w:val="21"/>
        </w:rPr>
      </w:pPr>
      <w:bookmarkStart w:id="197" w:name="chapter_level1_21_69_section_1"/>
      <w:bookmarkEnd w:id="197"/>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2、关于《基金合同》变更的基金份额持有人大会决议自生效后方可执行，自决议生效后按规定在规定媒介公告。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有下列情形之一的，经履行相关程序后，《基金合同》应当终止：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3、基金财产清算小组组成：基金财产清算小组成员由基金管理人、基金托管人、符合《证券法》规定的注册会计师、律师以及中国证监会指定的人员组成。基金财产清算小组可以聘用必要的工作人员。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6、基金财产清算的期限为6个月，但因本基金所持证券的流动性受到限制而不能及时变现的，清算期限可相应顺延。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依据基金财产清算的分配方案，将基金财产清算后的全部剩余资产扣除基金财产清算费用、交纳所欠税款并清偿基金债务后，按基金份额持有人持有的各类基金份额比例进行分配。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基金财产清算账册及有关文件由基金托管人保存20年以上，法律法规或监管规则另有规定的从其规定。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八、基金合并</w:t>
      </w:r>
    </w:p>
    <w:p>
      <w:pPr>
        <w:pStyle w:val="7"/>
        <w:spacing w:before="0" w:beforeAutospacing="0" w:after="0" w:afterAutospacing="0" w:line="360" w:lineRule="auto"/>
        <w:ind w:firstLine="420"/>
        <w:rPr>
          <w:sz w:val="21"/>
          <w:szCs w:val="21"/>
        </w:rPr>
      </w:pPr>
      <w:bookmarkStart w:id="198" w:name="chapter_level1_21_69_section_1_end"/>
      <w:bookmarkEnd w:id="198"/>
      <w:r>
        <w:rPr>
          <w:rFonts w:hint="eastAsia"/>
          <w:sz w:val="21"/>
          <w:szCs w:val="21"/>
        </w:rPr>
        <w:t xml:space="preserve">本基金与其他基金的合并应当按照法律法规规定的程序进行。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9" w:name="chapter_level1_22_71"/>
      <w:bookmarkStart w:id="200" w:name="_Toc113549584"/>
      <w:r>
        <w:rPr>
          <w:rFonts w:hint="eastAsia" w:ascii="宋体" w:hAnsi="宋体" w:eastAsia="宋体"/>
          <w:sz w:val="30"/>
        </w:rPr>
        <w:t>第十九部分  基金合同的内容摘要</w:t>
      </w:r>
      <w:bookmarkEnd w:id="199"/>
      <w:bookmarkEnd w:id="200"/>
    </w:p>
    <w:p>
      <w:pPr>
        <w:pStyle w:val="7"/>
        <w:spacing w:before="0" w:beforeAutospacing="0" w:after="0" w:afterAutospacing="0" w:line="360" w:lineRule="auto"/>
        <w:ind w:firstLine="420"/>
        <w:rPr>
          <w:sz w:val="21"/>
          <w:szCs w:val="21"/>
        </w:rPr>
      </w:pPr>
      <w:bookmarkStart w:id="201" w:name="chapter_level1_22_71_section_1"/>
      <w:bookmarkEnd w:id="201"/>
      <w:r>
        <w:rPr>
          <w:rStyle w:val="11"/>
          <w:rFonts w:hint="eastAsia"/>
          <w:sz w:val="21"/>
          <w:szCs w:val="21"/>
        </w:rPr>
        <w:t>一、基金合同当事人及权利义务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（16）在符合有关法律、法规的前提下，制订和调整有关基金认购、申购、赎回、转换、定期定额投资和非交易过户等业务规则；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但依法向监管机构、司法机关及审计、法律等向外部专业顾问提供的情况除外；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 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（4）根据相关市场规则，为基金开设资金账户、证券账户等投资所需账户，为基金办理证券、期货交易资金清算；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但依法向监管机构、司法机关及审计、法律等向外部专业顾问提供的情况除外；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（11）保存基金托管业务活动的记录、账册、报表和其他相关资料20年以上，法律法规或监管规则另有规定的从其规定；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（12）从基金管理人或其委托的登记机构处接收并保存基金份额持有人名册；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（三）基金份额持有人的权利和义务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除法律法规另有规定或本基金合同另有约定外，同一类别每份基金份额具有同等的合法权益。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（3）依法转让或者申请赎回其持有的基金份额；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（4）交纳基金认购、申购款项及法律法规和《基金合同》所规定的费用；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除法律法规另有规定或本基金合同另有约定外，基金份额持有人持有的同一类别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1、除法律法规和中国证监会另有规定或《基金合同》另有约定外，当出现或需要决定下列事由之一的，应当召开基金份额持有人大会：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（5）调整基金管理人、基金托管人的报酬标准或提高销售服务费率；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2、在法律法规规定和《基金合同》约定的范围内且对基金份额持有人利益无实质性不利影响的前提下，以下情况可由基金管理人和基金托管人协商后修改，不需召开基金份额持有人大会：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（2）调整本基金的申购费率、调低赎回费率、调低销售服务费率或变更收费方式，调整基金份额类别设置、对基金份额分类办法及规则进行调整；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（5）基金管理人、登记机构、基金销售机构调整有关认购、申购、赎回、转换、基金交易、非交易过户、转托管等业务规则； </w:t>
      </w:r>
    </w:p>
    <w:p>
      <w:pPr>
        <w:pStyle w:val="7"/>
        <w:spacing w:before="0" w:beforeAutospacing="0" w:after="0" w:afterAutospacing="0" w:line="360" w:lineRule="auto"/>
        <w:ind w:firstLine="420"/>
        <w:rPr>
          <w:sz w:val="21"/>
          <w:szCs w:val="21"/>
        </w:rPr>
      </w:pPr>
      <w:r>
        <w:rPr>
          <w:rFonts w:hint="eastAsia"/>
          <w:sz w:val="21"/>
          <w:szCs w:val="21"/>
        </w:rPr>
        <w:t xml:space="preserve">（6）履行相关程序后，基金推出新业务或服务；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（7）按照法律法规和《基金合同》规定不需召开基金份额持有人大会的其他情形。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1、召开基金份额持有人大会，召集人应于会议召开前30日，在规定媒介公告。基金份额持有人大会通知应至少载明以下内容：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或大会公告载明的其他方式在表决截止日以前送达至召集人指定的地址。通讯开会应以书面方式或大会公告载明的其他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基金份额持有人大会决议自生效之日起按规定在规定媒介上公告。如果采用通讯方式进行表决，在公告基金份额持有人大会决议时，必须将公证书全文、公证机构、公证员姓名等一同公告。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（九）实施侧袋机制期间基金份额持有人大会的特殊约定 </w:t>
      </w:r>
    </w:p>
    <w:p>
      <w:pPr>
        <w:pStyle w:val="7"/>
        <w:spacing w:before="0" w:beforeAutospacing="0" w:after="0" w:afterAutospacing="0" w:line="360" w:lineRule="auto"/>
        <w:ind w:firstLine="420"/>
        <w:rPr>
          <w:sz w:val="21"/>
          <w:szCs w:val="21"/>
        </w:rPr>
      </w:pPr>
      <w:r>
        <w:rPr>
          <w:rFonts w:hint="eastAsia"/>
          <w:sz w:val="21"/>
          <w:szCs w:val="21"/>
        </w:rPr>
        <w:t xml:space="preserve">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 </w:t>
      </w:r>
    </w:p>
    <w:p>
      <w:pPr>
        <w:pStyle w:val="7"/>
        <w:spacing w:before="0" w:beforeAutospacing="0" w:after="0" w:afterAutospacing="0" w:line="360" w:lineRule="auto"/>
        <w:ind w:firstLine="420"/>
        <w:rPr>
          <w:sz w:val="21"/>
          <w:szCs w:val="21"/>
        </w:rPr>
      </w:pPr>
      <w:r>
        <w:rPr>
          <w:rFonts w:hint="eastAsia"/>
          <w:sz w:val="21"/>
          <w:szCs w:val="21"/>
        </w:rPr>
        <w:t xml:space="preserve">1、基金份额持有人行使提议权、召集权、提名权所需单独或合计代表相关基金份额10%以上（含10%）； </w:t>
      </w:r>
    </w:p>
    <w:p>
      <w:pPr>
        <w:pStyle w:val="7"/>
        <w:spacing w:before="0" w:beforeAutospacing="0" w:after="0" w:afterAutospacing="0" w:line="360" w:lineRule="auto"/>
        <w:ind w:firstLine="420"/>
        <w:rPr>
          <w:sz w:val="21"/>
          <w:szCs w:val="21"/>
        </w:rPr>
      </w:pPr>
      <w:r>
        <w:rPr>
          <w:rFonts w:hint="eastAsia"/>
          <w:sz w:val="21"/>
          <w:szCs w:val="21"/>
        </w:rPr>
        <w:t xml:space="preserve">2、现场开会的到会者在权益登记日代表的基金份额不少于本基金在权益登记日相关基金份额的二分之一（含二分之一）； </w:t>
      </w:r>
    </w:p>
    <w:p>
      <w:pPr>
        <w:pStyle w:val="7"/>
        <w:spacing w:before="0" w:beforeAutospacing="0" w:after="0" w:afterAutospacing="0" w:line="360" w:lineRule="auto"/>
        <w:ind w:firstLine="420"/>
        <w:rPr>
          <w:sz w:val="21"/>
          <w:szCs w:val="21"/>
        </w:rPr>
      </w:pPr>
      <w:r>
        <w:rPr>
          <w:rFonts w:hint="eastAsia"/>
          <w:sz w:val="21"/>
          <w:szCs w:val="21"/>
        </w:rPr>
        <w:t xml:space="preserve">3、通讯开会的直接出具表决意见或授权他人代表出具表决意见的基金份额持有人所持有的基金份额不小于在权益登记日相关基金份额的二分之一（含二分之一）； </w:t>
      </w:r>
    </w:p>
    <w:p>
      <w:pPr>
        <w:pStyle w:val="7"/>
        <w:spacing w:before="0" w:beforeAutospacing="0" w:after="0" w:afterAutospacing="0" w:line="360" w:lineRule="auto"/>
        <w:ind w:firstLine="420"/>
        <w:rPr>
          <w:sz w:val="21"/>
          <w:szCs w:val="21"/>
        </w:rPr>
      </w:pPr>
      <w:r>
        <w:rPr>
          <w:rFonts w:hint="eastAsia"/>
          <w:sz w:val="21"/>
          <w:szCs w:val="21"/>
        </w:rPr>
        <w:t xml:space="preserve">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 </w:t>
      </w:r>
    </w:p>
    <w:p>
      <w:pPr>
        <w:pStyle w:val="7"/>
        <w:spacing w:before="0" w:beforeAutospacing="0" w:after="0" w:afterAutospacing="0" w:line="360" w:lineRule="auto"/>
        <w:ind w:firstLine="420"/>
        <w:rPr>
          <w:sz w:val="21"/>
          <w:szCs w:val="21"/>
        </w:rPr>
      </w:pPr>
      <w:r>
        <w:rPr>
          <w:rFonts w:hint="eastAsia"/>
          <w:sz w:val="21"/>
          <w:szCs w:val="21"/>
        </w:rPr>
        <w:t xml:space="preserve">5、现场开会由出席大会的基金份额持有人和代理人所持表决权的50%以上（含50%）选举产生一名基金份额持有人作为该次基金份额持有人大会的主持人； </w:t>
      </w:r>
    </w:p>
    <w:p>
      <w:pPr>
        <w:pStyle w:val="7"/>
        <w:spacing w:before="0" w:beforeAutospacing="0" w:after="0" w:afterAutospacing="0" w:line="360" w:lineRule="auto"/>
        <w:ind w:firstLine="420"/>
        <w:rPr>
          <w:sz w:val="21"/>
          <w:szCs w:val="21"/>
        </w:rPr>
      </w:pPr>
      <w:r>
        <w:rPr>
          <w:rFonts w:hint="eastAsia"/>
          <w:sz w:val="21"/>
          <w:szCs w:val="21"/>
        </w:rPr>
        <w:t xml:space="preserve">6、一般决议须经参加大会的基金份额持有人或其代理人所持表决权的二分之一以上（含二分之一）通过； </w:t>
      </w:r>
    </w:p>
    <w:p>
      <w:pPr>
        <w:pStyle w:val="7"/>
        <w:spacing w:before="0" w:beforeAutospacing="0" w:after="0" w:afterAutospacing="0" w:line="360" w:lineRule="auto"/>
        <w:ind w:firstLine="420"/>
        <w:rPr>
          <w:sz w:val="21"/>
          <w:szCs w:val="21"/>
        </w:rPr>
      </w:pPr>
      <w:r>
        <w:rPr>
          <w:rFonts w:hint="eastAsia"/>
          <w:sz w:val="21"/>
          <w:szCs w:val="21"/>
        </w:rPr>
        <w:t xml:space="preserve">7、特别决议应当经参加大会的基金份额持有人或其代理人所持表决权的三分之二以上（含三分之二）通过。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 </w:t>
      </w:r>
    </w:p>
    <w:p>
      <w:pPr>
        <w:pStyle w:val="7"/>
        <w:spacing w:before="0" w:beforeAutospacing="0" w:after="0" w:afterAutospacing="0" w:line="360" w:lineRule="auto"/>
        <w:ind w:firstLine="420"/>
        <w:rPr>
          <w:sz w:val="21"/>
          <w:szCs w:val="21"/>
        </w:rPr>
      </w:pPr>
      <w:r>
        <w:rPr>
          <w:rFonts w:hint="eastAsia"/>
          <w:sz w:val="21"/>
          <w:szCs w:val="21"/>
        </w:rPr>
        <w:t xml:space="preserve">侧袋机制实施期间，关于基金份额持有人大会的相关规定以本节特殊约定内容为准，本节没有规定的适用本部分相关约定。 </w:t>
      </w:r>
    </w:p>
    <w:p>
      <w:pPr>
        <w:pStyle w:val="7"/>
        <w:spacing w:before="0" w:beforeAutospacing="0" w:after="0" w:afterAutospacing="0" w:line="360" w:lineRule="auto"/>
        <w:ind w:firstLine="420"/>
        <w:rPr>
          <w:sz w:val="21"/>
          <w:szCs w:val="21"/>
        </w:rPr>
      </w:pPr>
      <w:r>
        <w:rPr>
          <w:rFonts w:hint="eastAsia"/>
          <w:sz w:val="21"/>
          <w:szCs w:val="21"/>
        </w:rPr>
        <w:t xml:space="preserve">（十）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三、基金合同解除和终止的事由、程序以及基金财产清算方式</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2、关于《基金合同》变更的基金份额持有人大会决议自生效后方可执行，自决议生效后按规定在规定媒介公告。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有下列情形之一的，经履行相关程序后，《基金合同》应当终止：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3、基金财产清算小组组成：基金财产清算小组成员由基金管理人、基金托管人、符合《证券法》规定的注册会计师、律师以及中国证监会指定的人员组成。基金财产清算小组可以聘用必要的工作人员。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6、基金财产清算的期限为6个月，但因本基金所持证券的流动性受到限制而不能及时变现的，清算期限可相应顺延。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依据基金财产清算的分配方案，将基金财产清算后的全部剩余资产扣除基金财产清算费用、交纳所欠税款并清偿基金债务后，按基金份额持有人持有的各类基金份额比例进行分配。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基金财产清算账册及有关文件由基金托管人保存20年以上，法律法规或监管规则另有规定的从其规定。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（八）基金合并 </w:t>
      </w:r>
    </w:p>
    <w:p>
      <w:pPr>
        <w:pStyle w:val="7"/>
        <w:spacing w:before="0" w:beforeAutospacing="0" w:after="0" w:afterAutospacing="0" w:line="360" w:lineRule="auto"/>
        <w:ind w:firstLine="420"/>
        <w:rPr>
          <w:sz w:val="21"/>
          <w:szCs w:val="21"/>
        </w:rPr>
      </w:pPr>
      <w:r>
        <w:rPr>
          <w:rFonts w:hint="eastAsia"/>
          <w:sz w:val="21"/>
          <w:szCs w:val="21"/>
        </w:rPr>
        <w:t xml:space="preserve">本基金与其他基金的合并应当按照法律法规规定的程序进行。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争议处理期间，基金管理人、基金托管人应恪守基金管理人和基金托管人的职责，各自继续忠实、勤勉、尽责地履行基金合同和基金托管协议规定的义务，维护基金份额持有人的合法权益。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《基金合同》受中国法律（为本基金合同之目的，在此不包括香港、澳门特别行政区和台湾地区法律）管辖。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五、基金合同存放地和投资人取得基金合同的方式</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202" w:name="chapter_level1_22_71_section_1_end"/>
      <w:bookmarkEnd w:id="202"/>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3" w:name="_Toc113549585"/>
      <w:bookmarkStart w:id="204" w:name="chapter_level1_23_72"/>
      <w:r>
        <w:rPr>
          <w:rFonts w:hint="eastAsia" w:ascii="宋体" w:hAnsi="宋体" w:eastAsia="宋体"/>
          <w:sz w:val="30"/>
        </w:rPr>
        <w:t>第二十部分  基金托管协议的内容摘要</w:t>
      </w:r>
      <w:bookmarkEnd w:id="203"/>
      <w:bookmarkEnd w:id="204"/>
    </w:p>
    <w:p>
      <w:pPr>
        <w:pStyle w:val="7"/>
        <w:spacing w:before="0" w:beforeAutospacing="0" w:after="0" w:afterAutospacing="0" w:line="360" w:lineRule="auto"/>
        <w:ind w:firstLine="420"/>
        <w:rPr>
          <w:sz w:val="21"/>
          <w:szCs w:val="21"/>
        </w:rPr>
      </w:pPr>
      <w:bookmarkStart w:id="205" w:name="chapter_level1_23_72_section_1"/>
      <w:bookmarkEnd w:id="205"/>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（一）基金管理人（或简称“管理人”） </w:t>
      </w:r>
    </w:p>
    <w:p>
      <w:pPr>
        <w:pStyle w:val="7"/>
        <w:spacing w:before="0" w:beforeAutospacing="0" w:after="0" w:afterAutospacing="0" w:line="360" w:lineRule="auto"/>
        <w:ind w:firstLine="420"/>
        <w:rPr>
          <w:sz w:val="21"/>
          <w:szCs w:val="21"/>
        </w:rPr>
      </w:pPr>
      <w:r>
        <w:rPr>
          <w:rFonts w:hint="eastAsia"/>
          <w:sz w:val="21"/>
          <w:szCs w:val="21"/>
        </w:rPr>
        <w:t>名称：</w:t>
      </w:r>
      <w:bookmarkStart w:id="206" w:name="field_0_managerorgfullname_5"/>
      <w:r>
        <w:rPr>
          <w:rFonts w:hint="eastAsia"/>
          <w:sz w:val="21"/>
          <w:szCs w:val="21"/>
        </w:rPr>
        <w:t>博时基金管理有限公司</w:t>
      </w:r>
      <w:bookmarkEnd w:id="20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  2.5亿元人民币 </w:t>
      </w:r>
    </w:p>
    <w:p>
      <w:pPr>
        <w:pStyle w:val="7"/>
        <w:spacing w:before="0" w:beforeAutospacing="0" w:after="0" w:afterAutospacing="0" w:line="360" w:lineRule="auto"/>
        <w:ind w:firstLine="420"/>
        <w:rPr>
          <w:sz w:val="21"/>
          <w:szCs w:val="21"/>
        </w:rPr>
      </w:pPr>
      <w:r>
        <w:rPr>
          <w:rFonts w:hint="eastAsia"/>
          <w:sz w:val="21"/>
          <w:szCs w:val="21"/>
        </w:rPr>
        <w:t xml:space="preserve">经营范围： 基金募集；基金销售；资产管理以及中国证监会许可的其它业务 </w:t>
      </w:r>
    </w:p>
    <w:p>
      <w:pPr>
        <w:pStyle w:val="7"/>
        <w:spacing w:before="0" w:beforeAutospacing="0" w:after="0" w:afterAutospacing="0" w:line="360" w:lineRule="auto"/>
        <w:ind w:firstLine="420"/>
        <w:rPr>
          <w:sz w:val="21"/>
          <w:szCs w:val="21"/>
        </w:rPr>
      </w:pPr>
      <w:r>
        <w:rPr>
          <w:rFonts w:hint="eastAsia"/>
          <w:sz w:val="21"/>
          <w:szCs w:val="21"/>
        </w:rPr>
        <w:t xml:space="preserve">存续期间： 持续经营 </w:t>
      </w:r>
    </w:p>
    <w:p>
      <w:pPr>
        <w:pStyle w:val="7"/>
        <w:spacing w:before="0" w:beforeAutospacing="0" w:after="0" w:afterAutospacing="0" w:line="360" w:lineRule="auto"/>
        <w:ind w:firstLine="420"/>
        <w:rPr>
          <w:sz w:val="21"/>
          <w:szCs w:val="21"/>
        </w:rPr>
      </w:pPr>
      <w:r>
        <w:rPr>
          <w:rFonts w:hint="eastAsia"/>
          <w:sz w:val="21"/>
          <w:szCs w:val="21"/>
        </w:rPr>
        <w:t xml:space="preserve">（二）基金托管人（或简称“托管人”） </w:t>
      </w:r>
    </w:p>
    <w:p>
      <w:pPr>
        <w:pStyle w:val="7"/>
        <w:spacing w:before="0" w:beforeAutospacing="0" w:after="0" w:afterAutospacing="0" w:line="360" w:lineRule="auto"/>
        <w:ind w:firstLine="420"/>
        <w:rPr>
          <w:sz w:val="21"/>
          <w:szCs w:val="21"/>
        </w:rPr>
      </w:pPr>
      <w:r>
        <w:rPr>
          <w:rFonts w:hint="eastAsia"/>
          <w:sz w:val="21"/>
          <w:szCs w:val="21"/>
        </w:rPr>
        <w:t>名称：      </w:t>
      </w:r>
      <w:bookmarkStart w:id="207" w:name="field_0_trustorgfullname_2"/>
      <w:r>
        <w:rPr>
          <w:rFonts w:hint="eastAsia"/>
          <w:sz w:val="21"/>
          <w:szCs w:val="21"/>
        </w:rPr>
        <w:t>中国银行股份有限公司</w:t>
      </w:r>
      <w:bookmarkEnd w:id="20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     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成立时间：  1983年10月31日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组织形式： 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 人民币贰仟玖佰肆拾叁亿捌仟柒佰柒拾玖万壹仟贰佰肆拾壹元整 </w:t>
      </w:r>
    </w:p>
    <w:p>
      <w:pPr>
        <w:pStyle w:val="7"/>
        <w:spacing w:before="0" w:beforeAutospacing="0" w:after="0" w:afterAutospacing="0" w:line="360" w:lineRule="auto"/>
        <w:ind w:firstLine="420"/>
        <w:rPr>
          <w:sz w:val="21"/>
          <w:szCs w:val="21"/>
        </w:rPr>
      </w:pPr>
      <w:r>
        <w:rPr>
          <w:rFonts w:hint="eastAsia"/>
          <w:sz w:val="21"/>
          <w:szCs w:val="21"/>
        </w:rPr>
        <w:t xml:space="preserve">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 持续经营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（一）基金托管人根据有关法律法规的规定对基金管理人的下列投资运作进行监督： </w:t>
      </w:r>
    </w:p>
    <w:p>
      <w:pPr>
        <w:pStyle w:val="7"/>
        <w:spacing w:before="0" w:beforeAutospacing="0" w:after="0" w:afterAutospacing="0" w:line="360" w:lineRule="auto"/>
        <w:ind w:firstLine="420"/>
        <w:rPr>
          <w:sz w:val="21"/>
          <w:szCs w:val="21"/>
        </w:rPr>
      </w:pPr>
      <w:r>
        <w:rPr>
          <w:rFonts w:hint="eastAsia"/>
          <w:sz w:val="21"/>
          <w:szCs w:val="21"/>
        </w:rPr>
        <w:t xml:space="preserve">1、对基金的投资范围、投资对象进行监督。基金管理人应将拟投资的消费创新主题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超短期融资券、可转换债券（含可分离交易可转换债券）、可交换债、次级债等）、资产支持证券、货币市场工具、银行存款、同业存单、债券回购、股指期货、股票期权、国债期货、信用衍生品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本基金可根据相关法律法规和基金合同的约定参与融资业务。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如法律法规或监管机构以后允许基金投资其他品种，基金管理人在履行适当程序后，本基金可以将其纳入投资范围。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本基金股票资产（含存托凭证）投资比例为基金资产的60%-95%，其中投资于“消费创新主题”相关证券资产的比例不低于非现金基金资产的80%。港股通标的股票的投资比例为股票资产的0%-50%。每个交易日日终在扣除股指期货、国债期货、股票期权合约需缴纳的交易保证金以后，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2、对基金投融资比例进行监督：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（1）本基金股票资产（含存托凭证）投资比例为基金资产的60%-95%，其中投资于“消费创新主题”相关证券资产的比例不低于非现金基金资产的80%；港股通标的股票的投资比例为股票资产的0%-50%；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股票期权、国债期货合约需缴纳的交易保证金以后，本基金持有现金或到期日在一年以内的政府债券的比例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（4）本基金管理人管理的且在本托管人处托管的全部基金持有一家公司发行的证券（含存托凭证），不超过该证券（若同时持有一家公司发行的A股和H股，则为A股与H股合计）的10％； </w:t>
      </w:r>
    </w:p>
    <w:p>
      <w:pPr>
        <w:pStyle w:val="7"/>
        <w:spacing w:before="0" w:beforeAutospacing="0" w:after="0" w:afterAutospacing="0" w:line="360" w:lineRule="auto"/>
        <w:ind w:firstLine="420"/>
        <w:rPr>
          <w:sz w:val="21"/>
          <w:szCs w:val="21"/>
        </w:rPr>
      </w:pPr>
      <w:r>
        <w:rPr>
          <w:rFonts w:hint="eastAsia"/>
          <w:sz w:val="21"/>
          <w:szCs w:val="21"/>
        </w:rPr>
        <w:t xml:space="preserve">（5）本基金资产总值不得超过基金资产净值的140%；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（7）本基金持有的全部资产支持证券，其市值不得超过基金资产净值的20％；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（8）本基金持有的同一(指同一信用级别)资产支持证券的比例，不得超过该资产支持证券规模的10％；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（9）本基金管理人管理的且在本托管人处托管的全部基金投资于同一原始权益人的各类资产支持证券，不得超过其各类资产支持证券合计规模的10％；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（11）基金财产参与股票发行申购，本基金所申报的金额不超过本基金的总资产，本基金所申报的股票数量不超过拟发行股票公司本次发行股票的总量；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（12）本基金进入全国银行间同业市场进行债券回购的资金余额不得超过基金资产净值的40%；在全国银行间同业市场中的债券回购最长期限为1年，债券回购到期后不展期； </w:t>
      </w:r>
    </w:p>
    <w:p>
      <w:pPr>
        <w:pStyle w:val="7"/>
        <w:spacing w:before="0" w:beforeAutospacing="0" w:after="0" w:afterAutospacing="0" w:line="360" w:lineRule="auto"/>
        <w:ind w:firstLine="420"/>
        <w:rPr>
          <w:sz w:val="21"/>
          <w:szCs w:val="21"/>
        </w:rPr>
      </w:pPr>
      <w:r>
        <w:rPr>
          <w:rFonts w:hint="eastAsia"/>
          <w:sz w:val="21"/>
          <w:szCs w:val="21"/>
        </w:rPr>
        <w:t xml:space="preserve">（13）本基金参与股指期货、国债期货投资的，应遵循下列限制：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3）在任何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5）本基金在任何交易日日终，持有的卖出国债期货合约价值不得超过基金持有的债券总市值的30%；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14）本基金管理人管理的且在本托管人处托管的全部开放式基金（包括开放式基金以及处于开放期的定期开放基金）持有一家上市公司发行的可流通股票，不得超过该上市公司可流通股票的15%；本基金管理人管理的且在本托管人处托管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（15）本基金主动投资于流动性受限资产的市值合计不得超过该基金资产净值的15%；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（17）基金参与融资业务后，在任何交易日日终，本基金持有的融资买入股票与其他有价证券市值之和，不得超过基金资产净值的95%； </w:t>
      </w:r>
    </w:p>
    <w:p>
      <w:pPr>
        <w:pStyle w:val="7"/>
        <w:spacing w:before="0" w:beforeAutospacing="0" w:after="0" w:afterAutospacing="0" w:line="360" w:lineRule="auto"/>
        <w:ind w:firstLine="420"/>
        <w:rPr>
          <w:sz w:val="21"/>
          <w:szCs w:val="21"/>
        </w:rPr>
      </w:pPr>
      <w:r>
        <w:rPr>
          <w:rFonts w:hint="eastAsia"/>
          <w:sz w:val="21"/>
          <w:szCs w:val="21"/>
        </w:rPr>
        <w:t xml:space="preserve">（18）法律法规及中国证监会规定的其他投资比例限制。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第（2）、（10）、（15）、（16）条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中登载基金业绩表现数据等进行复核。 </w:t>
      </w:r>
    </w:p>
    <w:p>
      <w:pPr>
        <w:pStyle w:val="7"/>
        <w:spacing w:before="0" w:beforeAutospacing="0" w:after="0" w:afterAutospacing="0" w:line="360" w:lineRule="auto"/>
        <w:ind w:firstLine="420"/>
        <w:rPr>
          <w:sz w:val="21"/>
          <w:szCs w:val="21"/>
        </w:rPr>
      </w:pPr>
      <w:r>
        <w:rPr>
          <w:rFonts w:hint="eastAsia"/>
          <w:sz w:val="21"/>
          <w:szCs w:val="21"/>
        </w:rPr>
        <w:t xml:space="preserve">（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pPr>
        <w:pStyle w:val="7"/>
        <w:spacing w:before="0" w:beforeAutospacing="0" w:after="0" w:afterAutospacing="0" w:line="360" w:lineRule="auto"/>
        <w:ind w:firstLine="420"/>
        <w:rPr>
          <w:sz w:val="21"/>
          <w:szCs w:val="21"/>
        </w:rPr>
      </w:pPr>
      <w:r>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2、基金托管人应安全保管基金财产，未经基金管理人的合法合规指令或法律法规、《基金合同》及本协议另有规定，不得自行运用、处分、分配基金的任何财产。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5、除依据《基金法》、《运作办法》、《基金合同》及其他有关法律法规规定外，基金托管人不得委托第三人托管基金财产。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（二）基金合同生效前募集资金的验资和入账 </w:t>
      </w:r>
    </w:p>
    <w:p>
      <w:pPr>
        <w:pStyle w:val="7"/>
        <w:spacing w:before="0" w:beforeAutospacing="0" w:after="0" w:afterAutospacing="0" w:line="360" w:lineRule="auto"/>
        <w:ind w:firstLine="420"/>
        <w:rPr>
          <w:sz w:val="21"/>
          <w:szCs w:val="21"/>
        </w:rPr>
      </w:pPr>
      <w:r>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符合《证券法》规定的会计师事务所对基金进行验资，并出具验资报告，出具的验资报告应由参加验资的2名以上（含2名）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2、基金管理人应将属于本基金财产的全部资金划入在基金托管人处为本基金开立的基金银行账户中，并确保划入的资金与验资确认金额相一致。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1、基金托管人应负责本基金的银行账户的开设和管理。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pPr>
        <w:pStyle w:val="7"/>
        <w:spacing w:before="0" w:beforeAutospacing="0" w:after="0" w:afterAutospacing="0" w:line="360" w:lineRule="auto"/>
        <w:ind w:firstLine="420"/>
        <w:rPr>
          <w:sz w:val="21"/>
          <w:szCs w:val="21"/>
        </w:rPr>
      </w:pPr>
      <w:r>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4、基金银行账户的管理应符合法律法规的有关规定。 </w:t>
      </w:r>
    </w:p>
    <w:p>
      <w:pPr>
        <w:pStyle w:val="7"/>
        <w:spacing w:before="0" w:beforeAutospacing="0" w:after="0" w:afterAutospacing="0" w:line="360" w:lineRule="auto"/>
        <w:ind w:firstLine="420"/>
        <w:rPr>
          <w:sz w:val="21"/>
          <w:szCs w:val="21"/>
        </w:rPr>
      </w:pPr>
      <w:r>
        <w:rPr>
          <w:rFonts w:hint="eastAsia"/>
          <w:sz w:val="21"/>
          <w:szCs w:val="21"/>
        </w:rPr>
        <w:t xml:space="preserve">（四）基金进行定期存款投资的账户开设和管理 </w:t>
      </w:r>
    </w:p>
    <w:p>
      <w:pPr>
        <w:pStyle w:val="7"/>
        <w:spacing w:before="0" w:beforeAutospacing="0" w:after="0" w:afterAutospacing="0" w:line="360" w:lineRule="auto"/>
        <w:ind w:firstLine="420"/>
        <w:rPr>
          <w:sz w:val="21"/>
          <w:szCs w:val="21"/>
        </w:rPr>
      </w:pPr>
      <w:r>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pPr>
        <w:pStyle w:val="7"/>
        <w:spacing w:before="0" w:beforeAutospacing="0" w:after="0" w:afterAutospacing="0" w:line="360" w:lineRule="auto"/>
        <w:ind w:firstLine="420"/>
        <w:rPr>
          <w:sz w:val="21"/>
          <w:szCs w:val="21"/>
        </w:rPr>
      </w:pPr>
      <w:r>
        <w:rPr>
          <w:rFonts w:hint="eastAsia"/>
          <w:sz w:val="21"/>
          <w:szCs w:val="21"/>
        </w:rPr>
        <w:t xml:space="preserve">（五）基金证券账户、结算备付金账户及其他投资账户的开设和管理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1、基金托管人应当代表本基金，以基金托管人和本基金联名的方式在中国证券登记结算有限责任公司开设证券账户。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pPr>
        <w:pStyle w:val="7"/>
        <w:spacing w:before="0" w:beforeAutospacing="0" w:after="0" w:afterAutospacing="0" w:line="360" w:lineRule="auto"/>
        <w:ind w:firstLine="420"/>
        <w:rPr>
          <w:sz w:val="21"/>
          <w:szCs w:val="21"/>
        </w:rPr>
      </w:pPr>
      <w:r>
        <w:rPr>
          <w:rFonts w:hint="eastAsia"/>
          <w:sz w:val="21"/>
          <w:szCs w:val="21"/>
        </w:rPr>
        <w:t xml:space="preserve">（六）债券托管专户的开设和管理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基金财产投资的实物证券、银行定期存款存单等有价凭证由基金托管人负责妥善保管。基金托管人对其以外机构实际有效控制的有价凭证不承担责任。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（八）与基金财产有关的重大合同及有关凭证的保管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基金托管人保存至少20年，法律法规或监管部门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对于无法取得二份以上的正本的，基金管理人应向基金托管人提供加盖公章的合同传真件，并对传真件真实性及一致性负责。未经双方协商或未在合同约定范围内，合同原件不得转移。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五、基金资产净值计算和会计核算</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（一）基金资产净值的计算和复核 </w:t>
      </w:r>
    </w:p>
    <w:p>
      <w:pPr>
        <w:pStyle w:val="7"/>
        <w:spacing w:before="0" w:beforeAutospacing="0" w:after="0" w:afterAutospacing="0" w:line="360" w:lineRule="auto"/>
        <w:ind w:firstLine="420"/>
        <w:rPr>
          <w:sz w:val="21"/>
          <w:szCs w:val="21"/>
        </w:rPr>
      </w:pPr>
      <w:r>
        <w:rPr>
          <w:rFonts w:hint="eastAsia"/>
          <w:sz w:val="21"/>
          <w:szCs w:val="21"/>
        </w:rPr>
        <w:t xml:space="preserve">1、基金资产净值是指基金资产总值减去负债后的价值。各类基金份额净值是指计算日该类基金资产净值除以计算日该类基金份额总数后的价值。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财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工作日结束后计算得出当日的各类基金份额净值，以双方约定的方式发送给基金托管人。基金托管人应对净值计算结果进行复核，并以双方约定的方式将复核结果传送给基金管理人，由基金管理人按约定对外公布。 </w:t>
      </w:r>
    </w:p>
    <w:p>
      <w:pPr>
        <w:pStyle w:val="7"/>
        <w:spacing w:before="0" w:beforeAutospacing="0" w:after="0" w:afterAutospacing="0" w:line="360" w:lineRule="auto"/>
        <w:ind w:firstLine="420"/>
        <w:rPr>
          <w:sz w:val="21"/>
          <w:szCs w:val="21"/>
        </w:rPr>
      </w:pPr>
      <w:r>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本基金实施侧袋机制的，应根据本部分的约定对主袋账户资产进行估值并披露主袋账户的基金份额净值和基金份额累计净值，暂停披露侧袋账户份额净值。 </w:t>
      </w:r>
    </w:p>
    <w:p>
      <w:pPr>
        <w:pStyle w:val="7"/>
        <w:spacing w:before="0" w:beforeAutospacing="0" w:after="0" w:afterAutospacing="0" w:line="360" w:lineRule="auto"/>
        <w:ind w:firstLine="420"/>
        <w:rPr>
          <w:sz w:val="21"/>
          <w:szCs w:val="21"/>
        </w:rPr>
      </w:pPr>
      <w:r>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pPr>
        <w:pStyle w:val="7"/>
        <w:spacing w:before="0" w:beforeAutospacing="0" w:after="0" w:afterAutospacing="0" w:line="360" w:lineRule="auto"/>
        <w:ind w:firstLine="420"/>
        <w:rPr>
          <w:sz w:val="21"/>
          <w:szCs w:val="21"/>
        </w:rPr>
      </w:pPr>
      <w:r>
        <w:rPr>
          <w:rFonts w:hint="eastAsia"/>
          <w:sz w:val="21"/>
          <w:szCs w:val="21"/>
        </w:rPr>
        <w:t xml:space="preserve">5、当基金资产的估值导致任一类基金份额净值小数点后四位内（含第四位）发生差错时，视为基金份额净值估值错误。当基金份额净值出现错误时，基金管理人应当立即予以纠正，并采取合理的措施防止损失进一步扩大；当计价错误达到该类基金份额净值的0.25%时，基金管理人应当报中国证监会备案；当计价错误达到该类基金份额净值的0.5%时，基金管理人应当在报中国证监会备案的同时并及时进行公告。如法律法规或监管机关对前述内容另有规定的，按其规定处理。 </w:t>
      </w:r>
    </w:p>
    <w:p>
      <w:pPr>
        <w:pStyle w:val="7"/>
        <w:spacing w:before="0" w:beforeAutospacing="0" w:after="0" w:afterAutospacing="0" w:line="360" w:lineRule="auto"/>
        <w:ind w:firstLine="420"/>
        <w:rPr>
          <w:sz w:val="21"/>
          <w:szCs w:val="21"/>
        </w:rPr>
      </w:pPr>
      <w:r>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pPr>
        <w:pStyle w:val="7"/>
        <w:spacing w:before="0" w:beforeAutospacing="0" w:after="0" w:afterAutospacing="0" w:line="360" w:lineRule="auto"/>
        <w:ind w:firstLine="420"/>
        <w:rPr>
          <w:sz w:val="21"/>
          <w:szCs w:val="21"/>
        </w:rPr>
      </w:pPr>
      <w:r>
        <w:rPr>
          <w:rFonts w:hint="eastAsia"/>
          <w:sz w:val="21"/>
          <w:szCs w:val="21"/>
        </w:rPr>
        <w:t xml:space="preserve">7、 由于有关会计制度变化或不可抗力原因，或由于证券、期货交易所或登记结算公司等第三方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（二）基金会计核算 </w:t>
      </w:r>
    </w:p>
    <w:p>
      <w:pPr>
        <w:pStyle w:val="7"/>
        <w:spacing w:before="0" w:beforeAutospacing="0" w:after="0" w:afterAutospacing="0" w:line="360" w:lineRule="auto"/>
        <w:ind w:firstLine="420"/>
        <w:rPr>
          <w:sz w:val="21"/>
          <w:szCs w:val="21"/>
        </w:rPr>
      </w:pPr>
      <w:r>
        <w:rPr>
          <w:rFonts w:hint="eastAsia"/>
          <w:sz w:val="21"/>
          <w:szCs w:val="21"/>
        </w:rPr>
        <w:t xml:space="preserve">1、基金账册的建立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pPr>
        <w:pStyle w:val="7"/>
        <w:spacing w:before="0" w:beforeAutospacing="0" w:after="0" w:afterAutospacing="0" w:line="360" w:lineRule="auto"/>
        <w:ind w:firstLine="420"/>
        <w:rPr>
          <w:sz w:val="21"/>
          <w:szCs w:val="21"/>
        </w:rPr>
      </w:pPr>
      <w:r>
        <w:rPr>
          <w:rFonts w:hint="eastAsia"/>
          <w:sz w:val="21"/>
          <w:szCs w:val="21"/>
        </w:rPr>
        <w:t xml:space="preserve">2、会计数据和财务指标的核对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基金管理人和基金托管人应定期就会计数据和财务指标进行核对。如发现存在不符，双方应及时查明原因并纠正。 </w:t>
      </w:r>
    </w:p>
    <w:p>
      <w:pPr>
        <w:pStyle w:val="7"/>
        <w:spacing w:before="0" w:beforeAutospacing="0" w:after="0" w:afterAutospacing="0" w:line="360" w:lineRule="auto"/>
        <w:ind w:firstLine="420"/>
        <w:rPr>
          <w:sz w:val="21"/>
          <w:szCs w:val="21"/>
        </w:rPr>
      </w:pPr>
      <w:r>
        <w:rPr>
          <w:rFonts w:hint="eastAsia"/>
          <w:sz w:val="21"/>
          <w:szCs w:val="21"/>
        </w:rPr>
        <w:t xml:space="preserve">3、基金财务报表和定期报告的编制和复核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季度报告应在每个季度结束之日起10个工作日内编制完毕并于每个季度结束之日起15个工作日内予以公告；中期报告在会计年度半年终了后40日内编制完毕并于会计年度半年终了后两个月内予以公告；年度报告在会计年度结束后60日内编制完毕并于会计年度终了后三个月内予以公告。基金合同生效不足两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及时完成报表编制，将有关报表提供给基金托管人复核，基金托管人在收到后应及时进行复核，并将复核结果书面通知基金管理人；基金管理人应留足充分的时间，便于基金托管人复核相关报表及报告。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（一）基金份额持有人名册的内容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基金份额持有人名册的内容包括但不限于基金份额持有人的名称和持有的基金份额。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基金份额持有人名册包括以下几类： </w:t>
      </w:r>
    </w:p>
    <w:p>
      <w:pPr>
        <w:pStyle w:val="7"/>
        <w:spacing w:before="0" w:beforeAutospacing="0" w:after="0" w:afterAutospacing="0" w:line="360" w:lineRule="auto"/>
        <w:ind w:firstLine="420"/>
        <w:rPr>
          <w:sz w:val="21"/>
          <w:szCs w:val="21"/>
        </w:rPr>
      </w:pPr>
      <w:r>
        <w:rPr>
          <w:rFonts w:hint="eastAsia"/>
          <w:sz w:val="21"/>
          <w:szCs w:val="21"/>
        </w:rPr>
        <w:t xml:space="preserve">1、基金募集期结束时的基金份额持有人名册；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2、基金份额持有人大会权益登记日的基金份额持有人名册；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3、每半年度最后一个交易日的基金份额持有人名册。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（二）基金份额持有人名册的提供 </w:t>
      </w:r>
    </w:p>
    <w:p>
      <w:pPr>
        <w:pStyle w:val="7"/>
        <w:spacing w:before="0" w:beforeAutospacing="0" w:after="0" w:afterAutospacing="0" w:line="360" w:lineRule="auto"/>
        <w:ind w:firstLine="420"/>
        <w:rPr>
          <w:sz w:val="21"/>
          <w:szCs w:val="21"/>
        </w:rPr>
      </w:pPr>
      <w:r>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（三）基金份额持有人名册的保管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 </w:t>
      </w:r>
    </w:p>
    <w:p>
      <w:pPr>
        <w:pStyle w:val="7"/>
        <w:spacing w:before="0" w:beforeAutospacing="0" w:after="0" w:afterAutospacing="0" w:line="360" w:lineRule="auto"/>
        <w:ind w:firstLine="420"/>
        <w:rPr>
          <w:sz w:val="21"/>
          <w:szCs w:val="21"/>
        </w:rPr>
      </w:pPr>
      <w:r>
        <w:rPr>
          <w:rFonts w:hint="eastAsia"/>
          <w:sz w:val="21"/>
          <w:szCs w:val="21"/>
        </w:rPr>
        <w:t xml:space="preserve">在基金托管人要求或编制中期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Style w:val="11"/>
          <w:rFonts w:hint="eastAsia"/>
          <w:sz w:val="21"/>
          <w:szCs w:val="21"/>
        </w:rPr>
        <w:t>七、适用法律与争议解决方式</w:t>
      </w:r>
    </w:p>
    <w:p>
      <w:pPr>
        <w:pStyle w:val="7"/>
        <w:spacing w:before="0" w:beforeAutospacing="0" w:after="0" w:afterAutospacing="0" w:line="360" w:lineRule="auto"/>
        <w:ind w:firstLine="420"/>
        <w:rPr>
          <w:sz w:val="21"/>
          <w:szCs w:val="21"/>
        </w:rPr>
      </w:pPr>
      <w:r>
        <w:rPr>
          <w:rFonts w:hint="eastAsia"/>
          <w:sz w:val="21"/>
          <w:szCs w:val="21"/>
        </w:rPr>
        <w:t xml:space="preserve">（一）本协议适用中华人民共和国（不含香港、澳门特别行政区和台湾地区）法律并从其解释。 </w:t>
      </w:r>
    </w:p>
    <w:p>
      <w:pPr>
        <w:pStyle w:val="7"/>
        <w:spacing w:before="0" w:beforeAutospacing="0" w:after="0" w:afterAutospacing="0" w:line="360" w:lineRule="auto"/>
        <w:ind w:firstLine="420"/>
        <w:rPr>
          <w:sz w:val="21"/>
          <w:szCs w:val="21"/>
        </w:rPr>
      </w:pPr>
      <w:r>
        <w:rPr>
          <w:rFonts w:hint="eastAsia"/>
          <w:sz w:val="21"/>
          <w:szCs w:val="21"/>
        </w:rPr>
        <w:t xml:space="preserve">（二）基金管理人与基金托管人之间因本协议产生的或与本协议有关的争议可通过友好协商解决。如不愿或者不能通过协商、调解解决的，任何一方有权将争议提交中国国际经济贸易仲裁委员会，并按其时有效的仲裁规则进行仲裁。仲裁地点为北京市。仲裁裁决是终局的，对仲裁双方当事人均具有约束力。除非仲裁裁决另有规定，仲裁费、律师费由败诉方承担。 </w:t>
      </w:r>
    </w:p>
    <w:p>
      <w:pPr>
        <w:pStyle w:val="7"/>
        <w:spacing w:before="0" w:beforeAutospacing="0" w:after="0" w:afterAutospacing="0" w:line="360" w:lineRule="auto"/>
        <w:ind w:firstLine="420"/>
        <w:rPr>
          <w:sz w:val="21"/>
          <w:szCs w:val="21"/>
        </w:rPr>
      </w:pPr>
      <w:r>
        <w:rPr>
          <w:rFonts w:hint="eastAsia"/>
          <w:sz w:val="21"/>
          <w:szCs w:val="21"/>
        </w:rPr>
        <w:t xml:space="preserve">（三）除争议所涉的内容之外，本协议的当事人仍应履行本协议的其他规定。 </w:t>
      </w:r>
    </w:p>
    <w:p>
      <w:pPr>
        <w:pStyle w:val="7"/>
        <w:spacing w:before="0" w:beforeAutospacing="0" w:after="0" w:afterAutospacing="0" w:line="360" w:lineRule="auto"/>
        <w:ind w:firstLine="420"/>
        <w:rPr>
          <w:sz w:val="21"/>
          <w:szCs w:val="21"/>
        </w:rPr>
      </w:pPr>
      <w:r>
        <w:rPr>
          <w:rStyle w:val="11"/>
          <w:rFonts w:hint="eastAsia"/>
          <w:sz w:val="21"/>
          <w:szCs w:val="21"/>
        </w:rPr>
        <w:t>八、托管协议的变更、终止与基金财产的清算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（一）托管协议的变更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（二）托管协议的终止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发生以下情况，本托管协议应当终止：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2、本基金更换基金托管人； </w:t>
      </w:r>
    </w:p>
    <w:p>
      <w:pPr>
        <w:pStyle w:val="7"/>
        <w:spacing w:before="0" w:beforeAutospacing="0" w:after="0" w:afterAutospacing="0" w:line="360" w:lineRule="auto"/>
        <w:ind w:firstLine="420"/>
        <w:rPr>
          <w:sz w:val="21"/>
          <w:szCs w:val="21"/>
        </w:rPr>
      </w:pPr>
      <w:r>
        <w:rPr>
          <w:rFonts w:hint="eastAsia"/>
          <w:sz w:val="21"/>
          <w:szCs w:val="21"/>
        </w:rPr>
        <w:t xml:space="preserve">3、本基金更换基金管理人； </w:t>
      </w:r>
    </w:p>
    <w:p>
      <w:pPr>
        <w:pStyle w:val="7"/>
        <w:spacing w:before="0" w:beforeAutospacing="0" w:after="0" w:afterAutospacing="0" w:line="360" w:lineRule="auto"/>
        <w:ind w:firstLine="420"/>
        <w:rPr>
          <w:sz w:val="21"/>
          <w:szCs w:val="21"/>
        </w:rPr>
      </w:pPr>
      <w:r>
        <w:rPr>
          <w:rFonts w:hint="eastAsia"/>
          <w:sz w:val="21"/>
          <w:szCs w:val="21"/>
        </w:rPr>
        <w:t xml:space="preserve">4、发生《基金法》、《运作办法》或其他法律法规规定的终止事项。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基金管理人和基金托管人应按照《基金合同》及有关法律法规的规定对本基金的财产进</w:t>
      </w:r>
      <w:bookmarkStart w:id="208" w:name="chapter_level1_23_72_section_1_end"/>
      <w:bookmarkEnd w:id="208"/>
      <w:r>
        <w:rPr>
          <w:rFonts w:hint="eastAsia"/>
          <w:sz w:val="21"/>
          <w:szCs w:val="21"/>
        </w:rPr>
        <w:t xml:space="preserve">行清算。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9" w:name="_Toc113549586"/>
      <w:bookmarkStart w:id="210" w:name="chapter_level1_24_75"/>
      <w:r>
        <w:rPr>
          <w:rFonts w:hint="eastAsia" w:ascii="宋体" w:hAnsi="宋体" w:eastAsia="宋体"/>
          <w:sz w:val="30"/>
        </w:rPr>
        <w:t>第二十一部分  对基金份额持有人的服务</w:t>
      </w:r>
      <w:bookmarkEnd w:id="209"/>
      <w:bookmarkEnd w:id="210"/>
    </w:p>
    <w:p>
      <w:pPr>
        <w:pStyle w:val="7"/>
        <w:spacing w:before="0" w:beforeAutospacing="0" w:after="0" w:afterAutospacing="0" w:line="360" w:lineRule="auto"/>
        <w:ind w:firstLine="420"/>
        <w:rPr>
          <w:sz w:val="21"/>
          <w:szCs w:val="21"/>
        </w:rPr>
      </w:pPr>
      <w:bookmarkStart w:id="211" w:name="chapter_level1_24_75_section_1"/>
      <w:bookmarkEnd w:id="211"/>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基金管理人达成电子交易的相关协议，接受本基金管理人有关服务条款并办理相关手续后，即可自助开户并进行网上交易，如基金认/申购、定投、转换、赎回、赎回转申购及分红方式变更等。具体业务办理情况及业务规则请登录本基金管理人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12" w:name="chapter_level1_24_75_section_1_end"/>
      <w:bookmarkEnd w:id="212"/>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13" w:name="chapter_level1_24_75_section_2"/>
      <w:bookmarkEnd w:id="213"/>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2、电话交易服务：本基金管理人直销投资者可通过博时一线通电话交易平台在线办理基金的赎回、变更分红方式、撤单等直销交易业务。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网址： 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14" w:name="chapter_level1_24_75_section_2_end"/>
      <w:bookmarkEnd w:id="214"/>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5" w:name="chapter_level1_25_3499"/>
      <w:bookmarkStart w:id="216" w:name="_Toc113549587"/>
      <w:r>
        <w:rPr>
          <w:rFonts w:hint="eastAsia" w:ascii="宋体" w:hAnsi="宋体" w:eastAsia="宋体"/>
          <w:sz w:val="30"/>
        </w:rPr>
        <w:t>第二十二部分 其他应披露的事项</w:t>
      </w:r>
      <w:bookmarkEnd w:id="215"/>
      <w:bookmarkEnd w:id="216"/>
    </w:p>
    <w:p>
      <w:pPr>
        <w:pStyle w:val="7"/>
        <w:spacing w:before="0" w:beforeAutospacing="0" w:after="0" w:afterAutospacing="0" w:line="360" w:lineRule="auto"/>
        <w:ind w:firstLine="420"/>
        <w:rPr>
          <w:sz w:val="21"/>
          <w:szCs w:val="21"/>
        </w:rPr>
      </w:pPr>
      <w:bookmarkStart w:id="217" w:name="chapter_level1_25_3499_section_1"/>
      <w:bookmarkEnd w:id="217"/>
      <w:bookmarkStart w:id="218" w:name="field_0_bsrevealinfo_1_start"/>
      <w:bookmarkEnd w:id="218"/>
      <w:r>
        <w:rPr>
          <w:rFonts w:hint="eastAsia"/>
          <w:sz w:val="21"/>
          <w:szCs w:val="21"/>
        </w:rPr>
        <w:t>（一）、 2022年08月31日，我公司公告了《博时消费创新混合型证券投资基金2022年中期报告》；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2022年08月25日，我公司公告了《博时消费创新混合型证券投资基金（博时消费创新混合A）基金产品资料概要更新》、《博时消费创新混合型证券投资基金（博时消费创新混合C）基金产品资料概要更新》；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2022年07月21日，我公司公告了《博时消费创新混合型证券投资基金2022年第2季度报告》；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2022年05月14日，我公司公告了《关于博时基金管理有限公司旗下部分基金投资非公开发行股票的公告20220514》；</w:t>
      </w:r>
    </w:p>
    <w:p>
      <w:pPr>
        <w:pStyle w:val="7"/>
        <w:spacing w:before="0" w:beforeAutospacing="0" w:after="0" w:afterAutospacing="0" w:line="360" w:lineRule="auto"/>
        <w:ind w:firstLine="420"/>
        <w:rPr>
          <w:sz w:val="21"/>
          <w:szCs w:val="21"/>
        </w:rPr>
      </w:pPr>
      <w:r>
        <w:rPr>
          <w:rFonts w:hint="eastAsia"/>
          <w:sz w:val="21"/>
          <w:szCs w:val="21"/>
        </w:rPr>
        <w:t>（十一）、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（十二）、 2022年04月22日，我公司公告了《博时消费创新混合型证券投资基金2022年第1季度报告》；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（十三）、 2022年03月30日，我公司公告了《博时消费创新混合型证券投资基金2021年年度报告》；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（十四）、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（十五）、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（十六）、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（十七）、 2022年01月24日，我公司公告了《博时消费创新混合型证券投资基金2021年第4季度报告》；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（十八）、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（十九）、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（二十）、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（二十一）、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（二十二）、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（二十三）、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（二十四）、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（二十五）、 2021年11月11日，我公司公告了《博时消费创新混合型证券投资基金（博时消费创新混合A）基金产品资料概要更新》、《博时消费创新混合型证券投资基金（博时消费创新混合C）基金产品资料概要更新》；</w:t>
      </w:r>
    </w:p>
    <w:p>
      <w:pPr>
        <w:pStyle w:val="7"/>
        <w:spacing w:before="0" w:beforeAutospacing="0" w:after="0" w:afterAutospacing="0" w:line="360" w:lineRule="auto"/>
        <w:ind w:firstLine="420"/>
        <w:rPr>
          <w:sz w:val="21"/>
          <w:szCs w:val="21"/>
        </w:rPr>
      </w:pPr>
      <w:r>
        <w:rPr>
          <w:rFonts w:hint="eastAsia"/>
          <w:sz w:val="21"/>
          <w:szCs w:val="21"/>
        </w:rPr>
        <w:t>（二十六）、 2021年11月10日，我公司公告了《博时消费创新混合型证券投资基金更新招募说明书》、《博时基金管理有限公司关于博时消费创新混合型证券投资基金的基金经理变更的公告》；</w:t>
      </w:r>
    </w:p>
    <w:p>
      <w:pPr>
        <w:pStyle w:val="7"/>
        <w:spacing w:before="0" w:beforeAutospacing="0" w:after="0" w:afterAutospacing="0" w:line="360" w:lineRule="auto"/>
        <w:ind w:firstLine="420"/>
        <w:rPr>
          <w:sz w:val="21"/>
          <w:szCs w:val="21"/>
        </w:rPr>
      </w:pPr>
      <w:r>
        <w:rPr>
          <w:rFonts w:hint="eastAsia"/>
          <w:sz w:val="21"/>
          <w:szCs w:val="21"/>
        </w:rPr>
        <w:t>（二十七）、 2021年10月27日，我公司公告了《博时消费创新混合型证券投资基金2021年第3季度报告》；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（二十八）、 2021年09月30日，我公司公告了《博时基金管理有限公司关于对投资者在直销网上交易申购、认购及定投基金实施费率优惠的公告》、《博时消费创新混合型证券投资基金更新招募说明书》；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（二十九）、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（三十）、 2021年08月31日，我公司公告了《博时消费创新混合型证券投资基金</w:t>
      </w:r>
      <w:bookmarkStart w:id="219" w:name="chapter_level1_25_3499_section_1_end"/>
      <w:bookmarkEnd w:id="219"/>
      <w:r>
        <w:rPr>
          <w:rFonts w:hint="eastAsia"/>
          <w:sz w:val="21"/>
          <w:szCs w:val="21"/>
        </w:rPr>
        <w:t>2021年中期报告》。</w:t>
      </w:r>
      <w:bookmarkStart w:id="220" w:name="field_0_bsrevealinfo_1_end"/>
      <w:bookmarkEnd w:id="22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1" w:name="chapter_level1_26_77"/>
      <w:bookmarkStart w:id="222" w:name="_Toc113549588"/>
      <w:r>
        <w:rPr>
          <w:rFonts w:hint="eastAsia" w:ascii="宋体" w:hAnsi="宋体" w:eastAsia="宋体"/>
          <w:sz w:val="30"/>
        </w:rPr>
        <w:t>第二十三部分  招募说明书的存放及查阅方式</w:t>
      </w:r>
      <w:bookmarkEnd w:id="221"/>
      <w:bookmarkEnd w:id="222"/>
    </w:p>
    <w:p>
      <w:pPr>
        <w:pStyle w:val="7"/>
        <w:spacing w:before="0" w:beforeAutospacing="0" w:after="0" w:afterAutospacing="0" w:line="360" w:lineRule="auto"/>
        <w:ind w:firstLine="420"/>
        <w:rPr>
          <w:sz w:val="21"/>
          <w:szCs w:val="21"/>
        </w:rPr>
      </w:pPr>
      <w:bookmarkStart w:id="223" w:name="chapter_level1_26_77_section_1"/>
      <w:bookmarkEnd w:id="223"/>
      <w:r>
        <w:rPr>
          <w:rFonts w:hint="eastAsia"/>
          <w:sz w:val="21"/>
          <w:szCs w:val="21"/>
        </w:rPr>
        <w:t xml:space="preserve">依法必须披露的信息发布后，基金管理人、基金托管人应当按照相关法律法规规定将信息置备于公司住所，以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4" w:name="chapter_level1_26_77_section_1_end"/>
      <w:bookmarkEnd w:id="224"/>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5" w:name="_Toc113549589"/>
      <w:bookmarkStart w:id="226" w:name="chapter_level1_27_332"/>
      <w:r>
        <w:rPr>
          <w:rFonts w:hint="eastAsia" w:ascii="宋体" w:hAnsi="宋体" w:eastAsia="宋体"/>
          <w:sz w:val="30"/>
        </w:rPr>
        <w:t>第二十四部分  备查文件</w:t>
      </w:r>
      <w:bookmarkEnd w:id="225"/>
      <w:bookmarkEnd w:id="226"/>
    </w:p>
    <w:p>
      <w:pPr>
        <w:pStyle w:val="7"/>
        <w:spacing w:before="0" w:beforeAutospacing="0" w:after="0" w:afterAutospacing="0" w:line="360" w:lineRule="auto"/>
        <w:ind w:firstLine="420"/>
        <w:rPr>
          <w:sz w:val="21"/>
          <w:szCs w:val="21"/>
        </w:rPr>
      </w:pPr>
      <w:bookmarkStart w:id="227" w:name="chapter_level1_27_332_section_1"/>
      <w:bookmarkEnd w:id="227"/>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8" w:name="field_0_productfullname_12"/>
      <w:r>
        <w:rPr>
          <w:rFonts w:hint="eastAsia"/>
          <w:sz w:val="21"/>
          <w:szCs w:val="21"/>
        </w:rPr>
        <w:t>博时消费创新混合型证券投资基金</w:t>
      </w:r>
      <w:bookmarkEnd w:id="228"/>
      <w:r>
        <w:rPr>
          <w:rFonts w:hint="eastAsia"/>
          <w:sz w:val="21"/>
          <w:szCs w:val="21"/>
        </w:rPr>
        <w:t xml:space="preserve">注册的文件 </w:t>
      </w:r>
    </w:p>
    <w:p>
      <w:pPr>
        <w:pStyle w:val="7"/>
        <w:spacing w:before="0" w:beforeAutospacing="0" w:after="0" w:afterAutospacing="0" w:line="360" w:lineRule="auto"/>
        <w:ind w:firstLine="420"/>
        <w:rPr>
          <w:sz w:val="21"/>
          <w:szCs w:val="21"/>
        </w:rPr>
      </w:pPr>
      <w:r>
        <w:rPr>
          <w:rFonts w:hint="eastAsia"/>
          <w:sz w:val="21"/>
          <w:szCs w:val="21"/>
        </w:rPr>
        <w:t>（二）《</w:t>
      </w:r>
      <w:bookmarkStart w:id="229" w:name="field_0_productfullname_13"/>
      <w:r>
        <w:rPr>
          <w:rFonts w:hint="eastAsia"/>
          <w:sz w:val="21"/>
          <w:szCs w:val="21"/>
        </w:rPr>
        <w:t>博时消费创新混合型证券投资基金</w:t>
      </w:r>
      <w:bookmarkEnd w:id="229"/>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30" w:name="field_0_productfullname_14"/>
      <w:r>
        <w:rPr>
          <w:rFonts w:hint="eastAsia"/>
          <w:sz w:val="21"/>
          <w:szCs w:val="21"/>
        </w:rPr>
        <w:t>博时消费创新混合型证券投资基金</w:t>
      </w:r>
      <w:bookmarkEnd w:id="230"/>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（六）关于申请募集注册</w:t>
      </w:r>
      <w:bookmarkStart w:id="231" w:name="field_0_productfullname_15"/>
      <w:r>
        <w:rPr>
          <w:rFonts w:hint="eastAsia"/>
          <w:sz w:val="21"/>
          <w:szCs w:val="21"/>
        </w:rPr>
        <w:t>博时消费创新混合型证券投资基金</w:t>
      </w:r>
      <w:bookmarkEnd w:id="231"/>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bookmarkStart w:id="232" w:name="chapter_level1_27_332_section_1_end"/>
      <w:bookmarkEnd w:id="232"/>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bookmarkStart w:id="233" w:name="chapter_level1_27_332_section_2"/>
      <w:bookmarkEnd w:id="233"/>
    </w:p>
    <w:p>
      <w:pPr>
        <w:pStyle w:val="7"/>
        <w:spacing w:before="0" w:beforeAutospacing="0" w:after="0" w:afterAutospacing="0" w:line="360" w:lineRule="auto"/>
        <w:ind w:firstLine="420"/>
        <w:rPr>
          <w:sz w:val="21"/>
          <w:szCs w:val="21"/>
        </w:rPr>
      </w:pPr>
      <w:bookmarkStart w:id="238" w:name="_GoBack"/>
      <w:bookmarkEnd w:id="238"/>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34" w:name="field_0_managerorgfullname_6"/>
      <w:r>
        <w:rPr>
          <w:rFonts w:hint="eastAsia"/>
          <w:sz w:val="21"/>
          <w:szCs w:val="21"/>
        </w:rPr>
        <w:t>博时基金管理有限公司</w:t>
      </w:r>
      <w:bookmarkEnd w:id="234"/>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5" w:name="chapter_level1_27_332_section_2_end"/>
      <w:bookmarkEnd w:id="235"/>
      <w:bookmarkStart w:id="236"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36"/>
      <w:r>
        <w:rPr>
          <w:rFonts w:hint="eastAsia"/>
          <w:sz w:val="21"/>
          <w:szCs w:val="21"/>
        </w:rPr>
        <w:t xml:space="preserve">  </w:t>
      </w:r>
    </w:p>
    <w:p>
      <w:pPr>
        <w:rPr>
          <w:rFonts w:ascii="宋体" w:hAnsi="宋体" w:eastAsia="宋体"/>
        </w:rPr>
      </w:pPr>
      <w:bookmarkStart w:id="237" w:name="end"/>
      <w:bookmarkEnd w:id="237"/>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5</w:t>
    </w:r>
    <w:r>
      <w:fldChar w:fldCharType="end"/>
    </w:r>
    <w:r>
      <w:rPr>
        <w:rFonts w:hint="eastAsia"/>
      </w:rPr>
      <w:t>页 共</w:t>
    </w:r>
    <w:r>
      <w:fldChar w:fldCharType="begin"/>
    </w:r>
    <w:r>
      <w:instrText xml:space="preserve"> NumPages \* MERGEFORMAT </w:instrText>
    </w:r>
    <w:r>
      <w:fldChar w:fldCharType="separate"/>
    </w:r>
    <w:r>
      <w:t>157</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博时消费创新混合型证券投资基金更新招募说明书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6"/>
    <w:rsid w:val="0028481D"/>
    <w:rsid w:val="004B7F4B"/>
    <w:rsid w:val="00563732"/>
    <w:rsid w:val="007F3366"/>
    <w:rsid w:val="00881528"/>
    <w:rsid w:val="00996C37"/>
    <w:rsid w:val="00BD6F9D"/>
    <w:rsid w:val="00BF50F6"/>
    <w:rsid w:val="00EF2741"/>
    <w:rsid w:val="1219376C"/>
    <w:rsid w:val="2F1C3F18"/>
    <w:rsid w:val="3B002104"/>
    <w:rsid w:val="4ADA0388"/>
    <w:rsid w:val="58D15E39"/>
    <w:rsid w:val="61DD66DE"/>
    <w:rsid w:val="625A0156"/>
    <w:rsid w:val="696E0F77"/>
    <w:rsid w:val="69DF616B"/>
    <w:rsid w:val="6D66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157</Pages>
  <Words>18550</Words>
  <Characters>105735</Characters>
  <Lines>881</Lines>
  <Paragraphs>248</Paragraphs>
  <TotalTime>9</TotalTime>
  <ScaleCrop>false</ScaleCrop>
  <LinksUpToDate>false</LinksUpToDate>
  <CharactersWithSpaces>124037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2022-09-08T09:12:00Z</dcterms:created>
  <dc:creator>BSKMadminDev</dc:creator>
  <cp:lastModifiedBy>Liwen Xiao</cp:lastModifiedBy>
  <dcterms:modified xsi:type="dcterms:W3CDTF">2023-07-08T14:07:28Z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AD1CAED4DFC340F0B81E36081CA1131F</vt:lpwstr>
  </property>
</Properties>
</file>