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博时行业轮动混合型证券投资基金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中国建设银行股份有限公司</w:t>
      </w:r>
      <w:r>
        <w:rPr>
          <w:rFonts w:ascii="宋体" w:hAnsi="宋体" w:eastAsia="宋体"/>
          <w:b/>
          <w:sz w:val="30"/>
        </w:rPr>
        <w:br w:type="page"/>
      </w:r>
    </w:p>
    <w:p>
      <w:pPr>
        <w:pStyle w:val="2"/>
        <w:jc w:val="center"/>
        <w:rPr>
          <w:rFonts w:ascii="宋体" w:hAnsi="宋体" w:eastAsia="宋体"/>
          <w:sz w:val="30"/>
        </w:rPr>
      </w:pPr>
      <w:bookmarkStart w:id="0" w:name="_Toc113295489"/>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本基金于</w:t>
      </w:r>
      <w:bookmarkStart w:id="1" w:name="field_2343_approveddate_1"/>
      <w:r>
        <w:rPr>
          <w:sz w:val="21"/>
          <w:szCs w:val="21"/>
        </w:rPr>
        <w:t>2010年9月10日</w:t>
      </w:r>
      <w:bookmarkEnd w:id="1"/>
      <w:r>
        <w:rPr>
          <w:rFonts w:hint="eastAsia"/>
          <w:sz w:val="21"/>
          <w:szCs w:val="21"/>
        </w:rPr>
        <w:t>经中国证监会证监许可</w:t>
      </w:r>
      <w:bookmarkStart w:id="2" w:name="field_2343_lotnumber_1"/>
      <w:r>
        <w:rPr>
          <w:sz w:val="21"/>
          <w:szCs w:val="21"/>
        </w:rPr>
        <w:t>[2010]1242</w:t>
      </w:r>
      <w:bookmarkEnd w:id="2"/>
      <w:r>
        <w:rPr>
          <w:rFonts w:hint="eastAsia"/>
          <w:sz w:val="21"/>
          <w:szCs w:val="21"/>
        </w:rPr>
        <w:t xml:space="preserve">号文核准。  </w:t>
      </w:r>
    </w:p>
    <w:p>
      <w:pPr>
        <w:pStyle w:val="7"/>
        <w:spacing w:before="0" w:beforeAutospacing="0" w:after="0" w:afterAutospacing="0" w:line="360" w:lineRule="auto"/>
        <w:ind w:firstLine="420"/>
        <w:rPr>
          <w:sz w:val="21"/>
          <w:szCs w:val="21"/>
        </w:rPr>
      </w:pPr>
      <w:r>
        <w:rPr>
          <w:rFonts w:hint="eastAsia"/>
          <w:sz w:val="21"/>
          <w:szCs w:val="21"/>
        </w:rPr>
        <w:t xml:space="preserve">本基金管理人保证招募说明书的内容真实、准确、完整。 </w:t>
      </w:r>
    </w:p>
    <w:p>
      <w:pPr>
        <w:pStyle w:val="7"/>
        <w:spacing w:before="0" w:beforeAutospacing="0" w:after="0" w:afterAutospacing="0" w:line="360" w:lineRule="auto"/>
        <w:ind w:firstLine="420"/>
        <w:rPr>
          <w:sz w:val="21"/>
          <w:szCs w:val="21"/>
        </w:rPr>
      </w:pPr>
      <w:r>
        <w:rPr>
          <w:rFonts w:hint="eastAsia"/>
          <w:sz w:val="21"/>
          <w:szCs w:val="21"/>
        </w:rPr>
        <w:t xml:space="preserve">本招募说明书经中国证监会核准，但中国证监会对本基金募集的核准，并不表明其对本基金的价值和收益作出实质性判断或保证，也不表明投资于本基金没有风险。 </w:t>
      </w:r>
    </w:p>
    <w:p>
      <w:pPr>
        <w:pStyle w:val="7"/>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含存托凭证）、债券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本基金属于混合型基金，预期收益和预期风险低于股票型基金，高于货币市场基金和债券型基金，具有中高等风险/收益的特征。投资者在投资本基金之前，请仔细阅读本基金的招募说明书和基金合同，全面认识本基金的风险收益特征和产品特性，并充分考虑自身的风险承受能力，理性判断市场，谨慎做出投资决策。 </w:t>
      </w:r>
    </w:p>
    <w:p>
      <w:pPr>
        <w:pStyle w:val="7"/>
        <w:spacing w:before="0" w:beforeAutospacing="0" w:after="0" w:afterAutospacing="0" w:line="360" w:lineRule="auto"/>
        <w:ind w:firstLine="420"/>
        <w:rPr>
          <w:sz w:val="21"/>
          <w:szCs w:val="21"/>
        </w:rPr>
      </w:pPr>
      <w:r>
        <w:rPr>
          <w:rFonts w:hint="eastAsia"/>
          <w:sz w:val="21"/>
          <w:szCs w:val="21"/>
        </w:rPr>
        <w:t xml:space="preserve"> 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投资有风险，投资者认购（或申购）基金时应认真阅读本招募说明书、基金合同及基金产品资料概要等信息披露文件。 </w:t>
      </w:r>
    </w:p>
    <w:p>
      <w:pPr>
        <w:pStyle w:val="7"/>
        <w:spacing w:before="0" w:beforeAutospacing="0" w:after="0" w:afterAutospacing="0" w:line="360" w:lineRule="auto"/>
        <w:ind w:firstLine="420"/>
        <w:rPr>
          <w:sz w:val="21"/>
          <w:szCs w:val="21"/>
        </w:rPr>
      </w:pPr>
      <w:r>
        <w:rPr>
          <w:rFonts w:hint="eastAsia"/>
          <w:sz w:val="21"/>
          <w:szCs w:val="21"/>
        </w:rPr>
        <w:t xml:space="preserve">基金的过往业绩并不预示其未来表现。 </w:t>
      </w:r>
    </w:p>
    <w:p>
      <w:pPr>
        <w:pStyle w:val="7"/>
        <w:spacing w:before="0" w:beforeAutospacing="0" w:after="0" w:afterAutospacing="0" w:line="360" w:lineRule="auto"/>
        <w:ind w:firstLine="420"/>
        <w:rPr>
          <w:sz w:val="21"/>
          <w:szCs w:val="21"/>
        </w:rPr>
      </w:pPr>
      <w:r>
        <w:rPr>
          <w:rFonts w:hint="eastAsia"/>
          <w:sz w:val="21"/>
          <w:szCs w:val="21"/>
        </w:rPr>
        <w:t xml:space="preserve">基金管理人依照恪尽职守、诚实信用、谨慎勤勉的原则管理和运用基金财产，但不保证基金一定盈利，也不保证最低收益。 </w:t>
      </w:r>
    </w:p>
    <w:p>
      <w:pPr>
        <w:pStyle w:val="7"/>
        <w:spacing w:before="0" w:beforeAutospacing="0" w:after="0" w:afterAutospacing="0" w:line="360" w:lineRule="auto"/>
        <w:ind w:firstLine="420"/>
        <w:rPr>
          <w:sz w:val="21"/>
          <w:szCs w:val="21"/>
        </w:rPr>
      </w:pPr>
      <w:r>
        <w:rPr>
          <w:rFonts w:hint="eastAsia"/>
          <w:sz w:val="21"/>
          <w:szCs w:val="21"/>
        </w:rPr>
        <w:t>本招募说明书更新所载内容截止日为</w:t>
      </w:r>
      <w:bookmarkStart w:id="3" w:name="field_2343_infoendday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rPr>
        <w:t>8</w:t>
      </w:r>
      <w:r>
        <w:rPr>
          <w:sz w:val="21"/>
          <w:szCs w:val="21"/>
        </w:rPr>
        <w:t>日</w:t>
      </w:r>
      <w:bookmarkEnd w:id="3"/>
      <w:r>
        <w:rPr>
          <w:rFonts w:hint="eastAsia"/>
          <w:sz w:val="21"/>
          <w:szCs w:val="21"/>
        </w:rPr>
        <w:t>，有关财务数据和净值表现截止日为</w:t>
      </w:r>
      <w:bookmarkStart w:id="4" w:name="field_2343_financeendday_1"/>
      <w:r>
        <w:rPr>
          <w:sz w:val="21"/>
          <w:szCs w:val="21"/>
        </w:rPr>
        <w:t>2022年6月30日</w:t>
      </w:r>
      <w:bookmarkEnd w:id="4"/>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"_Toc113295489" </w:instrText>
      </w:r>
      <w:r>
        <w:fldChar w:fldCharType="separate"/>
      </w:r>
      <w:r>
        <w:rPr>
          <w:rStyle w:val="15"/>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_Toc113295489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"_Toc113295490" </w:instrText>
      </w:r>
      <w:r>
        <w:fldChar w:fldCharType="separate"/>
      </w:r>
      <w:r>
        <w:rPr>
          <w:rStyle w:val="15"/>
          <w:rFonts w:hint="eastAsia" w:ascii="宋体" w:hAnsi="宋体" w:eastAsia="宋体"/>
          <w:u w:val="none"/>
        </w:rPr>
        <w:t>第一部分</w:t>
      </w:r>
      <w:r>
        <w:rPr>
          <w:rStyle w:val="15"/>
          <w:rFonts w:ascii="宋体" w:hAnsi="宋体" w:eastAsia="宋体"/>
          <w:u w:val="none"/>
        </w:rPr>
        <w:t xml:space="preserve">  </w:t>
      </w:r>
      <w:r>
        <w:rPr>
          <w:rStyle w:val="15"/>
          <w:rFonts w:hint="eastAsia" w:ascii="宋体" w:hAnsi="宋体" w:eastAsia="宋体"/>
          <w:u w:val="none"/>
        </w:rPr>
        <w:t>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_Toc113295490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"_Toc113295491" </w:instrText>
      </w:r>
      <w:r>
        <w:fldChar w:fldCharType="separate"/>
      </w:r>
      <w:r>
        <w:rPr>
          <w:rStyle w:val="15"/>
          <w:rFonts w:hint="eastAsia" w:ascii="宋体" w:hAnsi="宋体" w:eastAsia="宋体"/>
          <w:u w:val="none"/>
        </w:rPr>
        <w:t>第二部分</w:t>
      </w:r>
      <w:r>
        <w:rPr>
          <w:rStyle w:val="15"/>
          <w:rFonts w:ascii="宋体" w:hAnsi="宋体" w:eastAsia="宋体"/>
          <w:u w:val="none"/>
        </w:rPr>
        <w:t xml:space="preserve">  </w:t>
      </w:r>
      <w:r>
        <w:rPr>
          <w:rStyle w:val="15"/>
          <w:rFonts w:hint="eastAsia" w:ascii="宋体" w:hAnsi="宋体" w:eastAsia="宋体"/>
          <w:u w:val="none"/>
        </w:rPr>
        <w:t>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_Toc113295491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"_Toc113295492" </w:instrText>
      </w:r>
      <w:r>
        <w:fldChar w:fldCharType="separate"/>
      </w:r>
      <w:r>
        <w:rPr>
          <w:rStyle w:val="15"/>
          <w:rFonts w:hint="eastAsia" w:ascii="宋体" w:hAnsi="宋体" w:eastAsia="宋体"/>
          <w:u w:val="none"/>
        </w:rPr>
        <w:t>第三部分</w:t>
      </w:r>
      <w:r>
        <w:rPr>
          <w:rStyle w:val="15"/>
          <w:rFonts w:ascii="宋体" w:hAnsi="宋体" w:eastAsia="宋体"/>
          <w:u w:val="none"/>
        </w:rPr>
        <w:t xml:space="preserve">  </w:t>
      </w:r>
      <w:r>
        <w:rPr>
          <w:rStyle w:val="15"/>
          <w:rFonts w:hint="eastAsia" w:ascii="宋体" w:hAnsi="宋体" w:eastAsia="宋体"/>
          <w:u w:val="none"/>
        </w:rPr>
        <w:t>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_Toc113295492 \h </w:instrText>
      </w:r>
      <w:r>
        <w:rPr>
          <w:rFonts w:ascii="宋体" w:hAnsi="宋体" w:eastAsia="宋体"/>
        </w:rPr>
        <w:fldChar w:fldCharType="separate"/>
      </w:r>
      <w:r>
        <w:rPr>
          <w:rFonts w:ascii="宋体" w:hAnsi="宋体" w:eastAsia="宋体"/>
        </w:rPr>
        <w:t>10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"_Toc113295493" </w:instrText>
      </w:r>
      <w:r>
        <w:fldChar w:fldCharType="separate"/>
      </w:r>
      <w:r>
        <w:rPr>
          <w:rStyle w:val="15"/>
          <w:rFonts w:hint="eastAsia" w:ascii="宋体" w:hAnsi="宋体" w:eastAsia="宋体"/>
          <w:u w:val="none"/>
        </w:rPr>
        <w:t>第四部分</w:t>
      </w:r>
      <w:r>
        <w:rPr>
          <w:rStyle w:val="15"/>
          <w:rFonts w:ascii="宋体" w:hAnsi="宋体" w:eastAsia="宋体"/>
          <w:u w:val="none"/>
        </w:rPr>
        <w:t xml:space="preserve">  </w:t>
      </w:r>
      <w:r>
        <w:rPr>
          <w:rStyle w:val="15"/>
          <w:rFonts w:hint="eastAsia" w:ascii="宋体" w:hAnsi="宋体" w:eastAsia="宋体"/>
          <w:u w:val="none"/>
        </w:rPr>
        <w:t>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_Toc113295493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"_Toc113295494" </w:instrText>
      </w:r>
      <w:r>
        <w:fldChar w:fldCharType="separate"/>
      </w:r>
      <w:r>
        <w:rPr>
          <w:rStyle w:val="15"/>
          <w:rFonts w:hint="eastAsia" w:ascii="宋体" w:hAnsi="宋体" w:eastAsia="宋体"/>
          <w:u w:val="none"/>
        </w:rPr>
        <w:t>第五部分</w:t>
      </w:r>
      <w:r>
        <w:rPr>
          <w:rStyle w:val="15"/>
          <w:rFonts w:ascii="宋体" w:hAnsi="宋体" w:eastAsia="宋体"/>
          <w:u w:val="none"/>
        </w:rPr>
        <w:t xml:space="preserve">  </w:t>
      </w:r>
      <w:r>
        <w:rPr>
          <w:rStyle w:val="15"/>
          <w:rFonts w:hint="eastAsia" w:ascii="宋体" w:hAnsi="宋体" w:eastAsia="宋体"/>
          <w:u w:val="none"/>
        </w:rPr>
        <w:t>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_Toc113295494 \h </w:instrText>
      </w:r>
      <w:r>
        <w:rPr>
          <w:rFonts w:ascii="宋体" w:hAnsi="宋体" w:eastAsia="宋体"/>
        </w:rPr>
        <w:fldChar w:fldCharType="separate"/>
      </w:r>
      <w:r>
        <w:rPr>
          <w:rFonts w:ascii="宋体" w:hAnsi="宋体" w:eastAsia="宋体"/>
        </w:rPr>
        <w:t>24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"_Toc113295495" </w:instrText>
      </w:r>
      <w:r>
        <w:fldChar w:fldCharType="separate"/>
      </w:r>
      <w:r>
        <w:rPr>
          <w:rStyle w:val="15"/>
          <w:rFonts w:hint="eastAsia" w:ascii="宋体" w:hAnsi="宋体" w:eastAsia="宋体"/>
          <w:u w:val="none"/>
        </w:rPr>
        <w:t>第六部分</w:t>
      </w:r>
      <w:r>
        <w:rPr>
          <w:rStyle w:val="15"/>
          <w:rFonts w:ascii="宋体" w:hAnsi="宋体" w:eastAsia="宋体"/>
          <w:u w:val="none"/>
        </w:rPr>
        <w:t xml:space="preserve"> </w:t>
      </w:r>
      <w:r>
        <w:rPr>
          <w:rStyle w:val="15"/>
          <w:rFonts w:hint="eastAsia" w:ascii="宋体" w:hAnsi="宋体" w:eastAsia="宋体"/>
          <w:u w:val="none"/>
        </w:rPr>
        <w:t>基金的募集与基金合同的生效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_Toc113295495 \h </w:instrText>
      </w:r>
      <w:r>
        <w:rPr>
          <w:rFonts w:ascii="宋体" w:hAnsi="宋体" w:eastAsia="宋体"/>
        </w:rPr>
        <w:fldChar w:fldCharType="separate"/>
      </w:r>
      <w:r>
        <w:rPr>
          <w:rFonts w:ascii="宋体" w:hAnsi="宋体" w:eastAsia="宋体"/>
        </w:rPr>
        <w:t>77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"_Toc113295496" </w:instrText>
      </w:r>
      <w:r>
        <w:fldChar w:fldCharType="separate"/>
      </w:r>
      <w:r>
        <w:rPr>
          <w:rStyle w:val="15"/>
          <w:rFonts w:hint="eastAsia" w:ascii="宋体" w:hAnsi="宋体" w:eastAsia="宋体"/>
          <w:u w:val="none"/>
        </w:rPr>
        <w:t>第七部分</w:t>
      </w:r>
      <w:r>
        <w:rPr>
          <w:rStyle w:val="15"/>
          <w:rFonts w:ascii="宋体" w:hAnsi="宋体" w:eastAsia="宋体"/>
          <w:u w:val="none"/>
        </w:rPr>
        <w:t xml:space="preserve">  </w:t>
      </w:r>
      <w:r>
        <w:rPr>
          <w:rStyle w:val="15"/>
          <w:rFonts w:hint="eastAsia" w:ascii="宋体" w:hAnsi="宋体" w:eastAsia="宋体"/>
          <w:u w:val="none"/>
        </w:rPr>
        <w:t>基金份额的申购、赎回与转换</w:t>
      </w:r>
      <w:r>
        <w:rPr>
          <w:rFonts w:ascii="宋体" w:hAnsi="宋体" w:eastAsia="宋体"/>
        </w:rPr>
        <w:tab/>
      </w:r>
      <w:r>
        <w:rPr>
          <w:rFonts w:ascii="宋体" w:hAnsi="宋体" w:eastAsia="宋体"/>
        </w:rPr>
        <w:fldChar w:fldCharType="begin"/>
      </w:r>
      <w:r>
        <w:rPr>
          <w:rFonts w:ascii="宋体" w:hAnsi="宋体" w:eastAsia="宋体"/>
        </w:rPr>
        <w:instrText xml:space="preserve"> PAGEREF _Toc113295496 \h </w:instrText>
      </w:r>
      <w:r>
        <w:rPr>
          <w:rFonts w:ascii="宋体" w:hAnsi="宋体" w:eastAsia="宋体"/>
        </w:rPr>
        <w:fldChar w:fldCharType="separate"/>
      </w:r>
      <w:r>
        <w:rPr>
          <w:rFonts w:ascii="宋体" w:hAnsi="宋体" w:eastAsia="宋体"/>
        </w:rPr>
        <w:t>78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"_Toc113295497" </w:instrText>
      </w:r>
      <w:r>
        <w:fldChar w:fldCharType="separate"/>
      </w:r>
      <w:r>
        <w:rPr>
          <w:rStyle w:val="15"/>
          <w:rFonts w:hint="eastAsia" w:ascii="宋体" w:hAnsi="宋体" w:eastAsia="宋体"/>
          <w:u w:val="none"/>
        </w:rPr>
        <w:t>第八部分</w:t>
      </w:r>
      <w:r>
        <w:rPr>
          <w:rStyle w:val="15"/>
          <w:rFonts w:ascii="宋体" w:hAnsi="宋体" w:eastAsia="宋体"/>
          <w:u w:val="none"/>
        </w:rPr>
        <w:t xml:space="preserve">  </w:t>
      </w:r>
      <w:r>
        <w:rPr>
          <w:rStyle w:val="15"/>
          <w:rFonts w:hint="eastAsia" w:ascii="宋体" w:hAnsi="宋体" w:eastAsia="宋体"/>
          <w:u w:val="none"/>
        </w:rPr>
        <w:t>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_Toc113295497 \h </w:instrText>
      </w:r>
      <w:r>
        <w:rPr>
          <w:rFonts w:ascii="宋体" w:hAnsi="宋体" w:eastAsia="宋体"/>
        </w:rPr>
        <w:fldChar w:fldCharType="separate"/>
      </w:r>
      <w:r>
        <w:rPr>
          <w:rFonts w:ascii="宋体" w:hAnsi="宋体" w:eastAsia="宋体"/>
        </w:rPr>
        <w:t>88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"_Toc113295498" </w:instrText>
      </w:r>
      <w:r>
        <w:fldChar w:fldCharType="separate"/>
      </w:r>
      <w:r>
        <w:rPr>
          <w:rStyle w:val="15"/>
          <w:rFonts w:hint="eastAsia" w:ascii="宋体" w:hAnsi="宋体" w:eastAsia="宋体"/>
          <w:u w:val="none"/>
        </w:rPr>
        <w:t>第九部分</w:t>
      </w:r>
      <w:r>
        <w:rPr>
          <w:rStyle w:val="15"/>
          <w:rFonts w:ascii="宋体" w:hAnsi="宋体" w:eastAsia="宋体"/>
          <w:u w:val="none"/>
        </w:rPr>
        <w:t xml:space="preserve"> </w:t>
      </w:r>
      <w:r>
        <w:rPr>
          <w:rStyle w:val="15"/>
          <w:rFonts w:hint="eastAsia" w:ascii="宋体" w:hAnsi="宋体" w:eastAsia="宋体"/>
          <w:u w:val="none"/>
        </w:rPr>
        <w:t>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_Toc113295498 \h </w:instrText>
      </w:r>
      <w:r>
        <w:rPr>
          <w:rFonts w:ascii="宋体" w:hAnsi="宋体" w:eastAsia="宋体"/>
        </w:rPr>
        <w:fldChar w:fldCharType="separate"/>
      </w:r>
      <w:r>
        <w:rPr>
          <w:rFonts w:ascii="宋体" w:hAnsi="宋体" w:eastAsia="宋体"/>
        </w:rPr>
        <w:t>102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"_Toc113295499" </w:instrText>
      </w:r>
      <w:r>
        <w:fldChar w:fldCharType="separate"/>
      </w:r>
      <w:r>
        <w:rPr>
          <w:rStyle w:val="15"/>
          <w:rFonts w:hint="eastAsia" w:ascii="宋体" w:hAnsi="宋体" w:eastAsia="宋体"/>
          <w:u w:val="none"/>
        </w:rPr>
        <w:t>第十部分</w:t>
      </w:r>
      <w:r>
        <w:rPr>
          <w:rStyle w:val="15"/>
          <w:rFonts w:ascii="宋体" w:hAnsi="宋体" w:eastAsia="宋体"/>
          <w:u w:val="none"/>
        </w:rPr>
        <w:t xml:space="preserve">  </w:t>
      </w:r>
      <w:r>
        <w:rPr>
          <w:rStyle w:val="15"/>
          <w:rFonts w:hint="eastAsia" w:ascii="宋体" w:hAnsi="宋体" w:eastAsia="宋体"/>
          <w:u w:val="none"/>
        </w:rPr>
        <w:t>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_Toc113295499 \h </w:instrText>
      </w:r>
      <w:r>
        <w:rPr>
          <w:rFonts w:ascii="宋体" w:hAnsi="宋体" w:eastAsia="宋体"/>
        </w:rPr>
        <w:fldChar w:fldCharType="separate"/>
      </w:r>
      <w:r>
        <w:rPr>
          <w:rFonts w:ascii="宋体" w:hAnsi="宋体" w:eastAsia="宋体"/>
        </w:rPr>
        <w:t>103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"_Toc113295500" </w:instrText>
      </w:r>
      <w:r>
        <w:fldChar w:fldCharType="separate"/>
      </w:r>
      <w:r>
        <w:rPr>
          <w:rStyle w:val="15"/>
          <w:rFonts w:hint="eastAsia" w:ascii="宋体" w:hAnsi="宋体" w:eastAsia="宋体"/>
          <w:u w:val="none"/>
        </w:rPr>
        <w:t>第十一部分</w:t>
      </w:r>
      <w:r>
        <w:rPr>
          <w:rStyle w:val="15"/>
          <w:rFonts w:ascii="宋体" w:hAnsi="宋体" w:eastAsia="宋体"/>
          <w:u w:val="none"/>
        </w:rPr>
        <w:t xml:space="preserve">  </w:t>
      </w:r>
      <w:r>
        <w:rPr>
          <w:rStyle w:val="15"/>
          <w:rFonts w:hint="eastAsia" w:ascii="宋体" w:hAnsi="宋体" w:eastAsia="宋体"/>
          <w:u w:val="none"/>
        </w:rPr>
        <w:t>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_Toc113295500 \h </w:instrText>
      </w:r>
      <w:r>
        <w:rPr>
          <w:rFonts w:ascii="宋体" w:hAnsi="宋体" w:eastAsia="宋体"/>
        </w:rPr>
        <w:fldChar w:fldCharType="separate"/>
      </w:r>
      <w:r>
        <w:rPr>
          <w:rFonts w:ascii="宋体" w:hAnsi="宋体" w:eastAsia="宋体"/>
        </w:rPr>
        <w:t>104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"_Toc113295501" </w:instrText>
      </w:r>
      <w:r>
        <w:fldChar w:fldCharType="separate"/>
      </w:r>
      <w:r>
        <w:rPr>
          <w:rStyle w:val="15"/>
          <w:rFonts w:hint="eastAsia" w:ascii="宋体" w:hAnsi="宋体" w:eastAsia="宋体"/>
          <w:u w:val="none"/>
        </w:rPr>
        <w:t>第十二部分</w:t>
      </w:r>
      <w:r>
        <w:rPr>
          <w:rStyle w:val="15"/>
          <w:rFonts w:ascii="宋体" w:hAnsi="宋体" w:eastAsia="宋体"/>
          <w:u w:val="none"/>
        </w:rPr>
        <w:t xml:space="preserve">  </w:t>
      </w:r>
      <w:r>
        <w:rPr>
          <w:rStyle w:val="15"/>
          <w:rFonts w:hint="eastAsia" w:ascii="宋体" w:hAnsi="宋体" w:eastAsia="宋体"/>
          <w:u w:val="none"/>
        </w:rPr>
        <w:t>基金的收益分配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_Toc113295501 \h </w:instrText>
      </w:r>
      <w:r>
        <w:rPr>
          <w:rFonts w:ascii="宋体" w:hAnsi="宋体" w:eastAsia="宋体"/>
        </w:rPr>
        <w:fldChar w:fldCharType="separate"/>
      </w:r>
      <w:r>
        <w:rPr>
          <w:rFonts w:ascii="宋体" w:hAnsi="宋体" w:eastAsia="宋体"/>
        </w:rPr>
        <w:t>109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"_Toc113295502" </w:instrText>
      </w:r>
      <w:r>
        <w:fldChar w:fldCharType="separate"/>
      </w:r>
      <w:r>
        <w:rPr>
          <w:rStyle w:val="15"/>
          <w:rFonts w:hint="eastAsia" w:ascii="宋体" w:hAnsi="宋体" w:eastAsia="宋体"/>
          <w:u w:val="none"/>
        </w:rPr>
        <w:t>第十三部分</w:t>
      </w:r>
      <w:r>
        <w:rPr>
          <w:rStyle w:val="15"/>
          <w:rFonts w:ascii="宋体" w:hAnsi="宋体" w:eastAsia="宋体"/>
          <w:u w:val="none"/>
        </w:rPr>
        <w:t xml:space="preserve">  </w:t>
      </w:r>
      <w:r>
        <w:rPr>
          <w:rStyle w:val="15"/>
          <w:rFonts w:hint="eastAsia" w:ascii="宋体" w:hAnsi="宋体" w:eastAsia="宋体"/>
          <w:u w:val="none"/>
        </w:rPr>
        <w:t>基金费用与税收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_Toc113295502 \h </w:instrText>
      </w:r>
      <w:r>
        <w:rPr>
          <w:rFonts w:ascii="宋体" w:hAnsi="宋体" w:eastAsia="宋体"/>
        </w:rPr>
        <w:fldChar w:fldCharType="separate"/>
      </w:r>
      <w:r>
        <w:rPr>
          <w:rFonts w:ascii="宋体" w:hAnsi="宋体" w:eastAsia="宋体"/>
        </w:rPr>
        <w:t>111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"_Toc113295503" </w:instrText>
      </w:r>
      <w:r>
        <w:fldChar w:fldCharType="separate"/>
      </w:r>
      <w:r>
        <w:rPr>
          <w:rStyle w:val="15"/>
          <w:rFonts w:hint="eastAsia" w:ascii="宋体" w:hAnsi="宋体" w:eastAsia="宋体"/>
          <w:u w:val="none"/>
        </w:rPr>
        <w:t>第十四部分</w:t>
      </w:r>
      <w:r>
        <w:rPr>
          <w:rStyle w:val="15"/>
          <w:rFonts w:ascii="宋体" w:hAnsi="宋体" w:eastAsia="宋体"/>
          <w:u w:val="none"/>
        </w:rPr>
        <w:t xml:space="preserve">  </w:t>
      </w:r>
      <w:r>
        <w:rPr>
          <w:rStyle w:val="15"/>
          <w:rFonts w:hint="eastAsia" w:ascii="宋体" w:hAnsi="宋体" w:eastAsia="宋体"/>
          <w:u w:val="none"/>
        </w:rPr>
        <w:t>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_Toc113295503 \h </w:instrText>
      </w:r>
      <w:r>
        <w:rPr>
          <w:rFonts w:ascii="宋体" w:hAnsi="宋体" w:eastAsia="宋体"/>
        </w:rPr>
        <w:fldChar w:fldCharType="separate"/>
      </w:r>
      <w:r>
        <w:rPr>
          <w:rFonts w:ascii="宋体" w:hAnsi="宋体" w:eastAsia="宋体"/>
        </w:rPr>
        <w:t>113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"_Toc113295504" </w:instrText>
      </w:r>
      <w:r>
        <w:fldChar w:fldCharType="separate"/>
      </w:r>
      <w:r>
        <w:rPr>
          <w:rStyle w:val="15"/>
          <w:rFonts w:hint="eastAsia" w:ascii="宋体" w:hAnsi="宋体" w:eastAsia="宋体"/>
          <w:u w:val="none"/>
        </w:rPr>
        <w:t>第十五部分</w:t>
      </w:r>
      <w:r>
        <w:rPr>
          <w:rStyle w:val="15"/>
          <w:rFonts w:ascii="宋体" w:hAnsi="宋体" w:eastAsia="宋体"/>
          <w:u w:val="none"/>
        </w:rPr>
        <w:t xml:space="preserve">  </w:t>
      </w:r>
      <w:r>
        <w:rPr>
          <w:rStyle w:val="15"/>
          <w:rFonts w:hint="eastAsia" w:ascii="宋体" w:hAnsi="宋体" w:eastAsia="宋体"/>
          <w:u w:val="none"/>
        </w:rPr>
        <w:t>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_Toc113295504 \h </w:instrText>
      </w:r>
      <w:r>
        <w:rPr>
          <w:rFonts w:ascii="宋体" w:hAnsi="宋体" w:eastAsia="宋体"/>
        </w:rPr>
        <w:fldChar w:fldCharType="separate"/>
      </w:r>
      <w:r>
        <w:rPr>
          <w:rFonts w:ascii="宋体" w:hAnsi="宋体" w:eastAsia="宋体"/>
        </w:rPr>
        <w:t>114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"_Toc113295505" </w:instrText>
      </w:r>
      <w:r>
        <w:fldChar w:fldCharType="separate"/>
      </w:r>
      <w:r>
        <w:rPr>
          <w:rStyle w:val="15"/>
          <w:rFonts w:hint="eastAsia" w:ascii="宋体" w:hAnsi="宋体" w:eastAsia="宋体"/>
          <w:u w:val="none"/>
        </w:rPr>
        <w:t>第十六部分</w:t>
      </w:r>
      <w:r>
        <w:rPr>
          <w:rStyle w:val="15"/>
          <w:rFonts w:ascii="宋体" w:hAnsi="宋体" w:eastAsia="宋体"/>
          <w:u w:val="none"/>
        </w:rPr>
        <w:t xml:space="preserve">  </w:t>
      </w:r>
      <w:r>
        <w:rPr>
          <w:rStyle w:val="15"/>
          <w:rFonts w:hint="eastAsia" w:ascii="宋体" w:hAnsi="宋体" w:eastAsia="宋体"/>
          <w:u w:val="none"/>
        </w:rPr>
        <w:t>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_Toc113295505 \h </w:instrText>
      </w:r>
      <w:r>
        <w:rPr>
          <w:rFonts w:ascii="宋体" w:hAnsi="宋体" w:eastAsia="宋体"/>
        </w:rPr>
        <w:fldChar w:fldCharType="separate"/>
      </w:r>
      <w:r>
        <w:rPr>
          <w:rFonts w:ascii="宋体" w:hAnsi="宋体" w:eastAsia="宋体"/>
        </w:rPr>
        <w:t>119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"_Toc113295506" </w:instrText>
      </w:r>
      <w:r>
        <w:fldChar w:fldCharType="separate"/>
      </w:r>
      <w:r>
        <w:rPr>
          <w:rStyle w:val="15"/>
          <w:rFonts w:hint="eastAsia" w:ascii="宋体" w:hAnsi="宋体" w:eastAsia="宋体"/>
          <w:u w:val="none"/>
        </w:rPr>
        <w:t>第十七部分</w:t>
      </w:r>
      <w:r>
        <w:rPr>
          <w:rStyle w:val="15"/>
          <w:rFonts w:ascii="宋体" w:hAnsi="宋体" w:eastAsia="宋体"/>
          <w:u w:val="none"/>
        </w:rPr>
        <w:t xml:space="preserve">  </w:t>
      </w:r>
      <w:r>
        <w:rPr>
          <w:rStyle w:val="15"/>
          <w:rFonts w:hint="eastAsia" w:ascii="宋体" w:hAnsi="宋体" w:eastAsia="宋体"/>
          <w:u w:val="none"/>
        </w:rPr>
        <w:t>基金合同的终止与基金财产的清算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_Toc113295506 \h </w:instrText>
      </w:r>
      <w:r>
        <w:rPr>
          <w:rFonts w:ascii="宋体" w:hAnsi="宋体" w:eastAsia="宋体"/>
        </w:rPr>
        <w:fldChar w:fldCharType="separate"/>
      </w:r>
      <w:r>
        <w:rPr>
          <w:rFonts w:ascii="宋体" w:hAnsi="宋体" w:eastAsia="宋体"/>
        </w:rPr>
        <w:t>123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"_Toc113295507" </w:instrText>
      </w:r>
      <w:r>
        <w:fldChar w:fldCharType="separate"/>
      </w:r>
      <w:r>
        <w:rPr>
          <w:rStyle w:val="15"/>
          <w:rFonts w:hint="eastAsia" w:ascii="宋体" w:hAnsi="宋体" w:eastAsia="宋体"/>
          <w:u w:val="none"/>
        </w:rPr>
        <w:t>第十八部分</w:t>
      </w:r>
      <w:r>
        <w:rPr>
          <w:rStyle w:val="15"/>
          <w:rFonts w:ascii="宋体" w:hAnsi="宋体" w:eastAsia="宋体"/>
          <w:u w:val="none"/>
        </w:rPr>
        <w:t xml:space="preserve">  </w:t>
      </w:r>
      <w:r>
        <w:rPr>
          <w:rStyle w:val="15"/>
          <w:rFonts w:hint="eastAsia" w:ascii="宋体" w:hAnsi="宋体" w:eastAsia="宋体"/>
          <w:u w:val="none"/>
        </w:rPr>
        <w:t>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_Toc113295507 \h </w:instrText>
      </w:r>
      <w:r>
        <w:rPr>
          <w:rFonts w:ascii="宋体" w:hAnsi="宋体" w:eastAsia="宋体"/>
        </w:rPr>
        <w:fldChar w:fldCharType="separate"/>
      </w:r>
      <w:r>
        <w:rPr>
          <w:rFonts w:ascii="宋体" w:hAnsi="宋体" w:eastAsia="宋体"/>
        </w:rPr>
        <w:t>125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"_Toc113295508" </w:instrText>
      </w:r>
      <w:r>
        <w:fldChar w:fldCharType="separate"/>
      </w:r>
      <w:r>
        <w:rPr>
          <w:rStyle w:val="15"/>
          <w:rFonts w:hint="eastAsia" w:ascii="宋体" w:hAnsi="宋体" w:eastAsia="宋体"/>
          <w:u w:val="none"/>
        </w:rPr>
        <w:t>第十九部分</w:t>
      </w:r>
      <w:r>
        <w:rPr>
          <w:rStyle w:val="15"/>
          <w:rFonts w:ascii="宋体" w:hAnsi="宋体" w:eastAsia="宋体"/>
          <w:u w:val="none"/>
        </w:rPr>
        <w:t xml:space="preserve">  </w:t>
      </w:r>
      <w:r>
        <w:rPr>
          <w:rStyle w:val="15"/>
          <w:rFonts w:hint="eastAsia" w:ascii="宋体" w:hAnsi="宋体" w:eastAsia="宋体"/>
          <w:u w:val="none"/>
        </w:rPr>
        <w:t>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_Toc113295508 \h </w:instrText>
      </w:r>
      <w:r>
        <w:rPr>
          <w:rFonts w:ascii="宋体" w:hAnsi="宋体" w:eastAsia="宋体"/>
        </w:rPr>
        <w:fldChar w:fldCharType="separate"/>
      </w:r>
      <w:r>
        <w:rPr>
          <w:rFonts w:ascii="宋体" w:hAnsi="宋体" w:eastAsia="宋体"/>
        </w:rPr>
        <w:t>140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"_Toc113295509" </w:instrText>
      </w:r>
      <w:r>
        <w:fldChar w:fldCharType="separate"/>
      </w:r>
      <w:r>
        <w:rPr>
          <w:rStyle w:val="15"/>
          <w:rFonts w:hint="eastAsia" w:ascii="宋体" w:hAnsi="宋体" w:eastAsia="宋体"/>
          <w:u w:val="none"/>
        </w:rPr>
        <w:t>第二十部分</w:t>
      </w:r>
      <w:r>
        <w:rPr>
          <w:rStyle w:val="15"/>
          <w:rFonts w:ascii="宋体" w:hAnsi="宋体" w:eastAsia="宋体"/>
          <w:u w:val="none"/>
        </w:rPr>
        <w:t xml:space="preserve">  </w:t>
      </w:r>
      <w:r>
        <w:rPr>
          <w:rStyle w:val="15"/>
          <w:rFonts w:hint="eastAsia" w:ascii="宋体" w:hAnsi="宋体" w:eastAsia="宋体"/>
          <w:u w:val="none"/>
        </w:rPr>
        <w:t>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_Toc113295509 \h </w:instrText>
      </w:r>
      <w:r>
        <w:rPr>
          <w:rFonts w:ascii="宋体" w:hAnsi="宋体" w:eastAsia="宋体"/>
        </w:rPr>
        <w:fldChar w:fldCharType="separate"/>
      </w:r>
      <w:r>
        <w:rPr>
          <w:rFonts w:ascii="宋体" w:hAnsi="宋体" w:eastAsia="宋体"/>
        </w:rPr>
        <w:t>151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"_Toc113295510" </w:instrText>
      </w:r>
      <w:r>
        <w:fldChar w:fldCharType="separate"/>
      </w:r>
      <w:r>
        <w:rPr>
          <w:rStyle w:val="15"/>
          <w:rFonts w:hint="eastAsia" w:ascii="宋体" w:hAnsi="宋体" w:eastAsia="宋体"/>
          <w:u w:val="none"/>
        </w:rPr>
        <w:t>第二十一部分</w:t>
      </w:r>
      <w:r>
        <w:rPr>
          <w:rStyle w:val="15"/>
          <w:rFonts w:ascii="宋体" w:hAnsi="宋体" w:eastAsia="宋体"/>
          <w:u w:val="none"/>
        </w:rPr>
        <w:t xml:space="preserve"> </w:t>
      </w:r>
      <w:r>
        <w:rPr>
          <w:rStyle w:val="15"/>
          <w:rFonts w:hint="eastAsia" w:ascii="宋体" w:hAnsi="宋体" w:eastAsia="宋体"/>
          <w:u w:val="none"/>
        </w:rPr>
        <w:t>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_Toc113295510 \h </w:instrText>
      </w:r>
      <w:r>
        <w:rPr>
          <w:rFonts w:ascii="宋体" w:hAnsi="宋体" w:eastAsia="宋体"/>
        </w:rPr>
        <w:fldChar w:fldCharType="separate"/>
      </w:r>
      <w:r>
        <w:rPr>
          <w:rFonts w:ascii="宋体" w:hAnsi="宋体" w:eastAsia="宋体"/>
        </w:rPr>
        <w:t>153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"_Toc113295511" </w:instrText>
      </w:r>
      <w:r>
        <w:fldChar w:fldCharType="separate"/>
      </w:r>
      <w:r>
        <w:rPr>
          <w:rStyle w:val="15"/>
          <w:rFonts w:hint="eastAsia" w:ascii="宋体" w:hAnsi="宋体" w:eastAsia="宋体"/>
          <w:u w:val="none"/>
        </w:rPr>
        <w:t>第二十二部分</w:t>
      </w:r>
      <w:r>
        <w:rPr>
          <w:rStyle w:val="15"/>
          <w:rFonts w:ascii="宋体" w:hAnsi="宋体" w:eastAsia="宋体"/>
          <w:u w:val="none"/>
        </w:rPr>
        <w:t xml:space="preserve">  </w:t>
      </w:r>
      <w:r>
        <w:rPr>
          <w:rStyle w:val="15"/>
          <w:rFonts w:hint="eastAsia" w:ascii="宋体" w:hAnsi="宋体" w:eastAsia="宋体"/>
          <w:u w:val="none"/>
        </w:rPr>
        <w:t>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_Toc113295511 \h </w:instrText>
      </w:r>
      <w:r>
        <w:rPr>
          <w:rFonts w:ascii="宋体" w:hAnsi="宋体" w:eastAsia="宋体"/>
        </w:rPr>
        <w:fldChar w:fldCharType="separate"/>
      </w:r>
      <w:r>
        <w:rPr>
          <w:rFonts w:ascii="宋体" w:hAnsi="宋体" w:eastAsia="宋体"/>
        </w:rPr>
        <w:t>156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"_Toc113295512" </w:instrText>
      </w:r>
      <w:r>
        <w:fldChar w:fldCharType="separate"/>
      </w:r>
      <w:r>
        <w:rPr>
          <w:rStyle w:val="15"/>
          <w:rFonts w:hint="eastAsia" w:ascii="宋体" w:hAnsi="宋体" w:eastAsia="宋体"/>
          <w:u w:val="none"/>
        </w:rPr>
        <w:t>第二十三部分</w:t>
      </w:r>
      <w:r>
        <w:rPr>
          <w:rStyle w:val="15"/>
          <w:rFonts w:ascii="宋体" w:hAnsi="宋体" w:eastAsia="宋体"/>
          <w:u w:val="none"/>
        </w:rPr>
        <w:t xml:space="preserve">  </w:t>
      </w:r>
      <w:r>
        <w:rPr>
          <w:rStyle w:val="15"/>
          <w:rFonts w:hint="eastAsia" w:ascii="宋体" w:hAnsi="宋体" w:eastAsia="宋体"/>
          <w:u w:val="none"/>
        </w:rPr>
        <w:t>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_Toc113295512 \h </w:instrText>
      </w:r>
      <w:r>
        <w:rPr>
          <w:rFonts w:ascii="宋体" w:hAnsi="宋体" w:eastAsia="宋体"/>
        </w:rPr>
        <w:fldChar w:fldCharType="separate"/>
      </w:r>
      <w:r>
        <w:rPr>
          <w:rFonts w:ascii="宋体" w:hAnsi="宋体" w:eastAsia="宋体"/>
        </w:rPr>
        <w:t>157</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 w:name="_Toc113295490"/>
      <w:bookmarkStart w:id="6" w:name="chapter_level1_3_2344"/>
      <w:r>
        <w:rPr>
          <w:rFonts w:hint="eastAsia" w:ascii="宋体" w:hAnsi="宋体" w:eastAsia="宋体"/>
          <w:sz w:val="30"/>
        </w:rPr>
        <w:t>第一部分  绪言</w:t>
      </w:r>
      <w:bookmarkEnd w:id="5"/>
      <w:bookmarkEnd w:id="6"/>
    </w:p>
    <w:p>
      <w:pPr>
        <w:pStyle w:val="7"/>
        <w:spacing w:before="0" w:beforeAutospacing="0" w:after="0" w:afterAutospacing="0" w:line="360" w:lineRule="auto"/>
        <w:ind w:firstLine="420"/>
        <w:rPr>
          <w:sz w:val="21"/>
          <w:szCs w:val="21"/>
        </w:rPr>
      </w:pPr>
      <w:bookmarkStart w:id="7" w:name="chapter_level1_3_2344_section_1"/>
      <w:bookmarkEnd w:id="7"/>
      <w:r>
        <w:rPr>
          <w:rFonts w:hint="eastAsia"/>
          <w:sz w:val="21"/>
          <w:szCs w:val="21"/>
        </w:rPr>
        <w:t>《</w:t>
      </w:r>
      <w:bookmarkStart w:id="8" w:name="field_0_productfullname_1"/>
      <w:r>
        <w:rPr>
          <w:rFonts w:hint="eastAsia"/>
          <w:sz w:val="21"/>
          <w:szCs w:val="21"/>
        </w:rPr>
        <w:t>博时行业轮动混合型证券投资基金</w:t>
      </w:r>
      <w:bookmarkEnd w:id="8"/>
      <w:r>
        <w:rPr>
          <w:rFonts w:hint="eastAsia"/>
          <w:sz w:val="21"/>
          <w:szCs w:val="21"/>
        </w:rPr>
        <w:t>招募说明书》（以下简称“招募说明书”或“本招募说明书”）依照《中华人民共和国证券投资基金法》（以下简称“《基金法》”）、《公开募集证券投资基金运作管理办法（以下简称“《运作管理办法》”）、《证券投资基金销售管理办法》（以下简称“《销售管理办法》”）、《公开募集证券投资基金信息披露管理办法》（以下简称“《信息披露办法》”）、《公开募集开放式证券投资基金流动性风险管理规定》（以下简称“《流动性风险管理规定》”）以及《</w:t>
      </w:r>
      <w:bookmarkStart w:id="9" w:name="field_0_productfullname_2"/>
      <w:r>
        <w:rPr>
          <w:rFonts w:hint="eastAsia"/>
          <w:sz w:val="21"/>
          <w:szCs w:val="21"/>
        </w:rPr>
        <w:t>博时行业轮动混合型证券投资基金</w:t>
      </w:r>
      <w:bookmarkEnd w:id="9"/>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基金管理人承诺本招募说明书不存在任何虚假记载、误导性陈述或重大遗漏，并对其真实性、准确性、完整性承担法律责任。 </w:t>
      </w:r>
    </w:p>
    <w:p>
      <w:pPr>
        <w:pStyle w:val="7"/>
        <w:spacing w:before="0" w:beforeAutospacing="0" w:after="0" w:afterAutospacing="0" w:line="360" w:lineRule="auto"/>
        <w:ind w:firstLine="420"/>
        <w:rPr>
          <w:sz w:val="21"/>
          <w:szCs w:val="21"/>
        </w:rPr>
      </w:pPr>
      <w:bookmarkStart w:id="10" w:name="field_0_productfullname_3"/>
      <w:r>
        <w:rPr>
          <w:rFonts w:hint="eastAsia"/>
          <w:sz w:val="21"/>
          <w:szCs w:val="21"/>
        </w:rPr>
        <w:t>博时行业轮动混合型证券投资基金</w:t>
      </w:r>
      <w:bookmarkEnd w:id="10"/>
      <w:r>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券监督管理委员会（以下简称“中国证监会”）核准。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w:t>
      </w:r>
      <w:bookmarkStart w:id="11" w:name="chapter_level1_3_2344_section_1_end"/>
      <w:bookmarkEnd w:id="11"/>
      <w:r>
        <w:rPr>
          <w:rFonts w:hint="eastAsia"/>
          <w:sz w:val="21"/>
          <w:szCs w:val="21"/>
        </w:rPr>
        <w:t xml:space="preserve">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 w:name="_Toc113295491"/>
      <w:bookmarkStart w:id="13" w:name="chapter_level1_4_49"/>
      <w:r>
        <w:rPr>
          <w:rFonts w:hint="eastAsia" w:ascii="宋体" w:hAnsi="宋体" w:eastAsia="宋体"/>
          <w:sz w:val="30"/>
        </w:rPr>
        <w:t>第二部分  释义</w:t>
      </w:r>
      <w:bookmarkEnd w:id="12"/>
      <w:bookmarkEnd w:id="13"/>
    </w:p>
    <w:p>
      <w:pPr>
        <w:pStyle w:val="7"/>
        <w:spacing w:before="0" w:beforeAutospacing="0" w:after="0" w:afterAutospacing="0" w:line="360" w:lineRule="auto"/>
        <w:ind w:firstLine="420"/>
        <w:rPr>
          <w:sz w:val="21"/>
          <w:szCs w:val="21"/>
        </w:rPr>
      </w:pPr>
      <w:bookmarkStart w:id="14" w:name="chapter_level1_4_49_section_1"/>
      <w:bookmarkEnd w:id="14"/>
      <w:r>
        <w:rPr>
          <w:rFonts w:hint="eastAsia"/>
          <w:sz w:val="21"/>
          <w:szCs w:val="21"/>
        </w:rPr>
        <w:t xml:space="preserve">在本招募说明书中，除非文义另有所指，下列词语具有以下含义：  </w:t>
      </w:r>
    </w:p>
    <w:p>
      <w:pPr>
        <w:pStyle w:val="7"/>
        <w:spacing w:before="0" w:beforeAutospacing="0" w:after="0" w:afterAutospacing="0" w:line="360" w:lineRule="auto"/>
        <w:ind w:firstLine="420"/>
        <w:rPr>
          <w:sz w:val="21"/>
          <w:szCs w:val="21"/>
        </w:rPr>
      </w:pPr>
      <w:r>
        <w:rPr>
          <w:rFonts w:hint="eastAsia"/>
          <w:sz w:val="21"/>
          <w:szCs w:val="21"/>
        </w:rPr>
        <w:t>1、基金或本基金：指</w:t>
      </w:r>
      <w:bookmarkStart w:id="15" w:name="field_0_productfullname_4"/>
      <w:r>
        <w:rPr>
          <w:rFonts w:hint="eastAsia"/>
          <w:sz w:val="21"/>
          <w:szCs w:val="21"/>
        </w:rPr>
        <w:t>博时行业轮动混合型证券投资基金</w:t>
      </w:r>
      <w:bookmarkEnd w:id="1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2、基金管理人：指</w:t>
      </w:r>
      <w:bookmarkStart w:id="16" w:name="field_0_managerorgfullname_1"/>
      <w:r>
        <w:rPr>
          <w:rFonts w:hint="eastAsia"/>
          <w:sz w:val="21"/>
          <w:szCs w:val="21"/>
        </w:rPr>
        <w:t>博时基金管理有限公司</w:t>
      </w:r>
      <w:bookmarkEnd w:id="1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3、基金托管人：指</w:t>
      </w:r>
      <w:bookmarkStart w:id="17" w:name="field_0_trustorgfullname_1"/>
      <w:r>
        <w:rPr>
          <w:rFonts w:hint="eastAsia"/>
          <w:sz w:val="21"/>
          <w:szCs w:val="21"/>
        </w:rPr>
        <w:t>中国建设银行股份有限公司</w:t>
      </w:r>
      <w:bookmarkEnd w:id="1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4、基金合同：指《</w:t>
      </w:r>
      <w:bookmarkStart w:id="18" w:name="field_0_productfullname_5"/>
      <w:r>
        <w:rPr>
          <w:rFonts w:hint="eastAsia"/>
          <w:sz w:val="21"/>
          <w:szCs w:val="21"/>
        </w:rPr>
        <w:t>博时行业轮动混合型证券投资基金</w:t>
      </w:r>
      <w:bookmarkEnd w:id="18"/>
      <w:r>
        <w:rPr>
          <w:rFonts w:hint="eastAsia"/>
          <w:sz w:val="21"/>
          <w:szCs w:val="21"/>
        </w:rPr>
        <w:t xml:space="preserve">基金合同》及对基金合同的任何有效修订和补充 </w:t>
      </w:r>
    </w:p>
    <w:p>
      <w:pPr>
        <w:pStyle w:val="7"/>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19" w:name="field_0_productfullname_6"/>
      <w:r>
        <w:rPr>
          <w:rFonts w:hint="eastAsia"/>
          <w:sz w:val="21"/>
          <w:szCs w:val="21"/>
        </w:rPr>
        <w:t>博时行业轮动混合型证券投资基金</w:t>
      </w:r>
      <w:bookmarkEnd w:id="19"/>
      <w:r>
        <w:rPr>
          <w:rFonts w:hint="eastAsia"/>
          <w:sz w:val="21"/>
          <w:szCs w:val="21"/>
        </w:rPr>
        <w:t xml:space="preserve">托管协议》及对该托管协议的任何有效修订和补充 </w:t>
      </w:r>
    </w:p>
    <w:p>
      <w:pPr>
        <w:pStyle w:val="7"/>
        <w:spacing w:before="0" w:beforeAutospacing="0" w:after="0" w:afterAutospacing="0" w:line="360" w:lineRule="auto"/>
        <w:ind w:firstLine="420"/>
        <w:rPr>
          <w:sz w:val="21"/>
          <w:szCs w:val="21"/>
        </w:rPr>
      </w:pPr>
      <w:r>
        <w:rPr>
          <w:rFonts w:hint="eastAsia"/>
          <w:sz w:val="21"/>
          <w:szCs w:val="21"/>
        </w:rPr>
        <w:t>6、招募说明书：指《</w:t>
      </w:r>
      <w:bookmarkStart w:id="20" w:name="field_0_productfullname_7"/>
      <w:r>
        <w:rPr>
          <w:rFonts w:hint="eastAsia"/>
          <w:sz w:val="21"/>
          <w:szCs w:val="21"/>
        </w:rPr>
        <w:t>博时行业轮动混合型证券投资基金</w:t>
      </w:r>
      <w:bookmarkEnd w:id="20"/>
      <w:r>
        <w:rPr>
          <w:rFonts w:hint="eastAsia"/>
          <w:sz w:val="21"/>
          <w:szCs w:val="21"/>
        </w:rPr>
        <w:t xml:space="preserve">招募说明书》及其更新 </w:t>
      </w:r>
    </w:p>
    <w:p>
      <w:pPr>
        <w:pStyle w:val="7"/>
        <w:spacing w:before="0" w:beforeAutospacing="0" w:after="0" w:afterAutospacing="0" w:line="360" w:lineRule="auto"/>
        <w:ind w:firstLine="420"/>
        <w:rPr>
          <w:sz w:val="21"/>
          <w:szCs w:val="21"/>
        </w:rPr>
      </w:pPr>
      <w:r>
        <w:rPr>
          <w:rFonts w:hint="eastAsia"/>
          <w:sz w:val="21"/>
          <w:szCs w:val="21"/>
        </w:rPr>
        <w:t>7、基金份额发售公告：指《</w:t>
      </w:r>
      <w:bookmarkStart w:id="21" w:name="field_0_productfullname_8"/>
      <w:r>
        <w:rPr>
          <w:rFonts w:hint="eastAsia"/>
          <w:sz w:val="21"/>
          <w:szCs w:val="21"/>
        </w:rPr>
        <w:t>博时行业轮动混合型证券投资基金</w:t>
      </w:r>
      <w:bookmarkEnd w:id="21"/>
      <w:r>
        <w:rPr>
          <w:rFonts w:hint="eastAsia"/>
          <w:sz w:val="21"/>
          <w:szCs w:val="21"/>
        </w:rPr>
        <w:t xml:space="preserve">份额发售公告》 </w:t>
      </w:r>
    </w:p>
    <w:p>
      <w:pPr>
        <w:pStyle w:val="7"/>
        <w:spacing w:before="0" w:beforeAutospacing="0" w:after="0" w:afterAutospacing="0" w:line="360" w:lineRule="auto"/>
        <w:ind w:firstLine="420"/>
        <w:rPr>
          <w:sz w:val="21"/>
          <w:szCs w:val="21"/>
        </w:rPr>
      </w:pPr>
      <w:r>
        <w:rPr>
          <w:rFonts w:hint="eastAsia"/>
          <w:sz w:val="21"/>
          <w:szCs w:val="21"/>
        </w:rPr>
        <w:t xml:space="preserve">8、法律法规：指中国现行有效并公布实施的法律、行政法规、规范性文件、司法解释、行政规章以及其他对基金合同当事人有约束力的决定、决议、通知等 </w:t>
      </w:r>
    </w:p>
    <w:p>
      <w:pPr>
        <w:pStyle w:val="7"/>
        <w:spacing w:before="0" w:beforeAutospacing="0" w:after="0" w:afterAutospacing="0" w:line="360" w:lineRule="auto"/>
        <w:ind w:firstLine="420"/>
        <w:rPr>
          <w:sz w:val="21"/>
          <w:szCs w:val="21"/>
        </w:rPr>
      </w:pPr>
      <w:r>
        <w:rPr>
          <w:rFonts w:hint="eastAsia"/>
          <w:sz w:val="21"/>
          <w:szCs w:val="21"/>
        </w:rPr>
        <w:t xml:space="preserve">9、《基金法》：指2003年10月28日经第十届全国人民代表大会常务委员会第五次会议通过，自2004年6月1日起实施的《中华人民共和国证券投资基金法》及颁布机关对其不时做出的修订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10、《销售办法》：指中国证监会2013年3月15日颁布、同年6月1日实施的《证券投资基金销售管理办法》及颁布机关对其不时做出的修订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11、《信息披露办法》：指中国证监会2019年7月26日颁布、同年9月1日实施的《公开募集证券投资基金信息披露管理办法》及颁布机关对其不时做出的修订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12、《运作办法》：指中国证监会2014年7月7日颁布、同年8月8日实施的《公开募集证券投资基金运作管理办法》及颁布机关对其不时做出的修订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13、《流动性风险管理规定》：指中国证监会2017年8月31日颁布、同年10月1日实施的《公开募集开放式证券投资基金流动性风险管理规定》及颁布机关对其不时做出的修订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14、中国证监会：指中国证券监督管理委员会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15、银行业监督管理机构：指中国人民银行和/或中国银行业监督管理委员会 </w:t>
      </w:r>
    </w:p>
    <w:p>
      <w:pPr>
        <w:pStyle w:val="7"/>
        <w:spacing w:before="0" w:beforeAutospacing="0" w:after="0" w:afterAutospacing="0" w:line="360" w:lineRule="auto"/>
        <w:ind w:firstLine="420"/>
        <w:rPr>
          <w:sz w:val="21"/>
          <w:szCs w:val="21"/>
        </w:rPr>
      </w:pPr>
      <w:r>
        <w:rPr>
          <w:rFonts w:hint="eastAsia"/>
          <w:sz w:val="21"/>
          <w:szCs w:val="21"/>
        </w:rPr>
        <w:t xml:space="preserve">16、基金合同当事人：指受基金合同约束，根据基金合同享有权利并承担义务的法律主体，包括基金管理人、基金托管人和基金份额持有人 </w:t>
      </w:r>
    </w:p>
    <w:p>
      <w:pPr>
        <w:pStyle w:val="7"/>
        <w:spacing w:before="0" w:beforeAutospacing="0" w:after="0" w:afterAutospacing="0" w:line="360" w:lineRule="auto"/>
        <w:ind w:firstLine="420"/>
        <w:rPr>
          <w:sz w:val="21"/>
          <w:szCs w:val="21"/>
        </w:rPr>
      </w:pPr>
      <w:r>
        <w:rPr>
          <w:rFonts w:hint="eastAsia"/>
          <w:sz w:val="21"/>
          <w:szCs w:val="21"/>
        </w:rPr>
        <w:t xml:space="preserve">17、个人投资者：指依据有关法律法规规定可投资于证券投资基金的自然人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18、机构投资者：指依法可以投资开放式证券投资基金的、在中华人民共和国境内合法注册登记并存续或经有关政府部门批准设立并存续的企业法人、事业法人、社会团体或其他组织 </w:t>
      </w:r>
    </w:p>
    <w:p>
      <w:pPr>
        <w:pStyle w:val="7"/>
        <w:spacing w:before="0" w:beforeAutospacing="0" w:after="0" w:afterAutospacing="0" w:line="360" w:lineRule="auto"/>
        <w:ind w:firstLine="420"/>
        <w:rPr>
          <w:sz w:val="21"/>
          <w:szCs w:val="21"/>
        </w:rPr>
      </w:pPr>
      <w:r>
        <w:rPr>
          <w:rFonts w:hint="eastAsia"/>
          <w:sz w:val="21"/>
          <w:szCs w:val="21"/>
        </w:rPr>
        <w:t xml:space="preserve">19、合格境外机构投资者：指符合现时有效的相关法律法规规定可以投资于中国境内证券市场的中国境外的机构投资者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20、投资者：指个人投资者、机构投资者和合格境外机构投资者以及法律法规或中国证监会允许购买证券投资基金的其他投资者的合称 </w:t>
      </w:r>
    </w:p>
    <w:p>
      <w:pPr>
        <w:pStyle w:val="7"/>
        <w:spacing w:before="0" w:beforeAutospacing="0" w:after="0" w:afterAutospacing="0" w:line="360" w:lineRule="auto"/>
        <w:ind w:firstLine="420"/>
        <w:rPr>
          <w:sz w:val="21"/>
          <w:szCs w:val="21"/>
        </w:rPr>
      </w:pPr>
      <w:r>
        <w:rPr>
          <w:rFonts w:hint="eastAsia"/>
          <w:sz w:val="21"/>
          <w:szCs w:val="21"/>
        </w:rPr>
        <w:t xml:space="preserve">21、基金份额持有人：指依基金合同和招募说明书合法取得基金份额的投资者 </w:t>
      </w:r>
    </w:p>
    <w:p>
      <w:pPr>
        <w:pStyle w:val="7"/>
        <w:spacing w:before="0" w:beforeAutospacing="0" w:after="0" w:afterAutospacing="0" w:line="360" w:lineRule="auto"/>
        <w:ind w:firstLine="420"/>
        <w:rPr>
          <w:sz w:val="21"/>
          <w:szCs w:val="21"/>
        </w:rPr>
      </w:pPr>
      <w:r>
        <w:rPr>
          <w:rFonts w:hint="eastAsia"/>
          <w:sz w:val="21"/>
          <w:szCs w:val="21"/>
        </w:rPr>
        <w:t xml:space="preserve">22、基金销售业务：指基金管理人或代销机构宣传推介基金，发售基金份额，办理基金份额的申购、赎回、转换、非交易过户、转托管及定期定额投资等业务 </w:t>
      </w:r>
    </w:p>
    <w:p>
      <w:pPr>
        <w:pStyle w:val="7"/>
        <w:spacing w:before="0" w:beforeAutospacing="0" w:after="0" w:afterAutospacing="0" w:line="360" w:lineRule="auto"/>
        <w:ind w:firstLine="420"/>
        <w:rPr>
          <w:sz w:val="21"/>
          <w:szCs w:val="21"/>
        </w:rPr>
      </w:pPr>
      <w:r>
        <w:rPr>
          <w:rFonts w:hint="eastAsia"/>
          <w:sz w:val="21"/>
          <w:szCs w:val="21"/>
        </w:rPr>
        <w:t xml:space="preserve">23、销售机构：指直销机构和代销机构 </w:t>
      </w:r>
    </w:p>
    <w:p>
      <w:pPr>
        <w:pStyle w:val="7"/>
        <w:spacing w:before="0" w:beforeAutospacing="0" w:after="0" w:afterAutospacing="0" w:line="360" w:lineRule="auto"/>
        <w:ind w:firstLine="420"/>
        <w:rPr>
          <w:sz w:val="21"/>
          <w:szCs w:val="21"/>
        </w:rPr>
      </w:pPr>
      <w:r>
        <w:rPr>
          <w:rFonts w:hint="eastAsia"/>
          <w:sz w:val="21"/>
          <w:szCs w:val="21"/>
        </w:rPr>
        <w:t>24、直销机构：指</w:t>
      </w:r>
      <w:bookmarkStart w:id="22" w:name="field_0_managerorgfullname_2"/>
      <w:r>
        <w:rPr>
          <w:rFonts w:hint="eastAsia"/>
          <w:sz w:val="21"/>
          <w:szCs w:val="21"/>
        </w:rPr>
        <w:t>博时基金管理有限公司</w:t>
      </w:r>
      <w:bookmarkEnd w:id="22"/>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25、代销机构：指符合《销售办法》和中国证监会规定的其他条件，取得基金代销业务</w:t>
      </w:r>
      <w:bookmarkStart w:id="23" w:name="chapter_level1_4_49_section_1_end"/>
      <w:bookmarkEnd w:id="23"/>
      <w:r>
        <w:rPr>
          <w:rFonts w:hint="eastAsia"/>
          <w:sz w:val="21"/>
          <w:szCs w:val="21"/>
        </w:rPr>
        <w:t xml:space="preserve">资格并与基金管理人签订了基金销售服务代理协议，代为办理基金销售业务的机构 </w:t>
      </w:r>
    </w:p>
    <w:p>
      <w:pPr>
        <w:pStyle w:val="7"/>
        <w:spacing w:before="0" w:beforeAutospacing="0" w:after="0" w:afterAutospacing="0" w:line="360" w:lineRule="auto"/>
        <w:ind w:firstLine="420"/>
        <w:rPr>
          <w:sz w:val="21"/>
          <w:szCs w:val="21"/>
        </w:rPr>
      </w:pPr>
      <w:bookmarkStart w:id="24" w:name="chapter_level1_4_49_section_2"/>
      <w:bookmarkEnd w:id="24"/>
      <w:r>
        <w:rPr>
          <w:rFonts w:hint="eastAsia"/>
          <w:sz w:val="21"/>
          <w:szCs w:val="21"/>
        </w:rPr>
        <w:t xml:space="preserve">26、基金销售网点：指直销机构的直销中心及代销机构的代销网点  </w:t>
      </w:r>
    </w:p>
    <w:p>
      <w:pPr>
        <w:pStyle w:val="7"/>
        <w:spacing w:before="0" w:beforeAutospacing="0" w:after="0" w:afterAutospacing="0" w:line="360" w:lineRule="auto"/>
        <w:ind w:firstLine="420"/>
        <w:rPr>
          <w:sz w:val="21"/>
          <w:szCs w:val="21"/>
        </w:rPr>
      </w:pPr>
      <w:r>
        <w:rPr>
          <w:rFonts w:hint="eastAsia"/>
          <w:sz w:val="21"/>
          <w:szCs w:val="21"/>
        </w:rPr>
        <w:t xml:space="preserve">27、登记业务：指基金登记、存管、过户、清算和交收业务，具体内容包括投资者基金账户的建立和管理、基金份额注册登记、基金销售业务的确认、清算和交收、代理发放红利、建立并保管基金份额持有人名册等 </w:t>
      </w:r>
    </w:p>
    <w:p>
      <w:pPr>
        <w:pStyle w:val="7"/>
        <w:spacing w:before="0" w:beforeAutospacing="0" w:after="0" w:afterAutospacing="0" w:line="360" w:lineRule="auto"/>
        <w:ind w:firstLine="420"/>
        <w:rPr>
          <w:sz w:val="21"/>
          <w:szCs w:val="21"/>
        </w:rPr>
      </w:pPr>
      <w:r>
        <w:rPr>
          <w:rFonts w:hint="eastAsia"/>
          <w:sz w:val="21"/>
          <w:szCs w:val="21"/>
        </w:rPr>
        <w:t>28、登记机构：指办理登记业务的机构。本基金的登记机构为</w:t>
      </w:r>
      <w:bookmarkStart w:id="25" w:name="field_0_managerorgfullname_3"/>
      <w:r>
        <w:rPr>
          <w:rFonts w:hint="eastAsia"/>
          <w:sz w:val="21"/>
          <w:szCs w:val="21"/>
        </w:rPr>
        <w:t>博时基金管理有限公司</w:t>
      </w:r>
      <w:bookmarkEnd w:id="2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29、基金账户：指登记机构为投资者开立的、记录其持有的、基金管理人所管理的基金份额余额及其变动情况的账户 </w:t>
      </w:r>
    </w:p>
    <w:p>
      <w:pPr>
        <w:pStyle w:val="7"/>
        <w:spacing w:before="0" w:beforeAutospacing="0" w:after="0" w:afterAutospacing="0" w:line="360" w:lineRule="auto"/>
        <w:ind w:firstLine="420"/>
        <w:rPr>
          <w:sz w:val="21"/>
          <w:szCs w:val="21"/>
        </w:rPr>
      </w:pPr>
      <w:r>
        <w:rPr>
          <w:rFonts w:hint="eastAsia"/>
          <w:sz w:val="21"/>
          <w:szCs w:val="21"/>
        </w:rPr>
        <w:t xml:space="preserve">30、基金交易账户：指销售机构为投资者开立的、记录投资者通过该销售机构买卖本基金的基金份额变动及结余情况的账户 </w:t>
      </w:r>
    </w:p>
    <w:p>
      <w:pPr>
        <w:pStyle w:val="7"/>
        <w:spacing w:before="0" w:beforeAutospacing="0" w:after="0" w:afterAutospacing="0" w:line="360" w:lineRule="auto"/>
        <w:ind w:firstLine="420"/>
        <w:rPr>
          <w:sz w:val="21"/>
          <w:szCs w:val="21"/>
        </w:rPr>
      </w:pPr>
      <w:r>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pPr>
        <w:pStyle w:val="7"/>
        <w:spacing w:before="0" w:beforeAutospacing="0" w:after="0" w:afterAutospacing="0" w:line="360" w:lineRule="auto"/>
        <w:ind w:firstLine="420"/>
        <w:rPr>
          <w:sz w:val="21"/>
          <w:szCs w:val="21"/>
        </w:rPr>
      </w:pPr>
      <w:r>
        <w:rPr>
          <w:rFonts w:hint="eastAsia"/>
          <w:sz w:val="21"/>
          <w:szCs w:val="21"/>
        </w:rPr>
        <w:t xml:space="preserve">32、基金合同终止日：指基金合同规定的基金合同终止事由出现后，基金财产清算完毕，清算结果报中国证监会备案并予以公告的日期 </w:t>
      </w:r>
    </w:p>
    <w:p>
      <w:pPr>
        <w:pStyle w:val="7"/>
        <w:spacing w:before="0" w:beforeAutospacing="0" w:after="0" w:afterAutospacing="0" w:line="360" w:lineRule="auto"/>
        <w:ind w:firstLine="420"/>
        <w:rPr>
          <w:sz w:val="21"/>
          <w:szCs w:val="21"/>
        </w:rPr>
      </w:pPr>
      <w:r>
        <w:rPr>
          <w:rFonts w:hint="eastAsia"/>
          <w:sz w:val="21"/>
          <w:szCs w:val="21"/>
        </w:rPr>
        <w:t xml:space="preserve">33、基金募集期：指自基金份额发售之日起至发售结束之日止的期间，最长不得超过3个月 </w:t>
      </w:r>
    </w:p>
    <w:p>
      <w:pPr>
        <w:pStyle w:val="7"/>
        <w:spacing w:before="0" w:beforeAutospacing="0" w:after="0" w:afterAutospacing="0" w:line="360" w:lineRule="auto"/>
        <w:ind w:firstLine="420"/>
        <w:rPr>
          <w:sz w:val="21"/>
          <w:szCs w:val="21"/>
        </w:rPr>
      </w:pPr>
      <w:r>
        <w:rPr>
          <w:rFonts w:hint="eastAsia"/>
          <w:sz w:val="21"/>
          <w:szCs w:val="21"/>
        </w:rPr>
        <w:t xml:space="preserve">34、存续期：指基金合同生效至终止之间的不定期期限 </w:t>
      </w:r>
    </w:p>
    <w:p>
      <w:pPr>
        <w:pStyle w:val="7"/>
        <w:spacing w:before="0" w:beforeAutospacing="0" w:after="0" w:afterAutospacing="0" w:line="360" w:lineRule="auto"/>
        <w:ind w:firstLine="420"/>
        <w:rPr>
          <w:sz w:val="21"/>
          <w:szCs w:val="21"/>
        </w:rPr>
      </w:pPr>
      <w:r>
        <w:rPr>
          <w:rFonts w:hint="eastAsia"/>
          <w:sz w:val="21"/>
          <w:szCs w:val="21"/>
        </w:rPr>
        <w:t xml:space="preserve">35、工作日：指上海证券交易所、深圳证券交易所的正常交易日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36、T日：指销售机构确认的投资者有效申请工作日 </w:t>
      </w:r>
    </w:p>
    <w:p>
      <w:pPr>
        <w:pStyle w:val="7"/>
        <w:spacing w:before="0" w:beforeAutospacing="0" w:after="0" w:afterAutospacing="0" w:line="360" w:lineRule="auto"/>
        <w:ind w:firstLine="420"/>
        <w:rPr>
          <w:sz w:val="21"/>
          <w:szCs w:val="21"/>
        </w:rPr>
      </w:pPr>
      <w:r>
        <w:rPr>
          <w:rFonts w:hint="eastAsia"/>
          <w:sz w:val="21"/>
          <w:szCs w:val="21"/>
        </w:rPr>
        <w:t xml:space="preserve">37、T+n日：指自T日起第n个工作日（不包含T日）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38、开放日：指为投资者办理基金份额申购、赎回或其他业务的工作日 </w:t>
      </w:r>
    </w:p>
    <w:p>
      <w:pPr>
        <w:pStyle w:val="7"/>
        <w:spacing w:before="0" w:beforeAutospacing="0" w:after="0" w:afterAutospacing="0" w:line="360" w:lineRule="auto"/>
        <w:ind w:firstLine="420"/>
        <w:rPr>
          <w:sz w:val="21"/>
          <w:szCs w:val="21"/>
        </w:rPr>
      </w:pPr>
      <w:r>
        <w:rPr>
          <w:rFonts w:hint="eastAsia"/>
          <w:sz w:val="21"/>
          <w:szCs w:val="21"/>
        </w:rPr>
        <w:t xml:space="preserve">39、交易时间：指开放日基金接受申购、赎回或其他交易的时间段 </w:t>
      </w:r>
    </w:p>
    <w:p>
      <w:pPr>
        <w:pStyle w:val="7"/>
        <w:spacing w:before="0" w:beforeAutospacing="0" w:after="0" w:afterAutospacing="0" w:line="360" w:lineRule="auto"/>
        <w:ind w:firstLine="420"/>
        <w:rPr>
          <w:sz w:val="21"/>
          <w:szCs w:val="21"/>
        </w:rPr>
      </w:pPr>
      <w:r>
        <w:rPr>
          <w:rFonts w:hint="eastAsia"/>
          <w:sz w:val="21"/>
          <w:szCs w:val="21"/>
        </w:rPr>
        <w:t>40、《业务规则》：指《</w:t>
      </w:r>
      <w:bookmarkStart w:id="26" w:name="field_0_managerorgfullname_4"/>
      <w:r>
        <w:rPr>
          <w:rFonts w:hint="eastAsia"/>
          <w:sz w:val="21"/>
          <w:szCs w:val="21"/>
        </w:rPr>
        <w:t>博时基金管理有限公司</w:t>
      </w:r>
      <w:bookmarkEnd w:id="26"/>
      <w:r>
        <w:rPr>
          <w:rFonts w:hint="eastAsia"/>
          <w:sz w:val="21"/>
          <w:szCs w:val="21"/>
        </w:rPr>
        <w:t xml:space="preserve">开放式基金业务规则》 </w:t>
      </w:r>
    </w:p>
    <w:p>
      <w:pPr>
        <w:pStyle w:val="7"/>
        <w:spacing w:before="0" w:beforeAutospacing="0" w:after="0" w:afterAutospacing="0" w:line="360" w:lineRule="auto"/>
        <w:ind w:firstLine="420"/>
        <w:rPr>
          <w:sz w:val="21"/>
          <w:szCs w:val="21"/>
        </w:rPr>
      </w:pPr>
      <w:r>
        <w:rPr>
          <w:rFonts w:hint="eastAsia"/>
          <w:sz w:val="21"/>
          <w:szCs w:val="21"/>
        </w:rPr>
        <w:t xml:space="preserve">41、认购：指在基金募集期内，投资者申请购买基金份额的行为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42、申购：指基金合同生效后，投资者根据基金合同和招募说明书的规定申请购买基金份额的行为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43、赎回：指基金合同生效后，基金份额持有人按基金合同规定的条件要求将基金份额兑换为现金的行为 </w:t>
      </w:r>
    </w:p>
    <w:p>
      <w:pPr>
        <w:pStyle w:val="7"/>
        <w:spacing w:before="0" w:beforeAutospacing="0" w:after="0" w:afterAutospacing="0" w:line="360" w:lineRule="auto"/>
        <w:ind w:firstLine="420"/>
        <w:rPr>
          <w:sz w:val="21"/>
          <w:szCs w:val="21"/>
        </w:rPr>
      </w:pPr>
      <w:r>
        <w:rPr>
          <w:rFonts w:hint="eastAsia"/>
          <w:sz w:val="21"/>
          <w:szCs w:val="21"/>
        </w:rPr>
        <w:t xml:space="preserve">44、基金转换：指基金份额持有人按照基金合同和基金管理人届时有效公告规定的条件，申请将其持有基金管理人管理的、某一基金的基金份额转换为基金管理人管理的、且由同一登记机构办理注册登记的其他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45、转托管：指基金份额持有人在本基金的不同销售机构之间实施的变更所持基金份额销售机构的操作 </w:t>
      </w:r>
    </w:p>
    <w:p>
      <w:pPr>
        <w:pStyle w:val="7"/>
        <w:spacing w:before="0" w:beforeAutospacing="0" w:after="0" w:afterAutospacing="0" w:line="360" w:lineRule="auto"/>
        <w:ind w:firstLine="420"/>
        <w:rPr>
          <w:sz w:val="21"/>
          <w:szCs w:val="21"/>
        </w:rPr>
      </w:pPr>
      <w:r>
        <w:rPr>
          <w:rFonts w:hint="eastAsia"/>
          <w:sz w:val="21"/>
          <w:szCs w:val="21"/>
        </w:rPr>
        <w:t xml:space="preserve">46、定期定额投资计划：指投资者通过有关销售机构提出申请，约定每期扣款日、扣款金额及扣款方式，由销售机构于每期约定扣款日在投资者指定银行账户内自动完成扣款及基金申购申请的一种投资方式 </w:t>
      </w:r>
    </w:p>
    <w:p>
      <w:pPr>
        <w:pStyle w:val="7"/>
        <w:spacing w:before="0" w:beforeAutospacing="0" w:after="0" w:afterAutospacing="0" w:line="360" w:lineRule="auto"/>
        <w:ind w:firstLine="420"/>
        <w:rPr>
          <w:sz w:val="21"/>
          <w:szCs w:val="21"/>
        </w:rPr>
      </w:pPr>
      <w:r>
        <w:rPr>
          <w:rFonts w:hint="eastAsia"/>
          <w:sz w:val="21"/>
          <w:szCs w:val="21"/>
        </w:rPr>
        <w:t>47、巨额赎回：指本基金单个开放日，基金净赎回申请（赎回申请份额总数加上基金转换中转出申请份额总数后扣除申购申请份额总数及基金转换中转入申请份额总数后的余额）超过上一开放日基金总份额的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27" w:name="field_49_mintredeemscale_1"/>
      <w:r>
        <w:rPr>
          <w:sz w:val="21"/>
          <w:szCs w:val="21"/>
        </w:rPr>
        <w:t>10</w:t>
      </w:r>
      <w:bookmarkEnd w:id="2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48、元：指人民币元 </w:t>
      </w:r>
    </w:p>
    <w:p>
      <w:pPr>
        <w:pStyle w:val="7"/>
        <w:spacing w:before="0" w:beforeAutospacing="0" w:after="0" w:afterAutospacing="0" w:line="360" w:lineRule="auto"/>
        <w:ind w:firstLine="420"/>
        <w:rPr>
          <w:sz w:val="21"/>
          <w:szCs w:val="21"/>
        </w:rPr>
      </w:pPr>
      <w:r>
        <w:rPr>
          <w:rFonts w:hint="eastAsia"/>
          <w:sz w:val="21"/>
          <w:szCs w:val="21"/>
        </w:rPr>
        <w:t xml:space="preserve">49、基金收益：指基金投资所得红利、股息、债券利息、买卖证券价差、银行存款利息、已实现的其他合法收入及因运用基金财产带来的成本和费用的节约 </w:t>
      </w:r>
    </w:p>
    <w:p>
      <w:pPr>
        <w:pStyle w:val="7"/>
        <w:spacing w:before="0" w:beforeAutospacing="0" w:after="0" w:afterAutospacing="0" w:line="360" w:lineRule="auto"/>
        <w:ind w:firstLine="420"/>
        <w:rPr>
          <w:sz w:val="21"/>
          <w:szCs w:val="21"/>
        </w:rPr>
      </w:pPr>
      <w:r>
        <w:rPr>
          <w:rFonts w:hint="eastAsia"/>
          <w:sz w:val="21"/>
          <w:szCs w:val="21"/>
        </w:rPr>
        <w:t xml:space="preserve">50、基金资产总值：指基金拥有的各类有价证券、银行存款本息、基金应收申购款及其他资产的价值总和 </w:t>
      </w:r>
    </w:p>
    <w:p>
      <w:pPr>
        <w:pStyle w:val="7"/>
        <w:spacing w:before="0" w:beforeAutospacing="0" w:after="0" w:afterAutospacing="0" w:line="360" w:lineRule="auto"/>
        <w:ind w:firstLine="420"/>
        <w:rPr>
          <w:sz w:val="21"/>
          <w:szCs w:val="21"/>
        </w:rPr>
      </w:pPr>
      <w:r>
        <w:rPr>
          <w:rFonts w:hint="eastAsia"/>
          <w:sz w:val="21"/>
          <w:szCs w:val="21"/>
        </w:rPr>
        <w:t xml:space="preserve">51、基金资产净值：指基金资产总值减去基金负债后的价值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52、基金份额净值：指计算日基金资产净值除以计算日基金份额总数 </w:t>
      </w:r>
    </w:p>
    <w:p>
      <w:pPr>
        <w:pStyle w:val="7"/>
        <w:spacing w:before="0" w:beforeAutospacing="0" w:after="0" w:afterAutospacing="0" w:line="360" w:lineRule="auto"/>
        <w:ind w:firstLine="420"/>
        <w:rPr>
          <w:sz w:val="21"/>
          <w:szCs w:val="21"/>
        </w:rPr>
      </w:pPr>
      <w:r>
        <w:rPr>
          <w:rFonts w:hint="eastAsia"/>
          <w:sz w:val="21"/>
          <w:szCs w:val="21"/>
        </w:rPr>
        <w:t xml:space="preserve">53、基金资产估值：指计算评估基金资产和负债的价值，以确定基金资产净值和基金份额净值的过程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54、指定媒介：指中国证监会指定的用以进行信息披露的全国性报刊及指定互联网网站（包括基金管理人网站、基金托管人网站、中国证监会基金电子披露网站）等媒介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r>
        <w:rPr>
          <w:rFonts w:hint="eastAsia"/>
          <w:sz w:val="21"/>
          <w:szCs w:val="21"/>
        </w:rPr>
        <w:t xml:space="preserve">55、不可抗力：指基金合同当事人无法预见、无法抗拒、无法避免且在基金合同由基金管理人、基金托管人签署之日后发生的，使基金合同当事人无法全部或部分履行基金合同的任何事件，包括但不限于洪水、地震及其他自然灾害、战争、骚乱、火灾、政府征用、没收、恐怖袭击、传染病传播、法律法规变化、突发停电或其他突发事件、证券交易所非正常暂停或停止交易。 </w:t>
      </w:r>
    </w:p>
    <w:p>
      <w:pPr>
        <w:pStyle w:val="7"/>
        <w:spacing w:before="0" w:beforeAutospacing="0" w:after="0" w:afterAutospacing="0" w:line="360" w:lineRule="auto"/>
        <w:ind w:firstLine="420"/>
        <w:rPr>
          <w:sz w:val="21"/>
          <w:szCs w:val="21"/>
        </w:rPr>
      </w:pPr>
      <w:r>
        <w:rPr>
          <w:rFonts w:hint="eastAsia"/>
          <w:sz w:val="21"/>
          <w:szCs w:val="21"/>
        </w:rPr>
        <w:t xml:space="preserve">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pPr>
        <w:pStyle w:val="7"/>
        <w:spacing w:before="0" w:beforeAutospacing="0" w:after="0" w:afterAutospacing="0" w:line="360" w:lineRule="auto"/>
        <w:ind w:firstLine="420"/>
        <w:rPr>
          <w:sz w:val="21"/>
          <w:szCs w:val="21"/>
        </w:rPr>
      </w:pPr>
      <w:r>
        <w:rPr>
          <w:rFonts w:hint="eastAsia"/>
          <w:sz w:val="21"/>
          <w:szCs w:val="21"/>
        </w:rPr>
        <w:t>57、基金产品资料概要：指《</w:t>
      </w:r>
      <w:bookmarkStart w:id="28" w:name="chapter_level1_4_49_section_2_end"/>
      <w:bookmarkEnd w:id="28"/>
      <w:bookmarkStart w:id="29" w:name="field_0_productfullname_9"/>
      <w:r>
        <w:rPr>
          <w:rFonts w:hint="eastAsia"/>
          <w:sz w:val="21"/>
          <w:szCs w:val="21"/>
        </w:rPr>
        <w:t>博时行业轮动混合型证券投资基金</w:t>
      </w:r>
      <w:bookmarkEnd w:id="29"/>
      <w:r>
        <w:rPr>
          <w:rFonts w:hint="eastAsia"/>
          <w:sz w:val="21"/>
          <w:szCs w:val="21"/>
        </w:rPr>
        <w:t xml:space="preserve">基金产品资料概要》及其更新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0" w:name="chapter_level1_5_53"/>
      <w:bookmarkStart w:id="31" w:name="_Toc113295492"/>
      <w:r>
        <w:rPr>
          <w:rFonts w:hint="eastAsia" w:ascii="宋体" w:hAnsi="宋体" w:eastAsia="宋体"/>
          <w:sz w:val="30"/>
        </w:rPr>
        <w:t>第三部分  基金管理人</w:t>
      </w:r>
      <w:bookmarkEnd w:id="30"/>
      <w:bookmarkEnd w:id="31"/>
    </w:p>
    <w:p>
      <w:pPr>
        <w:pStyle w:val="7"/>
        <w:spacing w:before="0" w:beforeAutospacing="0" w:after="0" w:afterAutospacing="0" w:line="360" w:lineRule="auto"/>
        <w:ind w:firstLine="420"/>
        <w:rPr>
          <w:sz w:val="21"/>
          <w:szCs w:val="21"/>
        </w:rPr>
      </w:pPr>
      <w:bookmarkStart w:id="32" w:name="chapter_level1_5_53_section_1"/>
      <w:bookmarkEnd w:id="32"/>
      <w:r>
        <w:rPr>
          <w:rStyle w:val="11"/>
          <w:rFonts w:hint="eastAsia"/>
          <w:sz w:val="21"/>
          <w:szCs w:val="21"/>
        </w:rPr>
        <w:t>一、基金管理人概况</w:t>
      </w:r>
    </w:p>
    <w:p>
      <w:pPr>
        <w:pStyle w:val="7"/>
        <w:spacing w:before="0" w:beforeAutospacing="0" w:after="0" w:afterAutospacing="0" w:line="360" w:lineRule="auto"/>
        <w:ind w:firstLine="420"/>
        <w:rPr>
          <w:sz w:val="21"/>
          <w:szCs w:val="21"/>
        </w:rPr>
      </w:pPr>
      <w:bookmarkStart w:id="33" w:name="field_0_managercompanyinfo_1_start"/>
      <w:bookmarkEnd w:id="33"/>
      <w:r>
        <w:rPr>
          <w:rFonts w:hint="eastAsia"/>
          <w:sz w:val="21"/>
          <w:szCs w:val="21"/>
        </w:rPr>
        <w:t>名称：博时基金管理有限公司</w:t>
      </w:r>
    </w:p>
    <w:p>
      <w:pPr>
        <w:pStyle w:val="7"/>
        <w:spacing w:before="0" w:beforeAutospacing="0" w:after="0" w:afterAutospacing="0" w:line="360" w:lineRule="auto"/>
        <w:ind w:firstLine="420"/>
        <w:rPr>
          <w:sz w:val="21"/>
          <w:szCs w:val="21"/>
        </w:rPr>
      </w:pPr>
      <w:r>
        <w:rPr>
          <w:rFonts w:hint="eastAsia"/>
          <w:sz w:val="21"/>
          <w:szCs w:val="21"/>
        </w:rPr>
        <w:t>住所：深圳市福田区莲花街道福新社区益田路5999号基金大厦21层</w:t>
      </w:r>
    </w:p>
    <w:p>
      <w:pPr>
        <w:pStyle w:val="7"/>
        <w:spacing w:before="0" w:beforeAutospacing="0" w:after="0" w:afterAutospacing="0" w:line="360" w:lineRule="auto"/>
        <w:ind w:firstLine="420"/>
        <w:rPr>
          <w:sz w:val="21"/>
          <w:szCs w:val="21"/>
        </w:rPr>
      </w:pPr>
      <w:r>
        <w:rPr>
          <w:rFonts w:hint="eastAsia"/>
          <w:sz w:val="21"/>
          <w:szCs w:val="21"/>
        </w:rPr>
        <w:t>办公地址：广东省深圳市福田区益田路5999号基金大厦21层</w:t>
      </w:r>
    </w:p>
    <w:p>
      <w:pPr>
        <w:pStyle w:val="7"/>
        <w:spacing w:before="0" w:beforeAutospacing="0" w:after="0" w:afterAutospacing="0" w:line="360" w:lineRule="auto"/>
        <w:ind w:firstLine="420"/>
        <w:rPr>
          <w:sz w:val="21"/>
          <w:szCs w:val="21"/>
        </w:rPr>
      </w:pPr>
      <w:r>
        <w:rPr>
          <w:rFonts w:hint="eastAsia"/>
          <w:sz w:val="21"/>
          <w:szCs w:val="21"/>
        </w:rPr>
        <w:t>法定代表人：江向阳</w:t>
      </w:r>
    </w:p>
    <w:p>
      <w:pPr>
        <w:pStyle w:val="7"/>
        <w:spacing w:before="0" w:beforeAutospacing="0" w:after="0" w:afterAutospacing="0" w:line="360" w:lineRule="auto"/>
        <w:ind w:firstLine="420"/>
        <w:rPr>
          <w:sz w:val="21"/>
          <w:szCs w:val="21"/>
        </w:rPr>
      </w:pPr>
      <w:r>
        <w:rPr>
          <w:rFonts w:hint="eastAsia"/>
          <w:sz w:val="21"/>
          <w:szCs w:val="21"/>
        </w:rPr>
        <w:t>成立时间：1998年7月13日</w:t>
      </w:r>
    </w:p>
    <w:p>
      <w:pPr>
        <w:pStyle w:val="7"/>
        <w:spacing w:before="0" w:beforeAutospacing="0" w:after="0" w:afterAutospacing="0" w:line="360" w:lineRule="auto"/>
        <w:ind w:firstLine="420"/>
        <w:rPr>
          <w:sz w:val="21"/>
          <w:szCs w:val="21"/>
        </w:rPr>
      </w:pPr>
      <w:r>
        <w:rPr>
          <w:rFonts w:hint="eastAsia"/>
          <w:sz w:val="21"/>
          <w:szCs w:val="21"/>
        </w:rPr>
        <w:t>注册资本：2.5亿元人民币</w:t>
      </w:r>
    </w:p>
    <w:p>
      <w:pPr>
        <w:pStyle w:val="7"/>
        <w:spacing w:before="0" w:beforeAutospacing="0" w:after="0" w:afterAutospacing="0" w:line="360" w:lineRule="auto"/>
        <w:ind w:firstLine="420"/>
        <w:rPr>
          <w:sz w:val="21"/>
          <w:szCs w:val="21"/>
        </w:rPr>
      </w:pPr>
      <w:r>
        <w:rPr>
          <w:rFonts w:hint="eastAsia"/>
          <w:sz w:val="21"/>
          <w:szCs w:val="21"/>
        </w:rPr>
        <w:t>存续期间：持续经营</w:t>
      </w:r>
    </w:p>
    <w:p>
      <w:pPr>
        <w:pStyle w:val="7"/>
        <w:spacing w:before="0" w:beforeAutospacing="0" w:after="0" w:afterAutospacing="0" w:line="360" w:lineRule="auto"/>
        <w:ind w:firstLine="420"/>
        <w:rPr>
          <w:sz w:val="21"/>
          <w:szCs w:val="21"/>
        </w:rPr>
      </w:pPr>
      <w:r>
        <w:rPr>
          <w:rFonts w:hint="eastAsia"/>
          <w:sz w:val="21"/>
          <w:szCs w:val="21"/>
        </w:rPr>
        <w:t>联系人：王济帆</w:t>
      </w:r>
    </w:p>
    <w:p>
      <w:pPr>
        <w:pStyle w:val="7"/>
        <w:spacing w:before="0" w:beforeAutospacing="0" w:after="0" w:afterAutospacing="0" w:line="360" w:lineRule="auto"/>
        <w:ind w:firstLine="420"/>
        <w:rPr>
          <w:sz w:val="21"/>
          <w:szCs w:val="21"/>
        </w:rPr>
      </w:pPr>
      <w:r>
        <w:rPr>
          <w:rFonts w:hint="eastAsia"/>
          <w:sz w:val="21"/>
          <w:szCs w:val="21"/>
        </w:rPr>
        <w:t>联系电话：（0755）8316 9999</w:t>
      </w:r>
    </w:p>
    <w:p>
      <w:pPr>
        <w:pStyle w:val="7"/>
        <w:spacing w:before="0" w:beforeAutospacing="0" w:after="0" w:afterAutospacing="0" w:line="360" w:lineRule="auto"/>
        <w:ind w:firstLine="420"/>
        <w:rPr>
          <w:sz w:val="21"/>
          <w:szCs w:val="21"/>
        </w:rPr>
      </w:pPr>
      <w:r>
        <w:rPr>
          <w:rFonts w:hint="eastAsia"/>
          <w:sz w:val="21"/>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pStyle w:val="7"/>
        <w:spacing w:before="0" w:beforeAutospacing="0" w:after="0" w:afterAutospacing="0" w:line="360" w:lineRule="auto"/>
        <w:ind w:firstLine="420"/>
        <w:rPr>
          <w:sz w:val="21"/>
          <w:szCs w:val="21"/>
        </w:rPr>
      </w:pPr>
      <w:r>
        <w:rPr>
          <w:rFonts w:hint="eastAsia"/>
          <w:sz w:val="21"/>
          <w:szCs w:val="21"/>
        </w:rPr>
        <w:t>公司设立了投资决策委员会。投资决策委员会负责指导基金资产的运作、确定基本的投资策略和投资组合的原则。</w:t>
      </w:r>
    </w:p>
    <w:p>
      <w:pPr>
        <w:pStyle w:val="7"/>
        <w:spacing w:before="0" w:beforeAutospacing="0" w:after="0" w:afterAutospacing="0" w:line="360" w:lineRule="auto"/>
        <w:ind w:firstLine="420"/>
        <w:rPr>
          <w:sz w:val="21"/>
          <w:szCs w:val="21"/>
        </w:rPr>
      </w:pPr>
      <w:r>
        <w:rPr>
          <w:rFonts w:hint="eastAsia"/>
          <w:sz w:val="21"/>
          <w:szCs w:val="21"/>
        </w:rPr>
        <w:t>公司已经建立健全投资管理制度、风险控制制度、内部监察制度、财务管理制度、人事管理制度、信息披露制度和员工行为准则等公司管理制度体系。</w:t>
      </w:r>
    </w:p>
    <w:p>
      <w:pPr>
        <w:pStyle w:val="7"/>
        <w:spacing w:before="0" w:beforeAutospacing="0" w:after="0" w:afterAutospacing="0" w:line="360" w:lineRule="auto"/>
        <w:ind w:firstLine="420"/>
        <w:rPr>
          <w:sz w:val="21"/>
          <w:szCs w:val="21"/>
        </w:rPr>
      </w:pPr>
      <w:r>
        <w:rPr>
          <w:rFonts w:hint="eastAsia"/>
          <w:sz w:val="21"/>
          <w:szCs w:val="21"/>
        </w:rPr>
        <w:t>二、主要成员情况</w:t>
      </w:r>
    </w:p>
    <w:p>
      <w:pPr>
        <w:pStyle w:val="7"/>
        <w:spacing w:before="0" w:beforeAutospacing="0" w:after="0" w:afterAutospacing="0" w:line="360" w:lineRule="auto"/>
        <w:ind w:firstLine="420"/>
        <w:rPr>
          <w:sz w:val="21"/>
          <w:szCs w:val="21"/>
        </w:rPr>
      </w:pPr>
      <w:r>
        <w:rPr>
          <w:rFonts w:hint="eastAsia"/>
          <w:sz w:val="21"/>
          <w:szCs w:val="21"/>
        </w:rPr>
        <w:t>1、基金管理人董事会成员</w:t>
      </w:r>
    </w:p>
    <w:p>
      <w:pPr>
        <w:pStyle w:val="7"/>
        <w:spacing w:before="0" w:beforeAutospacing="0" w:after="0" w:afterAutospacing="0" w:line="360" w:lineRule="auto"/>
        <w:ind w:firstLine="420"/>
        <w:rPr>
          <w:sz w:val="21"/>
          <w:szCs w:val="21"/>
        </w:rPr>
      </w:pPr>
      <w:r>
        <w:rPr>
          <w:rFonts w:hint="eastAsia"/>
          <w:sz w:val="21"/>
          <w:szCs w:val="21"/>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pStyle w:val="7"/>
        <w:spacing w:before="0" w:beforeAutospacing="0" w:after="0" w:afterAutospacing="0" w:line="360" w:lineRule="auto"/>
        <w:ind w:firstLine="420"/>
        <w:rPr>
          <w:sz w:val="21"/>
          <w:szCs w:val="21"/>
        </w:rPr>
      </w:pPr>
      <w:r>
        <w:rPr>
          <w:rFonts w:hint="eastAsia"/>
          <w:sz w:val="21"/>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月担任该公司副总经理。自2018年9月3日起，任博时基金管理有限公司董事。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自2021年2月5日起，任博时基金管理有限公司总经理。自2021年4月7日起，任博时基金管理有限公司第八届董事会董事。</w:t>
      </w:r>
    </w:p>
    <w:p>
      <w:pPr>
        <w:pStyle w:val="7"/>
        <w:spacing w:before="0" w:beforeAutospacing="0" w:after="0" w:afterAutospacing="0" w:line="360" w:lineRule="auto"/>
        <w:ind w:firstLine="420"/>
        <w:rPr>
          <w:sz w:val="21"/>
          <w:szCs w:val="21"/>
        </w:rPr>
      </w:pPr>
      <w:r>
        <w:rPr>
          <w:rFonts w:hint="eastAsia"/>
          <w:sz w:val="21"/>
          <w:szCs w:val="21"/>
        </w:rPr>
        <w:t>姚俊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pStyle w:val="7"/>
        <w:spacing w:before="0" w:beforeAutospacing="0" w:after="0" w:afterAutospacing="0" w:line="360" w:lineRule="auto"/>
        <w:ind w:firstLine="420"/>
        <w:rPr>
          <w:sz w:val="21"/>
          <w:szCs w:val="21"/>
        </w:rPr>
      </w:pPr>
      <w:r>
        <w:rPr>
          <w:rFonts w:hint="eastAsia"/>
          <w:sz w:val="21"/>
          <w:szCs w:val="21"/>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pStyle w:val="7"/>
        <w:spacing w:before="0" w:beforeAutospacing="0" w:after="0" w:afterAutospacing="0" w:line="360" w:lineRule="auto"/>
        <w:ind w:firstLine="420"/>
        <w:rPr>
          <w:sz w:val="21"/>
          <w:szCs w:val="21"/>
        </w:rPr>
      </w:pPr>
      <w:r>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赵如冰先生，1956年生，教授级高级工程师，国际金融专业经济学硕士研究生。赵如冰先生历任葛洲坝水力发电厂工程师、高级工程师、葛洲坝二江电厂电气分厂主任、书记；1989年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 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pStyle w:val="7"/>
        <w:spacing w:before="0" w:beforeAutospacing="0" w:after="0" w:afterAutospacing="0" w:line="360" w:lineRule="auto"/>
        <w:ind w:firstLine="420"/>
        <w:rPr>
          <w:sz w:val="21"/>
          <w:szCs w:val="21"/>
        </w:rPr>
      </w:pPr>
      <w:r>
        <w:rPr>
          <w:rFonts w:hint="eastAsia"/>
          <w:sz w:val="21"/>
          <w:szCs w:val="21"/>
        </w:rPr>
        <w:t>2、基金管理人监事会成员</w:t>
      </w:r>
    </w:p>
    <w:p>
      <w:pPr>
        <w:pStyle w:val="7"/>
        <w:spacing w:before="0" w:beforeAutospacing="0" w:after="0" w:afterAutospacing="0" w:line="360" w:lineRule="auto"/>
        <w:ind w:firstLine="420"/>
        <w:rPr>
          <w:sz w:val="21"/>
          <w:szCs w:val="21"/>
        </w:rPr>
      </w:pPr>
      <w:r>
        <w:rPr>
          <w:rFonts w:hint="eastAsia"/>
          <w:sz w:val="21"/>
          <w:szCs w:val="21"/>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pStyle w:val="7"/>
        <w:spacing w:before="0" w:beforeAutospacing="0" w:after="0" w:afterAutospacing="0" w:line="360" w:lineRule="auto"/>
        <w:ind w:firstLine="420"/>
        <w:rPr>
          <w:sz w:val="21"/>
          <w:szCs w:val="21"/>
        </w:rPr>
      </w:pPr>
      <w:r>
        <w:rPr>
          <w:rFonts w:hint="eastAsia"/>
          <w:sz w:val="21"/>
          <w:szCs w:val="21"/>
        </w:rPr>
        <w:t>蒋伟先生，硕士。2011年3月至2017年5月就职于中国长城资产管理公司，分别任办公室外事处一级业务员、业务副主管、业务主管。2017年5月至2020年7月职于长城罗斯基金管理有限公司任行政总监/执行董事。2020年7月至今任中国长城资产管理有限公司资产经营三部副高级经理（处室负责人）。</w:t>
      </w:r>
    </w:p>
    <w:p>
      <w:pPr>
        <w:pStyle w:val="7"/>
        <w:spacing w:before="0" w:beforeAutospacing="0" w:after="0" w:afterAutospacing="0" w:line="360" w:lineRule="auto"/>
        <w:ind w:firstLine="420"/>
        <w:rPr>
          <w:sz w:val="21"/>
          <w:szCs w:val="21"/>
        </w:rPr>
      </w:pPr>
      <w:r>
        <w:rPr>
          <w:rFonts w:hint="eastAsia"/>
          <w:sz w:val="21"/>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严斌先生，硕士。1997年7月起先后在华侨城集团公司、博时基金管理有限公司工作。现任博时基金管理有限公司财务部总经理。自2015年5月起，任博时基金管理有限公司监事。</w:t>
      </w:r>
    </w:p>
    <w:p>
      <w:pPr>
        <w:pStyle w:val="7"/>
        <w:spacing w:before="0" w:beforeAutospacing="0" w:after="0" w:afterAutospacing="0" w:line="360" w:lineRule="auto"/>
        <w:ind w:firstLine="420"/>
        <w:rPr>
          <w:sz w:val="21"/>
          <w:szCs w:val="21"/>
        </w:rPr>
      </w:pPr>
      <w:r>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pStyle w:val="7"/>
        <w:spacing w:before="0" w:beforeAutospacing="0" w:after="0" w:afterAutospacing="0" w:line="360" w:lineRule="auto"/>
        <w:ind w:firstLine="420"/>
        <w:rPr>
          <w:sz w:val="21"/>
          <w:szCs w:val="21"/>
        </w:rPr>
      </w:pPr>
      <w:r>
        <w:rPr>
          <w:rFonts w:hint="eastAsia"/>
          <w:sz w:val="21"/>
          <w:szCs w:val="21"/>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pStyle w:val="7"/>
        <w:spacing w:before="0" w:beforeAutospacing="0" w:after="0" w:afterAutospacing="0" w:line="360" w:lineRule="auto"/>
        <w:ind w:firstLine="420"/>
        <w:rPr>
          <w:sz w:val="21"/>
          <w:szCs w:val="21"/>
        </w:rPr>
      </w:pPr>
      <w:r>
        <w:rPr>
          <w:rFonts w:hint="eastAsia"/>
          <w:sz w:val="21"/>
          <w:szCs w:val="21"/>
        </w:rPr>
        <w:t>3、高级管理人员</w:t>
      </w:r>
    </w:p>
    <w:p>
      <w:pPr>
        <w:pStyle w:val="7"/>
        <w:spacing w:before="0" w:beforeAutospacing="0" w:after="0" w:afterAutospacing="0" w:line="360" w:lineRule="auto"/>
        <w:ind w:firstLine="420"/>
        <w:rPr>
          <w:sz w:val="21"/>
          <w:szCs w:val="21"/>
        </w:rPr>
      </w:pPr>
      <w:r>
        <w:rPr>
          <w:rFonts w:hint="eastAsia"/>
          <w:sz w:val="21"/>
          <w:szCs w:val="21"/>
        </w:rPr>
        <w:t>江向阳先生，简历同上。</w:t>
      </w:r>
    </w:p>
    <w:p>
      <w:pPr>
        <w:pStyle w:val="7"/>
        <w:spacing w:before="0" w:beforeAutospacing="0" w:after="0" w:afterAutospacing="0" w:line="360" w:lineRule="auto"/>
        <w:ind w:firstLine="420"/>
        <w:rPr>
          <w:sz w:val="21"/>
          <w:szCs w:val="21"/>
        </w:rPr>
      </w:pPr>
      <w:r>
        <w:rPr>
          <w:rFonts w:hint="eastAsia"/>
          <w:sz w:val="21"/>
          <w:szCs w:val="21"/>
        </w:rPr>
        <w:t>高阳先生，简历同上。</w:t>
      </w:r>
    </w:p>
    <w:p>
      <w:pPr>
        <w:pStyle w:val="7"/>
        <w:spacing w:before="0" w:beforeAutospacing="0" w:after="0" w:afterAutospacing="0" w:line="360" w:lineRule="auto"/>
        <w:ind w:firstLine="420"/>
        <w:rPr>
          <w:sz w:val="21"/>
          <w:szCs w:val="21"/>
        </w:rPr>
      </w:pPr>
      <w:r>
        <w:rPr>
          <w:rFonts w:hint="eastAsia"/>
          <w:sz w:val="21"/>
          <w:szCs w:val="21"/>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pStyle w:val="7"/>
        <w:spacing w:before="0" w:beforeAutospacing="0" w:after="0" w:afterAutospacing="0" w:line="360" w:lineRule="auto"/>
        <w:ind w:firstLine="420"/>
        <w:rPr>
          <w:sz w:val="21"/>
          <w:szCs w:val="21"/>
        </w:rPr>
      </w:pPr>
      <w:r>
        <w:rPr>
          <w:rFonts w:hint="eastAsia"/>
          <w:sz w:val="21"/>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pStyle w:val="7"/>
        <w:spacing w:before="0" w:beforeAutospacing="0" w:after="0" w:afterAutospacing="0" w:line="360" w:lineRule="auto"/>
        <w:ind w:firstLine="420"/>
        <w:rPr>
          <w:sz w:val="21"/>
          <w:szCs w:val="21"/>
        </w:rPr>
      </w:pPr>
      <w:r>
        <w:rPr>
          <w:rFonts w:hint="eastAsia"/>
          <w:sz w:val="21"/>
          <w:szCs w:val="21"/>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pStyle w:val="7"/>
        <w:spacing w:before="0" w:beforeAutospacing="0" w:after="0" w:afterAutospacing="0" w:line="360" w:lineRule="auto"/>
        <w:ind w:firstLine="420"/>
        <w:rPr>
          <w:sz w:val="21"/>
          <w:szCs w:val="21"/>
        </w:rPr>
      </w:pPr>
      <w:r>
        <w:rPr>
          <w:rFonts w:hint="eastAsia"/>
          <w:sz w:val="21"/>
          <w:szCs w:val="21"/>
        </w:rPr>
        <w:t>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w:t>
      </w:r>
    </w:p>
    <w:p>
      <w:pPr>
        <w:pStyle w:val="7"/>
        <w:spacing w:before="0" w:beforeAutospacing="0" w:after="0" w:afterAutospacing="0" w:line="360" w:lineRule="auto"/>
        <w:ind w:firstLine="420"/>
        <w:rPr>
          <w:sz w:val="21"/>
          <w:szCs w:val="21"/>
        </w:rPr>
      </w:pPr>
      <w:bookmarkStart w:id="34" w:name="chapter_level1_5_53_section_2"/>
      <w:bookmarkEnd w:id="34"/>
      <w:r>
        <w:rPr>
          <w:rFonts w:hint="eastAsia"/>
          <w:sz w:val="21"/>
          <w:szCs w:val="21"/>
        </w:rPr>
        <w:t xml:space="preserve">4、本基金基金经理 </w:t>
      </w:r>
    </w:p>
    <w:p>
      <w:pPr>
        <w:pStyle w:val="7"/>
        <w:spacing w:before="0" w:beforeAutospacing="0" w:after="0" w:afterAutospacing="0" w:line="360" w:lineRule="auto"/>
        <w:ind w:firstLine="420"/>
        <w:jc w:val="both"/>
        <w:rPr>
          <w:sz w:val="21"/>
          <w:szCs w:val="21"/>
        </w:rPr>
      </w:pPr>
      <w:bookmarkStart w:id="35" w:name="field_0_fundmanagerresume_1_start"/>
      <w:bookmarkEnd w:id="35"/>
      <w:r>
        <w:rPr>
          <w:rFonts w:hint="eastAsia"/>
          <w:sz w:val="21"/>
          <w:szCs w:val="21"/>
        </w:rPr>
        <w:t>陈雷先生，硕士。2007年在华信惠悦咨询公司工作。2008年加入博时基金管理有限公司。历任数据分析员、研究员、资深研究员、资深研究员兼基金经理助理、博时回报灵活配置混合型证券投资基金(2014年12月8日-2016年4月20日)、博时平衡配置混合型证券投资基金(2015年2月13日-2016年4月20日)、博时鑫禧灵活配置混合型证券投资基金(2017年10月9日-2018年9月27日)的基金经理。现任博时行业轮动混合型证券投资基金(2014年8月29日—至今)、博时内需增长灵活配置混合型证券投资基金(2017年3月10日—至今)、博时高端装备混合型证券投资基金(2023年3月8日—至今)、博时工业4.0主题股票型证券投资基金(2023年3月8日—至今)的基金经理。</w:t>
      </w:r>
    </w:p>
    <w:p>
      <w:pPr>
        <w:pStyle w:val="7"/>
        <w:spacing w:before="0" w:beforeAutospacing="0" w:after="0" w:afterAutospacing="0" w:line="360" w:lineRule="auto"/>
        <w:ind w:firstLine="420"/>
        <w:jc w:val="both"/>
        <w:rPr>
          <w:sz w:val="21"/>
          <w:szCs w:val="21"/>
        </w:rPr>
      </w:pPr>
      <w:bookmarkStart w:id="36" w:name="field_0_fundmanagershis_1_start"/>
      <w:bookmarkEnd w:id="36"/>
      <w:r>
        <w:rPr>
          <w:rFonts w:hint="eastAsia"/>
          <w:sz w:val="21"/>
          <w:szCs w:val="21"/>
        </w:rPr>
        <w:t>本基金历任基金经理：刘建伟（2010年12月10日-2014年8月</w:t>
      </w:r>
      <w:bookmarkStart w:id="37" w:name="chapter_level1_5_53_section_2_end"/>
      <w:bookmarkEnd w:id="37"/>
      <w:r>
        <w:rPr>
          <w:rFonts w:hint="eastAsia"/>
          <w:sz w:val="21"/>
          <w:szCs w:val="21"/>
        </w:rPr>
        <w:t>29日）、王晓冬（2014年8月29日-2016年1月20日）。</w:t>
      </w:r>
      <w:bookmarkStart w:id="38" w:name="field_0_fundmanagershis_1_end"/>
      <w:bookmarkEnd w:id="38"/>
      <w:r>
        <w:rPr>
          <w:rFonts w:hint="eastAsia"/>
          <w:sz w:val="21"/>
          <w:szCs w:val="21"/>
        </w:rPr>
        <w:t xml:space="preserve">  </w:t>
      </w:r>
    </w:p>
    <w:p>
      <w:pPr>
        <w:pStyle w:val="7"/>
        <w:spacing w:before="0" w:beforeAutospacing="0" w:after="0" w:afterAutospacing="0" w:line="360" w:lineRule="auto"/>
        <w:ind w:firstLine="420"/>
        <w:rPr>
          <w:sz w:val="21"/>
          <w:szCs w:val="21"/>
        </w:rPr>
      </w:pPr>
      <w:bookmarkStart w:id="39" w:name="field_0_managerpersoninfo2_1_start"/>
      <w:bookmarkEnd w:id="39"/>
      <w:bookmarkStart w:id="40" w:name="chapter_level1_5_53_section_3"/>
      <w:bookmarkEnd w:id="40"/>
      <w:r>
        <w:rPr>
          <w:rFonts w:hint="eastAsia"/>
          <w:sz w:val="21"/>
          <w:szCs w:val="21"/>
        </w:rPr>
        <w:t xml:space="preserve">5、投资决策委员会成员 </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公司总经理高阳先生。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公司首席资产配置官黄健斌先生。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首席基金经理过钧先生。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公司董事总经理兼权益投研一体化总监、权益投资四部总经理、权益投资四部投资总监、境外投资部总经理曾鹏先生。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权益投资三部投资总监蔡滨先生。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公司董事总经理兼年金投资部总经理、投资总监杨帆先生。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指数与量化投资部投资总监赵云阳先生。</w:t>
      </w:r>
    </w:p>
    <w:p>
      <w:pPr>
        <w:pStyle w:val="7"/>
        <w:spacing w:before="0" w:beforeAutospacing="0" w:after="0" w:afterAutospacing="0" w:line="360" w:lineRule="auto"/>
        <w:ind w:firstLine="420"/>
        <w:rPr>
          <w:rStyle w:val="11"/>
          <w:b w:val="0"/>
          <w:bCs w:val="0"/>
          <w:sz w:val="21"/>
          <w:szCs w:val="21"/>
        </w:rPr>
      </w:pPr>
      <w:r>
        <w:rPr>
          <w:rStyle w:val="11"/>
          <w:rFonts w:hint="eastAsia"/>
          <w:b w:val="0"/>
          <w:bCs w:val="0"/>
          <w:sz w:val="21"/>
          <w:szCs w:val="21"/>
        </w:rPr>
        <w:t>行业研究部研究总监兼副总经理金晟哲先生。</w:t>
      </w:r>
    </w:p>
    <w:p>
      <w:pPr>
        <w:pStyle w:val="7"/>
        <w:spacing w:before="0" w:beforeAutospacing="0" w:after="0" w:afterAutospacing="0" w:line="360" w:lineRule="auto"/>
        <w:ind w:firstLine="420"/>
        <w:rPr>
          <w:sz w:val="21"/>
          <w:szCs w:val="21"/>
        </w:rPr>
      </w:pPr>
      <w:bookmarkStart w:id="41" w:name="chapter_level1_5_53_section_3_end"/>
      <w:bookmarkEnd w:id="41"/>
      <w:r>
        <w:rPr>
          <w:rFonts w:hint="eastAsia"/>
          <w:sz w:val="21"/>
          <w:szCs w:val="21"/>
        </w:rPr>
        <w:t xml:space="preserve">6、上述人员之间均不存在近亲属关系。 </w:t>
      </w:r>
      <w:bookmarkStart w:id="42" w:name="field_0_managerpersoninfo2_1_end"/>
      <w:bookmarkEnd w:id="42"/>
      <w:r>
        <w:rPr>
          <w:rFonts w:hint="eastAsia"/>
          <w:sz w:val="21"/>
          <w:szCs w:val="21"/>
        </w:rPr>
        <w:t xml:space="preserve">  </w:t>
      </w:r>
    </w:p>
    <w:p>
      <w:pPr>
        <w:pStyle w:val="7"/>
        <w:spacing w:before="0" w:beforeAutospacing="0" w:after="0" w:afterAutospacing="0" w:line="360" w:lineRule="auto"/>
        <w:ind w:firstLine="420"/>
        <w:rPr>
          <w:sz w:val="21"/>
          <w:szCs w:val="21"/>
        </w:rPr>
      </w:pPr>
      <w:bookmarkStart w:id="43" w:name="chapter_level1_5_53_section_4"/>
      <w:bookmarkEnd w:id="43"/>
      <w:r>
        <w:rPr>
          <w:rStyle w:val="11"/>
          <w:rFonts w:hint="eastAsia"/>
          <w:sz w:val="21"/>
          <w:szCs w:val="21"/>
        </w:rPr>
        <w:t>三、基金管理人的职责</w:t>
      </w:r>
    </w:p>
    <w:p>
      <w:pPr>
        <w:pStyle w:val="7"/>
        <w:spacing w:before="0" w:beforeAutospacing="0" w:after="0" w:afterAutospacing="0" w:line="360" w:lineRule="auto"/>
        <w:ind w:firstLine="420"/>
        <w:rPr>
          <w:sz w:val="21"/>
          <w:szCs w:val="21"/>
        </w:rPr>
      </w:pPr>
      <w:r>
        <w:rPr>
          <w:rFonts w:hint="eastAsia"/>
          <w:sz w:val="21"/>
          <w:szCs w:val="21"/>
        </w:rPr>
        <w:t xml:space="preserve">1、依法申请并募集基金，办理或者委托经中国证监会认定的其他机构代为办理基金份额的发售、申购、赎回和登记事宜；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3、自基金合同生效之日起，以诚实信用、勤勉尽责的原则管理和运用基金财产；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7、除依据《基金法》、基金合同及其他有关规定外，不得为自己及任何第三人谋取利益，不得委托第三人运作基金财产；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8、进行基金会计核算并编制基金的财务会计报告； </w:t>
      </w:r>
    </w:p>
    <w:p>
      <w:pPr>
        <w:pStyle w:val="7"/>
        <w:spacing w:before="0" w:beforeAutospacing="0" w:after="0" w:afterAutospacing="0" w:line="360" w:lineRule="auto"/>
        <w:ind w:firstLine="420"/>
        <w:rPr>
          <w:sz w:val="21"/>
          <w:szCs w:val="21"/>
        </w:rPr>
      </w:pPr>
      <w:r>
        <w:rPr>
          <w:rFonts w:hint="eastAsia"/>
          <w:sz w:val="21"/>
          <w:szCs w:val="21"/>
        </w:rPr>
        <w:t xml:space="preserve">9、依法接受基金托管人的监督；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11、采取适当合理的措施使计算开放式基金份额认购、申购、赎回和注销价格的方法符合基金合同等法律文件的规定； </w:t>
      </w:r>
    </w:p>
    <w:p>
      <w:pPr>
        <w:pStyle w:val="7"/>
        <w:spacing w:before="0" w:beforeAutospacing="0" w:after="0" w:afterAutospacing="0" w:line="360" w:lineRule="auto"/>
        <w:ind w:firstLine="420"/>
        <w:rPr>
          <w:sz w:val="21"/>
          <w:szCs w:val="21"/>
        </w:rPr>
      </w:pPr>
      <w:r>
        <w:rPr>
          <w:rFonts w:hint="eastAsia"/>
          <w:sz w:val="21"/>
          <w:szCs w:val="21"/>
        </w:rPr>
        <w:t xml:space="preserve">12、计算并公告基金净值，确定基金份额申购、赎回价格；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13、严格按照《基金法》、基金合同及其他有关规定，履行信息披露及报告义务；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15、按规定受理申购和赎回申请，及时、足额支付赎回款项；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16、保存基金财产管理业务活动的记录、账册、报表、代表基金签订的重大合同及其他相关资料； </w:t>
      </w:r>
    </w:p>
    <w:p>
      <w:pPr>
        <w:pStyle w:val="7"/>
        <w:spacing w:before="0" w:beforeAutospacing="0" w:after="0" w:afterAutospacing="0" w:line="360" w:lineRule="auto"/>
        <w:ind w:firstLine="420"/>
        <w:rPr>
          <w:sz w:val="21"/>
          <w:szCs w:val="21"/>
        </w:rPr>
      </w:pPr>
      <w:r>
        <w:rPr>
          <w:rFonts w:hint="eastAsia"/>
          <w:sz w:val="21"/>
          <w:szCs w:val="21"/>
        </w:rPr>
        <w:t xml:space="preserve">17、依据《基金法》、基金合同及其他有关规定召集基金份额持有人大会或配合基金托管人、基金份额持有人依法召集基金份额持有人大会；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18、以基金管理人名义，代表基金份额持有人利益行使诉讼权利或实施其他法律行为；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19、组织并参加基金财产清算小组，参与基金财产的保管、清理、估价、变现和分配；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20、因违反基金合同导致基金财产的损失或损害基金份额持有人的合法权益，应承担赔偿责任，其赔偿责任不因其退任而免除；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21、基金托管人违反基金合同造成基金财产损失时，应为基金份额持有人利益向基金托管人追偿；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22、法律法规、基金合同及中国证监会规定的其他义务。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1、基金管理人承诺不从事违反《证券法》的行为，并承诺建立健全内部控制制度，采取有效措施，防止违反《证券法》行为的发生；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（5）依照法律、行政法规有关规定，由中国证监会规定禁止的其他行为。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2、不利用职务之便为自己、受雇人或任何第三者谋取利益；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Style w:val="11"/>
          <w:rFonts w:hint="eastAsia"/>
          <w:sz w:val="21"/>
          <w:szCs w:val="21"/>
        </w:rPr>
        <w:t>六、基金管理人的内部控制制度</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4" w:name="chapter_level1_5_53_section_4_end"/>
      <w:bookmarkEnd w:id="44"/>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5" w:name="_Toc113295493"/>
      <w:bookmarkStart w:id="46" w:name="chapter_level1_6_55"/>
      <w:r>
        <w:rPr>
          <w:rFonts w:hint="eastAsia" w:ascii="宋体" w:hAnsi="宋体" w:eastAsia="宋体"/>
          <w:sz w:val="30"/>
        </w:rPr>
        <w:t>第四部分  基金托管人</w:t>
      </w:r>
      <w:bookmarkEnd w:id="45"/>
      <w:bookmarkEnd w:id="46"/>
    </w:p>
    <w:p>
      <w:pPr>
        <w:pStyle w:val="7"/>
        <w:spacing w:before="0" w:beforeAutospacing="0" w:after="0" w:afterAutospacing="0" w:line="360" w:lineRule="auto"/>
        <w:ind w:firstLine="420"/>
        <w:rPr>
          <w:sz w:val="21"/>
          <w:szCs w:val="21"/>
        </w:rPr>
      </w:pPr>
      <w:bookmarkStart w:id="47" w:name="chapter_level1_6_55_section_1"/>
      <w:bookmarkEnd w:id="47"/>
      <w:bookmarkStart w:id="48" w:name="field_0_trustcompanyinfo_1_start"/>
      <w:bookmarkEnd w:id="48"/>
      <w:r>
        <w:rPr>
          <w:rFonts w:hint="eastAsia"/>
          <w:sz w:val="21"/>
          <w:szCs w:val="21"/>
        </w:rPr>
        <w:t xml:space="preserve">一、基金托管人情况 </w:t>
      </w:r>
    </w:p>
    <w:p>
      <w:pPr>
        <w:pStyle w:val="7"/>
        <w:spacing w:before="0" w:beforeAutospacing="0" w:after="0" w:afterAutospacing="0" w:line="360" w:lineRule="auto"/>
        <w:ind w:firstLine="420"/>
        <w:rPr>
          <w:sz w:val="21"/>
          <w:szCs w:val="21"/>
        </w:rPr>
      </w:pPr>
      <w:r>
        <w:rPr>
          <w:rFonts w:hint="eastAsia"/>
          <w:sz w:val="21"/>
          <w:szCs w:val="21"/>
        </w:rPr>
        <w:t xml:space="preserve">（一）基本情况 </w:t>
      </w:r>
    </w:p>
    <w:p>
      <w:pPr>
        <w:pStyle w:val="7"/>
        <w:spacing w:before="0" w:beforeAutospacing="0" w:after="0" w:afterAutospacing="0" w:line="360" w:lineRule="auto"/>
        <w:ind w:firstLine="420"/>
        <w:rPr>
          <w:sz w:val="21"/>
          <w:szCs w:val="21"/>
        </w:rPr>
      </w:pPr>
      <w:r>
        <w:rPr>
          <w:rFonts w:hint="eastAsia"/>
          <w:sz w:val="21"/>
          <w:szCs w:val="21"/>
        </w:rPr>
        <w:t xml:space="preserve">名称：中国建设银行股份有限公司(简称：中国建设银行)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住所：北京市西城区金融大街25号 </w:t>
      </w:r>
    </w:p>
    <w:p>
      <w:pPr>
        <w:pStyle w:val="7"/>
        <w:spacing w:before="0" w:beforeAutospacing="0" w:after="0" w:afterAutospacing="0" w:line="360" w:lineRule="auto"/>
        <w:ind w:firstLine="420"/>
        <w:rPr>
          <w:sz w:val="21"/>
          <w:szCs w:val="21"/>
        </w:rPr>
      </w:pPr>
      <w:r>
        <w:rPr>
          <w:rFonts w:hint="eastAsia"/>
          <w:sz w:val="21"/>
          <w:szCs w:val="21"/>
        </w:rPr>
        <w:t xml:space="preserve">办公地址：北京市西城区闹市口大街1号院1号楼 </w:t>
      </w:r>
    </w:p>
    <w:p>
      <w:pPr>
        <w:pStyle w:val="7"/>
        <w:spacing w:before="0" w:beforeAutospacing="0" w:after="0" w:afterAutospacing="0" w:line="360" w:lineRule="auto"/>
        <w:ind w:firstLine="420"/>
        <w:rPr>
          <w:sz w:val="21"/>
          <w:szCs w:val="21"/>
        </w:rPr>
      </w:pPr>
      <w:r>
        <w:rPr>
          <w:rFonts w:hint="eastAsia"/>
          <w:sz w:val="21"/>
          <w:szCs w:val="21"/>
        </w:rPr>
        <w:t xml:space="preserve">法定代表人：田国立 </w:t>
      </w:r>
    </w:p>
    <w:p>
      <w:pPr>
        <w:pStyle w:val="7"/>
        <w:spacing w:before="0" w:beforeAutospacing="0" w:after="0" w:afterAutospacing="0" w:line="360" w:lineRule="auto"/>
        <w:ind w:firstLine="420"/>
        <w:rPr>
          <w:sz w:val="21"/>
          <w:szCs w:val="21"/>
        </w:rPr>
      </w:pPr>
      <w:r>
        <w:rPr>
          <w:rFonts w:hint="eastAsia"/>
          <w:sz w:val="21"/>
          <w:szCs w:val="21"/>
        </w:rPr>
        <w:t xml:space="preserve">成立时间：2004年09月17日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注册资本：贰仟伍佰亿壹仟零玖拾柒万柒仟肆佰捌拾陆元整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基金托管资格批文及文号：中国证监会证监基字[1998]12号 </w:t>
      </w:r>
    </w:p>
    <w:p>
      <w:pPr>
        <w:pStyle w:val="7"/>
        <w:spacing w:before="0" w:beforeAutospacing="0" w:after="0" w:afterAutospacing="0" w:line="360" w:lineRule="auto"/>
        <w:ind w:firstLine="420"/>
        <w:rPr>
          <w:sz w:val="21"/>
          <w:szCs w:val="21"/>
        </w:rPr>
      </w:pPr>
      <w:r>
        <w:rPr>
          <w:rFonts w:hint="eastAsia"/>
          <w:sz w:val="21"/>
          <w:szCs w:val="21"/>
        </w:rPr>
        <w:t xml:space="preserve">联系人：李申 </w:t>
      </w:r>
    </w:p>
    <w:p>
      <w:pPr>
        <w:pStyle w:val="7"/>
        <w:spacing w:before="0" w:beforeAutospacing="0" w:after="0" w:afterAutospacing="0" w:line="360" w:lineRule="auto"/>
        <w:ind w:firstLine="420"/>
        <w:rPr>
          <w:sz w:val="21"/>
          <w:szCs w:val="21"/>
        </w:rPr>
      </w:pPr>
      <w:r>
        <w:rPr>
          <w:rFonts w:hint="eastAsia"/>
          <w:sz w:val="21"/>
          <w:szCs w:val="21"/>
        </w:rPr>
        <w:t xml:space="preserve">联系电话：(021)6063 7102 </w:t>
      </w:r>
    </w:p>
    <w:p>
      <w:pPr>
        <w:pStyle w:val="7"/>
        <w:spacing w:before="0" w:beforeAutospacing="0" w:after="0" w:afterAutospacing="0" w:line="360" w:lineRule="auto"/>
        <w:ind w:firstLine="420"/>
        <w:rPr>
          <w:sz w:val="21"/>
          <w:szCs w:val="21"/>
        </w:rPr>
      </w:pPr>
      <w:r>
        <w:rPr>
          <w:rFonts w:hint="eastAsia"/>
          <w:sz w:val="21"/>
          <w:szCs w:val="21"/>
        </w:rPr>
        <w:t xml:space="preserve">（二）主要人员情况 </w:t>
      </w:r>
    </w:p>
    <w:p>
      <w:pPr>
        <w:pStyle w:val="7"/>
        <w:spacing w:before="0" w:beforeAutospacing="0" w:after="0" w:afterAutospacing="0" w:line="360" w:lineRule="auto"/>
        <w:ind w:firstLine="420"/>
        <w:rPr>
          <w:sz w:val="21"/>
          <w:szCs w:val="21"/>
        </w:rPr>
      </w:pPr>
      <w:r>
        <w:rPr>
          <w:rFonts w:hint="eastAsia"/>
          <w:sz w:val="21"/>
          <w:szCs w:val="21"/>
        </w:rPr>
        <w:t xml:space="preserve">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 </w:t>
      </w:r>
    </w:p>
    <w:p>
      <w:pPr>
        <w:pStyle w:val="7"/>
        <w:spacing w:before="0" w:beforeAutospacing="0" w:after="0" w:afterAutospacing="0" w:line="360" w:lineRule="auto"/>
        <w:ind w:firstLine="420"/>
        <w:rPr>
          <w:sz w:val="21"/>
          <w:szCs w:val="21"/>
        </w:rPr>
      </w:pPr>
      <w:r>
        <w:rPr>
          <w:rFonts w:hint="eastAsia"/>
          <w:sz w:val="21"/>
          <w:szCs w:val="21"/>
        </w:rPr>
        <w:t xml:space="preserve">（三）基金托管业务经营情况 </w:t>
      </w:r>
    </w:p>
    <w:p>
      <w:pPr>
        <w:pStyle w:val="7"/>
        <w:spacing w:before="0" w:beforeAutospacing="0" w:after="0" w:afterAutospacing="0" w:line="360" w:lineRule="auto"/>
        <w:ind w:firstLine="420"/>
        <w:rPr>
          <w:sz w:val="21"/>
          <w:szCs w:val="21"/>
        </w:rPr>
      </w:pPr>
      <w:r>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2022年1季度末，中国建设银行已托管1203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2020、2021年分别荣获《亚洲银行家》颁发的“最佳托管系统实施奖”、“中国年度托管业务科技实施奖”、“中国年度托管</w:t>
      </w:r>
      <w:bookmarkStart w:id="49" w:name="chapter_level1_6_55_section_1_end"/>
      <w:bookmarkEnd w:id="49"/>
      <w:r>
        <w:rPr>
          <w:rFonts w:hint="eastAsia"/>
          <w:sz w:val="21"/>
          <w:szCs w:val="21"/>
        </w:rPr>
        <w:t>银行（大型银行）”以及“中国最佳数字化资产托管银行”奖项。 </w:t>
      </w:r>
      <w:bookmarkStart w:id="50" w:name="field_0_trustcompanyinfo_1_end"/>
      <w:bookmarkEnd w:id="50"/>
      <w:r>
        <w:rPr>
          <w:rFonts w:hint="eastAsia"/>
          <w:sz w:val="21"/>
          <w:szCs w:val="21"/>
        </w:rPr>
        <w:t xml:space="preserve">  </w:t>
      </w:r>
    </w:p>
    <w:p>
      <w:pPr>
        <w:pStyle w:val="7"/>
        <w:spacing w:before="0" w:beforeAutospacing="0" w:after="0" w:afterAutospacing="0" w:line="360" w:lineRule="auto"/>
        <w:ind w:firstLine="420"/>
        <w:rPr>
          <w:sz w:val="21"/>
          <w:szCs w:val="21"/>
        </w:rPr>
      </w:pPr>
      <w:bookmarkStart w:id="51" w:name="field_0_trustcontrollawinfo_1_start"/>
      <w:bookmarkEnd w:id="51"/>
      <w:bookmarkStart w:id="52" w:name="chapter_level1_6_55_section_2"/>
      <w:bookmarkEnd w:id="52"/>
      <w:r>
        <w:rPr>
          <w:rFonts w:hint="eastAsia"/>
          <w:sz w:val="21"/>
          <w:szCs w:val="21"/>
        </w:rPr>
        <w:t xml:space="preserve">二、基金托管人的内部控制制度 </w:t>
      </w:r>
    </w:p>
    <w:p>
      <w:pPr>
        <w:pStyle w:val="7"/>
        <w:spacing w:before="0" w:beforeAutospacing="0" w:after="0" w:afterAutospacing="0" w:line="360" w:lineRule="auto"/>
        <w:ind w:firstLine="420"/>
        <w:rPr>
          <w:sz w:val="21"/>
          <w:szCs w:val="21"/>
        </w:rPr>
      </w:pPr>
      <w:r>
        <w:rPr>
          <w:rFonts w:hint="eastAsia"/>
          <w:sz w:val="21"/>
          <w:szCs w:val="21"/>
        </w:rPr>
        <w:t xml:space="preserve">（一）内部控制目标 </w:t>
      </w:r>
    </w:p>
    <w:p>
      <w:pPr>
        <w:pStyle w:val="7"/>
        <w:spacing w:before="0" w:beforeAutospacing="0" w:after="0" w:afterAutospacing="0" w:line="360" w:lineRule="auto"/>
        <w:ind w:firstLine="420"/>
        <w:rPr>
          <w:sz w:val="21"/>
          <w:szCs w:val="21"/>
        </w:rPr>
      </w:pPr>
      <w:r>
        <w:rPr>
          <w:rFonts w:hint="eastAsia"/>
          <w:sz w:val="21"/>
          <w:szCs w:val="21"/>
        </w:rPr>
        <w:t xml:space="preserve">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（二）内部控制组织结构 </w:t>
      </w:r>
    </w:p>
    <w:p>
      <w:pPr>
        <w:pStyle w:val="7"/>
        <w:spacing w:before="0" w:beforeAutospacing="0" w:after="0" w:afterAutospacing="0" w:line="360" w:lineRule="auto"/>
        <w:ind w:firstLine="420"/>
        <w:rPr>
          <w:sz w:val="21"/>
          <w:szCs w:val="21"/>
        </w:rPr>
      </w:pPr>
      <w:r>
        <w:rPr>
          <w:rFonts w:hint="eastAsia"/>
          <w:sz w:val="21"/>
          <w:szCs w:val="21"/>
        </w:rPr>
        <w:t xml:space="preserve">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 </w:t>
      </w:r>
    </w:p>
    <w:p>
      <w:pPr>
        <w:pStyle w:val="7"/>
        <w:spacing w:before="0" w:beforeAutospacing="0" w:after="0" w:afterAutospacing="0" w:line="360" w:lineRule="auto"/>
        <w:ind w:firstLine="420"/>
        <w:rPr>
          <w:sz w:val="21"/>
          <w:szCs w:val="21"/>
        </w:rPr>
      </w:pPr>
      <w:r>
        <w:rPr>
          <w:rFonts w:hint="eastAsia"/>
          <w:sz w:val="21"/>
          <w:szCs w:val="21"/>
        </w:rPr>
        <w:t xml:space="preserve">（三）内部控制制度及措施 </w:t>
      </w:r>
    </w:p>
    <w:p>
      <w:pPr>
        <w:pStyle w:val="7"/>
        <w:spacing w:before="0" w:beforeAutospacing="0" w:after="0" w:afterAutospacing="0" w:line="360" w:lineRule="auto"/>
        <w:ind w:firstLine="420"/>
        <w:rPr>
          <w:sz w:val="21"/>
          <w:szCs w:val="21"/>
        </w:rPr>
      </w:pPr>
      <w:r>
        <w:rPr>
          <w:rFonts w:hint="eastAsia"/>
          <w:sz w:val="21"/>
          <w:szCs w:val="21"/>
        </w:rPr>
        <w:t xml:space="preserve">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pPr>
        <w:pStyle w:val="7"/>
        <w:spacing w:before="0" w:beforeAutospacing="0" w:after="0" w:afterAutospacing="0" w:line="360" w:lineRule="auto"/>
        <w:ind w:firstLine="420"/>
        <w:rPr>
          <w:sz w:val="21"/>
          <w:szCs w:val="21"/>
        </w:rPr>
      </w:pPr>
      <w:r>
        <w:rPr>
          <w:rFonts w:hint="eastAsia"/>
          <w:sz w:val="21"/>
          <w:szCs w:val="21"/>
        </w:rPr>
        <w:t xml:space="preserve">三、基金托管人对基金管理人运作基金进行监督的方法和程序 </w:t>
      </w:r>
    </w:p>
    <w:p>
      <w:pPr>
        <w:pStyle w:val="7"/>
        <w:spacing w:before="0" w:beforeAutospacing="0" w:after="0" w:afterAutospacing="0" w:line="360" w:lineRule="auto"/>
        <w:ind w:firstLine="420"/>
        <w:rPr>
          <w:sz w:val="21"/>
          <w:szCs w:val="21"/>
        </w:rPr>
      </w:pPr>
      <w:r>
        <w:rPr>
          <w:rFonts w:hint="eastAsia"/>
          <w:sz w:val="21"/>
          <w:szCs w:val="21"/>
        </w:rPr>
        <w:t xml:space="preserve">（一）监督方法 </w:t>
      </w:r>
    </w:p>
    <w:p>
      <w:pPr>
        <w:pStyle w:val="7"/>
        <w:spacing w:before="0" w:beforeAutospacing="0" w:after="0" w:afterAutospacing="0" w:line="360" w:lineRule="auto"/>
        <w:ind w:firstLine="420"/>
        <w:rPr>
          <w:sz w:val="21"/>
          <w:szCs w:val="21"/>
        </w:rPr>
      </w:pPr>
      <w:r>
        <w:rPr>
          <w:rFonts w:hint="eastAsia"/>
          <w:sz w:val="21"/>
          <w:szCs w:val="21"/>
        </w:rPr>
        <w:t xml:space="preserve">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 </w:t>
      </w:r>
    </w:p>
    <w:p>
      <w:pPr>
        <w:pStyle w:val="7"/>
        <w:spacing w:before="0" w:beforeAutospacing="0" w:after="0" w:afterAutospacing="0" w:line="360" w:lineRule="auto"/>
        <w:ind w:firstLine="420"/>
        <w:rPr>
          <w:sz w:val="21"/>
          <w:szCs w:val="21"/>
        </w:rPr>
      </w:pPr>
      <w:r>
        <w:rPr>
          <w:rFonts w:hint="eastAsia"/>
          <w:sz w:val="21"/>
          <w:szCs w:val="21"/>
        </w:rPr>
        <w:t xml:space="preserve">（二）监督流程 </w:t>
      </w:r>
    </w:p>
    <w:p>
      <w:pPr>
        <w:pStyle w:val="7"/>
        <w:spacing w:before="0" w:beforeAutospacing="0" w:after="0" w:afterAutospacing="0" w:line="360" w:lineRule="auto"/>
        <w:ind w:firstLine="420"/>
        <w:rPr>
          <w:sz w:val="21"/>
          <w:szCs w:val="21"/>
        </w:rPr>
      </w:pPr>
      <w:r>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pPr>
        <w:pStyle w:val="7"/>
        <w:spacing w:before="0" w:beforeAutospacing="0" w:after="0" w:afterAutospacing="0" w:line="360" w:lineRule="auto"/>
        <w:ind w:firstLine="420"/>
        <w:rPr>
          <w:sz w:val="21"/>
          <w:szCs w:val="21"/>
        </w:rPr>
      </w:pPr>
      <w:r>
        <w:rPr>
          <w:rFonts w:hint="eastAsia"/>
          <w:sz w:val="21"/>
          <w:szCs w:val="21"/>
        </w:rPr>
        <w:t xml:space="preserve">2.收到基金管理人的划款指令后，对指令要素等内容进行核查。 </w:t>
      </w:r>
    </w:p>
    <w:p>
      <w:pPr>
        <w:pStyle w:val="7"/>
        <w:spacing w:before="0" w:beforeAutospacing="0" w:after="0" w:afterAutospacing="0" w:line="360" w:lineRule="auto"/>
        <w:ind w:firstLine="420"/>
        <w:rPr>
          <w:sz w:val="21"/>
          <w:szCs w:val="21"/>
        </w:rPr>
      </w:pPr>
      <w:r>
        <w:rPr>
          <w:rFonts w:hint="eastAsia"/>
          <w:sz w:val="21"/>
          <w:szCs w:val="21"/>
        </w:rPr>
        <w:t>3.通过技术或非技术手段发现基金涉嫌违规交易，电话或书面要求基金管理人进行解释</w:t>
      </w:r>
      <w:bookmarkStart w:id="53" w:name="chapter_level1_6_55_section_2_end"/>
      <w:bookmarkEnd w:id="53"/>
      <w:r>
        <w:rPr>
          <w:rFonts w:hint="eastAsia"/>
          <w:sz w:val="21"/>
          <w:szCs w:val="21"/>
        </w:rPr>
        <w:t>或举证，如有必要将及时报告中国证监会。 </w:t>
      </w:r>
      <w:bookmarkStart w:id="54" w:name="field_0_trustcontrollawinfo_1_end"/>
      <w:bookmarkEnd w:id="54"/>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5" w:name="_Toc113295494"/>
      <w:bookmarkStart w:id="56" w:name="chapter_level1_7_56"/>
      <w:r>
        <w:rPr>
          <w:rFonts w:hint="eastAsia" w:ascii="宋体" w:hAnsi="宋体" w:eastAsia="宋体"/>
          <w:sz w:val="30"/>
        </w:rPr>
        <w:t>第五部分  相关服务机构</w:t>
      </w:r>
      <w:bookmarkEnd w:id="55"/>
      <w:bookmarkEnd w:id="56"/>
    </w:p>
    <w:p>
      <w:pPr>
        <w:pStyle w:val="7"/>
        <w:spacing w:before="0" w:beforeAutospacing="0" w:after="0" w:afterAutospacing="0" w:line="360" w:lineRule="auto"/>
        <w:ind w:firstLine="420"/>
        <w:rPr>
          <w:sz w:val="21"/>
          <w:szCs w:val="21"/>
        </w:rPr>
      </w:pPr>
      <w:bookmarkStart w:id="57" w:name="chapter_level1_7_56_section_1"/>
      <w:bookmarkEnd w:id="57"/>
      <w:r>
        <w:rPr>
          <w:rFonts w:hint="eastAsia"/>
          <w:b/>
          <w:bCs/>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58" w:name="field_0_marketcompanyinfo_1_start"/>
      <w:bookmarkEnd w:id="58"/>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59" w:name="chapter_level1_7_56_section_1_end"/>
      <w:bookmarkEnd w:id="59"/>
      <w:r>
        <w:rPr>
          <w:rFonts w:hint="eastAsia"/>
          <w:sz w:val="21"/>
          <w:szCs w:val="21"/>
        </w:rPr>
        <w:t xml:space="preserve">博时一线通：95105568（免长途话费） </w:t>
      </w:r>
      <w:bookmarkStart w:id="60" w:name="field_0_marketcompanyinfo_1_end"/>
      <w:bookmarkEnd w:id="60"/>
      <w:r>
        <w:rPr>
          <w:rFonts w:hint="eastAsia"/>
          <w:sz w:val="21"/>
          <w:szCs w:val="21"/>
        </w:rPr>
        <w:t xml:space="preserve">  </w:t>
      </w:r>
    </w:p>
    <w:p>
      <w:pPr>
        <w:pStyle w:val="7"/>
        <w:spacing w:before="0" w:beforeAutospacing="0" w:after="0" w:afterAutospacing="0" w:line="360" w:lineRule="auto"/>
        <w:ind w:firstLine="420"/>
        <w:rPr>
          <w:sz w:val="21"/>
          <w:szCs w:val="21"/>
        </w:rPr>
      </w:pPr>
      <w:bookmarkStart w:id="61" w:name="chapter_level1_7_56_section_2"/>
      <w:bookmarkEnd w:id="61"/>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62" w:name="field_0_allproxysaletables_1_start"/>
      <w:bookmarkEnd w:id="62"/>
      <w:r>
        <w:rPr>
          <w:rFonts w:hint="eastAsia"/>
          <w:b/>
          <w:bCs/>
          <w:sz w:val="21"/>
          <w:szCs w:val="21"/>
        </w:rPr>
        <w:t>(1)中国工商银行股份有限公司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陈四清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010－66107914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http://www.icbc.com.cn/ </w:t>
            </w:r>
          </w:p>
        </w:tc>
      </w:tr>
    </w:tbl>
    <w:p>
      <w:pPr>
        <w:pStyle w:val="7"/>
        <w:spacing w:before="0" w:beforeAutospacing="0" w:after="0" w:afterAutospacing="0" w:line="360" w:lineRule="auto"/>
        <w:ind w:firstLine="420"/>
        <w:rPr>
          <w:sz w:val="21"/>
          <w:szCs w:val="21"/>
        </w:rPr>
      </w:pPr>
      <w:r>
        <w:rPr>
          <w:rFonts w:hint="eastAsia"/>
          <w:b/>
          <w:bCs/>
          <w:sz w:val="21"/>
          <w:szCs w:val="21"/>
        </w:rPr>
        <w:t>(2)中国农业银行股份有限公司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周慕冰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http://www.abchina.com </w:t>
            </w:r>
          </w:p>
        </w:tc>
      </w:tr>
    </w:tbl>
    <w:p>
      <w:pPr>
        <w:pStyle w:val="7"/>
        <w:spacing w:before="0" w:beforeAutospacing="0" w:after="0" w:afterAutospacing="0" w:line="360" w:lineRule="auto"/>
        <w:ind w:firstLine="420"/>
        <w:rPr>
          <w:sz w:val="21"/>
          <w:szCs w:val="21"/>
        </w:rPr>
      </w:pPr>
      <w:r>
        <w:rPr>
          <w:rFonts w:hint="eastAsia"/>
          <w:b/>
          <w:bCs/>
          <w:sz w:val="21"/>
          <w:szCs w:val="21"/>
        </w:rPr>
        <w:t>(3)中国银行股份有限公司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刘连舸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http://www.boc.cn/ </w:t>
            </w:r>
          </w:p>
        </w:tc>
      </w:tr>
    </w:tbl>
    <w:p>
      <w:pPr>
        <w:pStyle w:val="7"/>
        <w:spacing w:before="0" w:beforeAutospacing="0" w:after="0" w:afterAutospacing="0" w:line="360" w:lineRule="auto"/>
        <w:ind w:firstLine="420"/>
        <w:rPr>
          <w:sz w:val="21"/>
          <w:szCs w:val="21"/>
        </w:rPr>
      </w:pPr>
      <w:r>
        <w:rPr>
          <w:rFonts w:hint="eastAsia"/>
          <w:b/>
          <w:bCs/>
          <w:sz w:val="21"/>
          <w:szCs w:val="21"/>
        </w:rPr>
        <w:t>(4)中国建设银行股份有限公司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北京市西城区闹市口大街1号院1号楼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田国立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010－66275654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http://www.ccb.com/ </w:t>
            </w:r>
          </w:p>
        </w:tc>
      </w:tr>
    </w:tbl>
    <w:p>
      <w:pPr>
        <w:pStyle w:val="7"/>
        <w:spacing w:before="0" w:beforeAutospacing="0" w:after="0" w:afterAutospacing="0" w:line="360" w:lineRule="auto"/>
        <w:ind w:firstLine="420"/>
        <w:rPr>
          <w:sz w:val="21"/>
          <w:szCs w:val="21"/>
        </w:rPr>
      </w:pPr>
      <w:r>
        <w:rPr>
          <w:rFonts w:hint="eastAsia"/>
          <w:b/>
          <w:bCs/>
          <w:sz w:val="21"/>
          <w:szCs w:val="21"/>
        </w:rPr>
        <w:t>(5)交通银行股份有限公司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(6)招商银行股份有限公司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(7)中信银行股份有限公司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http://bank.ecitic.com/ </w:t>
            </w:r>
          </w:p>
        </w:tc>
      </w:tr>
    </w:tbl>
    <w:p>
      <w:pPr>
        <w:pStyle w:val="7"/>
        <w:spacing w:before="0" w:beforeAutospacing="0" w:after="0" w:afterAutospacing="0" w:line="360" w:lineRule="auto"/>
        <w:ind w:firstLine="420"/>
        <w:rPr>
          <w:sz w:val="21"/>
          <w:szCs w:val="21"/>
        </w:rPr>
      </w:pPr>
      <w:r>
        <w:rPr>
          <w:rFonts w:hint="eastAsia"/>
          <w:b/>
          <w:bCs/>
          <w:sz w:val="21"/>
          <w:szCs w:val="21"/>
        </w:rPr>
        <w:t>(8)上海浦东发展银行股份有限公司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(9)中国光大银行股份有限公司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北京市西城区太平桥大街25号、甲25号中国光大中心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北京市西城区太平桥大街25号光大中心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010－63636153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010－63636157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http://www.cebbank.com </w:t>
            </w:r>
          </w:p>
        </w:tc>
      </w:tr>
    </w:tbl>
    <w:p>
      <w:pPr>
        <w:pStyle w:val="7"/>
        <w:spacing w:before="0" w:beforeAutospacing="0" w:after="0" w:afterAutospacing="0" w:line="360" w:lineRule="auto"/>
        <w:ind w:firstLine="420"/>
        <w:rPr>
          <w:sz w:val="21"/>
          <w:szCs w:val="21"/>
        </w:rPr>
      </w:pPr>
      <w:r>
        <w:rPr>
          <w:rFonts w:hint="eastAsia"/>
          <w:b/>
          <w:bCs/>
          <w:sz w:val="21"/>
          <w:szCs w:val="21"/>
        </w:rPr>
        <w:t>(10)中国民生银行股份有限公司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王继伟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010－58560666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010－57092611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http://www.cmbc.com.cn/ </w:t>
            </w:r>
          </w:p>
        </w:tc>
      </w:tr>
    </w:tbl>
    <w:p>
      <w:pPr>
        <w:pStyle w:val="7"/>
        <w:spacing w:before="0" w:beforeAutospacing="0" w:after="0" w:afterAutospacing="0" w:line="360" w:lineRule="auto"/>
        <w:ind w:firstLine="420"/>
        <w:rPr>
          <w:sz w:val="21"/>
          <w:szCs w:val="21"/>
        </w:rPr>
      </w:pPr>
      <w:r>
        <w:rPr>
          <w:rFonts w:hint="eastAsia"/>
          <w:b/>
          <w:bCs/>
          <w:sz w:val="21"/>
          <w:szCs w:val="21"/>
        </w:rPr>
        <w:t>(11)北京银行股份有限公司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北京市西城区金融大街甲17号首层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北京市西城区金融大街丙17号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张东宁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010－66226045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http://www.bankofbeijing.com.cn/ </w:t>
            </w:r>
          </w:p>
        </w:tc>
      </w:tr>
    </w:tbl>
    <w:p>
      <w:pPr>
        <w:pStyle w:val="7"/>
        <w:spacing w:before="0" w:beforeAutospacing="0" w:after="0" w:afterAutospacing="0" w:line="360" w:lineRule="auto"/>
        <w:ind w:firstLine="420"/>
        <w:rPr>
          <w:sz w:val="21"/>
          <w:szCs w:val="21"/>
        </w:rPr>
      </w:pPr>
      <w:r>
        <w:rPr>
          <w:rFonts w:hint="eastAsia"/>
          <w:b/>
          <w:bCs/>
          <w:sz w:val="21"/>
          <w:szCs w:val="21"/>
        </w:rPr>
        <w:t>(12)华夏银行股份有限公司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李民吉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010－85238667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010－85238680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http://www.hxb.com.cn/ </w:t>
            </w:r>
          </w:p>
        </w:tc>
      </w:tr>
    </w:tbl>
    <w:p>
      <w:pPr>
        <w:pStyle w:val="7"/>
        <w:spacing w:before="0" w:beforeAutospacing="0" w:after="0" w:afterAutospacing="0" w:line="360" w:lineRule="auto"/>
        <w:ind w:firstLine="420"/>
        <w:rPr>
          <w:sz w:val="21"/>
          <w:szCs w:val="21"/>
        </w:rPr>
      </w:pPr>
      <w:r>
        <w:rPr>
          <w:rFonts w:hint="eastAsia"/>
          <w:b/>
          <w:bCs/>
          <w:sz w:val="21"/>
          <w:szCs w:val="21"/>
        </w:rPr>
        <w:t>(13)广发银行股份有限公司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(14)平安银行股份有限公司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(15)宁波银行股份有限公司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(16)上海农村商业银行股份有限公司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http://www.srcb.com/ </w:t>
            </w:r>
          </w:p>
        </w:tc>
      </w:tr>
    </w:tbl>
    <w:p>
      <w:pPr>
        <w:pStyle w:val="7"/>
        <w:spacing w:before="0" w:beforeAutospacing="0" w:after="0" w:afterAutospacing="0" w:line="360" w:lineRule="auto"/>
        <w:ind w:firstLine="420"/>
        <w:rPr>
          <w:sz w:val="21"/>
          <w:szCs w:val="21"/>
        </w:rPr>
      </w:pPr>
      <w:r>
        <w:rPr>
          <w:rFonts w:hint="eastAsia"/>
          <w:b/>
          <w:bCs/>
          <w:sz w:val="21"/>
          <w:szCs w:val="21"/>
        </w:rPr>
        <w:t>(17)北京农村商业银行股份有限公司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http://www.bjrcb.com </w:t>
            </w:r>
          </w:p>
        </w:tc>
      </w:tr>
    </w:tbl>
    <w:p>
      <w:pPr>
        <w:pStyle w:val="7"/>
        <w:spacing w:before="0" w:beforeAutospacing="0" w:after="0" w:afterAutospacing="0" w:line="360" w:lineRule="auto"/>
        <w:ind w:firstLine="420"/>
        <w:rPr>
          <w:sz w:val="21"/>
          <w:szCs w:val="21"/>
        </w:rPr>
      </w:pPr>
      <w:r>
        <w:rPr>
          <w:rFonts w:hint="eastAsia"/>
          <w:b/>
          <w:bCs/>
          <w:sz w:val="21"/>
          <w:szCs w:val="21"/>
        </w:rPr>
        <w:t>(18)徽商银行股份有限公司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合肥市安庆路79号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合肥市安庆路79号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王晓昕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叶卓伟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0551-2667635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0551-2667857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4008896588(安徽省外)、96588(安徽省内)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http://www.hsbank.com.cn </w:t>
            </w:r>
          </w:p>
        </w:tc>
      </w:tr>
    </w:tbl>
    <w:p>
      <w:pPr>
        <w:pStyle w:val="7"/>
        <w:spacing w:before="0" w:beforeAutospacing="0" w:after="0" w:afterAutospacing="0" w:line="360" w:lineRule="auto"/>
        <w:ind w:firstLine="420"/>
        <w:rPr>
          <w:sz w:val="21"/>
          <w:szCs w:val="21"/>
        </w:rPr>
      </w:pPr>
      <w:r>
        <w:rPr>
          <w:rFonts w:hint="eastAsia"/>
          <w:b/>
          <w:bCs/>
          <w:sz w:val="21"/>
          <w:szCs w:val="21"/>
        </w:rPr>
        <w:t>(19)浙商银行股份有限公司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张达洋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毛真海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0571-87659546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0571-87659188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http://www.czbank.com </w:t>
            </w:r>
          </w:p>
        </w:tc>
      </w:tr>
    </w:tbl>
    <w:p>
      <w:pPr>
        <w:pStyle w:val="7"/>
        <w:spacing w:before="0" w:beforeAutospacing="0" w:after="0" w:afterAutospacing="0" w:line="360" w:lineRule="auto"/>
        <w:ind w:firstLine="420"/>
        <w:rPr>
          <w:sz w:val="21"/>
          <w:szCs w:val="21"/>
        </w:rPr>
      </w:pPr>
      <w:r>
        <w:rPr>
          <w:rFonts w:hint="eastAsia"/>
          <w:b/>
          <w:bCs/>
          <w:sz w:val="21"/>
          <w:szCs w:val="21"/>
        </w:rPr>
        <w:t>(20)东莞银行股份有限公司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卢国锋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吴照群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0769－22117730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4001196228;0769-96228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http://www.dongguanbank.cn </w:t>
            </w:r>
          </w:p>
        </w:tc>
      </w:tr>
    </w:tbl>
    <w:p>
      <w:pPr>
        <w:pStyle w:val="7"/>
        <w:spacing w:before="0" w:beforeAutospacing="0" w:after="0" w:afterAutospacing="0" w:line="360" w:lineRule="auto"/>
        <w:ind w:firstLine="420"/>
        <w:rPr>
          <w:sz w:val="21"/>
          <w:szCs w:val="21"/>
        </w:rPr>
      </w:pPr>
      <w:r>
        <w:rPr>
          <w:rFonts w:hint="eastAsia"/>
          <w:b/>
          <w:bCs/>
          <w:sz w:val="21"/>
          <w:szCs w:val="21"/>
        </w:rPr>
        <w:t>(21)杭州银行股份有限公司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陈震山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0571－85108195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0571－85106576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http://www.hzbank.com.cn </w:t>
            </w:r>
          </w:p>
        </w:tc>
      </w:tr>
    </w:tbl>
    <w:p>
      <w:pPr>
        <w:pStyle w:val="7"/>
        <w:spacing w:before="0" w:beforeAutospacing="0" w:after="0" w:afterAutospacing="0" w:line="360" w:lineRule="auto"/>
        <w:ind w:firstLine="420"/>
        <w:rPr>
          <w:sz w:val="21"/>
          <w:szCs w:val="21"/>
        </w:rPr>
      </w:pPr>
      <w:r>
        <w:rPr>
          <w:rFonts w:hint="eastAsia"/>
          <w:b/>
          <w:bCs/>
          <w:sz w:val="21"/>
          <w:szCs w:val="21"/>
        </w:rPr>
        <w:t>(22)南京银行股份有限公司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http://www.njcb.com.cn </w:t>
            </w:r>
          </w:p>
        </w:tc>
      </w:tr>
    </w:tbl>
    <w:p>
      <w:pPr>
        <w:pStyle w:val="7"/>
        <w:spacing w:before="0" w:beforeAutospacing="0" w:after="0" w:afterAutospacing="0" w:line="360" w:lineRule="auto"/>
        <w:ind w:firstLine="420"/>
        <w:rPr>
          <w:sz w:val="21"/>
          <w:szCs w:val="21"/>
        </w:rPr>
      </w:pPr>
      <w:r>
        <w:rPr>
          <w:rFonts w:hint="eastAsia"/>
          <w:b/>
          <w:bCs/>
          <w:sz w:val="21"/>
          <w:szCs w:val="21"/>
        </w:rPr>
        <w:t>(23)温州银行股份有限公司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温州市车站大道196号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温州市车站大道196号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邢增福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林波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0577-88990082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0577-88995217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（0577）96699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http://www.wzbank.cn </w:t>
            </w:r>
          </w:p>
        </w:tc>
      </w:tr>
    </w:tbl>
    <w:p>
      <w:pPr>
        <w:pStyle w:val="7"/>
        <w:spacing w:before="0" w:beforeAutospacing="0" w:after="0" w:afterAutospacing="0" w:line="360" w:lineRule="auto"/>
        <w:ind w:firstLine="420"/>
        <w:rPr>
          <w:sz w:val="21"/>
          <w:szCs w:val="21"/>
        </w:rPr>
      </w:pPr>
      <w:r>
        <w:rPr>
          <w:rFonts w:hint="eastAsia"/>
          <w:b/>
          <w:bCs/>
          <w:sz w:val="21"/>
          <w:szCs w:val="21"/>
        </w:rPr>
        <w:t>(24)汉口银行股份有限公司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武汉市江汉区建设大道933号汉口银行大厦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武汉市江汉区建设大道933号汉口银行大厦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陈新民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027-82656704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027-82656236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027-96558（武汉）;4006096558（全国）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http://www.hkbchina.com </w:t>
            </w:r>
          </w:p>
        </w:tc>
      </w:tr>
    </w:tbl>
    <w:p>
      <w:pPr>
        <w:pStyle w:val="7"/>
        <w:spacing w:before="0" w:beforeAutospacing="0" w:after="0" w:afterAutospacing="0" w:line="360" w:lineRule="auto"/>
        <w:ind w:firstLine="420"/>
        <w:rPr>
          <w:sz w:val="21"/>
          <w:szCs w:val="21"/>
        </w:rPr>
      </w:pPr>
      <w:r>
        <w:rPr>
          <w:rFonts w:hint="eastAsia"/>
          <w:b/>
          <w:bCs/>
          <w:sz w:val="21"/>
          <w:szCs w:val="21"/>
        </w:rPr>
        <w:t>(25)江苏银行股份有限公司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南京市洪武北路55号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南京市中华路26号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田春慧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025-58587018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025-58587038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http://www.jsbchina.cn </w:t>
            </w:r>
          </w:p>
        </w:tc>
      </w:tr>
    </w:tbl>
    <w:p>
      <w:pPr>
        <w:pStyle w:val="7"/>
        <w:spacing w:before="0" w:beforeAutospacing="0" w:after="0" w:afterAutospacing="0" w:line="360" w:lineRule="auto"/>
        <w:ind w:firstLine="420"/>
        <w:rPr>
          <w:sz w:val="21"/>
          <w:szCs w:val="21"/>
        </w:rPr>
      </w:pPr>
      <w:r>
        <w:rPr>
          <w:rFonts w:hint="eastAsia"/>
          <w:b/>
          <w:bCs/>
          <w:sz w:val="21"/>
          <w:szCs w:val="21"/>
        </w:rPr>
        <w:t>(26)渤海银行股份有限公司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(27)江苏张家港农村商业银行股份有限公司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张家港市杨舍镇人民中路66号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张家港市杨舍镇人民中路66号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王自忠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0512-58236370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0512-58236370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0512-96065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http://www.zrcbank.com </w:t>
            </w:r>
          </w:p>
        </w:tc>
      </w:tr>
    </w:tbl>
    <w:p>
      <w:pPr>
        <w:pStyle w:val="7"/>
        <w:spacing w:before="0" w:beforeAutospacing="0" w:after="0" w:afterAutospacing="0" w:line="360" w:lineRule="auto"/>
        <w:ind w:firstLine="420"/>
        <w:rPr>
          <w:sz w:val="21"/>
          <w:szCs w:val="21"/>
        </w:rPr>
      </w:pPr>
      <w:r>
        <w:rPr>
          <w:rFonts w:hint="eastAsia"/>
          <w:b/>
          <w:bCs/>
          <w:sz w:val="21"/>
          <w:szCs w:val="21"/>
        </w:rPr>
        <w:t>(28)深圳农村商业银行股份有限公司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常志勇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0755-25188781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0755-25188785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961200，4001961200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http://www.4001961200.com </w:t>
            </w:r>
          </w:p>
        </w:tc>
      </w:tr>
    </w:tbl>
    <w:p>
      <w:pPr>
        <w:pStyle w:val="7"/>
        <w:spacing w:before="0" w:beforeAutospacing="0" w:after="0" w:afterAutospacing="0" w:line="360" w:lineRule="auto"/>
        <w:ind w:firstLine="420"/>
        <w:rPr>
          <w:sz w:val="21"/>
          <w:szCs w:val="21"/>
        </w:rPr>
      </w:pPr>
      <w:r>
        <w:rPr>
          <w:rFonts w:hint="eastAsia"/>
          <w:b/>
          <w:bCs/>
          <w:sz w:val="21"/>
          <w:szCs w:val="21"/>
        </w:rPr>
        <w:t>(29)烟台银行股份有限公司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山东省烟台市芝罘区海港路25号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山东省烟台市芝罘区海港路25号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叶文君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王淑华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0535-6699660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0535-6699884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4008-311-777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http://www.yantaibank.net/ </w:t>
            </w:r>
          </w:p>
        </w:tc>
      </w:tr>
    </w:tbl>
    <w:p>
      <w:pPr>
        <w:pStyle w:val="7"/>
        <w:spacing w:before="0" w:beforeAutospacing="0" w:after="0" w:afterAutospacing="0" w:line="360" w:lineRule="auto"/>
        <w:ind w:firstLine="420"/>
        <w:rPr>
          <w:sz w:val="21"/>
          <w:szCs w:val="21"/>
        </w:rPr>
      </w:pPr>
      <w:r>
        <w:rPr>
          <w:rFonts w:hint="eastAsia"/>
          <w:b/>
          <w:bCs/>
          <w:sz w:val="21"/>
          <w:szCs w:val="21"/>
        </w:rPr>
        <w:t>(30)齐商银行股份有限公司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淄博市张店区中心路105号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淄博市张店区中心路105号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杲传勇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肖 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0533-2178888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0533-2180303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0533-96588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http://www.qsbank.cc </w:t>
            </w:r>
          </w:p>
        </w:tc>
      </w:tr>
    </w:tbl>
    <w:p>
      <w:pPr>
        <w:pStyle w:val="7"/>
        <w:spacing w:before="0" w:beforeAutospacing="0" w:after="0" w:afterAutospacing="0" w:line="360" w:lineRule="auto"/>
        <w:ind w:firstLine="420"/>
        <w:rPr>
          <w:sz w:val="21"/>
          <w:szCs w:val="21"/>
        </w:rPr>
      </w:pPr>
      <w:r>
        <w:rPr>
          <w:rFonts w:hint="eastAsia"/>
          <w:b/>
          <w:bCs/>
          <w:sz w:val="21"/>
          <w:szCs w:val="21"/>
        </w:rPr>
        <w:t>(31)大连银行股份有限公司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辽宁省大连市中山区中山路88号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大连市中山区中山路88号天安国际大厦43楼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陈占维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0411-82311131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4006640099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http://www.bankofdl.com </w:t>
            </w:r>
          </w:p>
        </w:tc>
      </w:tr>
    </w:tbl>
    <w:p>
      <w:pPr>
        <w:pStyle w:val="7"/>
        <w:spacing w:before="0" w:beforeAutospacing="0" w:after="0" w:afterAutospacing="0" w:line="360" w:lineRule="auto"/>
        <w:ind w:firstLine="420"/>
        <w:rPr>
          <w:sz w:val="21"/>
          <w:szCs w:val="21"/>
        </w:rPr>
      </w:pPr>
      <w:r>
        <w:rPr>
          <w:rFonts w:hint="eastAsia"/>
          <w:b/>
          <w:bCs/>
          <w:sz w:val="21"/>
          <w:szCs w:val="21"/>
        </w:rPr>
        <w:t>(32)浙江民泰商业银行股份有限公司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浙江省温岭市太平街道三星大道168号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浙江省杭州市江干区丹桂街8号汉嘉国际401室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江建法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沈斯诺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www.mintaibank.com </w:t>
            </w:r>
          </w:p>
        </w:tc>
      </w:tr>
    </w:tbl>
    <w:p>
      <w:pPr>
        <w:pStyle w:val="7"/>
        <w:spacing w:before="0" w:beforeAutospacing="0" w:after="0" w:afterAutospacing="0" w:line="360" w:lineRule="auto"/>
        <w:ind w:firstLine="420"/>
        <w:rPr>
          <w:sz w:val="21"/>
          <w:szCs w:val="21"/>
        </w:rPr>
      </w:pPr>
      <w:r>
        <w:rPr>
          <w:rFonts w:hint="eastAsia"/>
          <w:b/>
          <w:bCs/>
          <w:sz w:val="21"/>
          <w:szCs w:val="21"/>
        </w:rPr>
        <w:t>(33)重庆银行股份有限公司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甘为民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孔文超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023- 63792212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023- 63792412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96899（重庆）、400-70-96899（其他地区）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http://www.cqcbank.com </w:t>
            </w:r>
          </w:p>
        </w:tc>
      </w:tr>
    </w:tbl>
    <w:p>
      <w:pPr>
        <w:pStyle w:val="7"/>
        <w:spacing w:before="0" w:beforeAutospacing="0" w:after="0" w:afterAutospacing="0" w:line="360" w:lineRule="auto"/>
        <w:ind w:firstLine="420"/>
        <w:rPr>
          <w:sz w:val="21"/>
          <w:szCs w:val="21"/>
        </w:rPr>
      </w:pPr>
      <w:r>
        <w:rPr>
          <w:rFonts w:hint="eastAsia"/>
          <w:b/>
          <w:bCs/>
          <w:sz w:val="21"/>
          <w:szCs w:val="21"/>
        </w:rPr>
        <w:t>(34)浙江稠州商业银行股份有限公司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浙江省义乌市江滨路义乌乐园东侧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浙江省义乌市江滨路义乌乐园东侧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金子军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董晓岚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0571-87117617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0571-87117616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4008096527、（0571）96527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http://www.czcb.com.cn </w:t>
            </w:r>
          </w:p>
        </w:tc>
      </w:tr>
    </w:tbl>
    <w:p>
      <w:pPr>
        <w:pStyle w:val="7"/>
        <w:spacing w:before="0" w:beforeAutospacing="0" w:after="0" w:afterAutospacing="0" w:line="360" w:lineRule="auto"/>
        <w:ind w:firstLine="420"/>
        <w:rPr>
          <w:sz w:val="21"/>
          <w:szCs w:val="21"/>
        </w:rPr>
      </w:pPr>
      <w:r>
        <w:rPr>
          <w:rFonts w:hint="eastAsia"/>
          <w:b/>
          <w:bCs/>
          <w:sz w:val="21"/>
          <w:szCs w:val="21"/>
        </w:rPr>
        <w:t>(35)东莞农村商业银行股份有限公司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(36)河北银行股份有限公司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乔志强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王丽辉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0311-67806407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0311-88627027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http://www.hebbank.com </w:t>
            </w:r>
          </w:p>
        </w:tc>
      </w:tr>
    </w:tbl>
    <w:p>
      <w:pPr>
        <w:pStyle w:val="7"/>
        <w:spacing w:before="0" w:beforeAutospacing="0" w:after="0" w:afterAutospacing="0" w:line="360" w:lineRule="auto"/>
        <w:ind w:firstLine="420"/>
        <w:rPr>
          <w:sz w:val="21"/>
          <w:szCs w:val="21"/>
        </w:rPr>
      </w:pPr>
      <w:r>
        <w:rPr>
          <w:rFonts w:hint="eastAsia"/>
          <w:b/>
          <w:bCs/>
          <w:sz w:val="21"/>
          <w:szCs w:val="21"/>
        </w:rPr>
        <w:t>(37)嘉兴银行股份有限公司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(38)广州银行股份有限公司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黄子励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020-28302955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020-28302000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www.gzcb.com.cn </w:t>
            </w:r>
          </w:p>
        </w:tc>
      </w:tr>
    </w:tbl>
    <w:p>
      <w:pPr>
        <w:pStyle w:val="7"/>
        <w:spacing w:before="0" w:beforeAutospacing="0" w:after="0" w:afterAutospacing="0" w:line="360" w:lineRule="auto"/>
        <w:ind w:firstLine="420"/>
        <w:rPr>
          <w:sz w:val="21"/>
          <w:szCs w:val="21"/>
        </w:rPr>
      </w:pPr>
      <w:r>
        <w:rPr>
          <w:rFonts w:hint="eastAsia"/>
          <w:b/>
          <w:bCs/>
          <w:sz w:val="21"/>
          <w:szCs w:val="21"/>
        </w:rPr>
        <w:t>(39)江苏常熟农村商业银行股份有限公司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宋建明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0512-52909125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0512-52909122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400-996-2000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http://www.csrcbank.com </w:t>
            </w:r>
          </w:p>
        </w:tc>
      </w:tr>
    </w:tbl>
    <w:p>
      <w:pPr>
        <w:pStyle w:val="7"/>
        <w:spacing w:before="0" w:beforeAutospacing="0" w:after="0" w:afterAutospacing="0" w:line="360" w:lineRule="auto"/>
        <w:ind w:firstLine="420"/>
        <w:rPr>
          <w:sz w:val="21"/>
          <w:szCs w:val="21"/>
        </w:rPr>
      </w:pPr>
      <w:r>
        <w:rPr>
          <w:rFonts w:hint="eastAsia"/>
          <w:b/>
          <w:bCs/>
          <w:sz w:val="21"/>
          <w:szCs w:val="21"/>
        </w:rPr>
        <w:t>(40)广东顺德农村商业银行股份有限公司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姚真勇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胡健强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0757-22386489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0757-22388235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0757-2223388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www.sdebank.com </w:t>
            </w:r>
          </w:p>
        </w:tc>
      </w:tr>
    </w:tbl>
    <w:p>
      <w:pPr>
        <w:pStyle w:val="7"/>
        <w:spacing w:before="0" w:beforeAutospacing="0" w:after="0" w:afterAutospacing="0" w:line="360" w:lineRule="auto"/>
        <w:ind w:firstLine="420"/>
        <w:rPr>
          <w:sz w:val="21"/>
          <w:szCs w:val="21"/>
        </w:rPr>
      </w:pPr>
      <w:r>
        <w:rPr>
          <w:rFonts w:hint="eastAsia"/>
          <w:b/>
          <w:bCs/>
          <w:sz w:val="21"/>
          <w:szCs w:val="21"/>
        </w:rPr>
        <w:t>(41)江苏苏州农村商业银行股份有限公司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徐晓军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葛晓亮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www.szrcb.com </w:t>
            </w:r>
          </w:p>
        </w:tc>
      </w:tr>
    </w:tbl>
    <w:p>
      <w:pPr>
        <w:pStyle w:val="7"/>
        <w:spacing w:before="0" w:beforeAutospacing="0" w:after="0" w:afterAutospacing="0" w:line="360" w:lineRule="auto"/>
        <w:ind w:firstLine="420"/>
        <w:rPr>
          <w:sz w:val="21"/>
          <w:szCs w:val="21"/>
        </w:rPr>
      </w:pPr>
      <w:r>
        <w:rPr>
          <w:rFonts w:hint="eastAsia"/>
          <w:b/>
          <w:bCs/>
          <w:sz w:val="21"/>
          <w:szCs w:val="21"/>
        </w:rPr>
        <w:t>(42)金华银行股份有限公司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徐雅清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徐晓峰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0579-83207775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0579-82178321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400-711-6668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http://www.jhccb.com.cn </w:t>
            </w:r>
          </w:p>
        </w:tc>
      </w:tr>
    </w:tbl>
    <w:p>
      <w:pPr>
        <w:pStyle w:val="7"/>
        <w:spacing w:before="0" w:beforeAutospacing="0" w:after="0" w:afterAutospacing="0" w:line="360" w:lineRule="auto"/>
        <w:ind w:firstLine="420"/>
        <w:rPr>
          <w:sz w:val="21"/>
          <w:szCs w:val="21"/>
        </w:rPr>
      </w:pPr>
      <w:r>
        <w:rPr>
          <w:rFonts w:hint="eastAsia"/>
          <w:b/>
          <w:bCs/>
          <w:sz w:val="21"/>
          <w:szCs w:val="21"/>
        </w:rPr>
        <w:t>(43)江苏江南农村商业银行股份有限公司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常州市延陵中路668号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常州市和平中路413号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陆向阳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包静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0519-89995066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0519-89995170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0519-96005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http://www.jnbank.cc </w:t>
            </w:r>
          </w:p>
        </w:tc>
      </w:tr>
    </w:tbl>
    <w:p>
      <w:pPr>
        <w:pStyle w:val="7"/>
        <w:spacing w:before="0" w:beforeAutospacing="0" w:after="0" w:afterAutospacing="0" w:line="360" w:lineRule="auto"/>
        <w:ind w:firstLine="420"/>
        <w:rPr>
          <w:sz w:val="21"/>
          <w:szCs w:val="21"/>
        </w:rPr>
      </w:pPr>
      <w:r>
        <w:rPr>
          <w:rFonts w:hint="eastAsia"/>
          <w:b/>
          <w:bCs/>
          <w:sz w:val="21"/>
          <w:szCs w:val="21"/>
        </w:rPr>
        <w:t>(44)江苏江阴农村商业银行股份有限公司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江苏省江阴市澄江中路1号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江苏省江阴市澄江中路1号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李仁法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陆建生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0510-86823403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0510-86805815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0510-96078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http://www.jybank.com.cn/ </w:t>
            </w:r>
          </w:p>
        </w:tc>
      </w:tr>
    </w:tbl>
    <w:p>
      <w:pPr>
        <w:pStyle w:val="7"/>
        <w:spacing w:before="0" w:beforeAutospacing="0" w:after="0" w:afterAutospacing="0" w:line="360" w:lineRule="auto"/>
        <w:ind w:firstLine="420"/>
        <w:rPr>
          <w:sz w:val="21"/>
          <w:szCs w:val="21"/>
        </w:rPr>
      </w:pPr>
      <w:r>
        <w:rPr>
          <w:rFonts w:hint="eastAsia"/>
          <w:b/>
          <w:bCs/>
          <w:sz w:val="21"/>
          <w:szCs w:val="21"/>
        </w:rPr>
        <w:t>(45)吉林银行股份有限公司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唐国兴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http://www.jlbank.com.cn </w:t>
            </w:r>
          </w:p>
        </w:tc>
      </w:tr>
    </w:tbl>
    <w:p>
      <w:pPr>
        <w:pStyle w:val="7"/>
        <w:spacing w:before="0" w:beforeAutospacing="0" w:after="0" w:afterAutospacing="0" w:line="360" w:lineRule="auto"/>
        <w:ind w:firstLine="420"/>
        <w:rPr>
          <w:sz w:val="21"/>
          <w:szCs w:val="21"/>
        </w:rPr>
      </w:pPr>
      <w:r>
        <w:rPr>
          <w:rFonts w:hint="eastAsia"/>
          <w:b/>
          <w:bCs/>
          <w:sz w:val="21"/>
          <w:szCs w:val="21"/>
        </w:rPr>
        <w:t>(46)苏州银行股份有限公司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(47)杭州联合农村商业银行股份有限公司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0571-87923324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0571-87923314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www.urcb.com </w:t>
            </w:r>
          </w:p>
        </w:tc>
      </w:tr>
    </w:tbl>
    <w:p>
      <w:pPr>
        <w:pStyle w:val="7"/>
        <w:spacing w:before="0" w:beforeAutospacing="0" w:after="0" w:afterAutospacing="0" w:line="360" w:lineRule="auto"/>
        <w:ind w:firstLine="420"/>
        <w:rPr>
          <w:sz w:val="21"/>
          <w:szCs w:val="21"/>
        </w:rPr>
      </w:pPr>
      <w:r>
        <w:rPr>
          <w:rFonts w:hint="eastAsia"/>
          <w:b/>
          <w:bCs/>
          <w:sz w:val="21"/>
          <w:szCs w:val="21"/>
        </w:rPr>
        <w:t>(48)威海市商业银行股份有限公司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威海市宝泉路9号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济南市经十路奥体金融中心d栋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谭先国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武芳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0531-68978175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0531-68978176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省内96636、境内4000096636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http://www.whccb.com/ </w:t>
            </w:r>
          </w:p>
        </w:tc>
      </w:tr>
    </w:tbl>
    <w:p>
      <w:pPr>
        <w:pStyle w:val="7"/>
        <w:spacing w:before="0" w:beforeAutospacing="0" w:after="0" w:afterAutospacing="0" w:line="360" w:lineRule="auto"/>
        <w:ind w:firstLine="420"/>
        <w:rPr>
          <w:sz w:val="21"/>
          <w:szCs w:val="21"/>
        </w:rPr>
      </w:pPr>
      <w:r>
        <w:rPr>
          <w:rFonts w:hint="eastAsia"/>
          <w:b/>
          <w:bCs/>
          <w:sz w:val="21"/>
          <w:szCs w:val="21"/>
        </w:rPr>
        <w:t>(49)四川天府银行股份有限公司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四川省南充市顺庆区涪江路1号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四川省南充市滨江中路一段97号26栋泰和尚渡南充市商业银行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黄光伟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李俊辉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0817-7118079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0817-7118322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400-16-96869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www.tf.cn </w:t>
            </w:r>
          </w:p>
        </w:tc>
      </w:tr>
    </w:tbl>
    <w:p>
      <w:pPr>
        <w:pStyle w:val="7"/>
        <w:spacing w:before="0" w:beforeAutospacing="0" w:after="0" w:afterAutospacing="0" w:line="360" w:lineRule="auto"/>
        <w:ind w:firstLine="420"/>
        <w:rPr>
          <w:sz w:val="21"/>
          <w:szCs w:val="21"/>
        </w:rPr>
      </w:pPr>
      <w:r>
        <w:rPr>
          <w:rFonts w:hint="eastAsia"/>
          <w:b/>
          <w:bCs/>
          <w:sz w:val="21"/>
          <w:szCs w:val="21"/>
        </w:rPr>
        <w:t>(50)富滇银行股份有限公司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云南省昆明市拓东路41号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云南省昆明市拓东路41号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夏 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杨翊琳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0871-63140324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0871-63194471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www.fudian-bank.com </w:t>
            </w:r>
          </w:p>
        </w:tc>
      </w:tr>
    </w:tbl>
    <w:p>
      <w:pPr>
        <w:pStyle w:val="7"/>
        <w:spacing w:before="0" w:beforeAutospacing="0" w:after="0" w:afterAutospacing="0" w:line="360" w:lineRule="auto"/>
        <w:ind w:firstLine="420"/>
        <w:rPr>
          <w:sz w:val="21"/>
          <w:szCs w:val="21"/>
        </w:rPr>
      </w:pPr>
      <w:r>
        <w:rPr>
          <w:rFonts w:hint="eastAsia"/>
          <w:b/>
          <w:bCs/>
          <w:sz w:val="21"/>
          <w:szCs w:val="21"/>
        </w:rPr>
        <w:t>(51)浙江绍兴瑞丰农村商业银行股份有限公司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俞俊海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孟建潮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0575-84788101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0575-84788134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http://www.borf.cn </w:t>
            </w:r>
          </w:p>
        </w:tc>
      </w:tr>
    </w:tbl>
    <w:p>
      <w:pPr>
        <w:pStyle w:val="7"/>
        <w:spacing w:before="0" w:beforeAutospacing="0" w:after="0" w:afterAutospacing="0" w:line="360" w:lineRule="auto"/>
        <w:ind w:firstLine="420"/>
        <w:rPr>
          <w:sz w:val="21"/>
          <w:szCs w:val="21"/>
        </w:rPr>
      </w:pPr>
      <w:r>
        <w:rPr>
          <w:rFonts w:hint="eastAsia"/>
          <w:b/>
          <w:bCs/>
          <w:sz w:val="21"/>
          <w:szCs w:val="21"/>
        </w:rPr>
        <w:t>(52)天相投资顾问有限公司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北京市西城区金融街19号富凯大厦B座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北京市西城区新街口外大街28号C座5层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林义相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尹伶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010-66045529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010－66045500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010-66045678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http://www.txsec.com </w:t>
            </w:r>
          </w:p>
        </w:tc>
      </w:tr>
    </w:tbl>
    <w:p>
      <w:pPr>
        <w:pStyle w:val="7"/>
        <w:spacing w:before="0" w:beforeAutospacing="0" w:after="0" w:afterAutospacing="0" w:line="360" w:lineRule="auto"/>
        <w:ind w:firstLine="420"/>
        <w:rPr>
          <w:sz w:val="21"/>
          <w:szCs w:val="21"/>
        </w:rPr>
      </w:pPr>
      <w:r>
        <w:rPr>
          <w:rFonts w:hint="eastAsia"/>
          <w:b/>
          <w:bCs/>
          <w:sz w:val="21"/>
          <w:szCs w:val="21"/>
        </w:rPr>
        <w:t>(53)深圳市新兰德证券投资咨询有限公司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(54)和讯信息科技有限公司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张紫薇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0755-82721122-8625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0755-82029055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400-920-0022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http://Licaike.hexun.com </w:t>
            </w:r>
          </w:p>
        </w:tc>
      </w:tr>
    </w:tbl>
    <w:p>
      <w:pPr>
        <w:pStyle w:val="7"/>
        <w:spacing w:before="0" w:beforeAutospacing="0" w:after="0" w:afterAutospacing="0" w:line="360" w:lineRule="auto"/>
        <w:ind w:firstLine="420"/>
        <w:rPr>
          <w:sz w:val="21"/>
          <w:szCs w:val="21"/>
        </w:rPr>
      </w:pPr>
      <w:r>
        <w:rPr>
          <w:rFonts w:hint="eastAsia"/>
          <w:b/>
          <w:bCs/>
          <w:sz w:val="21"/>
          <w:szCs w:val="21"/>
        </w:rPr>
        <w:t>(55)厦门市鑫鼎盛控股有限公司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(56)江苏天鼎证券投资咨询有限公司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025-962155 </w:t>
            </w:r>
          </w:p>
        </w:tc>
      </w:tr>
    </w:tbl>
    <w:p>
      <w:pPr>
        <w:pStyle w:val="7"/>
        <w:spacing w:before="0" w:beforeAutospacing="0" w:after="0" w:afterAutospacing="0" w:line="360" w:lineRule="auto"/>
        <w:ind w:firstLine="420"/>
        <w:rPr>
          <w:sz w:val="21"/>
          <w:szCs w:val="21"/>
        </w:rPr>
      </w:pPr>
      <w:r>
        <w:rPr>
          <w:rFonts w:hint="eastAsia"/>
          <w:b/>
          <w:bCs/>
          <w:sz w:val="21"/>
          <w:szCs w:val="21"/>
        </w:rPr>
        <w:t>(57)上海挖财基金销售有限公司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http://wacaijijin.com/ </w:t>
            </w:r>
          </w:p>
        </w:tc>
      </w:tr>
    </w:tbl>
    <w:p>
      <w:pPr>
        <w:pStyle w:val="7"/>
        <w:spacing w:before="0" w:beforeAutospacing="0" w:after="0" w:afterAutospacing="0" w:line="360" w:lineRule="auto"/>
        <w:ind w:firstLine="420"/>
        <w:rPr>
          <w:sz w:val="21"/>
          <w:szCs w:val="21"/>
        </w:rPr>
      </w:pPr>
      <w:r>
        <w:rPr>
          <w:rFonts w:hint="eastAsia"/>
          <w:b/>
          <w:bCs/>
          <w:sz w:val="21"/>
          <w:szCs w:val="21"/>
        </w:rPr>
        <w:t>(58)大河财富基金销售有限公司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www.urainf.com </w:t>
            </w:r>
          </w:p>
        </w:tc>
      </w:tr>
    </w:tbl>
    <w:p>
      <w:pPr>
        <w:pStyle w:val="7"/>
        <w:spacing w:before="0" w:beforeAutospacing="0" w:after="0" w:afterAutospacing="0" w:line="360" w:lineRule="auto"/>
        <w:ind w:firstLine="420"/>
        <w:rPr>
          <w:sz w:val="21"/>
          <w:szCs w:val="21"/>
        </w:rPr>
      </w:pPr>
      <w:r>
        <w:rPr>
          <w:rFonts w:hint="eastAsia"/>
          <w:b/>
          <w:bCs/>
          <w:sz w:val="21"/>
          <w:szCs w:val="21"/>
        </w:rPr>
        <w:t>(59)腾安基金销售（深圳）有限公司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(60)民商基金销售（上海）有限公司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www.msftec.com </w:t>
            </w:r>
          </w:p>
        </w:tc>
      </w:tr>
    </w:tbl>
    <w:p>
      <w:pPr>
        <w:pStyle w:val="7"/>
        <w:spacing w:before="0" w:beforeAutospacing="0" w:after="0" w:afterAutospacing="0" w:line="360" w:lineRule="auto"/>
        <w:ind w:firstLine="420"/>
        <w:rPr>
          <w:sz w:val="21"/>
          <w:szCs w:val="21"/>
        </w:rPr>
      </w:pPr>
      <w:r>
        <w:rPr>
          <w:rFonts w:hint="eastAsia"/>
          <w:b/>
          <w:bCs/>
          <w:sz w:val="21"/>
          <w:szCs w:val="21"/>
        </w:rPr>
        <w:t>(61)北京度小满基金销售有限公司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www.duxiaomanfund.com </w:t>
            </w:r>
          </w:p>
        </w:tc>
      </w:tr>
    </w:tbl>
    <w:p>
      <w:pPr>
        <w:pStyle w:val="7"/>
        <w:spacing w:before="0" w:beforeAutospacing="0" w:after="0" w:afterAutospacing="0" w:line="360" w:lineRule="auto"/>
        <w:ind w:firstLine="420"/>
        <w:rPr>
          <w:sz w:val="21"/>
          <w:szCs w:val="21"/>
        </w:rPr>
      </w:pPr>
      <w:r>
        <w:rPr>
          <w:rFonts w:hint="eastAsia"/>
          <w:b/>
          <w:bCs/>
          <w:sz w:val="21"/>
          <w:szCs w:val="21"/>
        </w:rPr>
        <w:t>(62)博时财富基金销售有限公司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www.boserawealth.com </w:t>
            </w:r>
          </w:p>
        </w:tc>
      </w:tr>
    </w:tbl>
    <w:p>
      <w:pPr>
        <w:pStyle w:val="7"/>
        <w:spacing w:before="0" w:beforeAutospacing="0" w:after="0" w:afterAutospacing="0" w:line="360" w:lineRule="auto"/>
        <w:ind w:firstLine="420"/>
        <w:rPr>
          <w:sz w:val="21"/>
          <w:szCs w:val="21"/>
        </w:rPr>
      </w:pPr>
      <w:r>
        <w:rPr>
          <w:rFonts w:hint="eastAsia"/>
          <w:b/>
          <w:bCs/>
          <w:sz w:val="21"/>
          <w:szCs w:val="21"/>
        </w:rPr>
        <w:t>(63)诺亚正行基金销售有限公司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(64)深圳众禄基金销售股份有限公司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(65)上海天天基金销售有限公司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(66)上海好买基金销售有限公司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(67)蚂蚁（杭州）基金销售有限公司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(68)上海长量基金销售有限公司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(69)浙江同花顺基金销售有限公司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(70)北京展恒基金销售股份有限公司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北京市顺义区后沙峪镇安富街6号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北京市朝阳区德胜门外华严北里2号民建大厦6层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闫振杰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焦琳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010--62020088-8288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010—62020088-8802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400-888-6661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http://www.myfund.com </w:t>
            </w:r>
          </w:p>
        </w:tc>
      </w:tr>
    </w:tbl>
    <w:p>
      <w:pPr>
        <w:pStyle w:val="7"/>
        <w:spacing w:before="0" w:beforeAutospacing="0" w:after="0" w:afterAutospacing="0" w:line="360" w:lineRule="auto"/>
        <w:ind w:firstLine="420"/>
        <w:rPr>
          <w:sz w:val="21"/>
          <w:szCs w:val="21"/>
        </w:rPr>
      </w:pPr>
      <w:r>
        <w:rPr>
          <w:rFonts w:hint="eastAsia"/>
          <w:b/>
          <w:bCs/>
          <w:sz w:val="21"/>
          <w:szCs w:val="21"/>
        </w:rPr>
        <w:t>(71)上海利得基金销售有限公司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(72)北京中期时代基金销售有限公司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北京市朝阳区建国门外光华路14号1幢11层1103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北京市朝阳区建国门外光华路14号1幢11层1103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田宏莉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朱剑林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010-59539866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010-59539866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010-65807159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http://www.cifcofund.com/ </w:t>
            </w:r>
          </w:p>
        </w:tc>
      </w:tr>
    </w:tbl>
    <w:p>
      <w:pPr>
        <w:pStyle w:val="7"/>
        <w:spacing w:before="0" w:beforeAutospacing="0" w:after="0" w:afterAutospacing="0" w:line="360" w:lineRule="auto"/>
        <w:ind w:firstLine="420"/>
        <w:rPr>
          <w:sz w:val="21"/>
          <w:szCs w:val="21"/>
        </w:rPr>
      </w:pPr>
      <w:r>
        <w:rPr>
          <w:rFonts w:hint="eastAsia"/>
          <w:b/>
          <w:bCs/>
          <w:sz w:val="21"/>
          <w:szCs w:val="21"/>
        </w:rPr>
        <w:t>(73)嘉实财富管理有限公司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(74)乾道金融信息服务（北京）有限公司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北京市海淀区东北旺村南1号楼7层7117室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北京市西城区德外大街合生财富广场1302室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王兴吉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高雪超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010-62062880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010-82057741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www.qiandaojr.com </w:t>
            </w:r>
          </w:p>
        </w:tc>
      </w:tr>
    </w:tbl>
    <w:p>
      <w:pPr>
        <w:pStyle w:val="7"/>
        <w:spacing w:before="0" w:beforeAutospacing="0" w:after="0" w:afterAutospacing="0" w:line="360" w:lineRule="auto"/>
        <w:ind w:firstLine="420"/>
        <w:rPr>
          <w:sz w:val="21"/>
          <w:szCs w:val="21"/>
        </w:rPr>
      </w:pPr>
      <w:r>
        <w:rPr>
          <w:rFonts w:hint="eastAsia"/>
          <w:b/>
          <w:bCs/>
          <w:sz w:val="21"/>
          <w:szCs w:val="21"/>
        </w:rPr>
        <w:t>(75)北京创金启富基金销售有限公司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梁蓉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010-66154828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010-88067526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010-88067525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www.5irich.com </w:t>
            </w:r>
          </w:p>
        </w:tc>
      </w:tr>
    </w:tbl>
    <w:p>
      <w:pPr>
        <w:pStyle w:val="7"/>
        <w:spacing w:before="0" w:beforeAutospacing="0" w:after="0" w:afterAutospacing="0" w:line="360" w:lineRule="auto"/>
        <w:ind w:firstLine="420"/>
        <w:rPr>
          <w:sz w:val="21"/>
          <w:szCs w:val="21"/>
        </w:rPr>
      </w:pPr>
      <w:r>
        <w:rPr>
          <w:rFonts w:hint="eastAsia"/>
          <w:b/>
          <w:bCs/>
          <w:sz w:val="21"/>
          <w:szCs w:val="21"/>
        </w:rPr>
        <w:t>(76)泛华普益基金销售有限公司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于海锋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028-66980977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028-82000996-805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028-84252474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www.puyiwm.com </w:t>
            </w:r>
          </w:p>
        </w:tc>
      </w:tr>
    </w:tbl>
    <w:p>
      <w:pPr>
        <w:pStyle w:val="7"/>
        <w:spacing w:before="0" w:beforeAutospacing="0" w:after="0" w:afterAutospacing="0" w:line="360" w:lineRule="auto"/>
        <w:ind w:firstLine="420"/>
        <w:rPr>
          <w:sz w:val="21"/>
          <w:szCs w:val="21"/>
        </w:rPr>
      </w:pPr>
      <w:r>
        <w:rPr>
          <w:rFonts w:hint="eastAsia"/>
          <w:b/>
          <w:bCs/>
          <w:sz w:val="21"/>
          <w:szCs w:val="21"/>
        </w:rPr>
        <w:t>(77)宜信普泽（北京）基金销售有限公司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(78)南京苏宁基金销售有限公司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(79)浦领基金销售有限公司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www.zscffund.com </w:t>
            </w:r>
          </w:p>
        </w:tc>
      </w:tr>
    </w:tbl>
    <w:p>
      <w:pPr>
        <w:pStyle w:val="7"/>
        <w:spacing w:before="0" w:beforeAutospacing="0" w:after="0" w:afterAutospacing="0" w:line="360" w:lineRule="auto"/>
        <w:ind w:firstLine="420"/>
        <w:rPr>
          <w:sz w:val="21"/>
          <w:szCs w:val="21"/>
        </w:rPr>
      </w:pPr>
      <w:r>
        <w:rPr>
          <w:rFonts w:hint="eastAsia"/>
          <w:b/>
          <w:bCs/>
          <w:sz w:val="21"/>
          <w:szCs w:val="21"/>
        </w:rPr>
        <w:t>(80)北京增财基金销售有限公司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北京市西城区南礼士路66号1号楼12层1208号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北京市西城区南礼士路66号建威大厦1208室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王昌庆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罗细安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010-67000988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010-67000988-6000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400-001-8811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http://www.zcvc.com.cn </w:t>
            </w:r>
          </w:p>
        </w:tc>
      </w:tr>
    </w:tbl>
    <w:p>
      <w:pPr>
        <w:pStyle w:val="7"/>
        <w:spacing w:before="0" w:beforeAutospacing="0" w:after="0" w:afterAutospacing="0" w:line="360" w:lineRule="auto"/>
        <w:ind w:firstLine="420"/>
        <w:rPr>
          <w:sz w:val="21"/>
          <w:szCs w:val="21"/>
        </w:rPr>
      </w:pPr>
      <w:r>
        <w:rPr>
          <w:rFonts w:hint="eastAsia"/>
          <w:b/>
          <w:bCs/>
          <w:sz w:val="21"/>
          <w:szCs w:val="21"/>
        </w:rPr>
        <w:t>(81)深圳腾元基金销售有限公司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曾革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鄢萌莎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0755-33376922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0755-33065516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www.tenyuanfund.com </w:t>
            </w:r>
          </w:p>
        </w:tc>
      </w:tr>
    </w:tbl>
    <w:p>
      <w:pPr>
        <w:pStyle w:val="7"/>
        <w:spacing w:before="0" w:beforeAutospacing="0" w:after="0" w:afterAutospacing="0" w:line="360" w:lineRule="auto"/>
        <w:ind w:firstLine="420"/>
        <w:rPr>
          <w:sz w:val="21"/>
          <w:szCs w:val="21"/>
        </w:rPr>
      </w:pPr>
      <w:r>
        <w:rPr>
          <w:rFonts w:hint="eastAsia"/>
          <w:b/>
          <w:bCs/>
          <w:sz w:val="21"/>
          <w:szCs w:val="21"/>
        </w:rPr>
        <w:t>(82)通华财富（上海）基金销售有限公司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上海市虹口区同丰路667弄107号201室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上海市浦东新区杨高南路799号陆家嘴世纪金融广场3号楼9楼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杨徐霆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021-60818249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021-60818280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400-101-9301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https://www.tonghuafund.com </w:t>
            </w:r>
          </w:p>
        </w:tc>
      </w:tr>
    </w:tbl>
    <w:p>
      <w:pPr>
        <w:pStyle w:val="7"/>
        <w:spacing w:before="0" w:beforeAutospacing="0" w:after="0" w:afterAutospacing="0" w:line="360" w:lineRule="auto"/>
        <w:ind w:firstLine="420"/>
        <w:rPr>
          <w:sz w:val="21"/>
          <w:szCs w:val="21"/>
        </w:rPr>
      </w:pPr>
      <w:r>
        <w:rPr>
          <w:rFonts w:hint="eastAsia"/>
          <w:b/>
          <w:bCs/>
          <w:sz w:val="21"/>
          <w:szCs w:val="21"/>
        </w:rPr>
        <w:t>(83)北京中植基金销售有限公司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http://www.zzfund.com </w:t>
            </w:r>
          </w:p>
        </w:tc>
      </w:tr>
    </w:tbl>
    <w:p>
      <w:pPr>
        <w:pStyle w:val="7"/>
        <w:spacing w:before="0" w:beforeAutospacing="0" w:after="0" w:afterAutospacing="0" w:line="360" w:lineRule="auto"/>
        <w:ind w:firstLine="420"/>
        <w:rPr>
          <w:sz w:val="21"/>
          <w:szCs w:val="21"/>
        </w:rPr>
      </w:pPr>
      <w:r>
        <w:rPr>
          <w:rFonts w:hint="eastAsia"/>
          <w:b/>
          <w:bCs/>
          <w:sz w:val="21"/>
          <w:szCs w:val="21"/>
        </w:rPr>
        <w:t>(84)北京汇成基金销售有限公司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(85)一路财富（北京）基金销售股份有限公司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北京市西城区车公庄大街9号院5号楼702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北京市西城区阜成门外大街2号万通新世界A座2208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吴雪秀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段京璐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010-88312877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010-88312099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400-001-1566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http://www.yilucaifu.com </w:t>
            </w:r>
          </w:p>
        </w:tc>
      </w:tr>
    </w:tbl>
    <w:p>
      <w:pPr>
        <w:pStyle w:val="7"/>
        <w:spacing w:before="0" w:beforeAutospacing="0" w:after="0" w:afterAutospacing="0" w:line="360" w:lineRule="auto"/>
        <w:ind w:firstLine="420"/>
        <w:rPr>
          <w:sz w:val="21"/>
          <w:szCs w:val="21"/>
        </w:rPr>
      </w:pPr>
      <w:r>
        <w:rPr>
          <w:rFonts w:hint="eastAsia"/>
          <w:b/>
          <w:bCs/>
          <w:sz w:val="21"/>
          <w:szCs w:val="21"/>
        </w:rPr>
        <w:t>(86)北京钱景基金销售有限公司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www.qianjing.com </w:t>
            </w:r>
          </w:p>
        </w:tc>
      </w:tr>
    </w:tbl>
    <w:p>
      <w:pPr>
        <w:pStyle w:val="7"/>
        <w:spacing w:before="0" w:beforeAutospacing="0" w:after="0" w:afterAutospacing="0" w:line="360" w:lineRule="auto"/>
        <w:ind w:firstLine="420"/>
        <w:rPr>
          <w:sz w:val="21"/>
          <w:szCs w:val="21"/>
        </w:rPr>
      </w:pPr>
      <w:r>
        <w:rPr>
          <w:rFonts w:hint="eastAsia"/>
          <w:b/>
          <w:bCs/>
          <w:sz w:val="21"/>
          <w:szCs w:val="21"/>
        </w:rPr>
        <w:t>(87)海银基金销售有限公司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中国（上海）自由贸易试验区银城中路8号402室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上海市浦东新区银城中路8号4楼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巩巧丽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毛林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021-80133597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021-80133413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400-808-1016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www.fundhaiyin.com </w:t>
            </w:r>
          </w:p>
        </w:tc>
      </w:tr>
    </w:tbl>
    <w:p>
      <w:pPr>
        <w:pStyle w:val="7"/>
        <w:spacing w:before="0" w:beforeAutospacing="0" w:after="0" w:afterAutospacing="0" w:line="360" w:lineRule="auto"/>
        <w:ind w:firstLine="420"/>
        <w:rPr>
          <w:sz w:val="21"/>
          <w:szCs w:val="21"/>
        </w:rPr>
      </w:pPr>
      <w:r>
        <w:rPr>
          <w:rFonts w:hint="eastAsia"/>
          <w:b/>
          <w:bCs/>
          <w:sz w:val="21"/>
          <w:szCs w:val="21"/>
        </w:rPr>
        <w:t>(88)北京广源达信投资管理有限公司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北京市西城区新街口外大街28号C座6层605室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北京市朝阳区望京东园四区13号楼浦项中心B座19层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齐剑辉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王英俊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010-82055860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www.niuniufund.com </w:t>
            </w:r>
          </w:p>
        </w:tc>
      </w:tr>
    </w:tbl>
    <w:p>
      <w:pPr>
        <w:pStyle w:val="7"/>
        <w:spacing w:before="0" w:beforeAutospacing="0" w:after="0" w:afterAutospacing="0" w:line="360" w:lineRule="auto"/>
        <w:ind w:firstLine="420"/>
        <w:rPr>
          <w:sz w:val="21"/>
          <w:szCs w:val="21"/>
        </w:rPr>
      </w:pPr>
      <w:r>
        <w:rPr>
          <w:rFonts w:hint="eastAsia"/>
          <w:b/>
          <w:bCs/>
          <w:sz w:val="21"/>
          <w:szCs w:val="21"/>
        </w:rPr>
        <w:t>(89)天津国美基金销售有限公司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天津经济技术开发区南港工业区综合服务区办公楼D座二层202-124室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北京市朝阳区霄云路26号鹏润大厦B座19层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杨志涌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郭宝亮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010-59287061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010-59287825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400-111-0889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www.gomefund.com </w:t>
            </w:r>
          </w:p>
        </w:tc>
      </w:tr>
    </w:tbl>
    <w:p>
      <w:pPr>
        <w:pStyle w:val="7"/>
        <w:spacing w:before="0" w:beforeAutospacing="0" w:after="0" w:afterAutospacing="0" w:line="360" w:lineRule="auto"/>
        <w:ind w:firstLine="420"/>
        <w:rPr>
          <w:sz w:val="21"/>
          <w:szCs w:val="21"/>
        </w:rPr>
      </w:pPr>
      <w:r>
        <w:rPr>
          <w:rFonts w:hint="eastAsia"/>
          <w:b/>
          <w:bCs/>
          <w:sz w:val="21"/>
          <w:szCs w:val="21"/>
        </w:rPr>
        <w:t>(90)北京新浪仓石基金销售有限公司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北京市海淀区东北旺西路中关村软件园二期（西扩）N-1、N-2地块新浪总部科研楼5层518室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北京市海淀区西北旺东路10号院东区3号楼为明大厦C座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010-62675768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010-62676582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010-62675369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www.xincai.com </w:t>
            </w:r>
          </w:p>
        </w:tc>
      </w:tr>
    </w:tbl>
    <w:p>
      <w:pPr>
        <w:pStyle w:val="7"/>
        <w:spacing w:before="0" w:beforeAutospacing="0" w:after="0" w:afterAutospacing="0" w:line="360" w:lineRule="auto"/>
        <w:ind w:firstLine="420"/>
        <w:rPr>
          <w:sz w:val="21"/>
          <w:szCs w:val="21"/>
        </w:rPr>
      </w:pPr>
      <w:r>
        <w:rPr>
          <w:rFonts w:hint="eastAsia"/>
          <w:b/>
          <w:bCs/>
          <w:sz w:val="21"/>
          <w:szCs w:val="21"/>
        </w:rPr>
        <w:t>(91)北京加和基金销售有限公司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北京市西城区车公庄大街4号5号楼1层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北京市西城区车公庄大街4号北礼士路甲129号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徐福星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陈莹莹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010-68998820-8306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010-88381550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400-600-0030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www.bzfunds.com </w:t>
            </w:r>
          </w:p>
        </w:tc>
      </w:tr>
    </w:tbl>
    <w:p>
      <w:pPr>
        <w:pStyle w:val="7"/>
        <w:spacing w:before="0" w:beforeAutospacing="0" w:after="0" w:afterAutospacing="0" w:line="360" w:lineRule="auto"/>
        <w:ind w:firstLine="420"/>
        <w:rPr>
          <w:sz w:val="21"/>
          <w:szCs w:val="21"/>
        </w:rPr>
      </w:pPr>
      <w:r>
        <w:rPr>
          <w:rFonts w:hint="eastAsia"/>
          <w:b/>
          <w:bCs/>
          <w:sz w:val="21"/>
          <w:szCs w:val="21"/>
        </w:rPr>
        <w:t>(92)北京辉腾汇富基金销售有限公司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北京市东城区建国门内大街18号15层办公楼一座1502室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北京市东城区朝阳门北大街8号富华大厦F座12层B室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65181028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65174782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400-829-1218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http://www.htfund.com </w:t>
            </w:r>
          </w:p>
        </w:tc>
      </w:tr>
    </w:tbl>
    <w:p>
      <w:pPr>
        <w:pStyle w:val="7"/>
        <w:spacing w:before="0" w:beforeAutospacing="0" w:after="0" w:afterAutospacing="0" w:line="360" w:lineRule="auto"/>
        <w:ind w:firstLine="420"/>
        <w:rPr>
          <w:sz w:val="21"/>
          <w:szCs w:val="21"/>
        </w:rPr>
      </w:pPr>
      <w:r>
        <w:rPr>
          <w:rFonts w:hint="eastAsia"/>
          <w:b/>
          <w:bCs/>
          <w:sz w:val="21"/>
          <w:szCs w:val="21"/>
        </w:rPr>
        <w:t>(93)上海万得基金销售有限公司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(94)凤凰金信（海口）基金销售有限公司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宁夏回族自治区银川市金凤区阅海湾中央商务区万寿路142号14层1402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北京市朝阳区紫月路18号院 朝来高科技产业园18号楼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010-58160168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010-58160173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400-810-5919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www.fengfd.com </w:t>
            </w:r>
          </w:p>
        </w:tc>
      </w:tr>
    </w:tbl>
    <w:p>
      <w:pPr>
        <w:pStyle w:val="7"/>
        <w:spacing w:before="0" w:beforeAutospacing="0" w:after="0" w:afterAutospacing="0" w:line="360" w:lineRule="auto"/>
        <w:ind w:firstLine="420"/>
        <w:rPr>
          <w:sz w:val="21"/>
          <w:szCs w:val="21"/>
        </w:rPr>
      </w:pPr>
      <w:r>
        <w:rPr>
          <w:rFonts w:hint="eastAsia"/>
          <w:b/>
          <w:bCs/>
          <w:sz w:val="21"/>
          <w:szCs w:val="21"/>
        </w:rPr>
        <w:t>(95)上海联泰基金销售有限公司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(96)深圳市金海九州基金销售有限公司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深圳市福田区富德生命人寿大厦1106室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0755-81994266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0755-84333886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4000-099-3333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www.jhjzfund.com </w:t>
            </w:r>
          </w:p>
        </w:tc>
      </w:tr>
    </w:tbl>
    <w:p>
      <w:pPr>
        <w:pStyle w:val="7"/>
        <w:spacing w:before="0" w:beforeAutospacing="0" w:after="0" w:afterAutospacing="0" w:line="360" w:lineRule="auto"/>
        <w:ind w:firstLine="420"/>
        <w:rPr>
          <w:sz w:val="21"/>
          <w:szCs w:val="21"/>
        </w:rPr>
      </w:pPr>
      <w:r>
        <w:rPr>
          <w:rFonts w:hint="eastAsia"/>
          <w:b/>
          <w:bCs/>
          <w:sz w:val="21"/>
          <w:szCs w:val="21"/>
        </w:rPr>
        <w:t>(97)上海汇付金融服务有限公司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上海市黄浦区中山南路100号19层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上海市黄浦区中山南路100号金外滩国际广场19层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冯修敏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黄敏儿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021-33323999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021-33323830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400-820-2819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fund.bundtrade.com </w:t>
            </w:r>
          </w:p>
        </w:tc>
      </w:tr>
    </w:tbl>
    <w:p>
      <w:pPr>
        <w:pStyle w:val="7"/>
        <w:spacing w:before="0" w:beforeAutospacing="0" w:after="0" w:afterAutospacing="0" w:line="360" w:lineRule="auto"/>
        <w:ind w:firstLine="420"/>
        <w:rPr>
          <w:sz w:val="21"/>
          <w:szCs w:val="21"/>
        </w:rPr>
      </w:pPr>
      <w:r>
        <w:rPr>
          <w:rFonts w:hint="eastAsia"/>
          <w:b/>
          <w:bCs/>
          <w:sz w:val="21"/>
          <w:szCs w:val="21"/>
        </w:rPr>
        <w:t>(98)北京坤元基金销售有限公司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北京市延庆县延庆经济开发区百泉街10号2栋871室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北京市东城区建国门内大街8号B座501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李雪松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010-85264505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010-85264522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010-85264528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http://www.kunyuanfund.com </w:t>
            </w:r>
          </w:p>
        </w:tc>
      </w:tr>
    </w:tbl>
    <w:p>
      <w:pPr>
        <w:pStyle w:val="7"/>
        <w:spacing w:before="0" w:beforeAutospacing="0" w:after="0" w:afterAutospacing="0" w:line="360" w:lineRule="auto"/>
        <w:ind w:firstLine="420"/>
        <w:rPr>
          <w:sz w:val="21"/>
          <w:szCs w:val="21"/>
        </w:rPr>
      </w:pPr>
      <w:r>
        <w:rPr>
          <w:rFonts w:hint="eastAsia"/>
          <w:b/>
          <w:bCs/>
          <w:sz w:val="21"/>
          <w:szCs w:val="21"/>
        </w:rPr>
        <w:t>(99)江西正融基金销售有限公司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13879129841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0791-86692502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www.jxzrzg.com.cn </w:t>
            </w:r>
          </w:p>
        </w:tc>
      </w:tr>
    </w:tbl>
    <w:p>
      <w:pPr>
        <w:pStyle w:val="7"/>
        <w:spacing w:before="0" w:beforeAutospacing="0" w:after="0" w:afterAutospacing="0" w:line="360" w:lineRule="auto"/>
        <w:ind w:firstLine="420"/>
        <w:rPr>
          <w:sz w:val="21"/>
          <w:szCs w:val="21"/>
        </w:rPr>
      </w:pPr>
      <w:r>
        <w:rPr>
          <w:rFonts w:hint="eastAsia"/>
          <w:b/>
          <w:bCs/>
          <w:sz w:val="21"/>
          <w:szCs w:val="21"/>
        </w:rPr>
        <w:t>(100)上海基煜基金销售有限公司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(101)上海凯石财富基金销售有限公司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上海市黄浦区西藏南路765号602-115室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上海市黄浦区延安东路1号凯石大厦四楼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陈继武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李晓明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021-63333319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021-63332523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400-643-3389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www.lingxianfund.com </w:t>
            </w:r>
          </w:p>
        </w:tc>
      </w:tr>
    </w:tbl>
    <w:p>
      <w:pPr>
        <w:pStyle w:val="7"/>
        <w:spacing w:before="0" w:beforeAutospacing="0" w:after="0" w:afterAutospacing="0" w:line="360" w:lineRule="auto"/>
        <w:ind w:firstLine="420"/>
        <w:rPr>
          <w:sz w:val="21"/>
          <w:szCs w:val="21"/>
        </w:rPr>
      </w:pPr>
      <w:r>
        <w:rPr>
          <w:rFonts w:hint="eastAsia"/>
          <w:b/>
          <w:bCs/>
          <w:sz w:val="21"/>
          <w:szCs w:val="21"/>
        </w:rPr>
        <w:t>(102)上海中正达广基金销售有限公司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(103)北京虹点基金销售有限公司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北京市朝阳区西大望路1号1号楼1603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北京市朝阳区工人体育馆北路甲2号盈科中心B座裙楼二层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于婷婷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010-56409010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010-56580660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400-618-0707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www.hongdianfund.com </w:t>
            </w:r>
          </w:p>
        </w:tc>
      </w:tr>
    </w:tbl>
    <w:p>
      <w:pPr>
        <w:pStyle w:val="7"/>
        <w:spacing w:before="0" w:beforeAutospacing="0" w:after="0" w:afterAutospacing="0" w:line="360" w:lineRule="auto"/>
        <w:ind w:firstLine="420"/>
        <w:rPr>
          <w:sz w:val="21"/>
          <w:szCs w:val="21"/>
        </w:rPr>
      </w:pPr>
      <w:r>
        <w:rPr>
          <w:rFonts w:hint="eastAsia"/>
          <w:b/>
          <w:bCs/>
          <w:sz w:val="21"/>
          <w:szCs w:val="21"/>
        </w:rPr>
        <w:t>(104)深圳新华信通基金销售有限公司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(105)深圳富济基金销售有限公司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祝中村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曾瑶敏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0755-83999926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www.fujifund.cn </w:t>
            </w:r>
          </w:p>
        </w:tc>
      </w:tr>
    </w:tbl>
    <w:p>
      <w:pPr>
        <w:pStyle w:val="7"/>
        <w:spacing w:before="0" w:beforeAutospacing="0" w:after="0" w:afterAutospacing="0" w:line="360" w:lineRule="auto"/>
        <w:ind w:firstLine="420"/>
        <w:rPr>
          <w:sz w:val="21"/>
          <w:szCs w:val="21"/>
        </w:rPr>
      </w:pPr>
      <w:r>
        <w:rPr>
          <w:rFonts w:hint="eastAsia"/>
          <w:b/>
          <w:bCs/>
          <w:sz w:val="21"/>
          <w:szCs w:val="21"/>
        </w:rPr>
        <w:t>(106)上海陆金所基金销售有限公司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(107)珠海盈米基金销售有限公司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(108)和耕传承基金销售有限公司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(109)南京途牛基金销售有限公司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http://jr.tuniu.com/ </w:t>
            </w:r>
          </w:p>
        </w:tc>
      </w:tr>
    </w:tbl>
    <w:p>
      <w:pPr>
        <w:pStyle w:val="7"/>
        <w:spacing w:before="0" w:beforeAutospacing="0" w:after="0" w:afterAutospacing="0" w:line="360" w:lineRule="auto"/>
        <w:ind w:firstLine="420"/>
        <w:rPr>
          <w:sz w:val="21"/>
          <w:szCs w:val="21"/>
        </w:rPr>
      </w:pPr>
      <w:r>
        <w:rPr>
          <w:rFonts w:hint="eastAsia"/>
          <w:b/>
          <w:bCs/>
          <w:sz w:val="21"/>
          <w:szCs w:val="21"/>
        </w:rPr>
        <w:t>(110)奕丰基金销售有限公司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 栋 201 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深圳市南山区海德三路海岸大厦东座1116室及1307室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TAN YIK KUAN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许雅君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0755-89460502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0755-21674453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0755-89460500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www.ifastps.com.cn </w:t>
            </w:r>
          </w:p>
        </w:tc>
      </w:tr>
    </w:tbl>
    <w:p>
      <w:pPr>
        <w:pStyle w:val="7"/>
        <w:spacing w:before="0" w:beforeAutospacing="0" w:after="0" w:afterAutospacing="0" w:line="360" w:lineRule="auto"/>
        <w:ind w:firstLine="420"/>
        <w:rPr>
          <w:sz w:val="21"/>
          <w:szCs w:val="21"/>
        </w:rPr>
      </w:pPr>
      <w:r>
        <w:rPr>
          <w:rFonts w:hint="eastAsia"/>
          <w:b/>
          <w:bCs/>
          <w:sz w:val="21"/>
          <w:szCs w:val="21"/>
        </w:rPr>
        <w:t>(111)中证金牛（北京）基金销售有限公司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www.jnlc.com </w:t>
            </w:r>
          </w:p>
        </w:tc>
      </w:tr>
    </w:tbl>
    <w:p>
      <w:pPr>
        <w:pStyle w:val="7"/>
        <w:spacing w:before="0" w:beforeAutospacing="0" w:after="0" w:afterAutospacing="0" w:line="360" w:lineRule="auto"/>
        <w:ind w:firstLine="420"/>
        <w:rPr>
          <w:sz w:val="21"/>
          <w:szCs w:val="21"/>
        </w:rPr>
      </w:pPr>
      <w:r>
        <w:rPr>
          <w:rFonts w:hint="eastAsia"/>
          <w:b/>
          <w:bCs/>
          <w:sz w:val="21"/>
          <w:szCs w:val="21"/>
        </w:rPr>
        <w:t>(112)北京懒猫基金销售有限公司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北京市石景山区石景山路31号院盛景国际广场3号楼1119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北京市朝阳区呼家楼安联大厦715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许现良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张苗苗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15110085067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010-87723200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400-150-0882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www.lanmao.com </w:t>
            </w:r>
          </w:p>
        </w:tc>
      </w:tr>
    </w:tbl>
    <w:p>
      <w:pPr>
        <w:pStyle w:val="7"/>
        <w:spacing w:before="0" w:beforeAutospacing="0" w:after="0" w:afterAutospacing="0" w:line="360" w:lineRule="auto"/>
        <w:ind w:firstLine="420"/>
        <w:rPr>
          <w:sz w:val="21"/>
          <w:szCs w:val="21"/>
        </w:rPr>
      </w:pPr>
      <w:r>
        <w:rPr>
          <w:rFonts w:hint="eastAsia"/>
          <w:b/>
          <w:bCs/>
          <w:sz w:val="21"/>
          <w:szCs w:val="21"/>
        </w:rPr>
        <w:t>(113)京东肯特瑞基金销售有限公司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(114)大连网金基金销售有限公司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0411-39027800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0411-39027888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http://www.yibaijin.com/ </w:t>
            </w:r>
          </w:p>
        </w:tc>
      </w:tr>
    </w:tbl>
    <w:p>
      <w:pPr>
        <w:pStyle w:val="7"/>
        <w:spacing w:before="0" w:beforeAutospacing="0" w:after="0" w:afterAutospacing="0" w:line="360" w:lineRule="auto"/>
        <w:ind w:firstLine="420"/>
        <w:rPr>
          <w:sz w:val="21"/>
          <w:szCs w:val="21"/>
        </w:rPr>
      </w:pPr>
      <w:r>
        <w:rPr>
          <w:rFonts w:hint="eastAsia"/>
          <w:b/>
          <w:bCs/>
          <w:sz w:val="21"/>
          <w:szCs w:val="21"/>
        </w:rPr>
        <w:t>(115)深圳市金斧子基金销售有限公司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(116)北京雪球基金销售有限公司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(117)深圳前海欧中联合基金销售有限公司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深圳市宝安中心区海秀路19号国际西岸商务大厦703、705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0755-23328531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http://www.ecpefund.com/ </w:t>
            </w:r>
          </w:p>
        </w:tc>
      </w:tr>
    </w:tbl>
    <w:p>
      <w:pPr>
        <w:pStyle w:val="7"/>
        <w:spacing w:before="0" w:beforeAutospacing="0" w:after="0" w:afterAutospacing="0" w:line="360" w:lineRule="auto"/>
        <w:ind w:firstLine="420"/>
        <w:rPr>
          <w:sz w:val="21"/>
          <w:szCs w:val="21"/>
        </w:rPr>
      </w:pPr>
      <w:r>
        <w:rPr>
          <w:rFonts w:hint="eastAsia"/>
          <w:b/>
          <w:bCs/>
          <w:sz w:val="21"/>
          <w:szCs w:val="21"/>
        </w:rPr>
        <w:t>(118)深圳前海财厚基金销售有限公司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(119)万家财富基金销售（天津）有限公司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北京市西城区丰盛胡同28号太平洋保险大厦5层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李修辞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010-59013707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http://www.wanjiawealth.com/ </w:t>
            </w:r>
          </w:p>
        </w:tc>
      </w:tr>
    </w:tbl>
    <w:p>
      <w:pPr>
        <w:pStyle w:val="7"/>
        <w:spacing w:before="0" w:beforeAutospacing="0" w:after="0" w:afterAutospacing="0" w:line="360" w:lineRule="auto"/>
        <w:ind w:firstLine="420"/>
        <w:rPr>
          <w:sz w:val="21"/>
          <w:szCs w:val="21"/>
        </w:rPr>
      </w:pPr>
      <w:r>
        <w:rPr>
          <w:rFonts w:hint="eastAsia"/>
          <w:b/>
          <w:bCs/>
          <w:sz w:val="21"/>
          <w:szCs w:val="21"/>
        </w:rPr>
        <w:t>(120)上海华夏财富投资管理有限公司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毛淮平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张静怡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010-88066326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400-817-5666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https://www.amcfortune.com/ </w:t>
            </w:r>
          </w:p>
        </w:tc>
      </w:tr>
    </w:tbl>
    <w:p>
      <w:pPr>
        <w:pStyle w:val="7"/>
        <w:spacing w:before="0" w:beforeAutospacing="0" w:after="0" w:afterAutospacing="0" w:line="360" w:lineRule="auto"/>
        <w:ind w:firstLine="420"/>
        <w:rPr>
          <w:sz w:val="21"/>
          <w:szCs w:val="21"/>
        </w:rPr>
      </w:pPr>
      <w:r>
        <w:rPr>
          <w:rFonts w:hint="eastAsia"/>
          <w:b/>
          <w:bCs/>
          <w:sz w:val="21"/>
          <w:szCs w:val="21"/>
        </w:rPr>
        <w:t>(121)洪泰财富（青岛）基金销售有限责任公司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(122)中国国际期货股份有限公司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北京市朝阳区建国门外光华路14号1幢1层、2层、9层、11层、12层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北京市朝阳区麦子店西路3号新恒基国际大厦15层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010-59539864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95162、400-8888-160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http://www.cifco.net </w:t>
            </w:r>
          </w:p>
        </w:tc>
      </w:tr>
    </w:tbl>
    <w:p>
      <w:pPr>
        <w:pStyle w:val="7"/>
        <w:spacing w:before="0" w:beforeAutospacing="0" w:after="0" w:afterAutospacing="0" w:line="360" w:lineRule="auto"/>
        <w:ind w:firstLine="420"/>
        <w:rPr>
          <w:sz w:val="21"/>
          <w:szCs w:val="21"/>
        </w:rPr>
      </w:pPr>
      <w:r>
        <w:rPr>
          <w:rFonts w:hint="eastAsia"/>
          <w:b/>
          <w:bCs/>
          <w:sz w:val="21"/>
          <w:szCs w:val="21"/>
        </w:rPr>
        <w:t>(123)中信建投期货有限公司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重庆市渝中区中山三路107号上站大楼平街11-B，名义层11-A，8-B4，9-B、C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重庆市渝中区中山三路107号皇冠大厦11楼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彭文德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023-89769637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023-86769629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400-8877-780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www.cfc108.com </w:t>
            </w:r>
          </w:p>
        </w:tc>
      </w:tr>
    </w:tbl>
    <w:p>
      <w:pPr>
        <w:pStyle w:val="7"/>
        <w:spacing w:before="0" w:beforeAutospacing="0" w:after="0" w:afterAutospacing="0" w:line="360" w:lineRule="auto"/>
        <w:ind w:firstLine="420"/>
        <w:rPr>
          <w:sz w:val="21"/>
          <w:szCs w:val="21"/>
        </w:rPr>
      </w:pPr>
      <w:r>
        <w:rPr>
          <w:rFonts w:hint="eastAsia"/>
          <w:b/>
          <w:bCs/>
          <w:sz w:val="21"/>
          <w:szCs w:val="21"/>
        </w:rPr>
        <w:t>(124)中信期货有限公司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(125)徽商期货有限责任公司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杨彩格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0551-62865999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0551-62865899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400-887-8707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www.hsqh.net </w:t>
            </w:r>
          </w:p>
        </w:tc>
      </w:tr>
    </w:tbl>
    <w:p>
      <w:pPr>
        <w:pStyle w:val="7"/>
        <w:spacing w:before="0" w:beforeAutospacing="0" w:after="0" w:afterAutospacing="0" w:line="360" w:lineRule="auto"/>
        <w:ind w:firstLine="420"/>
        <w:rPr>
          <w:sz w:val="21"/>
          <w:szCs w:val="21"/>
        </w:rPr>
      </w:pPr>
      <w:r>
        <w:rPr>
          <w:rFonts w:hint="eastAsia"/>
          <w:b/>
          <w:bCs/>
          <w:sz w:val="21"/>
          <w:szCs w:val="21"/>
        </w:rPr>
        <w:t>(126)东海期货有限责任公司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江苏省常州市延陵西路23、25、27、29号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上海市浦东新区东方路1928号东海证券大厦8楼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陈太康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李天雨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021-68757102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021-68757102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www.qh168.com.cn </w:t>
            </w:r>
          </w:p>
        </w:tc>
      </w:tr>
    </w:tbl>
    <w:p>
      <w:pPr>
        <w:pStyle w:val="7"/>
        <w:spacing w:before="0" w:beforeAutospacing="0" w:after="0" w:afterAutospacing="0" w:line="360" w:lineRule="auto"/>
        <w:ind w:firstLine="420"/>
        <w:rPr>
          <w:sz w:val="21"/>
          <w:szCs w:val="21"/>
        </w:rPr>
      </w:pPr>
      <w:r>
        <w:rPr>
          <w:rFonts w:hint="eastAsia"/>
          <w:b/>
          <w:bCs/>
          <w:sz w:val="21"/>
          <w:szCs w:val="21"/>
        </w:rPr>
        <w:t>(127)大有期货有限公司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沈众辉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马科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0731-84409000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0731-84409009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400-636-5058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www.dayouf.com </w:t>
            </w:r>
          </w:p>
        </w:tc>
      </w:tr>
    </w:tbl>
    <w:p>
      <w:pPr>
        <w:pStyle w:val="7"/>
        <w:spacing w:before="0" w:beforeAutospacing="0" w:after="0" w:afterAutospacing="0" w:line="360" w:lineRule="auto"/>
        <w:ind w:firstLine="420"/>
        <w:rPr>
          <w:sz w:val="21"/>
          <w:szCs w:val="21"/>
        </w:rPr>
      </w:pPr>
      <w:r>
        <w:rPr>
          <w:rFonts w:hint="eastAsia"/>
          <w:b/>
          <w:bCs/>
          <w:sz w:val="21"/>
          <w:szCs w:val="21"/>
        </w:rPr>
        <w:t>(128)和合期货有限公司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(129)方正中期期货有限公司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北京市石景山区金府路32号院3号楼5层512室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北京市朝阳区东三环北路38号院1号泰康金融大厦22层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姜志军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温泉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010-85881295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010-85881394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4008802277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https://www.founderfu.com/ </w:t>
            </w:r>
          </w:p>
        </w:tc>
      </w:tr>
    </w:tbl>
    <w:p>
      <w:pPr>
        <w:pStyle w:val="7"/>
        <w:spacing w:before="0" w:beforeAutospacing="0" w:after="0" w:afterAutospacing="0" w:line="360" w:lineRule="auto"/>
        <w:ind w:firstLine="420"/>
        <w:rPr>
          <w:sz w:val="21"/>
          <w:szCs w:val="21"/>
        </w:rPr>
      </w:pPr>
      <w:r>
        <w:rPr>
          <w:rFonts w:hint="eastAsia"/>
          <w:b/>
          <w:bCs/>
          <w:sz w:val="21"/>
          <w:szCs w:val="21"/>
        </w:rPr>
        <w:t>(130)国泰君安证券股份有限公司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(131)中信建投证券股份有限公司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(132)国信证券股份有限公司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http://www.guosen.com.cn/ </w:t>
            </w:r>
          </w:p>
        </w:tc>
      </w:tr>
    </w:tbl>
    <w:p>
      <w:pPr>
        <w:pStyle w:val="7"/>
        <w:spacing w:before="0" w:beforeAutospacing="0" w:after="0" w:afterAutospacing="0" w:line="360" w:lineRule="auto"/>
        <w:ind w:firstLine="420"/>
        <w:rPr>
          <w:sz w:val="21"/>
          <w:szCs w:val="21"/>
        </w:rPr>
      </w:pPr>
      <w:r>
        <w:rPr>
          <w:rFonts w:hint="eastAsia"/>
          <w:b/>
          <w:bCs/>
          <w:sz w:val="21"/>
          <w:szCs w:val="21"/>
        </w:rPr>
        <w:t>(133)招商证券股份有限公司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(134)广发证券股份有限公司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林传辉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http://www.gf.com.cn/ </w:t>
            </w:r>
          </w:p>
        </w:tc>
      </w:tr>
    </w:tbl>
    <w:p>
      <w:pPr>
        <w:pStyle w:val="7"/>
        <w:spacing w:before="0" w:beforeAutospacing="0" w:after="0" w:afterAutospacing="0" w:line="360" w:lineRule="auto"/>
        <w:ind w:firstLine="420"/>
        <w:rPr>
          <w:sz w:val="21"/>
          <w:szCs w:val="21"/>
        </w:rPr>
      </w:pPr>
      <w:r>
        <w:rPr>
          <w:rFonts w:hint="eastAsia"/>
          <w:b/>
          <w:bCs/>
          <w:sz w:val="21"/>
          <w:szCs w:val="21"/>
        </w:rPr>
        <w:t>(135)中信证券股份有限公司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(136)中国银河证券股份有限公司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北京市丰台区西营街8号院1号楼7至18层101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www.chinastock.com.cn/ </w:t>
            </w:r>
          </w:p>
        </w:tc>
      </w:tr>
    </w:tbl>
    <w:p>
      <w:pPr>
        <w:pStyle w:val="7"/>
        <w:spacing w:before="0" w:beforeAutospacing="0" w:after="0" w:afterAutospacing="0" w:line="360" w:lineRule="auto"/>
        <w:ind w:firstLine="420"/>
        <w:rPr>
          <w:sz w:val="21"/>
          <w:szCs w:val="21"/>
        </w:rPr>
      </w:pPr>
      <w:r>
        <w:rPr>
          <w:rFonts w:hint="eastAsia"/>
          <w:b/>
          <w:bCs/>
          <w:sz w:val="21"/>
          <w:szCs w:val="21"/>
        </w:rPr>
        <w:t>(137)海通证券股份有限公司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http://www.htsec.com/ </w:t>
            </w:r>
          </w:p>
        </w:tc>
      </w:tr>
    </w:tbl>
    <w:p>
      <w:pPr>
        <w:pStyle w:val="7"/>
        <w:spacing w:before="0" w:beforeAutospacing="0" w:after="0" w:afterAutospacing="0" w:line="360" w:lineRule="auto"/>
        <w:ind w:firstLine="420"/>
        <w:rPr>
          <w:sz w:val="21"/>
          <w:szCs w:val="21"/>
        </w:rPr>
      </w:pPr>
      <w:r>
        <w:rPr>
          <w:rFonts w:hint="eastAsia"/>
          <w:b/>
          <w:bCs/>
          <w:sz w:val="21"/>
          <w:szCs w:val="21"/>
        </w:rPr>
        <w:t>(138)申万宏源证券有限公司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上海市徐汇区长乐路989号世纪商贸广场45层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021-33388999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(139)兴业证券股份有限公司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福州市湖东路268号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上海市浦东民生路1199弄五道口广场1号楼21层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杨华辉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乔琳雪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021-38565547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021－38565783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4008888123/95562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http://www.xyzq.com.cn/ </w:t>
            </w:r>
          </w:p>
        </w:tc>
      </w:tr>
    </w:tbl>
    <w:p>
      <w:pPr>
        <w:pStyle w:val="7"/>
        <w:spacing w:before="0" w:beforeAutospacing="0" w:after="0" w:afterAutospacing="0" w:line="360" w:lineRule="auto"/>
        <w:ind w:firstLine="420"/>
        <w:rPr>
          <w:sz w:val="21"/>
          <w:szCs w:val="21"/>
        </w:rPr>
      </w:pPr>
      <w:r>
        <w:rPr>
          <w:rFonts w:hint="eastAsia"/>
          <w:b/>
          <w:bCs/>
          <w:sz w:val="21"/>
          <w:szCs w:val="21"/>
        </w:rPr>
        <w:t>(140)长江证券股份有限公司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http://www.95579.com/ </w:t>
            </w:r>
          </w:p>
        </w:tc>
      </w:tr>
    </w:tbl>
    <w:p>
      <w:pPr>
        <w:pStyle w:val="7"/>
        <w:spacing w:before="0" w:beforeAutospacing="0" w:after="0" w:afterAutospacing="0" w:line="360" w:lineRule="auto"/>
        <w:ind w:firstLine="420"/>
        <w:rPr>
          <w:sz w:val="21"/>
          <w:szCs w:val="21"/>
        </w:rPr>
      </w:pPr>
      <w:r>
        <w:rPr>
          <w:rFonts w:hint="eastAsia"/>
          <w:b/>
          <w:bCs/>
          <w:sz w:val="21"/>
          <w:szCs w:val="21"/>
        </w:rPr>
        <w:t>(141)安信证券股份有限公司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(142)西南证券股份有限公司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重庆市江北区桥北苑8号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重庆市江北区桥北苑8号西南证券大厦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廖庆轩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023-67616310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023-63786212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4008096096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http://www.swsc.com.cn </w:t>
            </w:r>
          </w:p>
        </w:tc>
      </w:tr>
    </w:tbl>
    <w:p>
      <w:pPr>
        <w:pStyle w:val="7"/>
        <w:spacing w:before="0" w:beforeAutospacing="0" w:after="0" w:afterAutospacing="0" w:line="360" w:lineRule="auto"/>
        <w:ind w:firstLine="420"/>
        <w:rPr>
          <w:sz w:val="21"/>
          <w:szCs w:val="21"/>
        </w:rPr>
      </w:pPr>
      <w:r>
        <w:rPr>
          <w:rFonts w:hint="eastAsia"/>
          <w:b/>
          <w:bCs/>
          <w:sz w:val="21"/>
          <w:szCs w:val="21"/>
        </w:rPr>
        <w:t>(143)湘财证券股份有限公司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林俊波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021-38784580-8920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http://www.xcsc.com </w:t>
            </w:r>
          </w:p>
        </w:tc>
      </w:tr>
    </w:tbl>
    <w:p>
      <w:pPr>
        <w:pStyle w:val="7"/>
        <w:spacing w:before="0" w:beforeAutospacing="0" w:after="0" w:afterAutospacing="0" w:line="360" w:lineRule="auto"/>
        <w:ind w:firstLine="420"/>
        <w:rPr>
          <w:sz w:val="21"/>
          <w:szCs w:val="21"/>
        </w:rPr>
      </w:pPr>
      <w:r>
        <w:rPr>
          <w:rFonts w:hint="eastAsia"/>
          <w:b/>
          <w:bCs/>
          <w:sz w:val="21"/>
          <w:szCs w:val="21"/>
        </w:rPr>
        <w:t>(144)万联证券股份有限公司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广州市天河区珠江东路11号18、19楼全层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广东省广州市天河区珠江东路13号高德置地广场E座12层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袁笑一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丁思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020-83988334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020－22373718－1013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http://www.wlzq.cn </w:t>
            </w:r>
          </w:p>
        </w:tc>
      </w:tr>
    </w:tbl>
    <w:p>
      <w:pPr>
        <w:pStyle w:val="7"/>
        <w:spacing w:before="0" w:beforeAutospacing="0" w:after="0" w:afterAutospacing="0" w:line="360" w:lineRule="auto"/>
        <w:ind w:firstLine="420"/>
        <w:rPr>
          <w:sz w:val="21"/>
          <w:szCs w:val="21"/>
        </w:rPr>
      </w:pPr>
      <w:r>
        <w:rPr>
          <w:rFonts w:hint="eastAsia"/>
          <w:b/>
          <w:bCs/>
          <w:sz w:val="21"/>
          <w:szCs w:val="21"/>
        </w:rPr>
        <w:t>(145)国元证券股份有限公司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凤良志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0551－2272101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0551－2272100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全国统一热线4008888777，安徽省内热线96888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http://www.gyzq.com.cn </w:t>
            </w:r>
          </w:p>
        </w:tc>
      </w:tr>
    </w:tbl>
    <w:p>
      <w:pPr>
        <w:pStyle w:val="7"/>
        <w:spacing w:before="0" w:beforeAutospacing="0" w:after="0" w:afterAutospacing="0" w:line="360" w:lineRule="auto"/>
        <w:ind w:firstLine="420"/>
        <w:rPr>
          <w:sz w:val="21"/>
          <w:szCs w:val="21"/>
        </w:rPr>
      </w:pPr>
      <w:r>
        <w:rPr>
          <w:rFonts w:hint="eastAsia"/>
          <w:b/>
          <w:bCs/>
          <w:sz w:val="21"/>
          <w:szCs w:val="21"/>
        </w:rPr>
        <w:t>(146)渤海证券股份有限公司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天津经济技术开发区第二大街42号写字楼101室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天津市南开区宾水西道8号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安志勇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022-23861692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022－28451892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4006515988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http://www.ewww.com.cn </w:t>
            </w:r>
          </w:p>
        </w:tc>
      </w:tr>
    </w:tbl>
    <w:p>
      <w:pPr>
        <w:pStyle w:val="7"/>
        <w:spacing w:before="0" w:beforeAutospacing="0" w:after="0" w:afterAutospacing="0" w:line="360" w:lineRule="auto"/>
        <w:ind w:firstLine="420"/>
        <w:rPr>
          <w:sz w:val="21"/>
          <w:szCs w:val="21"/>
        </w:rPr>
      </w:pPr>
      <w:r>
        <w:rPr>
          <w:rFonts w:hint="eastAsia"/>
          <w:b/>
          <w:bCs/>
          <w:sz w:val="21"/>
          <w:szCs w:val="21"/>
        </w:rPr>
        <w:t>(147)华泰证券股份有限公司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办公地址 南京市建邺区江东中路228号华泰证券广场、深圳市福田区深南大道4011号港中旅大厦18楼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0755-82492962（深圳）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http://www.htsc.com.cn/ </w:t>
            </w:r>
          </w:p>
        </w:tc>
      </w:tr>
    </w:tbl>
    <w:p>
      <w:pPr>
        <w:pStyle w:val="7"/>
        <w:spacing w:before="0" w:beforeAutospacing="0" w:after="0" w:afterAutospacing="0" w:line="360" w:lineRule="auto"/>
        <w:ind w:firstLine="420"/>
        <w:rPr>
          <w:sz w:val="21"/>
          <w:szCs w:val="21"/>
        </w:rPr>
      </w:pPr>
      <w:r>
        <w:rPr>
          <w:rFonts w:hint="eastAsia"/>
          <w:b/>
          <w:bCs/>
          <w:sz w:val="21"/>
          <w:szCs w:val="21"/>
        </w:rPr>
        <w:t>(148)山西证券股份有限公司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侯巍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0351－8686659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0351－8686619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4006661618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http://www.i618.com.cn/ </w:t>
            </w:r>
          </w:p>
        </w:tc>
      </w:tr>
    </w:tbl>
    <w:p>
      <w:pPr>
        <w:pStyle w:val="7"/>
        <w:spacing w:before="0" w:beforeAutospacing="0" w:after="0" w:afterAutospacing="0" w:line="360" w:lineRule="auto"/>
        <w:ind w:firstLine="420"/>
        <w:rPr>
          <w:sz w:val="21"/>
          <w:szCs w:val="21"/>
        </w:rPr>
      </w:pPr>
      <w:r>
        <w:rPr>
          <w:rFonts w:hint="eastAsia"/>
          <w:b/>
          <w:bCs/>
          <w:sz w:val="21"/>
          <w:szCs w:val="21"/>
        </w:rPr>
        <w:t>(149)中信证券（山东）有限责任公司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(150)东兴证券股份有限公司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北京市西城区金融大街5号（新盛大厦）12、15层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北京市西城区金融大街5号新盛大厦B座12-15层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魏庆华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郑旷怡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010-66559039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010-66555133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http://www.dxzq.net </w:t>
            </w:r>
          </w:p>
        </w:tc>
      </w:tr>
    </w:tbl>
    <w:p>
      <w:pPr>
        <w:pStyle w:val="7"/>
        <w:spacing w:before="0" w:beforeAutospacing="0" w:after="0" w:afterAutospacing="0" w:line="360" w:lineRule="auto"/>
        <w:ind w:firstLine="420"/>
        <w:rPr>
          <w:sz w:val="21"/>
          <w:szCs w:val="21"/>
        </w:rPr>
      </w:pPr>
      <w:r>
        <w:rPr>
          <w:rFonts w:hint="eastAsia"/>
          <w:b/>
          <w:bCs/>
          <w:sz w:val="21"/>
          <w:szCs w:val="21"/>
        </w:rPr>
        <w:t>(151)东吴证券股份有限公司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江苏省苏州市翠园路181号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江苏省苏州市星阳街5号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范力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陆晓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0512-62938521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0512－65588021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4008601555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http://www.dwjq.com.cn </w:t>
            </w:r>
          </w:p>
        </w:tc>
      </w:tr>
    </w:tbl>
    <w:p>
      <w:pPr>
        <w:pStyle w:val="7"/>
        <w:spacing w:before="0" w:beforeAutospacing="0" w:after="0" w:afterAutospacing="0" w:line="360" w:lineRule="auto"/>
        <w:ind w:firstLine="420"/>
        <w:rPr>
          <w:sz w:val="21"/>
          <w:szCs w:val="21"/>
        </w:rPr>
      </w:pPr>
      <w:r>
        <w:rPr>
          <w:rFonts w:hint="eastAsia"/>
          <w:b/>
          <w:bCs/>
          <w:sz w:val="21"/>
          <w:szCs w:val="21"/>
        </w:rPr>
        <w:t>(152)信达证券股份有限公司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王薇安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010－83252170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010－63081344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http://www.cindasc.com </w:t>
            </w:r>
          </w:p>
        </w:tc>
      </w:tr>
    </w:tbl>
    <w:p>
      <w:pPr>
        <w:pStyle w:val="7"/>
        <w:spacing w:before="0" w:beforeAutospacing="0" w:after="0" w:afterAutospacing="0" w:line="360" w:lineRule="auto"/>
        <w:ind w:firstLine="420"/>
        <w:rPr>
          <w:sz w:val="21"/>
          <w:szCs w:val="21"/>
        </w:rPr>
      </w:pPr>
      <w:r>
        <w:rPr>
          <w:rFonts w:hint="eastAsia"/>
          <w:b/>
          <w:bCs/>
          <w:sz w:val="21"/>
          <w:szCs w:val="21"/>
        </w:rPr>
        <w:t>(153)东方证券股份有限公司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上海市中山南路318号2号楼22层－29层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上海市中山南路318号2号楼21层－29层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金文忠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朱琼玉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021-63325888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021－63326729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http://www.dfzq.com.cn </w:t>
            </w:r>
          </w:p>
        </w:tc>
      </w:tr>
    </w:tbl>
    <w:p>
      <w:pPr>
        <w:pStyle w:val="7"/>
        <w:spacing w:before="0" w:beforeAutospacing="0" w:after="0" w:afterAutospacing="0" w:line="360" w:lineRule="auto"/>
        <w:ind w:firstLine="420"/>
        <w:rPr>
          <w:sz w:val="21"/>
          <w:szCs w:val="21"/>
        </w:rPr>
      </w:pPr>
      <w:r>
        <w:rPr>
          <w:rFonts w:hint="eastAsia"/>
          <w:b/>
          <w:bCs/>
          <w:sz w:val="21"/>
          <w:szCs w:val="21"/>
        </w:rPr>
        <w:t>(154)方正证券股份有限公司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胡创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010-56437060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0731-85832214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http://www.foundersc.com </w:t>
            </w:r>
          </w:p>
        </w:tc>
      </w:tr>
    </w:tbl>
    <w:p>
      <w:pPr>
        <w:pStyle w:val="7"/>
        <w:spacing w:before="0" w:beforeAutospacing="0" w:after="0" w:afterAutospacing="0" w:line="360" w:lineRule="auto"/>
        <w:ind w:firstLine="420"/>
        <w:rPr>
          <w:sz w:val="21"/>
          <w:szCs w:val="21"/>
        </w:rPr>
      </w:pPr>
      <w:r>
        <w:rPr>
          <w:rFonts w:hint="eastAsia"/>
          <w:b/>
          <w:bCs/>
          <w:sz w:val="21"/>
          <w:szCs w:val="21"/>
        </w:rPr>
        <w:t>(155)长城证券股份有限公司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深圳市深南大道6008号特区报业大厦16、17层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深圳市深南大道6008号特区报业大厦14、16、17层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丁益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0755-83464734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0755－83515567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http://www.cgws.com </w:t>
            </w:r>
          </w:p>
        </w:tc>
      </w:tr>
    </w:tbl>
    <w:p>
      <w:pPr>
        <w:pStyle w:val="7"/>
        <w:spacing w:before="0" w:beforeAutospacing="0" w:after="0" w:afterAutospacing="0" w:line="360" w:lineRule="auto"/>
        <w:ind w:firstLine="420"/>
        <w:rPr>
          <w:sz w:val="21"/>
          <w:szCs w:val="21"/>
        </w:rPr>
      </w:pPr>
      <w:r>
        <w:rPr>
          <w:rFonts w:hint="eastAsia"/>
          <w:b/>
          <w:bCs/>
          <w:sz w:val="21"/>
          <w:szCs w:val="21"/>
        </w:rPr>
        <w:t>(156)光大证券股份有限公司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(157)中信证券华南股份有限公司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(158)南京证券股份有限公司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http://www.njzq.com.cn </w:t>
            </w:r>
          </w:p>
        </w:tc>
      </w:tr>
    </w:tbl>
    <w:p>
      <w:pPr>
        <w:pStyle w:val="7"/>
        <w:spacing w:before="0" w:beforeAutospacing="0" w:after="0" w:afterAutospacing="0" w:line="360" w:lineRule="auto"/>
        <w:ind w:firstLine="420"/>
        <w:rPr>
          <w:sz w:val="21"/>
          <w:szCs w:val="21"/>
        </w:rPr>
      </w:pPr>
      <w:r>
        <w:rPr>
          <w:rFonts w:hint="eastAsia"/>
          <w:b/>
          <w:bCs/>
          <w:sz w:val="21"/>
          <w:szCs w:val="21"/>
        </w:rPr>
        <w:t>(159)上海证券有限责任公司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https://www.shzq.com/ </w:t>
            </w:r>
          </w:p>
        </w:tc>
      </w:tr>
    </w:tbl>
    <w:p>
      <w:pPr>
        <w:pStyle w:val="7"/>
        <w:spacing w:before="0" w:beforeAutospacing="0" w:after="0" w:afterAutospacing="0" w:line="360" w:lineRule="auto"/>
        <w:ind w:firstLine="420"/>
        <w:rPr>
          <w:sz w:val="21"/>
          <w:szCs w:val="21"/>
        </w:rPr>
      </w:pPr>
      <w:r>
        <w:rPr>
          <w:rFonts w:hint="eastAsia"/>
          <w:b/>
          <w:bCs/>
          <w:sz w:val="21"/>
          <w:szCs w:val="21"/>
        </w:rPr>
        <w:t>(160)诚通证券股份有限公司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http://www.xsdzq.cn </w:t>
            </w:r>
          </w:p>
        </w:tc>
      </w:tr>
    </w:tbl>
    <w:p>
      <w:pPr>
        <w:pStyle w:val="7"/>
        <w:spacing w:before="0" w:beforeAutospacing="0" w:after="0" w:afterAutospacing="0" w:line="360" w:lineRule="auto"/>
        <w:ind w:firstLine="420"/>
        <w:rPr>
          <w:sz w:val="21"/>
          <w:szCs w:val="21"/>
        </w:rPr>
      </w:pPr>
      <w:r>
        <w:rPr>
          <w:rFonts w:hint="eastAsia"/>
          <w:b/>
          <w:bCs/>
          <w:sz w:val="21"/>
          <w:szCs w:val="21"/>
        </w:rPr>
        <w:t>(161)大同证券有限责任公司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山西省大同市平城区迎宾街15号桐城中央21层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山西省太原市小店区长治路111号山西世贸中心A座F12、F13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0351-7219891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www.dtsbc.com.cn </w:t>
            </w:r>
          </w:p>
        </w:tc>
      </w:tr>
    </w:tbl>
    <w:p>
      <w:pPr>
        <w:pStyle w:val="7"/>
        <w:spacing w:before="0" w:beforeAutospacing="0" w:after="0" w:afterAutospacing="0" w:line="360" w:lineRule="auto"/>
        <w:ind w:firstLine="420"/>
        <w:rPr>
          <w:sz w:val="21"/>
          <w:szCs w:val="21"/>
        </w:rPr>
      </w:pPr>
      <w:r>
        <w:rPr>
          <w:rFonts w:hint="eastAsia"/>
          <w:b/>
          <w:bCs/>
          <w:sz w:val="21"/>
          <w:szCs w:val="21"/>
        </w:rPr>
        <w:t>(162)国联证券股份有限公司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无锡市县前东街168号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江苏省无锡市太湖新城金融一街8号国联金融大厦702室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姚志勇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祁昊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0510-82831662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0510-82830162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http://www.glsc.com.cn </w:t>
            </w:r>
          </w:p>
        </w:tc>
      </w:tr>
    </w:tbl>
    <w:p>
      <w:pPr>
        <w:pStyle w:val="7"/>
        <w:spacing w:before="0" w:beforeAutospacing="0" w:after="0" w:afterAutospacing="0" w:line="360" w:lineRule="auto"/>
        <w:ind w:firstLine="420"/>
        <w:rPr>
          <w:sz w:val="21"/>
          <w:szCs w:val="21"/>
        </w:rPr>
      </w:pPr>
      <w:r>
        <w:rPr>
          <w:rFonts w:hint="eastAsia"/>
          <w:b/>
          <w:bCs/>
          <w:sz w:val="21"/>
          <w:szCs w:val="21"/>
        </w:rPr>
        <w:t>(163)浙商证券股份有限公司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浙江省杭州市江干区五星路201号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浙江省杭州市江干区四季青街道五星路201号浙商证券5楼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吴承根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沈高亮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0571-87902239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0571－87901913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http://www.stocke.com.cn/ </w:t>
            </w:r>
          </w:p>
        </w:tc>
      </w:tr>
    </w:tbl>
    <w:p>
      <w:pPr>
        <w:pStyle w:val="7"/>
        <w:spacing w:before="0" w:beforeAutospacing="0" w:after="0" w:afterAutospacing="0" w:line="360" w:lineRule="auto"/>
        <w:ind w:firstLine="420"/>
        <w:rPr>
          <w:sz w:val="21"/>
          <w:szCs w:val="21"/>
        </w:rPr>
      </w:pPr>
      <w:r>
        <w:rPr>
          <w:rFonts w:hint="eastAsia"/>
          <w:b/>
          <w:bCs/>
          <w:sz w:val="21"/>
          <w:szCs w:val="21"/>
        </w:rPr>
        <w:t>(164)平安证券股份有限公司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http:www.stock.pingan.com </w:t>
            </w:r>
          </w:p>
        </w:tc>
      </w:tr>
    </w:tbl>
    <w:p>
      <w:pPr>
        <w:pStyle w:val="7"/>
        <w:spacing w:before="0" w:beforeAutospacing="0" w:after="0" w:afterAutospacing="0" w:line="360" w:lineRule="auto"/>
        <w:ind w:firstLine="420"/>
        <w:rPr>
          <w:sz w:val="21"/>
          <w:szCs w:val="21"/>
        </w:rPr>
      </w:pPr>
      <w:r>
        <w:rPr>
          <w:rFonts w:hint="eastAsia"/>
          <w:b/>
          <w:bCs/>
          <w:sz w:val="21"/>
          <w:szCs w:val="21"/>
        </w:rPr>
        <w:t>(165)华安证券股份有限公司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安徽省合肥市政务文化新区天鹅湖路198号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安徽省合肥市南二环959号财智中心B1座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章宏韬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0551-65161821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0551－65161672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http://www.hazq.com/ </w:t>
            </w:r>
          </w:p>
        </w:tc>
      </w:tr>
    </w:tbl>
    <w:p>
      <w:pPr>
        <w:pStyle w:val="7"/>
        <w:spacing w:before="0" w:beforeAutospacing="0" w:after="0" w:afterAutospacing="0" w:line="360" w:lineRule="auto"/>
        <w:ind w:firstLine="420"/>
        <w:rPr>
          <w:sz w:val="21"/>
          <w:szCs w:val="21"/>
        </w:rPr>
      </w:pPr>
      <w:r>
        <w:rPr>
          <w:rFonts w:hint="eastAsia"/>
          <w:b/>
          <w:bCs/>
          <w:sz w:val="21"/>
          <w:szCs w:val="21"/>
        </w:rPr>
        <w:t>(166)国海证券股份有限公司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广西桂林市辅星路13号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深圳市福田区竹子林四路光大银行大厦3楼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张雅锋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0755－83707413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0755－83700205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4008888100（全国），96100（广西）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http://www.ghzq.com.cn </w:t>
            </w:r>
          </w:p>
        </w:tc>
      </w:tr>
    </w:tbl>
    <w:p>
      <w:pPr>
        <w:pStyle w:val="7"/>
        <w:spacing w:before="0" w:beforeAutospacing="0" w:after="0" w:afterAutospacing="0" w:line="360" w:lineRule="auto"/>
        <w:ind w:firstLine="420"/>
        <w:rPr>
          <w:sz w:val="21"/>
          <w:szCs w:val="21"/>
        </w:rPr>
      </w:pPr>
      <w:r>
        <w:rPr>
          <w:rFonts w:hint="eastAsia"/>
          <w:b/>
          <w:bCs/>
          <w:sz w:val="21"/>
          <w:szCs w:val="21"/>
        </w:rPr>
        <w:t>(167)财信证券有限责任公司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蔡一兵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郭磊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0731-84403319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0731-84403439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0731-84403360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http://www.cfzq.com/ </w:t>
            </w:r>
          </w:p>
        </w:tc>
      </w:tr>
    </w:tbl>
    <w:p>
      <w:pPr>
        <w:pStyle w:val="7"/>
        <w:spacing w:before="0" w:beforeAutospacing="0" w:after="0" w:afterAutospacing="0" w:line="360" w:lineRule="auto"/>
        <w:ind w:firstLine="420"/>
        <w:rPr>
          <w:sz w:val="21"/>
          <w:szCs w:val="21"/>
        </w:rPr>
      </w:pPr>
      <w:r>
        <w:rPr>
          <w:rFonts w:hint="eastAsia"/>
          <w:b/>
          <w:bCs/>
          <w:sz w:val="21"/>
          <w:szCs w:val="21"/>
        </w:rPr>
        <w:t>(168)东莞证券有限责任公司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陈照星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叶玉琪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0769-22119351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0769-22115712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http://www.dgzq.com.cn </w:t>
            </w:r>
          </w:p>
        </w:tc>
      </w:tr>
    </w:tbl>
    <w:p>
      <w:pPr>
        <w:pStyle w:val="7"/>
        <w:spacing w:before="0" w:beforeAutospacing="0" w:after="0" w:afterAutospacing="0" w:line="360" w:lineRule="auto"/>
        <w:ind w:firstLine="420"/>
        <w:rPr>
          <w:sz w:val="21"/>
          <w:szCs w:val="21"/>
        </w:rPr>
      </w:pPr>
      <w:r>
        <w:rPr>
          <w:rFonts w:hint="eastAsia"/>
          <w:b/>
          <w:bCs/>
          <w:sz w:val="21"/>
          <w:szCs w:val="21"/>
        </w:rPr>
        <w:t>(169)中原证券股份有限公司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菅明军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李盼盼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0371-69099882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0371--65585665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0371-967218;4008139666/95377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http://www.ccnew.com/ </w:t>
            </w:r>
          </w:p>
        </w:tc>
      </w:tr>
    </w:tbl>
    <w:p>
      <w:pPr>
        <w:pStyle w:val="7"/>
        <w:spacing w:before="0" w:beforeAutospacing="0" w:after="0" w:afterAutospacing="0" w:line="360" w:lineRule="auto"/>
        <w:ind w:firstLine="420"/>
        <w:rPr>
          <w:sz w:val="21"/>
          <w:szCs w:val="21"/>
        </w:rPr>
      </w:pPr>
      <w:r>
        <w:rPr>
          <w:rFonts w:hint="eastAsia"/>
          <w:b/>
          <w:bCs/>
          <w:sz w:val="21"/>
          <w:szCs w:val="21"/>
        </w:rPr>
        <w:t>(170)东海证券股份有限公司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江苏省常州延陵西路23号投资广场18层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上海市浦东新区东方路1928号东海证券大厦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钱俊文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王一彦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021-20333333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021-50498825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95531; 4008888588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http://www.longone.com.cn </w:t>
            </w:r>
          </w:p>
        </w:tc>
      </w:tr>
    </w:tbl>
    <w:p>
      <w:pPr>
        <w:pStyle w:val="7"/>
        <w:spacing w:before="0" w:beforeAutospacing="0" w:after="0" w:afterAutospacing="0" w:line="360" w:lineRule="auto"/>
        <w:ind w:firstLine="420"/>
        <w:rPr>
          <w:sz w:val="21"/>
          <w:szCs w:val="21"/>
        </w:rPr>
      </w:pPr>
      <w:r>
        <w:rPr>
          <w:rFonts w:hint="eastAsia"/>
          <w:b/>
          <w:bCs/>
          <w:sz w:val="21"/>
          <w:szCs w:val="21"/>
        </w:rPr>
        <w:t>(171)中银国际证券股份有限公司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 中国上海浦东银城中路200号中银大厦39-40层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上海市浦东新区银城中路200号中银大厦39层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宁敏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许慧琳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021－50372474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4006208888；021-61195566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http://www.bocichina.com </w:t>
            </w:r>
          </w:p>
        </w:tc>
      </w:tr>
    </w:tbl>
    <w:p>
      <w:pPr>
        <w:pStyle w:val="7"/>
        <w:spacing w:before="0" w:beforeAutospacing="0" w:after="0" w:afterAutospacing="0" w:line="360" w:lineRule="auto"/>
        <w:ind w:firstLine="420"/>
        <w:rPr>
          <w:sz w:val="21"/>
          <w:szCs w:val="21"/>
        </w:rPr>
      </w:pPr>
      <w:r>
        <w:rPr>
          <w:rFonts w:hint="eastAsia"/>
          <w:b/>
          <w:bCs/>
          <w:sz w:val="21"/>
          <w:szCs w:val="21"/>
        </w:rPr>
        <w:t>(172)恒泰证券股份有限公司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庞介民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熊丽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0471－4972675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http://www.cnht.com.cn/ </w:t>
            </w:r>
          </w:p>
        </w:tc>
      </w:tr>
    </w:tbl>
    <w:p>
      <w:pPr>
        <w:pStyle w:val="7"/>
        <w:spacing w:before="0" w:beforeAutospacing="0" w:after="0" w:afterAutospacing="0" w:line="360" w:lineRule="auto"/>
        <w:ind w:firstLine="420"/>
        <w:rPr>
          <w:sz w:val="21"/>
          <w:szCs w:val="21"/>
        </w:rPr>
      </w:pPr>
      <w:r>
        <w:rPr>
          <w:rFonts w:hint="eastAsia"/>
          <w:b/>
          <w:bCs/>
          <w:sz w:val="21"/>
          <w:szCs w:val="21"/>
        </w:rPr>
        <w:t>(173)国盛证券有限责任公司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江西省南昌市新建区子实路1589号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江西省南昌市红谷滩新区凤凰中大道1115号北京银行大厦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周军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占文驰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0791－86283372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0791－6289395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956080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https://www.gszq.com/ </w:t>
            </w:r>
          </w:p>
        </w:tc>
      </w:tr>
    </w:tbl>
    <w:p>
      <w:pPr>
        <w:pStyle w:val="7"/>
        <w:spacing w:before="0" w:beforeAutospacing="0" w:after="0" w:afterAutospacing="0" w:line="360" w:lineRule="auto"/>
        <w:ind w:firstLine="420"/>
        <w:rPr>
          <w:sz w:val="21"/>
          <w:szCs w:val="21"/>
        </w:rPr>
      </w:pPr>
      <w:r>
        <w:rPr>
          <w:rFonts w:hint="eastAsia"/>
          <w:b/>
          <w:bCs/>
          <w:sz w:val="21"/>
          <w:szCs w:val="21"/>
        </w:rPr>
        <w:t>(174)华西证券股份有限公司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http://www.hx168.com.cn </w:t>
            </w:r>
          </w:p>
        </w:tc>
      </w:tr>
    </w:tbl>
    <w:p>
      <w:pPr>
        <w:pStyle w:val="7"/>
        <w:spacing w:before="0" w:beforeAutospacing="0" w:after="0" w:afterAutospacing="0" w:line="360" w:lineRule="auto"/>
        <w:ind w:firstLine="420"/>
        <w:rPr>
          <w:sz w:val="21"/>
          <w:szCs w:val="21"/>
        </w:rPr>
      </w:pPr>
      <w:r>
        <w:rPr>
          <w:rFonts w:hint="eastAsia"/>
          <w:b/>
          <w:bCs/>
          <w:sz w:val="21"/>
          <w:szCs w:val="21"/>
        </w:rPr>
        <w:t>(175)申万宏源西部证券有限公司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王献军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梁丽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0991-2307105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010-88085195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(176)中泰证券股份有限公司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山东省济南市经十路20518号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山东省济南市经七路86号23层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朱琴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021-20315161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0531-68889357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www.zts.com.cn </w:t>
            </w:r>
          </w:p>
        </w:tc>
      </w:tr>
    </w:tbl>
    <w:p>
      <w:pPr>
        <w:pStyle w:val="7"/>
        <w:spacing w:before="0" w:beforeAutospacing="0" w:after="0" w:afterAutospacing="0" w:line="360" w:lineRule="auto"/>
        <w:ind w:firstLine="420"/>
        <w:rPr>
          <w:sz w:val="21"/>
          <w:szCs w:val="21"/>
        </w:rPr>
      </w:pPr>
      <w:r>
        <w:rPr>
          <w:rFonts w:hint="eastAsia"/>
          <w:b/>
          <w:bCs/>
          <w:sz w:val="21"/>
          <w:szCs w:val="21"/>
        </w:rPr>
        <w:t>(177)世纪证券有限责任公司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深圳市前海深港合作区南山街道桂湾五路128号前海深港基金小镇对冲基金中心406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广东省深圳市福田区福田街道金田路2026号能源大厦北塔23-25楼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徐玲娟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0755-83199599-9135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0755－83199545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4008323000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http://www.csco.com.cn/ </w:t>
            </w:r>
          </w:p>
        </w:tc>
      </w:tr>
    </w:tbl>
    <w:p>
      <w:pPr>
        <w:pStyle w:val="7"/>
        <w:spacing w:before="0" w:beforeAutospacing="0" w:after="0" w:afterAutospacing="0" w:line="360" w:lineRule="auto"/>
        <w:ind w:firstLine="420"/>
        <w:rPr>
          <w:sz w:val="21"/>
          <w:szCs w:val="21"/>
        </w:rPr>
      </w:pPr>
      <w:r>
        <w:rPr>
          <w:rFonts w:hint="eastAsia"/>
          <w:b/>
          <w:bCs/>
          <w:sz w:val="21"/>
          <w:szCs w:val="21"/>
        </w:rPr>
        <w:t>(178)第一创业证券股份有限公司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http://www.firstcapital.com.cn/ </w:t>
            </w:r>
          </w:p>
        </w:tc>
      </w:tr>
    </w:tbl>
    <w:p>
      <w:pPr>
        <w:pStyle w:val="7"/>
        <w:spacing w:before="0" w:beforeAutospacing="0" w:after="0" w:afterAutospacing="0" w:line="360" w:lineRule="auto"/>
        <w:ind w:firstLine="420"/>
        <w:rPr>
          <w:sz w:val="21"/>
          <w:szCs w:val="21"/>
        </w:rPr>
      </w:pPr>
      <w:r>
        <w:rPr>
          <w:rFonts w:hint="eastAsia"/>
          <w:b/>
          <w:bCs/>
          <w:sz w:val="21"/>
          <w:szCs w:val="21"/>
        </w:rPr>
        <w:t>(179)中航证券有限公司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丛中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王丹妮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0791-6768763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0791-6789414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400-8866-567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http://www.avicsec.com/ </w:t>
            </w:r>
          </w:p>
        </w:tc>
      </w:tr>
    </w:tbl>
    <w:p>
      <w:pPr>
        <w:pStyle w:val="7"/>
        <w:spacing w:before="0" w:beforeAutospacing="0" w:after="0" w:afterAutospacing="0" w:line="360" w:lineRule="auto"/>
        <w:ind w:firstLine="420"/>
        <w:rPr>
          <w:sz w:val="21"/>
          <w:szCs w:val="21"/>
        </w:rPr>
      </w:pPr>
      <w:r>
        <w:rPr>
          <w:rFonts w:hint="eastAsia"/>
          <w:b/>
          <w:bCs/>
          <w:sz w:val="21"/>
          <w:szCs w:val="21"/>
        </w:rPr>
        <w:t>(180)华林证券股份有限公司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林立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0755－82707855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0755－23613751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4001883888 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http://www.chinalin.com/ </w:t>
            </w:r>
          </w:p>
        </w:tc>
      </w:tr>
    </w:tbl>
    <w:p>
      <w:pPr>
        <w:pStyle w:val="7"/>
        <w:spacing w:before="0" w:beforeAutospacing="0" w:after="0" w:afterAutospacing="0" w:line="360" w:lineRule="auto"/>
        <w:ind w:firstLine="420"/>
        <w:rPr>
          <w:sz w:val="21"/>
          <w:szCs w:val="21"/>
        </w:rPr>
      </w:pPr>
      <w:r>
        <w:rPr>
          <w:rFonts w:hint="eastAsia"/>
          <w:b/>
          <w:bCs/>
          <w:sz w:val="21"/>
          <w:szCs w:val="21"/>
        </w:rPr>
        <w:t>(181)德邦证券股份有限公司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上海市普陀区曹杨路510号南半幢9楼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上海市浦东新区福山路500号城建国际中心26楼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武晓春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021-68761616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021-68767981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4008888128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http://www.tebon.com.cn </w:t>
            </w:r>
          </w:p>
        </w:tc>
      </w:tr>
    </w:tbl>
    <w:p>
      <w:pPr>
        <w:pStyle w:val="7"/>
        <w:spacing w:before="0" w:beforeAutospacing="0" w:after="0" w:afterAutospacing="0" w:line="360" w:lineRule="auto"/>
        <w:ind w:firstLine="420"/>
        <w:rPr>
          <w:sz w:val="21"/>
          <w:szCs w:val="21"/>
        </w:rPr>
      </w:pPr>
      <w:r>
        <w:rPr>
          <w:rFonts w:hint="eastAsia"/>
          <w:b/>
          <w:bCs/>
          <w:sz w:val="21"/>
          <w:szCs w:val="21"/>
        </w:rPr>
        <w:t>(182)西部证券股份有限公司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陕西省西安市新城区东新街319号8幢10000室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西安市新城区东新街319号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徐朝晖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029-87211668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029-87406117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http://www.west95582.com/ </w:t>
            </w:r>
          </w:p>
        </w:tc>
      </w:tr>
    </w:tbl>
    <w:p>
      <w:pPr>
        <w:pStyle w:val="7"/>
        <w:spacing w:before="0" w:beforeAutospacing="0" w:after="0" w:afterAutospacing="0" w:line="360" w:lineRule="auto"/>
        <w:ind w:firstLine="420"/>
        <w:rPr>
          <w:sz w:val="21"/>
          <w:szCs w:val="21"/>
        </w:rPr>
      </w:pPr>
      <w:r>
        <w:rPr>
          <w:rFonts w:hint="eastAsia"/>
          <w:b/>
          <w:bCs/>
          <w:sz w:val="21"/>
          <w:szCs w:val="21"/>
        </w:rPr>
        <w:t>(183)华福证券有限责任公司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福州市五四路157号新天地大厦7、8层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福州市五四路157号新天地大厦7至10层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黄金琳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021-20655183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0591－87383610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http://www.hfzq.com.cn </w:t>
            </w:r>
          </w:p>
        </w:tc>
      </w:tr>
    </w:tbl>
    <w:p>
      <w:pPr>
        <w:pStyle w:val="7"/>
        <w:spacing w:before="0" w:beforeAutospacing="0" w:after="0" w:afterAutospacing="0" w:line="360" w:lineRule="auto"/>
        <w:ind w:firstLine="420"/>
        <w:rPr>
          <w:sz w:val="21"/>
          <w:szCs w:val="21"/>
        </w:rPr>
      </w:pPr>
      <w:r>
        <w:rPr>
          <w:rFonts w:hint="eastAsia"/>
          <w:b/>
          <w:bCs/>
          <w:sz w:val="21"/>
          <w:szCs w:val="21"/>
        </w:rPr>
        <w:t>(184)华龙证券股份有限公司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兰州市城关区东岗西路638号兰州财富中心21楼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甘肃省兰州市城关区东岗西路638号财富大厦19楼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祁建邦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0931-4890208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0931-4890628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95368/400689888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 www.hlzq.com/  </w:t>
            </w:r>
          </w:p>
        </w:tc>
      </w:tr>
    </w:tbl>
    <w:p>
      <w:pPr>
        <w:pStyle w:val="7"/>
        <w:spacing w:before="0" w:beforeAutospacing="0" w:after="0" w:afterAutospacing="0" w:line="360" w:lineRule="auto"/>
        <w:ind w:firstLine="420"/>
        <w:rPr>
          <w:sz w:val="21"/>
          <w:szCs w:val="21"/>
        </w:rPr>
      </w:pPr>
      <w:r>
        <w:rPr>
          <w:rFonts w:hint="eastAsia"/>
          <w:b/>
          <w:bCs/>
          <w:sz w:val="21"/>
          <w:szCs w:val="21"/>
        </w:rPr>
        <w:t>(185)中国国际金融股份有限公司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沈如军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任敏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010－65051156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http://www.cicc.com.cn/ </w:t>
            </w:r>
          </w:p>
        </w:tc>
      </w:tr>
    </w:tbl>
    <w:p>
      <w:pPr>
        <w:pStyle w:val="7"/>
        <w:spacing w:before="0" w:beforeAutospacing="0" w:after="0" w:afterAutospacing="0" w:line="360" w:lineRule="auto"/>
        <w:ind w:firstLine="420"/>
        <w:rPr>
          <w:sz w:val="21"/>
          <w:szCs w:val="21"/>
        </w:rPr>
      </w:pPr>
      <w:r>
        <w:rPr>
          <w:rFonts w:hint="eastAsia"/>
          <w:b/>
          <w:bCs/>
          <w:sz w:val="21"/>
          <w:szCs w:val="21"/>
        </w:rPr>
        <w:t>(186)财通证券股份有限公司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杭州市解放路111号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浙江省杭州市天目山路198号财通双冠大厦西楼1201室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陆建强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蔡还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0571-87789160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0571－85071387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95336（上海地区962336）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http://www.ctsec.com </w:t>
            </w:r>
          </w:p>
        </w:tc>
      </w:tr>
    </w:tbl>
    <w:p>
      <w:pPr>
        <w:pStyle w:val="7"/>
        <w:spacing w:before="0" w:beforeAutospacing="0" w:after="0" w:afterAutospacing="0" w:line="360" w:lineRule="auto"/>
        <w:ind w:firstLine="420"/>
        <w:rPr>
          <w:sz w:val="21"/>
          <w:szCs w:val="21"/>
        </w:rPr>
      </w:pPr>
      <w:r>
        <w:rPr>
          <w:rFonts w:hint="eastAsia"/>
          <w:b/>
          <w:bCs/>
          <w:sz w:val="21"/>
          <w:szCs w:val="21"/>
        </w:rPr>
        <w:t>(187)甬兴证券有限公司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浙江省宁波市鄞州区海晏北路565、577号8-11层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浙江省宁波市鄞州区海晏北路565、577号8-11层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021-38784818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021-38784818-8508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400-916-0666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https://www.yongxingsec.com/ </w:t>
            </w:r>
          </w:p>
        </w:tc>
      </w:tr>
    </w:tbl>
    <w:p>
      <w:pPr>
        <w:pStyle w:val="7"/>
        <w:spacing w:before="0" w:beforeAutospacing="0" w:after="0" w:afterAutospacing="0" w:line="360" w:lineRule="auto"/>
        <w:ind w:firstLine="420"/>
        <w:rPr>
          <w:sz w:val="21"/>
          <w:szCs w:val="21"/>
        </w:rPr>
      </w:pPr>
      <w:r>
        <w:rPr>
          <w:rFonts w:hint="eastAsia"/>
          <w:b/>
          <w:bCs/>
          <w:sz w:val="21"/>
          <w:szCs w:val="21"/>
        </w:rPr>
        <w:t>(188)五矿证券有限公司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深圳市福田区金田路4028号荣超经贸中心办公楼47层01单元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深圳市福田区金田路4028号荣超经贸中心47-49楼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张永衡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赖君伟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0755-23902400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0755-82545500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4001840028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http://www.wkzq.com.cn </w:t>
            </w:r>
          </w:p>
        </w:tc>
      </w:tr>
    </w:tbl>
    <w:p>
      <w:pPr>
        <w:pStyle w:val="7"/>
        <w:spacing w:before="0" w:beforeAutospacing="0" w:after="0" w:afterAutospacing="0" w:line="360" w:lineRule="auto"/>
        <w:ind w:firstLine="420"/>
        <w:rPr>
          <w:sz w:val="21"/>
          <w:szCs w:val="21"/>
        </w:rPr>
      </w:pPr>
      <w:r>
        <w:rPr>
          <w:rFonts w:hint="eastAsia"/>
          <w:b/>
          <w:bCs/>
          <w:sz w:val="21"/>
          <w:szCs w:val="21"/>
        </w:rPr>
        <w:t>(189)华鑫证券有限责任公司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深圳市福田区莲花街道福中社区深南大道2008号中国凤凰大厦1栋20C-1房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俞洋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021-54967656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021-64333051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95323,021-32109999,029-68918888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http://www.cfsc.com.cn </w:t>
            </w:r>
          </w:p>
        </w:tc>
      </w:tr>
    </w:tbl>
    <w:p>
      <w:pPr>
        <w:pStyle w:val="7"/>
        <w:spacing w:before="0" w:beforeAutospacing="0" w:after="0" w:afterAutospacing="0" w:line="360" w:lineRule="auto"/>
        <w:ind w:firstLine="420"/>
        <w:rPr>
          <w:sz w:val="21"/>
          <w:szCs w:val="21"/>
        </w:rPr>
      </w:pPr>
      <w:r>
        <w:rPr>
          <w:rFonts w:hint="eastAsia"/>
          <w:b/>
          <w:bCs/>
          <w:sz w:val="21"/>
          <w:szCs w:val="21"/>
        </w:rPr>
        <w:t>(190)中国中金财富证券有限公司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http://www.china-invs.cn/ </w:t>
            </w:r>
          </w:p>
        </w:tc>
      </w:tr>
    </w:tbl>
    <w:p>
      <w:pPr>
        <w:pStyle w:val="7"/>
        <w:spacing w:before="0" w:beforeAutospacing="0" w:after="0" w:afterAutospacing="0" w:line="360" w:lineRule="auto"/>
        <w:ind w:firstLine="420"/>
        <w:rPr>
          <w:sz w:val="21"/>
          <w:szCs w:val="21"/>
        </w:rPr>
      </w:pPr>
      <w:r>
        <w:rPr>
          <w:rFonts w:hint="eastAsia"/>
          <w:b/>
          <w:bCs/>
          <w:sz w:val="21"/>
          <w:szCs w:val="21"/>
        </w:rPr>
        <w:t>(191)中山证券有限责任公司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吴小静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http://www.zszq.com </w:t>
            </w:r>
          </w:p>
        </w:tc>
      </w:tr>
    </w:tbl>
    <w:p>
      <w:pPr>
        <w:pStyle w:val="7"/>
        <w:spacing w:before="0" w:beforeAutospacing="0" w:after="0" w:afterAutospacing="0" w:line="360" w:lineRule="auto"/>
        <w:ind w:firstLine="420"/>
        <w:rPr>
          <w:sz w:val="21"/>
          <w:szCs w:val="21"/>
        </w:rPr>
      </w:pPr>
      <w:r>
        <w:rPr>
          <w:rFonts w:hint="eastAsia"/>
          <w:b/>
          <w:bCs/>
          <w:sz w:val="21"/>
          <w:szCs w:val="21"/>
        </w:rPr>
        <w:t>(192)东方财富证券股份有限公司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(193)国融证券股份有限公司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内蒙古自治区呼和浩特市武川县腾飞大道与呈祥路交汇处武川立农村镇银行股份有限公司四楼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内蒙古自治区呼和浩特市武川县腾飞大道与呈祥路交汇处武川立农村镇银行股份有限公司四楼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张智河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陈韦杉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+86 10 83991888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+86 10 88086637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 0471-6919911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http://www.grzq.com/ </w:t>
            </w:r>
          </w:p>
        </w:tc>
      </w:tr>
    </w:tbl>
    <w:p>
      <w:pPr>
        <w:pStyle w:val="7"/>
        <w:spacing w:before="0" w:beforeAutospacing="0" w:after="0" w:afterAutospacing="0" w:line="360" w:lineRule="auto"/>
        <w:ind w:firstLine="420"/>
        <w:rPr>
          <w:sz w:val="21"/>
          <w:szCs w:val="21"/>
        </w:rPr>
      </w:pPr>
      <w:r>
        <w:rPr>
          <w:rFonts w:hint="eastAsia"/>
          <w:b/>
          <w:bCs/>
          <w:sz w:val="21"/>
          <w:szCs w:val="21"/>
        </w:rPr>
        <w:t>(194)粤开证券股份有限公司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广州经济技术开发区科学大道60号开发区控股中心21、22、23层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http://www.ykzq.com </w:t>
            </w:r>
          </w:p>
        </w:tc>
      </w:tr>
    </w:tbl>
    <w:p>
      <w:pPr>
        <w:pStyle w:val="7"/>
        <w:spacing w:before="0" w:beforeAutospacing="0" w:after="0" w:afterAutospacing="0" w:line="360" w:lineRule="auto"/>
        <w:ind w:firstLine="420"/>
        <w:rPr>
          <w:sz w:val="21"/>
          <w:szCs w:val="21"/>
        </w:rPr>
      </w:pPr>
      <w:r>
        <w:rPr>
          <w:rFonts w:hint="eastAsia"/>
          <w:b/>
          <w:bCs/>
          <w:sz w:val="21"/>
          <w:szCs w:val="21"/>
        </w:rPr>
        <w:t>(195)江海证券有限公司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孙名扬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王金娇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0451-87765732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0451－82287211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4006662288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http://www.jhzq.com.cn </w:t>
            </w:r>
          </w:p>
        </w:tc>
      </w:tr>
    </w:tbl>
    <w:p>
      <w:pPr>
        <w:pStyle w:val="7"/>
        <w:spacing w:before="0" w:beforeAutospacing="0" w:after="0" w:afterAutospacing="0" w:line="360" w:lineRule="auto"/>
        <w:ind w:firstLine="420"/>
        <w:rPr>
          <w:sz w:val="21"/>
          <w:szCs w:val="21"/>
        </w:rPr>
      </w:pPr>
      <w:r>
        <w:rPr>
          <w:rFonts w:hint="eastAsia"/>
          <w:b/>
          <w:bCs/>
          <w:sz w:val="21"/>
          <w:szCs w:val="21"/>
        </w:rPr>
        <w:t>(196)九州证券股份有限公司 </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青海省西宁市城中区西大街11号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北京市西城区金融大街7号英蓝国际金融中心D座5层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魏先锋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张晓黎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010-57672186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4006543218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http://www.tyzq.com.cn </w:t>
            </w:r>
          </w:p>
        </w:tc>
      </w:tr>
    </w:tbl>
    <w:p>
      <w:pPr>
        <w:pStyle w:val="7"/>
        <w:spacing w:before="0" w:beforeAutospacing="0" w:after="0" w:afterAutospacing="0" w:line="360" w:lineRule="auto"/>
        <w:ind w:firstLine="420"/>
        <w:rPr>
          <w:sz w:val="21"/>
          <w:szCs w:val="21"/>
        </w:rPr>
      </w:pPr>
      <w:r>
        <w:rPr>
          <w:rFonts w:hint="eastAsia"/>
          <w:b/>
          <w:bCs/>
          <w:sz w:val="21"/>
          <w:szCs w:val="21"/>
        </w:rPr>
        <w:t>(197)国金证券股份有限公司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(198)华宝证券股份有限公司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刘加海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刘闻川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021-68777222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021－68777822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4008209898;021-38929908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http://www.cnhbstock.com </w:t>
            </w:r>
          </w:p>
        </w:tc>
      </w:tr>
    </w:tbl>
    <w:p>
      <w:pPr>
        <w:pStyle w:val="7"/>
        <w:spacing w:before="0" w:beforeAutospacing="0" w:after="0" w:afterAutospacing="0" w:line="360" w:lineRule="auto"/>
        <w:ind w:firstLine="420"/>
        <w:rPr>
          <w:sz w:val="21"/>
          <w:szCs w:val="21"/>
        </w:rPr>
      </w:pPr>
      <w:r>
        <w:rPr>
          <w:rFonts w:hint="eastAsia"/>
          <w:b/>
          <w:bCs/>
          <w:sz w:val="21"/>
          <w:szCs w:val="21"/>
        </w:rPr>
        <w:t>(199)长城国瑞证券有限公司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布前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010-68080680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0592-2079228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0592-5163588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http://www.xmzq.cn </w:t>
            </w:r>
          </w:p>
        </w:tc>
      </w:tr>
    </w:tbl>
    <w:p>
      <w:pPr>
        <w:pStyle w:val="7"/>
        <w:spacing w:before="0" w:beforeAutospacing="0" w:after="0" w:afterAutospacing="0" w:line="360" w:lineRule="auto"/>
        <w:ind w:firstLine="420"/>
        <w:rPr>
          <w:sz w:val="21"/>
          <w:szCs w:val="21"/>
        </w:rPr>
      </w:pPr>
      <w:r>
        <w:rPr>
          <w:rFonts w:hint="eastAsia"/>
          <w:b/>
          <w:bCs/>
          <w:sz w:val="21"/>
          <w:szCs w:val="21"/>
        </w:rPr>
        <w:t>(200)爱建证券有限责任公司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中国（上海）自由贸易试验区世纪大道1600号1幢32楼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上海市浦东新区世纪大道1600号32楼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祝健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姚盛盛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021-32229888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021- 68728703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4001-962-502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http://www.ajzq.com </w:t>
            </w:r>
          </w:p>
        </w:tc>
      </w:tr>
    </w:tbl>
    <w:p>
      <w:pPr>
        <w:pStyle w:val="7"/>
        <w:spacing w:before="0" w:beforeAutospacing="0" w:after="0" w:afterAutospacing="0" w:line="360" w:lineRule="auto"/>
        <w:ind w:firstLine="420"/>
        <w:rPr>
          <w:sz w:val="21"/>
          <w:szCs w:val="21"/>
        </w:rPr>
      </w:pPr>
      <w:r>
        <w:rPr>
          <w:rFonts w:hint="eastAsia"/>
          <w:b/>
          <w:bCs/>
          <w:sz w:val="21"/>
          <w:szCs w:val="21"/>
        </w:rPr>
        <w:t>(201)英大证券有限责任公司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吴骏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吴尔晖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0755-83007159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0755-83007034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4000-188-688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http://www.ydsc.com.cn </w:t>
            </w:r>
          </w:p>
        </w:tc>
      </w:tr>
    </w:tbl>
    <w:p>
      <w:pPr>
        <w:pStyle w:val="7"/>
        <w:spacing w:before="0" w:beforeAutospacing="0" w:after="0" w:afterAutospacing="0" w:line="360" w:lineRule="auto"/>
        <w:ind w:firstLine="420"/>
        <w:rPr>
          <w:sz w:val="21"/>
          <w:szCs w:val="21"/>
        </w:rPr>
      </w:pPr>
      <w:r>
        <w:rPr>
          <w:rFonts w:hint="eastAsia"/>
          <w:b/>
          <w:bCs/>
          <w:sz w:val="21"/>
          <w:szCs w:val="21"/>
        </w:rPr>
        <w:t>(202)大通证券股份有限公司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辽宁省大连市中山区人民路24号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辽宁省大连市沙河口区会展路129号大连期货大厦39层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于宏民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谢立军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0411-39673202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0411-39673219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4008169169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http://www.daton.com.cn </w:t>
            </w:r>
          </w:p>
        </w:tc>
      </w:tr>
    </w:tbl>
    <w:p>
      <w:pPr>
        <w:pStyle w:val="7"/>
        <w:spacing w:before="0" w:beforeAutospacing="0" w:after="0" w:afterAutospacing="0" w:line="360" w:lineRule="auto"/>
        <w:ind w:firstLine="420"/>
        <w:rPr>
          <w:sz w:val="21"/>
          <w:szCs w:val="21"/>
        </w:rPr>
      </w:pPr>
      <w:r>
        <w:rPr>
          <w:rFonts w:hint="eastAsia"/>
          <w:b/>
          <w:bCs/>
          <w:sz w:val="21"/>
          <w:szCs w:val="21"/>
        </w:rPr>
        <w:t>(203)首创证券股份有限公司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北京市西城区德胜门外大街115号德胜尚城E座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北京市朝阳区安定路5号院北投投资大厦A座18层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毕劲松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刘宇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010－81152418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010－81152982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95381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www.sczq.com.cn </w:t>
            </w:r>
          </w:p>
        </w:tc>
      </w:tr>
    </w:tbl>
    <w:p>
      <w:pPr>
        <w:pStyle w:val="7"/>
        <w:spacing w:before="0" w:beforeAutospacing="0" w:after="0" w:afterAutospacing="0" w:line="360" w:lineRule="auto"/>
        <w:ind w:firstLine="420"/>
        <w:rPr>
          <w:sz w:val="21"/>
          <w:szCs w:val="21"/>
        </w:rPr>
      </w:pPr>
      <w:r>
        <w:rPr>
          <w:rFonts w:hint="eastAsia"/>
          <w:b/>
          <w:bCs/>
          <w:sz w:val="21"/>
          <w:szCs w:val="21"/>
        </w:rPr>
        <w:t>(204)太平洋证券股份有限公司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云南省昆明市青年路389号志远大厦18层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北京市西城区北展北街九号华远企业号D座三单元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李长伟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0871-68885858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0871-68898100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400-665-0999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http://www.tpyzq.com/ </w:t>
            </w:r>
          </w:p>
        </w:tc>
      </w:tr>
    </w:tbl>
    <w:p>
      <w:pPr>
        <w:pStyle w:val="7"/>
        <w:spacing w:before="0" w:beforeAutospacing="0" w:after="0" w:afterAutospacing="0" w:line="360" w:lineRule="auto"/>
        <w:ind w:firstLine="420"/>
        <w:rPr>
          <w:sz w:val="21"/>
          <w:szCs w:val="21"/>
        </w:rPr>
      </w:pPr>
      <w:r>
        <w:rPr>
          <w:rFonts w:hint="eastAsia"/>
          <w:b/>
          <w:bCs/>
          <w:sz w:val="21"/>
          <w:szCs w:val="21"/>
        </w:rPr>
        <w:t>(205)联储证券有限责任公司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吕春卫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张婉婷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010-86499765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0755-82075835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4006206868/010-56177851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http://www.lczq.com/ </w:t>
            </w:r>
          </w:p>
        </w:tc>
      </w:tr>
    </w:tbl>
    <w:p>
      <w:pPr>
        <w:pStyle w:val="7"/>
        <w:spacing w:before="0" w:beforeAutospacing="0" w:after="0" w:afterAutospacing="0" w:line="360" w:lineRule="auto"/>
        <w:ind w:firstLine="420"/>
        <w:rPr>
          <w:sz w:val="21"/>
          <w:szCs w:val="21"/>
        </w:rPr>
      </w:pPr>
      <w:r>
        <w:rPr>
          <w:rFonts w:hint="eastAsia"/>
          <w:b/>
          <w:bCs/>
          <w:sz w:val="21"/>
          <w:szCs w:val="21"/>
        </w:rPr>
        <w:t>(206)华瑞保险销售有限公司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(207)玄元保险代理有限公司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(208)阳光人寿保险股份有限公司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(209)中国人寿保险股份有限公司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(210)泉州银行股份有限公司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傅子能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董培姗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0595-22551071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0595-22505215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400-889-6312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www.qzccbank.com </w:t>
            </w:r>
          </w:p>
        </w:tc>
      </w:tr>
    </w:tbl>
    <w:p>
      <w:pPr>
        <w:pStyle w:val="7"/>
        <w:spacing w:before="0" w:beforeAutospacing="0" w:after="0" w:afterAutospacing="0" w:line="360" w:lineRule="auto"/>
        <w:ind w:firstLine="420"/>
        <w:rPr>
          <w:sz w:val="21"/>
          <w:szCs w:val="21"/>
        </w:rPr>
      </w:pPr>
      <w:r>
        <w:rPr>
          <w:rFonts w:hint="eastAsia"/>
          <w:b/>
          <w:bCs/>
          <w:sz w:val="21"/>
          <w:szCs w:val="21"/>
        </w:rPr>
        <w:t>(211)龙江银行股份有限公司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张建辉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闫勇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4006458888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www.lj-bank.com </w:t>
            </w:r>
          </w:p>
        </w:tc>
      </w:tr>
    </w:tbl>
    <w:p>
      <w:pPr>
        <w:pStyle w:val="7"/>
        <w:spacing w:before="0" w:beforeAutospacing="0" w:after="0" w:afterAutospacing="0" w:line="360" w:lineRule="auto"/>
        <w:ind w:firstLine="420"/>
        <w:rPr>
          <w:sz w:val="21"/>
          <w:szCs w:val="21"/>
        </w:rPr>
      </w:pPr>
      <w:r>
        <w:rPr>
          <w:rFonts w:hint="eastAsia"/>
          <w:b/>
          <w:bCs/>
          <w:sz w:val="21"/>
          <w:szCs w:val="21"/>
        </w:rPr>
        <w:t>(212)浙江乐清农村商业银行股份有限公司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浙江省乐清市城南街道伯乐西路99号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浙江省乐清市城南街道伯乐西路99号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高剑飞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金晓娇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0577-61566028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0577-61566063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96596 </w:t>
            </w:r>
          </w:p>
        </w:tc>
      </w:tr>
    </w:tbl>
    <w:p>
      <w:pPr>
        <w:pStyle w:val="7"/>
        <w:spacing w:before="0" w:beforeAutospacing="0" w:after="0" w:afterAutospacing="0" w:line="360" w:lineRule="auto"/>
        <w:ind w:firstLine="420"/>
        <w:rPr>
          <w:sz w:val="21"/>
          <w:szCs w:val="21"/>
        </w:rPr>
      </w:pPr>
      <w:r>
        <w:rPr>
          <w:rFonts w:hint="eastAsia"/>
          <w:b/>
          <w:bCs/>
          <w:sz w:val="21"/>
          <w:szCs w:val="21"/>
        </w:rPr>
        <w:t>(213)青岛农村商业银行股份有限公司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刘仲生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严菲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0532-66957360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0532-66957229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0532-96668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www.qrcb.com.cn </w:t>
            </w:r>
          </w:p>
        </w:tc>
      </w:tr>
    </w:tbl>
    <w:p>
      <w:pPr>
        <w:pStyle w:val="7"/>
        <w:spacing w:before="0" w:beforeAutospacing="0" w:after="0" w:afterAutospacing="0" w:line="360" w:lineRule="auto"/>
        <w:ind w:firstLine="420"/>
        <w:rPr>
          <w:sz w:val="21"/>
          <w:szCs w:val="21"/>
        </w:rPr>
      </w:pPr>
      <w:r>
        <w:rPr>
          <w:rFonts w:hint="eastAsia"/>
          <w:b/>
          <w:bCs/>
          <w:sz w:val="21"/>
          <w:szCs w:val="21"/>
        </w:rPr>
        <w:t>(214)深圳前海微众银行股份有限公司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广东省深圳市前海深港合作区前湾一路 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广东省深圳市南山区田厦国际中心36楼、37楼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顾敏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唐宇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0755-89462525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0755-86700688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400-999-8877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http://www.webank.com/  </w:t>
            </w:r>
          </w:p>
        </w:tc>
      </w:tr>
    </w:tbl>
    <w:p>
      <w:pPr>
        <w:pStyle w:val="7"/>
        <w:spacing w:before="0" w:beforeAutospacing="0" w:after="0" w:afterAutospacing="0" w:line="360" w:lineRule="auto"/>
        <w:ind w:firstLine="420"/>
        <w:rPr>
          <w:sz w:val="21"/>
          <w:szCs w:val="21"/>
        </w:rPr>
      </w:pPr>
      <w:r>
        <w:rPr>
          <w:rFonts w:hint="eastAsia"/>
          <w:b/>
          <w:bCs/>
          <w:sz w:val="21"/>
          <w:szCs w:val="21"/>
        </w:rPr>
        <w:t>(215)桂林银行股份有限公司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王能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周佩玲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0773-3810130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0773-3851691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www.guilinbank.com.cn </w:t>
            </w:r>
          </w:p>
        </w:tc>
      </w:tr>
    </w:tbl>
    <w:p>
      <w:pPr>
        <w:pStyle w:val="7"/>
        <w:spacing w:before="0" w:beforeAutospacing="0" w:after="0" w:afterAutospacing="0" w:line="360" w:lineRule="auto"/>
        <w:ind w:firstLine="420"/>
        <w:rPr>
          <w:sz w:val="21"/>
          <w:szCs w:val="21"/>
        </w:rPr>
      </w:pPr>
      <w:r>
        <w:rPr>
          <w:rFonts w:hint="eastAsia"/>
          <w:b/>
          <w:bCs/>
          <w:sz w:val="21"/>
          <w:szCs w:val="21"/>
        </w:rPr>
        <w:t>(216)德州银行股份有限公司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孙玉芝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王方震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0534-2297326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0534-2297327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40084-96588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www.dzbchina.com </w:t>
            </w:r>
          </w:p>
        </w:tc>
      </w:tr>
    </w:tbl>
    <w:p>
      <w:pPr>
        <w:pStyle w:val="7"/>
        <w:spacing w:before="0" w:beforeAutospacing="0" w:after="0" w:afterAutospacing="0" w:line="360" w:lineRule="auto"/>
        <w:ind w:firstLine="420"/>
        <w:rPr>
          <w:sz w:val="21"/>
          <w:szCs w:val="21"/>
        </w:rPr>
      </w:pPr>
      <w:r>
        <w:rPr>
          <w:rFonts w:hint="eastAsia"/>
          <w:b/>
          <w:bCs/>
          <w:sz w:val="21"/>
          <w:szCs w:val="21"/>
        </w:rPr>
        <w:t>(217)中原银行股份有限公司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河南省郑州市郑东新区CBD商务外环路23号中科金座大厦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河南省郑州市郑东新区CBD商务外环路23号中科金座大厦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徐诺金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田力源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0371-61910219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0371-85519869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95186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www.zybank.com.cn </w:t>
            </w:r>
          </w:p>
        </w:tc>
      </w:tr>
    </w:tbl>
    <w:p>
      <w:pPr>
        <w:pStyle w:val="7"/>
        <w:spacing w:before="0" w:beforeAutospacing="0" w:after="0" w:afterAutospacing="0" w:line="360" w:lineRule="auto"/>
        <w:ind w:firstLine="420"/>
        <w:rPr>
          <w:sz w:val="21"/>
          <w:szCs w:val="21"/>
        </w:rPr>
      </w:pPr>
      <w:r>
        <w:rPr>
          <w:rFonts w:hint="eastAsia"/>
          <w:b/>
          <w:bCs/>
          <w:sz w:val="21"/>
          <w:szCs w:val="21"/>
        </w:rPr>
        <w:t>(218)兰州银行股份有限公司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许建平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鱼倩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0931-96799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www.lzbank.com </w:t>
            </w:r>
          </w:p>
        </w:tc>
      </w:tr>
    </w:tbl>
    <w:p>
      <w:pPr>
        <w:pStyle w:val="7"/>
        <w:spacing w:before="0" w:beforeAutospacing="0" w:after="0" w:afterAutospacing="0" w:line="360" w:lineRule="auto"/>
        <w:ind w:firstLine="420"/>
        <w:rPr>
          <w:sz w:val="21"/>
          <w:szCs w:val="21"/>
        </w:rPr>
      </w:pPr>
      <w:r>
        <w:rPr>
          <w:rFonts w:hint="eastAsia"/>
          <w:b/>
          <w:bCs/>
          <w:sz w:val="21"/>
          <w:szCs w:val="21"/>
        </w:rPr>
        <w:t>(219)湖北银行股份有限公司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武汉市武昌区水果湖街中北路86号汉街总部国际8栋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武汉市武昌区水果湖街中北路86号汉街总部国际8栋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陈大林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李昕雅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027-87139129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027-87135931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（湖北）96599（全国）400-85-96599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http://www.hubeibank.cn </w:t>
            </w:r>
          </w:p>
        </w:tc>
      </w:tr>
    </w:tbl>
    <w:p>
      <w:pPr>
        <w:pStyle w:val="7"/>
        <w:spacing w:before="0" w:beforeAutospacing="0" w:after="0" w:afterAutospacing="0" w:line="360" w:lineRule="auto"/>
        <w:ind w:firstLine="420"/>
        <w:rPr>
          <w:sz w:val="21"/>
          <w:szCs w:val="21"/>
        </w:rPr>
      </w:pPr>
      <w:r>
        <w:rPr>
          <w:rFonts w:hint="eastAsia"/>
          <w:b/>
          <w:bCs/>
          <w:sz w:val="21"/>
          <w:szCs w:val="21"/>
        </w:rPr>
        <w:t>(220)中信百信银行股份有限公司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注册地址： </w:t>
            </w:r>
          </w:p>
        </w:tc>
        <w:tc>
          <w:tcPr>
            <w:tcW w:w="7440" w:type="dxa"/>
            <w:shd w:val="clear" w:color="auto" w:fill="auto"/>
          </w:tcPr>
          <w:p>
            <w:pPr>
              <w:pStyle w:val="7"/>
            </w:pPr>
            <w:r>
              <w:rPr>
                <w:rFonts w:hint="eastAsia"/>
              </w:rPr>
              <w:t xml:space="preserve">北京市朝阳区安定路5号院3号楼8层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办公地址： </w:t>
            </w:r>
          </w:p>
        </w:tc>
        <w:tc>
          <w:tcPr>
            <w:tcW w:w="7440" w:type="dxa"/>
            <w:shd w:val="clear" w:color="auto" w:fill="auto"/>
          </w:tcPr>
          <w:p>
            <w:pPr>
              <w:pStyle w:val="7"/>
            </w:pPr>
            <w:r>
              <w:rPr>
                <w:rFonts w:hint="eastAsia"/>
              </w:rPr>
              <w:t xml:space="preserve">北京市朝阳区安定路5号院3号楼6-11层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法定代表人： </w:t>
            </w:r>
          </w:p>
        </w:tc>
        <w:tc>
          <w:tcPr>
            <w:tcW w:w="7440" w:type="dxa"/>
            <w:shd w:val="clear" w:color="auto" w:fill="auto"/>
          </w:tcPr>
          <w:p>
            <w:pPr>
              <w:pStyle w:val="7"/>
            </w:pPr>
            <w:r>
              <w:rPr>
                <w:rFonts w:hint="eastAsia"/>
              </w:rPr>
              <w:t xml:space="preserve">李如东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联系人： </w:t>
            </w:r>
          </w:p>
        </w:tc>
        <w:tc>
          <w:tcPr>
            <w:tcW w:w="7440" w:type="dxa"/>
            <w:shd w:val="clear" w:color="auto" w:fill="auto"/>
          </w:tcPr>
          <w:p>
            <w:pPr>
              <w:pStyle w:val="7"/>
            </w:pPr>
            <w:r>
              <w:rPr>
                <w:rFonts w:hint="eastAsia"/>
              </w:rPr>
              <w:t xml:space="preserve">陈冰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电话： </w:t>
            </w:r>
          </w:p>
        </w:tc>
        <w:tc>
          <w:tcPr>
            <w:tcW w:w="7440" w:type="dxa"/>
            <w:shd w:val="clear" w:color="auto" w:fill="auto"/>
          </w:tcPr>
          <w:p>
            <w:pPr>
              <w:pStyle w:val="7"/>
            </w:pPr>
            <w:r>
              <w:rPr>
                <w:rFonts w:hint="eastAsia"/>
              </w:rPr>
              <w:t xml:space="preserve">010-50925699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传真： </w:t>
            </w:r>
          </w:p>
        </w:tc>
        <w:tc>
          <w:tcPr>
            <w:tcW w:w="7440" w:type="dxa"/>
            <w:shd w:val="clear" w:color="auto" w:fill="auto"/>
          </w:tcPr>
          <w:p>
            <w:pPr>
              <w:pStyle w:val="7"/>
            </w:pPr>
            <w:r>
              <w:rPr>
                <w:rFonts w:hint="eastAsia"/>
              </w:rPr>
              <w:t xml:space="preserve">010-50925690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客户服务电话： </w:t>
            </w:r>
          </w:p>
        </w:tc>
        <w:tc>
          <w:tcPr>
            <w:tcW w:w="7440" w:type="dxa"/>
            <w:shd w:val="clear" w:color="auto" w:fill="auto"/>
          </w:tcPr>
          <w:p>
            <w:pPr>
              <w:pStyle w:val="7"/>
            </w:pPr>
            <w:r>
              <w:rPr>
                <w:rFonts w:hint="eastAsia"/>
              </w:rPr>
              <w:t xml:space="preserve">4008180100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pPr>
            <w:r>
              <w:rPr>
                <w:rFonts w:hint="eastAsia"/>
              </w:rPr>
              <w:t xml:space="preserve">网址： </w:t>
            </w:r>
          </w:p>
        </w:tc>
        <w:tc>
          <w:tcPr>
            <w:tcW w:w="7440" w:type="dxa"/>
            <w:shd w:val="clear" w:color="auto" w:fill="auto"/>
          </w:tcPr>
          <w:p>
            <w:pPr>
              <w:pStyle w:val="7"/>
            </w:pPr>
            <w:r>
              <w:rPr>
                <w:rFonts w:hint="eastAsia"/>
              </w:rPr>
              <w:t xml:space="preserve">www.aibank.com </w:t>
            </w:r>
          </w:p>
        </w:tc>
      </w:tr>
    </w:tbl>
    <w:p>
      <w:pPr>
        <w:rPr>
          <w:rFonts w:ascii="宋体" w:hAnsi="宋体" w:eastAsia="宋体"/>
          <w:sz w:val="24"/>
          <w:szCs w:val="24"/>
        </w:rPr>
      </w:pPr>
      <w:bookmarkStart w:id="63" w:name="field_0_allproxysaletables_1_end"/>
      <w:bookmarkEnd w:id="63"/>
      <w:r>
        <w:rPr>
          <w:rFonts w:ascii="宋体" w:hAnsi="宋体" w:eastAsia="宋体"/>
        </w:rPr>
        <w:t xml:space="preserve">  </w:t>
      </w:r>
    </w:p>
    <w:p>
      <w:pPr>
        <w:pStyle w:val="7"/>
        <w:spacing w:before="0" w:beforeAutospacing="0" w:after="0" w:afterAutospacing="0" w:line="360" w:lineRule="auto"/>
        <w:ind w:firstLine="420"/>
        <w:rPr>
          <w:sz w:val="21"/>
          <w:szCs w:val="21"/>
        </w:rPr>
      </w:pPr>
      <w:bookmarkStart w:id="64" w:name="chapter_level1_7_56_section_2_end"/>
      <w:bookmarkEnd w:id="64"/>
    </w:p>
    <w:p>
      <w:pPr>
        <w:pStyle w:val="7"/>
        <w:spacing w:before="0" w:beforeAutospacing="0" w:after="0" w:afterAutospacing="0" w:line="360" w:lineRule="auto"/>
        <w:ind w:firstLine="420"/>
        <w:rPr>
          <w:sz w:val="21"/>
          <w:szCs w:val="21"/>
        </w:rPr>
      </w:pPr>
      <w:bookmarkStart w:id="65" w:name="chapter_level1_7_56_section_3"/>
      <w:bookmarkEnd w:id="65"/>
      <w:r>
        <w:rPr>
          <w:rStyle w:val="11"/>
          <w:rFonts w:hint="eastAsia"/>
          <w:sz w:val="21"/>
          <w:szCs w:val="21"/>
        </w:rPr>
        <w:t>二、登记机构</w:t>
      </w:r>
    </w:p>
    <w:p>
      <w:pPr>
        <w:pStyle w:val="7"/>
        <w:spacing w:before="0" w:beforeAutospacing="0" w:after="0" w:afterAutospacing="0" w:line="360" w:lineRule="auto"/>
        <w:ind w:firstLine="420"/>
        <w:rPr>
          <w:sz w:val="21"/>
          <w:szCs w:val="21"/>
        </w:rPr>
      </w:pPr>
      <w:bookmarkStart w:id="66" w:name="field_0_registercompanyinfo_1_start"/>
      <w:bookmarkEnd w:id="66"/>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67" w:name="field_0_registercompanyinfo_1_end"/>
      <w:bookmarkEnd w:id="67"/>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三、律师事务所和经办律师</w:t>
      </w:r>
    </w:p>
    <w:p>
      <w:pPr>
        <w:pStyle w:val="7"/>
        <w:spacing w:before="0" w:beforeAutospacing="0" w:after="0" w:afterAutospacing="0" w:line="360" w:lineRule="auto"/>
        <w:ind w:firstLine="420"/>
        <w:rPr>
          <w:sz w:val="21"/>
          <w:szCs w:val="21"/>
        </w:rPr>
      </w:pPr>
      <w:r>
        <w:rPr>
          <w:rFonts w:hint="eastAsia"/>
          <w:sz w:val="21"/>
          <w:szCs w:val="21"/>
        </w:rPr>
        <w:t xml:space="preserve">名称：通力律师事务所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办公地址：上海市银城中路68号时代金融中心19楼 </w:t>
      </w:r>
    </w:p>
    <w:p>
      <w:pPr>
        <w:pStyle w:val="7"/>
        <w:spacing w:before="0" w:beforeAutospacing="0" w:after="0" w:afterAutospacing="0" w:line="360" w:lineRule="auto"/>
        <w:ind w:firstLine="420"/>
        <w:rPr>
          <w:sz w:val="21"/>
          <w:szCs w:val="21"/>
        </w:rPr>
      </w:pPr>
      <w:r>
        <w:rPr>
          <w:rFonts w:hint="eastAsia"/>
          <w:sz w:val="21"/>
          <w:szCs w:val="21"/>
        </w:rPr>
        <w:t xml:space="preserve">电话：021- 31358666 </w:t>
      </w:r>
    </w:p>
    <w:p>
      <w:pPr>
        <w:pStyle w:val="7"/>
        <w:spacing w:before="0" w:beforeAutospacing="0" w:after="0" w:afterAutospacing="0" w:line="360" w:lineRule="auto"/>
        <w:ind w:firstLine="420"/>
        <w:rPr>
          <w:sz w:val="21"/>
          <w:szCs w:val="21"/>
        </w:rPr>
      </w:pPr>
      <w:r>
        <w:rPr>
          <w:rFonts w:hint="eastAsia"/>
          <w:sz w:val="21"/>
          <w:szCs w:val="21"/>
        </w:rPr>
        <w:t xml:space="preserve">传真： 021- 31358600 </w:t>
      </w:r>
    </w:p>
    <w:p>
      <w:pPr>
        <w:pStyle w:val="7"/>
        <w:spacing w:before="0" w:beforeAutospacing="0" w:after="0" w:afterAutospacing="0" w:line="360" w:lineRule="auto"/>
        <w:ind w:firstLine="420"/>
        <w:rPr>
          <w:sz w:val="21"/>
          <w:szCs w:val="21"/>
        </w:rPr>
      </w:pPr>
      <w:r>
        <w:rPr>
          <w:rFonts w:hint="eastAsia"/>
          <w:sz w:val="21"/>
          <w:szCs w:val="21"/>
        </w:rPr>
        <w:t xml:space="preserve">联系人：安冬 </w:t>
      </w:r>
    </w:p>
    <w:p>
      <w:pPr>
        <w:pStyle w:val="7"/>
        <w:spacing w:before="0" w:beforeAutospacing="0" w:after="0" w:afterAutospacing="0" w:line="360" w:lineRule="auto"/>
        <w:ind w:firstLine="420"/>
        <w:rPr>
          <w:sz w:val="21"/>
          <w:szCs w:val="21"/>
        </w:rPr>
      </w:pPr>
      <w:r>
        <w:rPr>
          <w:rFonts w:hint="eastAsia"/>
          <w:sz w:val="21"/>
          <w:szCs w:val="21"/>
        </w:rPr>
        <w:t xml:space="preserve">经办律师：吕红、安冬 </w:t>
      </w:r>
    </w:p>
    <w:p>
      <w:pPr>
        <w:pStyle w:val="7"/>
        <w:spacing w:before="0" w:beforeAutospacing="0" w:after="0" w:afterAutospacing="0" w:line="360" w:lineRule="auto"/>
        <w:ind w:firstLine="420"/>
        <w:rPr>
          <w:sz w:val="21"/>
          <w:szCs w:val="21"/>
        </w:rPr>
      </w:pPr>
      <w:r>
        <w:rPr>
          <w:rStyle w:val="11"/>
          <w:rFonts w:hint="eastAsia"/>
          <w:sz w:val="21"/>
          <w:szCs w:val="21"/>
        </w:rPr>
        <w:t>四、会计师事务所和经办注册会计师</w:t>
      </w:r>
    </w:p>
    <w:p>
      <w:pPr>
        <w:pStyle w:val="7"/>
        <w:spacing w:before="0" w:beforeAutospacing="0" w:after="0" w:afterAutospacing="0" w:line="360" w:lineRule="auto"/>
        <w:ind w:firstLine="420"/>
        <w:rPr>
          <w:sz w:val="21"/>
          <w:szCs w:val="21"/>
        </w:rPr>
      </w:pPr>
      <w:bookmarkStart w:id="68" w:name="field_0_accountingcompanyinfo_1_start"/>
      <w:bookmarkEnd w:id="68"/>
      <w:r>
        <w:rPr>
          <w:rFonts w:hint="eastAsia"/>
          <w:sz w:val="21"/>
          <w:szCs w:val="21"/>
        </w:rPr>
        <w:t xml:space="preserve">名称：普华永道中天会计师事务所(特殊普通合伙）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7"/>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7"/>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7"/>
        <w:spacing w:before="0" w:beforeAutospacing="0" w:after="0" w:afterAutospacing="0" w:line="360" w:lineRule="auto"/>
        <w:ind w:firstLine="420"/>
        <w:rPr>
          <w:sz w:val="21"/>
          <w:szCs w:val="21"/>
        </w:rPr>
      </w:pPr>
      <w:r>
        <w:rPr>
          <w:rFonts w:hint="eastAsia"/>
          <w:sz w:val="21"/>
          <w:szCs w:val="21"/>
        </w:rPr>
        <w:t xml:space="preserve">联系电话：（021）23238888  </w:t>
      </w:r>
    </w:p>
    <w:p>
      <w:pPr>
        <w:pStyle w:val="7"/>
        <w:spacing w:before="0" w:beforeAutospacing="0" w:after="0" w:afterAutospacing="0" w:line="360" w:lineRule="auto"/>
        <w:ind w:firstLine="420"/>
        <w:rPr>
          <w:sz w:val="21"/>
          <w:szCs w:val="21"/>
        </w:rPr>
      </w:pPr>
      <w:r>
        <w:rPr>
          <w:rFonts w:hint="eastAsia"/>
          <w:sz w:val="21"/>
          <w:szCs w:val="21"/>
        </w:rPr>
        <w:t xml:space="preserve">传真：（021）23238800  </w:t>
      </w:r>
    </w:p>
    <w:p>
      <w:pPr>
        <w:pStyle w:val="7"/>
        <w:spacing w:before="0" w:beforeAutospacing="0" w:after="0" w:afterAutospacing="0" w:line="360" w:lineRule="auto"/>
        <w:ind w:firstLine="420"/>
        <w:rPr>
          <w:sz w:val="21"/>
          <w:szCs w:val="21"/>
        </w:rPr>
      </w:pPr>
      <w:r>
        <w:rPr>
          <w:rFonts w:hint="eastAsia"/>
          <w:sz w:val="21"/>
          <w:szCs w:val="21"/>
        </w:rPr>
        <w:t xml:space="preserve">联系人：沈兆杰 </w:t>
      </w:r>
    </w:p>
    <w:p>
      <w:pPr>
        <w:pStyle w:val="7"/>
        <w:spacing w:before="0" w:beforeAutospacing="0" w:after="0" w:afterAutospacing="0" w:line="360" w:lineRule="auto"/>
        <w:ind w:firstLine="420"/>
        <w:rPr>
          <w:sz w:val="21"/>
          <w:szCs w:val="21"/>
        </w:rPr>
      </w:pPr>
      <w:bookmarkStart w:id="69" w:name="chapter_level1_7_56_section_3_end"/>
      <w:bookmarkEnd w:id="69"/>
      <w:r>
        <w:rPr>
          <w:rFonts w:hint="eastAsia"/>
          <w:sz w:val="21"/>
          <w:szCs w:val="21"/>
        </w:rPr>
        <w:t xml:space="preserve">经办注册会计师：薛竞、沈兆杰 </w:t>
      </w:r>
      <w:bookmarkStart w:id="70" w:name="field_0_accountingcompanyinfo_1_end"/>
      <w:bookmarkEnd w:id="70"/>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1" w:name="chapter_level1_9_58"/>
      <w:bookmarkStart w:id="72" w:name="_Toc113295495"/>
      <w:r>
        <w:rPr>
          <w:rFonts w:hint="eastAsia" w:ascii="宋体" w:hAnsi="宋体" w:eastAsia="宋体"/>
          <w:sz w:val="30"/>
        </w:rPr>
        <w:t>第六部分 基金的募集与基金合同的生效</w:t>
      </w:r>
      <w:bookmarkEnd w:id="71"/>
      <w:bookmarkEnd w:id="72"/>
    </w:p>
    <w:p>
      <w:pPr>
        <w:pStyle w:val="7"/>
        <w:spacing w:before="0" w:beforeAutospacing="0" w:after="0" w:afterAutospacing="0" w:line="360" w:lineRule="auto"/>
        <w:ind w:firstLine="420"/>
        <w:rPr>
          <w:sz w:val="21"/>
          <w:szCs w:val="21"/>
        </w:rPr>
      </w:pPr>
      <w:bookmarkStart w:id="73" w:name="chapter_level1_9_58_section_1"/>
      <w:bookmarkEnd w:id="73"/>
      <w:r>
        <w:rPr>
          <w:rStyle w:val="11"/>
          <w:rFonts w:hint="eastAsia"/>
          <w:sz w:val="21"/>
          <w:szCs w:val="21"/>
        </w:rPr>
        <w:t>一、 基金募集的依据</w:t>
      </w:r>
    </w:p>
    <w:p>
      <w:pPr>
        <w:pStyle w:val="7"/>
        <w:spacing w:before="0" w:beforeAutospacing="0" w:after="0" w:afterAutospacing="0" w:line="360" w:lineRule="auto"/>
        <w:ind w:firstLine="420"/>
        <w:rPr>
          <w:sz w:val="21"/>
          <w:szCs w:val="21"/>
        </w:rPr>
      </w:pPr>
      <w:r>
        <w:rPr>
          <w:rFonts w:hint="eastAsia"/>
          <w:sz w:val="21"/>
          <w:szCs w:val="21"/>
        </w:rPr>
        <w:t>本基金由基金管理人按照《基金法》、《运作办法》、《销售办法》、基金合同及其他有关规定，并于2010年9月10日经中国证监会证监许可</w:t>
      </w:r>
      <w:bookmarkStart w:id="74" w:name="field_2343_lotnumber_2"/>
      <w:r>
        <w:rPr>
          <w:sz w:val="21"/>
          <w:szCs w:val="21"/>
        </w:rPr>
        <w:t>[2010]1242</w:t>
      </w:r>
      <w:bookmarkEnd w:id="74"/>
      <w:r>
        <w:rPr>
          <w:rFonts w:hint="eastAsia"/>
          <w:sz w:val="21"/>
          <w:szCs w:val="21"/>
        </w:rPr>
        <w:t>号文核准募集发售，设立。募集期从</w:t>
      </w:r>
      <w:bookmarkStart w:id="75" w:name="field_58_raisebegindate_1"/>
      <w:r>
        <w:rPr>
          <w:sz w:val="21"/>
          <w:szCs w:val="21"/>
        </w:rPr>
        <w:t>2010年11月15日</w:t>
      </w:r>
      <w:bookmarkEnd w:id="75"/>
      <w:r>
        <w:rPr>
          <w:rFonts w:hint="eastAsia"/>
          <w:sz w:val="21"/>
          <w:szCs w:val="21"/>
        </w:rPr>
        <w:t>至</w:t>
      </w:r>
      <w:bookmarkStart w:id="76" w:name="field_58_raiseenddate_1"/>
      <w:r>
        <w:rPr>
          <w:sz w:val="21"/>
          <w:szCs w:val="21"/>
        </w:rPr>
        <w:t>2010年12月8日</w:t>
      </w:r>
      <w:bookmarkEnd w:id="76"/>
      <w:r>
        <w:rPr>
          <w:rFonts w:hint="eastAsia"/>
          <w:sz w:val="21"/>
          <w:szCs w:val="21"/>
        </w:rPr>
        <w:t xml:space="preserve">止，共募集1,400,439,291.65份基金份额，有效认购户数为18,780户。 </w:t>
      </w:r>
    </w:p>
    <w:p>
      <w:pPr>
        <w:pStyle w:val="7"/>
        <w:spacing w:before="0" w:beforeAutospacing="0" w:after="0" w:afterAutospacing="0" w:line="360" w:lineRule="auto"/>
        <w:ind w:firstLine="420"/>
        <w:rPr>
          <w:sz w:val="21"/>
          <w:szCs w:val="21"/>
        </w:rPr>
      </w:pPr>
      <w:r>
        <w:rPr>
          <w:rFonts w:hint="eastAsia"/>
          <w:sz w:val="21"/>
          <w:szCs w:val="21"/>
        </w:rPr>
        <w:t>本基金运作方式为</w:t>
      </w:r>
      <w:bookmarkStart w:id="77" w:name="field_58_operation_1"/>
      <w:r>
        <w:rPr>
          <w:rFonts w:hint="eastAsia"/>
          <w:sz w:val="21"/>
          <w:szCs w:val="21"/>
        </w:rPr>
        <w:t>契约型开放式</w:t>
      </w:r>
      <w:bookmarkEnd w:id="77"/>
      <w:r>
        <w:rPr>
          <w:rFonts w:hint="eastAsia"/>
          <w:sz w:val="21"/>
          <w:szCs w:val="21"/>
        </w:rPr>
        <w:t>，存续期间为</w:t>
      </w:r>
      <w:bookmarkStart w:id="78" w:name="field_58_duration_1"/>
      <w:r>
        <w:rPr>
          <w:rFonts w:hint="eastAsia"/>
          <w:sz w:val="21"/>
          <w:szCs w:val="21"/>
        </w:rPr>
        <w:t>不定期</w:t>
      </w:r>
      <w:bookmarkEnd w:id="78"/>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 基金合同的生效</w:t>
      </w:r>
    </w:p>
    <w:p>
      <w:pPr>
        <w:pStyle w:val="7"/>
        <w:spacing w:before="0" w:beforeAutospacing="0" w:after="0" w:afterAutospacing="0" w:line="360" w:lineRule="auto"/>
        <w:ind w:firstLine="420"/>
        <w:rPr>
          <w:sz w:val="21"/>
          <w:szCs w:val="21"/>
        </w:rPr>
      </w:pPr>
      <w:bookmarkStart w:id="79" w:name="chapter_level1_9_58_section_1_end"/>
      <w:bookmarkEnd w:id="79"/>
      <w:r>
        <w:rPr>
          <w:rFonts w:hint="eastAsia"/>
          <w:sz w:val="21"/>
          <w:szCs w:val="21"/>
        </w:rPr>
        <w:t>本基金的基金合同已于</w:t>
      </w:r>
      <w:bookmarkStart w:id="80" w:name="field_0_foundday_1"/>
      <w:r>
        <w:rPr>
          <w:sz w:val="21"/>
          <w:szCs w:val="21"/>
        </w:rPr>
        <w:t>2010年12月10日</w:t>
      </w:r>
      <w:bookmarkEnd w:id="80"/>
      <w:r>
        <w:rPr>
          <w:rFonts w:hint="eastAsia"/>
          <w:sz w:val="21"/>
          <w:szCs w:val="21"/>
        </w:rPr>
        <w:t xml:space="preserve">正式生效。 </w:t>
      </w:r>
    </w:p>
    <w:p>
      <w:pPr>
        <w:rPr>
          <w:rFonts w:ascii="宋体" w:hAnsi="宋体" w:eastAsia="宋体"/>
        </w:rPr>
      </w:pPr>
      <w:bookmarkStart w:id="81" w:name="chapter_level1_9_58_section_2"/>
      <w:bookmarkEnd w:id="81"/>
      <w:bookmarkStart w:id="82" w:name="chapter_level1_9_58_section_2_end"/>
      <w:bookmarkEnd w:id="82"/>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83" w:name="chapter_level1_10_59"/>
      <w:bookmarkStart w:id="84" w:name="_Toc113295496"/>
      <w:r>
        <w:rPr>
          <w:rFonts w:hint="eastAsia" w:ascii="宋体" w:hAnsi="宋体" w:eastAsia="宋体"/>
          <w:sz w:val="30"/>
        </w:rPr>
        <w:t>第七部分  基金份额的申购、赎回与转换</w:t>
      </w:r>
      <w:bookmarkEnd w:id="83"/>
      <w:bookmarkEnd w:id="84"/>
    </w:p>
    <w:p>
      <w:pPr>
        <w:pStyle w:val="7"/>
        <w:spacing w:before="0" w:beforeAutospacing="0" w:after="0" w:afterAutospacing="0" w:line="360" w:lineRule="auto"/>
        <w:ind w:firstLine="420"/>
        <w:rPr>
          <w:sz w:val="21"/>
          <w:szCs w:val="21"/>
        </w:rPr>
      </w:pPr>
      <w:bookmarkStart w:id="85" w:name="chapter_level1_10_59_section_1"/>
      <w:bookmarkEnd w:id="85"/>
      <w:r>
        <w:rPr>
          <w:rStyle w:val="11"/>
          <w:rFonts w:hint="eastAsia"/>
          <w:sz w:val="21"/>
          <w:szCs w:val="21"/>
        </w:rPr>
        <w:t>一、申购与赎回的场所</w:t>
      </w:r>
    </w:p>
    <w:p>
      <w:pPr>
        <w:pStyle w:val="7"/>
        <w:spacing w:before="0" w:beforeAutospacing="0" w:after="0" w:afterAutospacing="0" w:line="360" w:lineRule="auto"/>
        <w:ind w:firstLine="420"/>
        <w:rPr>
          <w:sz w:val="21"/>
          <w:szCs w:val="21"/>
        </w:rPr>
      </w:pPr>
      <w:r>
        <w:rPr>
          <w:rFonts w:hint="eastAsia"/>
          <w:sz w:val="21"/>
          <w:szCs w:val="21"/>
        </w:rPr>
        <w:t>本基金的申购与赎回将通过基金管理人的直销中心及代销机构的代销网点进行。具体的销售网点将由基金管理人在招募说明书或其他公告中列明。基金管理人可根据情况变更或增减代销机构，并在基金管理人网站公示。投资者可以在销售机构办理基金销售业务的营业场</w:t>
      </w:r>
      <w:bookmarkStart w:id="86" w:name="chapter_level1_10_59_section_1_end"/>
      <w:bookmarkEnd w:id="86"/>
      <w:r>
        <w:rPr>
          <w:rFonts w:hint="eastAsia"/>
          <w:sz w:val="21"/>
          <w:szCs w:val="21"/>
        </w:rPr>
        <w:t xml:space="preserve">所或按销售机构提供的其他方式办理基金的申购与赎回。 </w:t>
      </w:r>
    </w:p>
    <w:p>
      <w:pPr>
        <w:pStyle w:val="7"/>
        <w:spacing w:before="0" w:beforeAutospacing="0" w:after="0" w:afterAutospacing="0" w:line="360" w:lineRule="auto"/>
        <w:ind w:firstLine="420"/>
        <w:rPr>
          <w:sz w:val="21"/>
          <w:szCs w:val="21"/>
        </w:rPr>
      </w:pPr>
      <w:bookmarkStart w:id="87" w:name="chapter_level1_10_59_section_2"/>
      <w:bookmarkEnd w:id="87"/>
      <w:r>
        <w:rPr>
          <w:rStyle w:val="11"/>
          <w:rFonts w:hint="eastAsia"/>
          <w:sz w:val="21"/>
          <w:szCs w:val="21"/>
        </w:rPr>
        <w:t>二、申购、赎回开始日及业务办理时间</w:t>
      </w:r>
    </w:p>
    <w:p>
      <w:pPr>
        <w:pStyle w:val="7"/>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7"/>
        <w:spacing w:before="0" w:beforeAutospacing="0" w:after="0" w:afterAutospacing="0" w:line="360" w:lineRule="auto"/>
        <w:ind w:firstLine="420"/>
        <w:rPr>
          <w:sz w:val="21"/>
          <w:szCs w:val="21"/>
        </w:rPr>
      </w:pPr>
      <w:r>
        <w:rPr>
          <w:rFonts w:hint="eastAsia"/>
          <w:sz w:val="21"/>
          <w:szCs w:val="21"/>
        </w:rPr>
        <w:t xml:space="preserve">投资者在开放日办理基金份额的申购和赎回，具体办理时间为上海证券交易所、深圳证券交易所的正常交易日的交易时间，但基金管理人根据法律法规、中国证监会的要求或基金合同的规定公告暂停申购、赎回时除外。 </w:t>
      </w:r>
    </w:p>
    <w:p>
      <w:pPr>
        <w:pStyle w:val="7"/>
        <w:spacing w:before="0" w:beforeAutospacing="0" w:after="0" w:afterAutospacing="0" w:line="360" w:lineRule="auto"/>
        <w:ind w:firstLine="420"/>
        <w:rPr>
          <w:sz w:val="21"/>
          <w:szCs w:val="21"/>
        </w:rPr>
      </w:pPr>
      <w:r>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pPr>
        <w:pStyle w:val="7"/>
        <w:spacing w:before="0" w:beforeAutospacing="0" w:after="0" w:afterAutospacing="0" w:line="360" w:lineRule="auto"/>
        <w:ind w:firstLine="420"/>
        <w:rPr>
          <w:sz w:val="21"/>
          <w:szCs w:val="21"/>
        </w:rPr>
      </w:pPr>
      <w:r>
        <w:rPr>
          <w:rFonts w:hint="eastAsia"/>
          <w:sz w:val="21"/>
          <w:szCs w:val="21"/>
        </w:rPr>
        <w:t xml:space="preserve">2、申购、赎回开始日及业务办理时间 </w:t>
      </w:r>
    </w:p>
    <w:p>
      <w:pPr>
        <w:pStyle w:val="7"/>
        <w:spacing w:before="0" w:beforeAutospacing="0" w:after="0" w:afterAutospacing="0" w:line="360" w:lineRule="auto"/>
        <w:ind w:firstLine="420"/>
        <w:rPr>
          <w:sz w:val="21"/>
          <w:szCs w:val="21"/>
        </w:rPr>
      </w:pPr>
      <w:r>
        <w:rPr>
          <w:rFonts w:hint="eastAsia"/>
          <w:sz w:val="21"/>
          <w:szCs w:val="21"/>
        </w:rPr>
        <w:t xml:space="preserve">本基金已于2011年1月17日开放日常申购、赎回。 </w:t>
      </w:r>
    </w:p>
    <w:p>
      <w:pPr>
        <w:pStyle w:val="7"/>
        <w:spacing w:before="0" w:beforeAutospacing="0" w:after="0" w:afterAutospacing="0" w:line="360" w:lineRule="auto"/>
        <w:ind w:firstLine="420"/>
        <w:rPr>
          <w:sz w:val="21"/>
          <w:szCs w:val="21"/>
        </w:rPr>
      </w:pPr>
      <w:r>
        <w:rPr>
          <w:rFonts w:hint="eastAsia"/>
          <w:sz w:val="21"/>
          <w:szCs w:val="21"/>
        </w:rPr>
        <w:t>基金管理人不得在基金合同约定之外的日期或者时间办理基金份额的申购、赎回或者转换。投资者在基金合同约定之外的日期和时间提出申购、赎回或转换申请的，其基金份额申</w:t>
      </w:r>
      <w:bookmarkStart w:id="88" w:name="chapter_level1_10_59_section_2_end"/>
      <w:bookmarkEnd w:id="88"/>
      <w:r>
        <w:rPr>
          <w:rFonts w:hint="eastAsia"/>
          <w:sz w:val="21"/>
          <w:szCs w:val="21"/>
        </w:rPr>
        <w:t xml:space="preserve">购、赎回价格为下一开放日基金份额申购、赎回的价格。 </w:t>
      </w:r>
    </w:p>
    <w:p>
      <w:pPr>
        <w:pStyle w:val="7"/>
        <w:spacing w:before="0" w:beforeAutospacing="0" w:after="0" w:afterAutospacing="0" w:line="360" w:lineRule="auto"/>
        <w:ind w:firstLine="420"/>
        <w:rPr>
          <w:sz w:val="21"/>
          <w:szCs w:val="21"/>
        </w:rPr>
      </w:pPr>
      <w:bookmarkStart w:id="89" w:name="chapter_level1_10_59_section_3"/>
      <w:bookmarkEnd w:id="89"/>
      <w:r>
        <w:rPr>
          <w:rStyle w:val="11"/>
          <w:rFonts w:hint="eastAsia"/>
          <w:sz w:val="21"/>
          <w:szCs w:val="21"/>
        </w:rPr>
        <w:t>三、申购与赎回的数额限制</w:t>
      </w:r>
    </w:p>
    <w:p>
      <w:pPr>
        <w:pStyle w:val="7"/>
        <w:spacing w:before="0" w:beforeAutospacing="0" w:after="0" w:afterAutospacing="0" w:line="360" w:lineRule="auto"/>
        <w:ind w:firstLine="420"/>
        <w:rPr>
          <w:sz w:val="21"/>
          <w:szCs w:val="21"/>
        </w:rPr>
      </w:pPr>
      <w:r>
        <w:rPr>
          <w:rFonts w:hint="eastAsia"/>
          <w:sz w:val="21"/>
          <w:szCs w:val="21"/>
        </w:rPr>
        <w:t>1、通过代销机构首次购买基金份额的最低金额为</w:t>
      </w:r>
      <w:bookmarkStart w:id="90" w:name="field_59_dealerfirstpurminamount_1"/>
      <w:r>
        <w:rPr>
          <w:sz w:val="21"/>
          <w:szCs w:val="21"/>
        </w:rPr>
        <w:t>1</w:t>
      </w:r>
      <w:r>
        <w:rPr>
          <w:rFonts w:hint="eastAsia"/>
          <w:sz w:val="21"/>
          <w:szCs w:val="21"/>
        </w:rPr>
        <w:t>.0</w:t>
      </w:r>
      <w:r>
        <w:rPr>
          <w:sz w:val="21"/>
          <w:szCs w:val="21"/>
        </w:rPr>
        <w:t>0</w:t>
      </w:r>
      <w:bookmarkEnd w:id="90"/>
      <w:r>
        <w:rPr>
          <w:rFonts w:hint="eastAsia"/>
          <w:sz w:val="21"/>
          <w:szCs w:val="21"/>
        </w:rPr>
        <w:t>元，追加购买最低金额为</w:t>
      </w:r>
      <w:bookmarkStart w:id="91" w:name="field_59_dealerlaterpurminamount_1"/>
      <w:r>
        <w:rPr>
          <w:sz w:val="21"/>
          <w:szCs w:val="21"/>
        </w:rPr>
        <w:t>1</w:t>
      </w:r>
      <w:r>
        <w:rPr>
          <w:rFonts w:hint="eastAsia"/>
          <w:sz w:val="21"/>
          <w:szCs w:val="21"/>
        </w:rPr>
        <w:t>.0</w:t>
      </w:r>
      <w:r>
        <w:rPr>
          <w:sz w:val="21"/>
          <w:szCs w:val="21"/>
        </w:rPr>
        <w:t>0</w:t>
      </w:r>
      <w:bookmarkEnd w:id="91"/>
      <w:r>
        <w:rPr>
          <w:rFonts w:hint="eastAsia"/>
          <w:sz w:val="21"/>
          <w:szCs w:val="21"/>
        </w:rPr>
        <w:t>元；通过直销机构首次购买基金份额的最低金额为</w:t>
      </w:r>
      <w:bookmarkStart w:id="92" w:name="field_59_directfirstpurminamount_1"/>
      <w:r>
        <w:rPr>
          <w:sz w:val="21"/>
          <w:szCs w:val="21"/>
        </w:rPr>
        <w:t>1</w:t>
      </w:r>
      <w:r>
        <w:rPr>
          <w:rFonts w:hint="eastAsia"/>
          <w:sz w:val="21"/>
          <w:szCs w:val="21"/>
        </w:rPr>
        <w:t>.0</w:t>
      </w:r>
      <w:r>
        <w:rPr>
          <w:sz w:val="21"/>
          <w:szCs w:val="21"/>
        </w:rPr>
        <w:t>0</w:t>
      </w:r>
      <w:bookmarkEnd w:id="92"/>
      <w:r>
        <w:rPr>
          <w:rFonts w:hint="eastAsia"/>
          <w:sz w:val="21"/>
          <w:szCs w:val="21"/>
        </w:rPr>
        <w:t>元，追加购买最低金额为</w:t>
      </w:r>
      <w:bookmarkStart w:id="93" w:name="field_59_directlaterpurminamount_1"/>
      <w:r>
        <w:rPr>
          <w:sz w:val="21"/>
          <w:szCs w:val="21"/>
        </w:rPr>
        <w:t>1</w:t>
      </w:r>
      <w:r>
        <w:rPr>
          <w:rFonts w:hint="eastAsia"/>
          <w:sz w:val="21"/>
          <w:szCs w:val="21"/>
        </w:rPr>
        <w:t>.0</w:t>
      </w:r>
      <w:r>
        <w:rPr>
          <w:sz w:val="21"/>
          <w:szCs w:val="21"/>
        </w:rPr>
        <w:t>0</w:t>
      </w:r>
      <w:bookmarkEnd w:id="93"/>
      <w:r>
        <w:rPr>
          <w:rFonts w:hint="eastAsia"/>
          <w:sz w:val="21"/>
          <w:szCs w:val="21"/>
        </w:rPr>
        <w:t xml:space="preserve">元； </w:t>
      </w:r>
    </w:p>
    <w:p>
      <w:pPr>
        <w:pStyle w:val="7"/>
        <w:spacing w:before="0" w:beforeAutospacing="0" w:after="0" w:afterAutospacing="0" w:line="360" w:lineRule="auto"/>
        <w:ind w:firstLine="420"/>
        <w:rPr>
          <w:sz w:val="21"/>
          <w:szCs w:val="21"/>
        </w:rPr>
      </w:pPr>
      <w:r>
        <w:rPr>
          <w:rFonts w:hint="eastAsia"/>
          <w:sz w:val="21"/>
          <w:szCs w:val="21"/>
        </w:rPr>
        <w:t>2、每个交易账户最低持有基金份额余额为</w:t>
      </w:r>
      <w:bookmarkStart w:id="94" w:name="field_59_minholdshare_1"/>
      <w:r>
        <w:rPr>
          <w:sz w:val="21"/>
          <w:szCs w:val="21"/>
        </w:rPr>
        <w:t>1</w:t>
      </w:r>
      <w:bookmarkEnd w:id="94"/>
      <w:r>
        <w:rPr>
          <w:rFonts w:hint="eastAsia"/>
          <w:sz w:val="21"/>
          <w:szCs w:val="21"/>
        </w:rPr>
        <w:t>份，若某笔赎回导致单个交易账户的基金份额余额少于</w:t>
      </w:r>
      <w:bookmarkStart w:id="95" w:name="field_59_minholdshare_2"/>
      <w:r>
        <w:rPr>
          <w:sz w:val="21"/>
          <w:szCs w:val="21"/>
        </w:rPr>
        <w:t>1</w:t>
      </w:r>
      <w:bookmarkEnd w:id="95"/>
      <w:r>
        <w:rPr>
          <w:rFonts w:hint="eastAsia"/>
          <w:sz w:val="21"/>
          <w:szCs w:val="21"/>
        </w:rPr>
        <w:t xml:space="preserve">份时，余额部分基金份额必须一同赎回； </w:t>
      </w:r>
    </w:p>
    <w:p>
      <w:pPr>
        <w:pStyle w:val="7"/>
        <w:spacing w:before="0" w:beforeAutospacing="0" w:after="0" w:afterAutospacing="0" w:line="360" w:lineRule="auto"/>
        <w:ind w:firstLine="420"/>
        <w:rPr>
          <w:sz w:val="21"/>
          <w:szCs w:val="21"/>
        </w:rPr>
      </w:pPr>
      <w:r>
        <w:rPr>
          <w:rFonts w:hint="eastAsia"/>
          <w:sz w:val="21"/>
          <w:szCs w:val="21"/>
        </w:rPr>
        <w:t xml:space="preserve">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4、基金管理人可根据有关法律规定和市场情况，调整申购金额、赎回份额和账户最低持有余额的数量限制，基金管理人必须最迟在调整前2日在指定媒介上公告。 </w:t>
      </w:r>
    </w:p>
    <w:p>
      <w:pPr>
        <w:pStyle w:val="7"/>
        <w:spacing w:before="0" w:beforeAutospacing="0" w:after="0" w:afterAutospacing="0" w:line="360" w:lineRule="auto"/>
        <w:ind w:firstLine="420"/>
        <w:rPr>
          <w:sz w:val="21"/>
          <w:szCs w:val="21"/>
        </w:rPr>
      </w:pPr>
      <w:r>
        <w:rPr>
          <w:rStyle w:val="11"/>
          <w:rFonts w:hint="eastAsia"/>
          <w:sz w:val="21"/>
          <w:szCs w:val="21"/>
        </w:rPr>
        <w:t>四、申购与赎回的原则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3、赎回遵循“先进先出”原则，即按照投资者认购、申购的先后次序进行顺序赎回；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4、当日的申购与赎回申请可以在基金管理人规定的时间以内撤销。 </w:t>
      </w:r>
    </w:p>
    <w:p>
      <w:pPr>
        <w:pStyle w:val="7"/>
        <w:spacing w:before="0" w:beforeAutospacing="0" w:after="0" w:afterAutospacing="0" w:line="360" w:lineRule="auto"/>
        <w:ind w:firstLine="420"/>
        <w:rPr>
          <w:sz w:val="21"/>
          <w:szCs w:val="21"/>
        </w:rPr>
      </w:pPr>
      <w:r>
        <w:rPr>
          <w:rFonts w:hint="eastAsia"/>
          <w:sz w:val="21"/>
          <w:szCs w:val="21"/>
        </w:rPr>
        <w:t xml:space="preserve">基金管理人可根据基金运作的实际情况依法对上述原则进行调整。基金管理人必须在新规则开始实施前依照《信息披露办法》的有关规定在指定媒介上公告。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五、申购与赎回的程序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投资者必须根据销售机构规定的程序，在开放日的具体业务办理时间内提出申购或赎回的申请。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投资者在提交申购申请时须按销售机构规定的方式备足申购资金，投资者在提交赎回申请时须持有足够的基金份额余额，否则所提交的申购、赎回申请无效。 </w:t>
      </w:r>
    </w:p>
    <w:p>
      <w:pPr>
        <w:pStyle w:val="7"/>
        <w:spacing w:before="0" w:beforeAutospacing="0" w:after="0" w:afterAutospacing="0" w:line="360" w:lineRule="auto"/>
        <w:ind w:firstLine="420"/>
        <w:rPr>
          <w:sz w:val="21"/>
          <w:szCs w:val="21"/>
        </w:rPr>
      </w:pPr>
      <w:r>
        <w:rPr>
          <w:rFonts w:hint="eastAsia"/>
          <w:sz w:val="21"/>
          <w:szCs w:val="21"/>
        </w:rPr>
        <w:t xml:space="preserve">2、申购和赎回申请的确认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基金管理人应以交易时间结束前受理申购和赎回申请的当天作为申购或赎回申请日（T日），在正常情况下，本基金登记机构在T+1日内对该交易的有效性进行确认。T日提交的有效申请，投资者可在T+2日后（包括该日）到销售网点柜台或以销售机构规定的其他方式查询申请的确认情况。基金销售机构对申购申请的受理并不代表申请一定成功，而仅代表销售机构确实接收到申请。申购的确认以登记机构或基金管理人的确认结果为准。 </w:t>
      </w:r>
    </w:p>
    <w:p>
      <w:pPr>
        <w:pStyle w:val="7"/>
        <w:spacing w:before="0" w:beforeAutospacing="0" w:after="0" w:afterAutospacing="0" w:line="360" w:lineRule="auto"/>
        <w:ind w:firstLine="420"/>
        <w:rPr>
          <w:sz w:val="21"/>
          <w:szCs w:val="21"/>
        </w:rPr>
      </w:pPr>
      <w:r>
        <w:rPr>
          <w:rFonts w:hint="eastAsia"/>
          <w:sz w:val="21"/>
          <w:szCs w:val="21"/>
        </w:rPr>
        <w:t xml:space="preserve">3、申购和赎回的款项支付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申购采用销售人规定的方式全额缴款。若申购不成功或无效，基金管理人或基金管理人指定的代销机构将投资者已缴付的申购款项退还给投资者。 </w:t>
      </w:r>
    </w:p>
    <w:p>
      <w:pPr>
        <w:pStyle w:val="7"/>
        <w:spacing w:before="0" w:beforeAutospacing="0" w:after="0" w:afterAutospacing="0" w:line="360" w:lineRule="auto"/>
        <w:ind w:firstLine="420"/>
        <w:rPr>
          <w:sz w:val="21"/>
          <w:szCs w:val="21"/>
        </w:rPr>
      </w:pPr>
      <w:r>
        <w:rPr>
          <w:rFonts w:hint="eastAsia"/>
          <w:sz w:val="21"/>
          <w:szCs w:val="21"/>
        </w:rPr>
        <w:t xml:space="preserve">投资者赎回申请成功后，基金管理人将在T＋7日（包括该日）内支付赎回款项。在发生巨额赎回时，款项的支付办法参照基金合同有关条款处理。 </w:t>
      </w:r>
    </w:p>
    <w:p>
      <w:pPr>
        <w:pStyle w:val="7"/>
        <w:spacing w:before="0" w:beforeAutospacing="0" w:after="0" w:afterAutospacing="0" w:line="360" w:lineRule="auto"/>
        <w:ind w:firstLine="420"/>
        <w:rPr>
          <w:sz w:val="21"/>
          <w:szCs w:val="21"/>
        </w:rPr>
      </w:pPr>
      <w:r>
        <w:rPr>
          <w:rStyle w:val="11"/>
          <w:rFonts w:hint="eastAsia"/>
          <w:sz w:val="21"/>
          <w:szCs w:val="21"/>
        </w:rPr>
        <w:t>六、申购费率、赎回费率</w:t>
      </w:r>
    </w:p>
    <w:p>
      <w:pPr>
        <w:pStyle w:val="7"/>
        <w:spacing w:before="0" w:beforeAutospacing="0" w:after="0" w:afterAutospacing="0" w:line="360" w:lineRule="auto"/>
        <w:ind w:firstLine="420"/>
        <w:rPr>
          <w:sz w:val="21"/>
          <w:szCs w:val="21"/>
        </w:rPr>
      </w:pPr>
      <w:r>
        <w:rPr>
          <w:rFonts w:hint="eastAsia"/>
          <w:sz w:val="21"/>
          <w:szCs w:val="21"/>
        </w:rPr>
        <w:t xml:space="preserve">1、申购和赎回费率 </w:t>
      </w:r>
    </w:p>
    <w:p>
      <w:pPr>
        <w:pStyle w:val="7"/>
        <w:spacing w:before="0" w:beforeAutospacing="0" w:after="0" w:afterAutospacing="0" w:line="360" w:lineRule="auto"/>
        <w:ind w:firstLine="420"/>
        <w:rPr>
          <w:sz w:val="21"/>
          <w:szCs w:val="21"/>
        </w:rPr>
      </w:pPr>
      <w:r>
        <w:rPr>
          <w:rFonts w:hint="eastAsia"/>
          <w:sz w:val="21"/>
          <w:szCs w:val="21"/>
        </w:rPr>
        <w:t xml:space="preserve">表1：基金的申购费率结构表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1"/>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M＜50万元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50万元≤ M＜100万元 </w:t>
            </w:r>
          </w:p>
        </w:tc>
        <w:tc>
          <w:tcPr>
            <w:tcW w:w="0" w:type="auto"/>
            <w:shd w:val="clear" w:color="auto" w:fill="auto"/>
          </w:tcPr>
          <w:p>
            <w:pPr>
              <w:pStyle w:val="7"/>
            </w:pPr>
            <w:r>
              <w:rPr>
                <w:rFonts w:hint="eastAsia"/>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100万元≤ M＜500万元 </w:t>
            </w:r>
          </w:p>
        </w:tc>
        <w:tc>
          <w:tcPr>
            <w:tcW w:w="0" w:type="auto"/>
            <w:shd w:val="clear" w:color="auto" w:fill="auto"/>
          </w:tcPr>
          <w:p>
            <w:pPr>
              <w:pStyle w:val="7"/>
            </w:pPr>
            <w:r>
              <w:rPr>
                <w:rFonts w:hint="eastAsia"/>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 500万元 </w:t>
            </w:r>
          </w:p>
        </w:tc>
        <w:tc>
          <w:tcPr>
            <w:tcW w:w="0" w:type="auto"/>
            <w:shd w:val="clear" w:color="auto" w:fill="auto"/>
          </w:tcPr>
          <w:p>
            <w:pPr>
              <w:pStyle w:val="7"/>
            </w:pPr>
            <w:r>
              <w:rPr>
                <w:rFonts w:hint="eastAsia"/>
              </w:rPr>
              <w:t xml:space="preserve">1000元/笔 </w:t>
            </w:r>
          </w:p>
        </w:tc>
      </w:tr>
    </w:tbl>
    <w:p>
      <w:pPr>
        <w:pStyle w:val="7"/>
        <w:spacing w:before="0" w:beforeAutospacing="0" w:after="0" w:afterAutospacing="0" w:line="360" w:lineRule="auto"/>
        <w:ind w:firstLine="420"/>
        <w:rPr>
          <w:sz w:val="21"/>
          <w:szCs w:val="21"/>
        </w:rPr>
      </w:pPr>
      <w:r>
        <w:rPr>
          <w:rFonts w:hint="eastAsia"/>
          <w:sz w:val="21"/>
          <w:szCs w:val="21"/>
        </w:rPr>
        <w:t xml:space="preserve">表2：本基金的赎回费率表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1"/>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持有基金份额期限（Y） </w:t>
            </w:r>
          </w:p>
        </w:tc>
        <w:tc>
          <w:tcPr>
            <w:tcW w:w="0" w:type="auto"/>
            <w:shd w:val="clear" w:color="auto" w:fill="auto"/>
          </w:tcPr>
          <w:p>
            <w:pPr>
              <w:pStyle w:val="7"/>
            </w:pPr>
            <w:r>
              <w:rPr>
                <w:rFonts w:hint="eastAsia"/>
              </w:rPr>
              <w:t xml:space="preserve">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Y＜7日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7日≤ Y＜2年 </w:t>
            </w:r>
          </w:p>
        </w:tc>
        <w:tc>
          <w:tcPr>
            <w:tcW w:w="0" w:type="auto"/>
            <w:shd w:val="clear" w:color="auto" w:fill="auto"/>
          </w:tcPr>
          <w:p>
            <w:pPr>
              <w:pStyle w:val="7"/>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两年≤ Y &lt;三年 </w:t>
            </w:r>
          </w:p>
        </w:tc>
        <w:tc>
          <w:tcPr>
            <w:tcW w:w="0" w:type="auto"/>
            <w:shd w:val="clear" w:color="auto" w:fill="auto"/>
          </w:tcPr>
          <w:p>
            <w:pPr>
              <w:pStyle w:val="7"/>
            </w:pPr>
            <w:r>
              <w:rPr>
                <w:rFonts w:hint="eastAsia"/>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Y ≥三年 </w:t>
            </w:r>
          </w:p>
        </w:tc>
        <w:tc>
          <w:tcPr>
            <w:tcW w:w="0" w:type="auto"/>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注：1年指365天    </w:t>
      </w:r>
    </w:p>
    <w:p>
      <w:pPr>
        <w:pStyle w:val="7"/>
        <w:spacing w:before="0" w:beforeAutospacing="0" w:after="0" w:afterAutospacing="0" w:line="360" w:lineRule="auto"/>
        <w:ind w:firstLine="420"/>
        <w:rPr>
          <w:sz w:val="21"/>
          <w:szCs w:val="21"/>
        </w:rPr>
      </w:pPr>
      <w:r>
        <w:rPr>
          <w:rFonts w:hint="eastAsia"/>
          <w:sz w:val="21"/>
          <w:szCs w:val="21"/>
        </w:rPr>
        <w:t xml:space="preserve">来源：博时基金 </w:t>
      </w:r>
    </w:p>
    <w:p>
      <w:pPr>
        <w:pStyle w:val="7"/>
        <w:spacing w:before="0" w:beforeAutospacing="0" w:after="0" w:afterAutospacing="0" w:line="360" w:lineRule="auto"/>
        <w:ind w:firstLine="420"/>
        <w:rPr>
          <w:sz w:val="21"/>
          <w:szCs w:val="21"/>
        </w:rPr>
      </w:pPr>
      <w:r>
        <w:rPr>
          <w:rFonts w:hint="eastAsia"/>
          <w:sz w:val="21"/>
          <w:szCs w:val="21"/>
        </w:rPr>
        <w:t xml:space="preserve">2、基金管理人可以根据《基金合同》的相关约定调整费率或收费方式，基金管理人最迟应于新的费率或收费方式实施日前2日在至少一家指定报刊及基金管理人网站公告。 </w:t>
      </w:r>
    </w:p>
    <w:p>
      <w:pPr>
        <w:pStyle w:val="7"/>
        <w:spacing w:before="0" w:beforeAutospacing="0" w:after="0" w:afterAutospacing="0" w:line="360" w:lineRule="auto"/>
        <w:ind w:firstLine="420"/>
        <w:rPr>
          <w:sz w:val="21"/>
          <w:szCs w:val="21"/>
        </w:rPr>
      </w:pPr>
      <w:r>
        <w:rPr>
          <w:rStyle w:val="11"/>
          <w:rFonts w:hint="eastAsia"/>
          <w:sz w:val="21"/>
          <w:szCs w:val="21"/>
        </w:rPr>
        <w:t>七、申购份额与赎回金额的计算方式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1、申购份额的计算方式：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净申购金额=申购金额/（1+申购费率） </w:t>
      </w:r>
    </w:p>
    <w:p>
      <w:pPr>
        <w:pStyle w:val="7"/>
        <w:spacing w:before="0" w:beforeAutospacing="0" w:after="0" w:afterAutospacing="0" w:line="360" w:lineRule="auto"/>
        <w:ind w:firstLine="420"/>
        <w:rPr>
          <w:sz w:val="21"/>
          <w:szCs w:val="21"/>
        </w:rPr>
      </w:pPr>
      <w:r>
        <w:rPr>
          <w:rFonts w:hint="eastAsia"/>
          <w:sz w:val="21"/>
          <w:szCs w:val="21"/>
        </w:rPr>
        <w:t xml:space="preserve">申购费用=申购金额-净申购金额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申购份额=净申购金额/申购当日基金份额净值 </w:t>
      </w:r>
    </w:p>
    <w:p>
      <w:pPr>
        <w:pStyle w:val="7"/>
        <w:spacing w:before="0" w:beforeAutospacing="0" w:after="0" w:afterAutospacing="0" w:line="360" w:lineRule="auto"/>
        <w:ind w:firstLine="420"/>
        <w:rPr>
          <w:sz w:val="21"/>
          <w:szCs w:val="21"/>
        </w:rPr>
      </w:pPr>
      <w:r>
        <w:rPr>
          <w:rFonts w:hint="eastAsia"/>
          <w:sz w:val="21"/>
          <w:szCs w:val="21"/>
        </w:rPr>
        <w:t xml:space="preserve">申购份额的计算结果均按照四舍五入方法，保留小数点后两位，由此误差产生的损失由基金财产承担，产生的收益归基金财产所有。 </w:t>
      </w:r>
    </w:p>
    <w:p>
      <w:pPr>
        <w:pStyle w:val="7"/>
        <w:spacing w:before="0" w:beforeAutospacing="0" w:after="0" w:afterAutospacing="0" w:line="360" w:lineRule="auto"/>
        <w:ind w:firstLine="420"/>
        <w:rPr>
          <w:sz w:val="21"/>
          <w:szCs w:val="21"/>
        </w:rPr>
      </w:pPr>
      <w:r>
        <w:rPr>
          <w:rFonts w:hint="eastAsia"/>
          <w:sz w:val="21"/>
          <w:szCs w:val="21"/>
        </w:rPr>
        <w:t xml:space="preserve">例：假定T日基金份额净值为1.056元，某投资者本次申购本基金40万元，对应的本次申购费率为1.50%，该投资者可得到的基金份额为： </w:t>
      </w:r>
    </w:p>
    <w:p>
      <w:pPr>
        <w:pStyle w:val="7"/>
        <w:spacing w:before="0" w:beforeAutospacing="0" w:after="0" w:afterAutospacing="0" w:line="360" w:lineRule="auto"/>
        <w:ind w:firstLine="420"/>
        <w:rPr>
          <w:sz w:val="21"/>
          <w:szCs w:val="21"/>
        </w:rPr>
      </w:pPr>
      <w:r>
        <w:rPr>
          <w:rFonts w:hint="eastAsia"/>
          <w:sz w:val="21"/>
          <w:szCs w:val="21"/>
        </w:rPr>
        <w:t xml:space="preserve">净申购金额=400,000/（1+1.50%）＝394,088.67元 </w:t>
      </w:r>
    </w:p>
    <w:p>
      <w:pPr>
        <w:pStyle w:val="7"/>
        <w:spacing w:before="0" w:beforeAutospacing="0" w:after="0" w:afterAutospacing="0" w:line="360" w:lineRule="auto"/>
        <w:ind w:firstLine="420"/>
        <w:rPr>
          <w:sz w:val="21"/>
          <w:szCs w:val="21"/>
        </w:rPr>
      </w:pPr>
      <w:r>
        <w:rPr>
          <w:rFonts w:hint="eastAsia"/>
          <w:sz w:val="21"/>
          <w:szCs w:val="21"/>
        </w:rPr>
        <w:t xml:space="preserve">申购费用=400,000-394,088.67＝5,911.33元 </w:t>
      </w:r>
    </w:p>
    <w:p>
      <w:pPr>
        <w:pStyle w:val="7"/>
        <w:spacing w:before="0" w:beforeAutospacing="0" w:after="0" w:afterAutospacing="0" w:line="360" w:lineRule="auto"/>
        <w:ind w:firstLine="420"/>
        <w:rPr>
          <w:sz w:val="21"/>
          <w:szCs w:val="21"/>
        </w:rPr>
      </w:pPr>
      <w:r>
        <w:rPr>
          <w:rFonts w:hint="eastAsia"/>
          <w:sz w:val="21"/>
          <w:szCs w:val="21"/>
        </w:rPr>
        <w:t xml:space="preserve">申购份额=394,088.67/1.056＝373,190.03份 </w:t>
      </w:r>
    </w:p>
    <w:p>
      <w:pPr>
        <w:pStyle w:val="7"/>
        <w:spacing w:before="0" w:beforeAutospacing="0" w:after="0" w:afterAutospacing="0" w:line="360" w:lineRule="auto"/>
        <w:ind w:firstLine="420"/>
        <w:rPr>
          <w:sz w:val="21"/>
          <w:szCs w:val="21"/>
        </w:rPr>
      </w:pPr>
      <w:r>
        <w:rPr>
          <w:rFonts w:hint="eastAsia"/>
          <w:sz w:val="21"/>
          <w:szCs w:val="21"/>
        </w:rPr>
        <w:t xml:space="preserve">即：投资者投资40万元申购本基金，假定申购当日基金份额净值为1.056元，可得到373,190.03份基金份额。 </w:t>
      </w:r>
    </w:p>
    <w:p>
      <w:pPr>
        <w:pStyle w:val="7"/>
        <w:spacing w:before="0" w:beforeAutospacing="0" w:after="0" w:afterAutospacing="0" w:line="360" w:lineRule="auto"/>
        <w:ind w:firstLine="420"/>
        <w:rPr>
          <w:sz w:val="21"/>
          <w:szCs w:val="21"/>
        </w:rPr>
      </w:pPr>
      <w:r>
        <w:rPr>
          <w:rFonts w:hint="eastAsia"/>
          <w:sz w:val="21"/>
          <w:szCs w:val="21"/>
        </w:rPr>
        <w:t xml:space="preserve">2、 赎回金额的计算方式： </w:t>
      </w:r>
    </w:p>
    <w:p>
      <w:pPr>
        <w:pStyle w:val="7"/>
        <w:spacing w:before="0" w:beforeAutospacing="0" w:after="0" w:afterAutospacing="0" w:line="360" w:lineRule="auto"/>
        <w:ind w:firstLine="420"/>
        <w:rPr>
          <w:sz w:val="21"/>
          <w:szCs w:val="21"/>
        </w:rPr>
      </w:pPr>
      <w:r>
        <w:rPr>
          <w:rFonts w:hint="eastAsia"/>
          <w:sz w:val="21"/>
          <w:szCs w:val="21"/>
        </w:rPr>
        <w:t xml:space="preserve">赎回总金额=赎回份额′T日基金份额净值 </w:t>
      </w:r>
    </w:p>
    <w:p>
      <w:pPr>
        <w:pStyle w:val="7"/>
        <w:spacing w:before="0" w:beforeAutospacing="0" w:after="0" w:afterAutospacing="0" w:line="360" w:lineRule="auto"/>
        <w:ind w:firstLine="420"/>
        <w:rPr>
          <w:sz w:val="21"/>
          <w:szCs w:val="21"/>
        </w:rPr>
      </w:pPr>
      <w:r>
        <w:rPr>
          <w:rFonts w:hint="eastAsia"/>
          <w:sz w:val="21"/>
          <w:szCs w:val="21"/>
        </w:rPr>
        <w:t xml:space="preserve">赎回费用=赎回总金额′赎回费率 </w:t>
      </w:r>
    </w:p>
    <w:p>
      <w:pPr>
        <w:pStyle w:val="7"/>
        <w:spacing w:before="0" w:beforeAutospacing="0" w:after="0" w:afterAutospacing="0" w:line="360" w:lineRule="auto"/>
        <w:ind w:firstLine="420"/>
        <w:rPr>
          <w:sz w:val="21"/>
          <w:szCs w:val="21"/>
        </w:rPr>
      </w:pPr>
      <w:r>
        <w:rPr>
          <w:rFonts w:hint="eastAsia"/>
          <w:sz w:val="21"/>
          <w:szCs w:val="21"/>
        </w:rPr>
        <w:t xml:space="preserve">净赎回金额=赎回总金额-赎回费用 </w:t>
      </w:r>
    </w:p>
    <w:p>
      <w:pPr>
        <w:pStyle w:val="7"/>
        <w:spacing w:before="0" w:beforeAutospacing="0" w:after="0" w:afterAutospacing="0" w:line="360" w:lineRule="auto"/>
        <w:ind w:firstLine="420"/>
        <w:rPr>
          <w:sz w:val="21"/>
          <w:szCs w:val="21"/>
        </w:rPr>
      </w:pPr>
      <w:r>
        <w:rPr>
          <w:rFonts w:hint="eastAsia"/>
          <w:sz w:val="21"/>
          <w:szCs w:val="21"/>
        </w:rPr>
        <w:t xml:space="preserve">例：某投资者赎回本基金1万份基金份额，持有时间为三年，对应的赎回费率为0%，假设赎回当日基金份额净值是1.2500元，则其可得到的赎回金额为：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赎回总金额=10,000×1.250=12,500 元 </w:t>
      </w:r>
    </w:p>
    <w:p>
      <w:pPr>
        <w:pStyle w:val="7"/>
        <w:spacing w:before="0" w:beforeAutospacing="0" w:after="0" w:afterAutospacing="0" w:line="360" w:lineRule="auto"/>
        <w:ind w:firstLine="420"/>
        <w:rPr>
          <w:sz w:val="21"/>
          <w:szCs w:val="21"/>
        </w:rPr>
      </w:pPr>
      <w:r>
        <w:rPr>
          <w:rFonts w:hint="eastAsia"/>
          <w:sz w:val="21"/>
          <w:szCs w:val="21"/>
        </w:rPr>
        <w:t xml:space="preserve">赎回费用=12,500×0%=0 元 </w:t>
      </w:r>
    </w:p>
    <w:p>
      <w:pPr>
        <w:pStyle w:val="7"/>
        <w:spacing w:before="0" w:beforeAutospacing="0" w:after="0" w:afterAutospacing="0" w:line="360" w:lineRule="auto"/>
        <w:ind w:firstLine="420"/>
        <w:rPr>
          <w:sz w:val="21"/>
          <w:szCs w:val="21"/>
        </w:rPr>
      </w:pPr>
      <w:r>
        <w:rPr>
          <w:rFonts w:hint="eastAsia"/>
          <w:sz w:val="21"/>
          <w:szCs w:val="21"/>
        </w:rPr>
        <w:t xml:space="preserve">净赎回金额=12,500-0=12,500 元 </w:t>
      </w:r>
    </w:p>
    <w:p>
      <w:pPr>
        <w:pStyle w:val="7"/>
        <w:spacing w:before="0" w:beforeAutospacing="0" w:after="0" w:afterAutospacing="0" w:line="360" w:lineRule="auto"/>
        <w:ind w:firstLine="420"/>
        <w:rPr>
          <w:sz w:val="21"/>
          <w:szCs w:val="21"/>
        </w:rPr>
      </w:pPr>
      <w:r>
        <w:rPr>
          <w:rFonts w:hint="eastAsia"/>
          <w:sz w:val="21"/>
          <w:szCs w:val="21"/>
        </w:rPr>
        <w:t xml:space="preserve">即：投资者赎回本基金1万份基金份额，持有时间为三年，假设赎回当日基金份额净值是1.250元，则其可得到的赎回金额为12,500元。 </w:t>
      </w:r>
    </w:p>
    <w:p>
      <w:pPr>
        <w:pStyle w:val="7"/>
        <w:spacing w:before="0" w:beforeAutospacing="0" w:after="0" w:afterAutospacing="0" w:line="360" w:lineRule="auto"/>
        <w:ind w:firstLine="420"/>
        <w:rPr>
          <w:sz w:val="21"/>
          <w:szCs w:val="21"/>
        </w:rPr>
      </w:pPr>
      <w:r>
        <w:rPr>
          <w:rFonts w:hint="eastAsia"/>
          <w:sz w:val="21"/>
          <w:szCs w:val="21"/>
        </w:rPr>
        <w:t xml:space="preserve">3、本基金份额净值的计算，保留到小数点后3位，小数点后第4位四舍五入，由此产生的收益或损失由基金财产承担。T日的基金份额净值在当天收市后计算，并按照基金合同约定公告。遇特殊情况，经中国证监会同意，可以适当延迟计算或公告。 </w:t>
      </w:r>
    </w:p>
    <w:p>
      <w:pPr>
        <w:pStyle w:val="7"/>
        <w:spacing w:before="0" w:beforeAutospacing="0" w:after="0" w:afterAutospacing="0" w:line="360" w:lineRule="auto"/>
        <w:ind w:firstLine="420"/>
        <w:rPr>
          <w:sz w:val="21"/>
          <w:szCs w:val="21"/>
        </w:rPr>
      </w:pPr>
      <w:r>
        <w:rPr>
          <w:rFonts w:hint="eastAsia"/>
          <w:sz w:val="21"/>
          <w:szCs w:val="21"/>
        </w:rPr>
        <w:t xml:space="preserve">4、申购份额余额的处理方式：申购的有效份额为净申购金额除以当日的基金份额净值，有效份额单位为份。上述计算结果均按四舍五入方法，保留到小数点后两位，由此误差产生的收益或损失由基金财产承担。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5、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6、申购费用由投资者承担，不列入基金财产，主要用于本基金的市场推广、销售、注册登记等各项费用。 </w:t>
      </w:r>
    </w:p>
    <w:p>
      <w:pPr>
        <w:pStyle w:val="7"/>
        <w:spacing w:before="0" w:beforeAutospacing="0" w:after="0" w:afterAutospacing="0" w:line="360" w:lineRule="auto"/>
        <w:ind w:firstLine="420"/>
        <w:rPr>
          <w:sz w:val="21"/>
          <w:szCs w:val="21"/>
        </w:rPr>
      </w:pPr>
      <w:r>
        <w:rPr>
          <w:rFonts w:hint="eastAsia"/>
          <w:sz w:val="21"/>
          <w:szCs w:val="21"/>
        </w:rPr>
        <w:t xml:space="preserve">7、赎回费用由赎回基金份额的基金份额持有人承担，在基金份额持有人赎回基金份额时收取。其中，对持续持有期少于7日的投资者收取不低于1.5%的赎回费，并将上述赎回费全额计入基金财产。对于其他投资者收取的赎回费，不低于赎回费总额的25%应归基金财产，其余用于支付注册登记费和其他必要的手续费。 </w:t>
      </w:r>
    </w:p>
    <w:p>
      <w:pPr>
        <w:pStyle w:val="7"/>
        <w:spacing w:before="0" w:beforeAutospacing="0" w:after="0" w:afterAutospacing="0" w:line="360" w:lineRule="auto"/>
        <w:ind w:firstLine="420"/>
        <w:rPr>
          <w:sz w:val="21"/>
          <w:szCs w:val="21"/>
        </w:rPr>
      </w:pPr>
      <w:r>
        <w:rPr>
          <w:rStyle w:val="11"/>
          <w:rFonts w:hint="eastAsia"/>
          <w:sz w:val="21"/>
          <w:szCs w:val="21"/>
        </w:rPr>
        <w:t>八、申购与赎回的注册登记</w:t>
      </w:r>
    </w:p>
    <w:p>
      <w:pPr>
        <w:pStyle w:val="7"/>
        <w:spacing w:before="0" w:beforeAutospacing="0" w:after="0" w:afterAutospacing="0" w:line="360" w:lineRule="auto"/>
        <w:ind w:firstLine="420"/>
        <w:rPr>
          <w:sz w:val="21"/>
          <w:szCs w:val="21"/>
        </w:rPr>
      </w:pPr>
      <w:r>
        <w:rPr>
          <w:rFonts w:hint="eastAsia"/>
          <w:sz w:val="21"/>
          <w:szCs w:val="21"/>
        </w:rPr>
        <w:t xml:space="preserve">投资者申购基金成功后，在正常情况下，基金登记机构在T+1日为投资者登记权益并办理注册登记手续，投资者自T+2日（含该日）后有权赎回该部分基金份额。 </w:t>
      </w:r>
    </w:p>
    <w:p>
      <w:pPr>
        <w:pStyle w:val="7"/>
        <w:spacing w:before="0" w:beforeAutospacing="0" w:after="0" w:afterAutospacing="0" w:line="360" w:lineRule="auto"/>
        <w:ind w:firstLine="420"/>
        <w:rPr>
          <w:sz w:val="21"/>
          <w:szCs w:val="21"/>
        </w:rPr>
      </w:pPr>
      <w:r>
        <w:rPr>
          <w:rFonts w:hint="eastAsia"/>
          <w:sz w:val="21"/>
          <w:szCs w:val="21"/>
        </w:rPr>
        <w:t xml:space="preserve">投资者赎回基金成功后，在正常情况下，基金登记机构在T+1日为投资者办理扣除权益的注册登记手续。 </w:t>
      </w:r>
    </w:p>
    <w:p>
      <w:pPr>
        <w:pStyle w:val="7"/>
        <w:spacing w:before="0" w:beforeAutospacing="0" w:after="0" w:afterAutospacing="0" w:line="360" w:lineRule="auto"/>
        <w:ind w:firstLine="420"/>
        <w:rPr>
          <w:sz w:val="21"/>
          <w:szCs w:val="21"/>
        </w:rPr>
      </w:pPr>
      <w:r>
        <w:rPr>
          <w:rFonts w:hint="eastAsia"/>
          <w:sz w:val="21"/>
          <w:szCs w:val="21"/>
        </w:rPr>
        <w:t xml:space="preserve">基金管理人可以在法律法规允许的范围内，对上述注册登记办理时间进行调整，但不得实质影响投资者的合法权益，并最迟于开始实施前按规定在指定媒介公告。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九、拒绝或暂停申购的情形及处理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发生下列情况时，基金管理人可拒绝或暂停接受投资者的申购申请：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2、证券交易所交易时间非正常停市，导致基金管理人无法计算当日基金资产净值。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3、发生基金合同规定的暂停基金资产估值情况。 </w:t>
      </w:r>
    </w:p>
    <w:p>
      <w:pPr>
        <w:pStyle w:val="7"/>
        <w:spacing w:before="0" w:beforeAutospacing="0" w:after="0" w:afterAutospacing="0" w:line="360" w:lineRule="auto"/>
        <w:ind w:firstLine="420"/>
        <w:rPr>
          <w:sz w:val="21"/>
          <w:szCs w:val="21"/>
        </w:rPr>
      </w:pPr>
      <w:r>
        <w:rPr>
          <w:rFonts w:hint="eastAsia"/>
          <w:sz w:val="21"/>
          <w:szCs w:val="21"/>
        </w:rPr>
        <w:t xml:space="preserve">4、基金管理人认为接受某笔或某些申购申请可能会影响或损害现有基金份额持有人利益或对存量基金份额持有人利益构成潜在重大不利影响时。 </w:t>
      </w:r>
    </w:p>
    <w:p>
      <w:pPr>
        <w:pStyle w:val="7"/>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5、基金资产规模过大，使基金管理人无法找到合适的投资品种，或其他可能对基金业绩产生负面影响，从而损害现有基金份额持有人利益的情形。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7、基金管理人接受某笔或者某些申购申请有可能导致单一投资者持有基金份额的比例达到或者超过50%，或者变相规避50%集中度的情形时。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8、法律法规规定或中国证监会认定的其他情形。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1、2、3、5、6、8项规定的暂停申购情形时，基金管理人应当根据有关规定在指定媒介上刊登暂停申购公告。如果投资者的申购申请被拒绝，被拒绝的申购款项将退还给投资者。在暂停申购的情况消除时，基金管理人应及时恢复申购业务的办理。 </w:t>
      </w:r>
    </w:p>
    <w:p>
      <w:pPr>
        <w:pStyle w:val="7"/>
        <w:spacing w:before="0" w:beforeAutospacing="0" w:after="0" w:afterAutospacing="0" w:line="360" w:lineRule="auto"/>
        <w:ind w:firstLine="420"/>
        <w:rPr>
          <w:sz w:val="21"/>
          <w:szCs w:val="21"/>
        </w:rPr>
      </w:pPr>
      <w:r>
        <w:rPr>
          <w:rStyle w:val="11"/>
          <w:rFonts w:hint="eastAsia"/>
          <w:sz w:val="21"/>
          <w:szCs w:val="21"/>
        </w:rPr>
        <w:t>十、暂停赎回或延缓支付赎回款项的情形及处理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发生下列情形时，基金管理人可暂停接受投资者的赎回申请或延缓支付赎回款项：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2、证券交易所交易时间非正常停市，导致基金管理人无法计算当日基金资产净值。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3、连续两个或两个以上开放日发生巨额赎回。 </w:t>
      </w:r>
    </w:p>
    <w:p>
      <w:pPr>
        <w:pStyle w:val="7"/>
        <w:spacing w:before="0" w:beforeAutospacing="0" w:after="0" w:afterAutospacing="0" w:line="360" w:lineRule="auto"/>
        <w:ind w:firstLine="420"/>
        <w:rPr>
          <w:sz w:val="21"/>
          <w:szCs w:val="21"/>
        </w:rPr>
      </w:pPr>
      <w:r>
        <w:rPr>
          <w:rFonts w:hint="eastAsia"/>
          <w:sz w:val="21"/>
          <w:szCs w:val="21"/>
        </w:rPr>
        <w:t xml:space="preserve">4、发生基金合同规定的暂停基金资产估值情况。 </w:t>
      </w:r>
    </w:p>
    <w:p>
      <w:pPr>
        <w:pStyle w:val="7"/>
        <w:spacing w:before="0" w:beforeAutospacing="0" w:after="0" w:afterAutospacing="0" w:line="360" w:lineRule="auto"/>
        <w:ind w:firstLine="420"/>
        <w:rPr>
          <w:sz w:val="21"/>
          <w:szCs w:val="21"/>
        </w:rPr>
      </w:pPr>
      <w:r>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6、法律法规规定或中国证监会认定的其他情形。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时，基金管理人应按规定报中国证监会备案，已接受的赎回申请，基金管理人应足额支付；如暂时不能足额支付，未支付部分可延期支付。若连续两个或两个以上开放日发生巨额赎回，延期支付最长不得超过20个工作日，并在指定媒介上公告。投资者在申请赎回时可事先选择将当日可能未获受理部分予以撤销。在暂停赎回的情况消除时，基金管理人应及时恢复赎回业务的办理并予以公告。 </w:t>
      </w:r>
    </w:p>
    <w:p>
      <w:pPr>
        <w:pStyle w:val="7"/>
        <w:spacing w:before="0" w:beforeAutospacing="0" w:after="0" w:afterAutospacing="0" w:line="360" w:lineRule="auto"/>
        <w:ind w:firstLine="420"/>
        <w:rPr>
          <w:sz w:val="21"/>
          <w:szCs w:val="21"/>
        </w:rPr>
      </w:pPr>
      <w:r>
        <w:rPr>
          <w:rStyle w:val="11"/>
          <w:rFonts w:hint="eastAsia"/>
          <w:sz w:val="21"/>
          <w:szCs w:val="21"/>
        </w:rPr>
        <w:t>十一、巨额赎回的情形及处理方式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96" w:name="field_59_minholdshare_3"/>
      <w:r>
        <w:rPr>
          <w:sz w:val="21"/>
          <w:szCs w:val="21"/>
        </w:rPr>
        <w:t>10</w:t>
      </w:r>
      <w:bookmarkEnd w:id="96"/>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（1）全额赎回：当基金管理人认为有能力支付投资者的全部赎回申请时，按正常赎回程序执行。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w:t>
      </w:r>
      <w:bookmarkStart w:id="97" w:name="field_59_minholdshare_4"/>
      <w:r>
        <w:rPr>
          <w:sz w:val="21"/>
          <w:szCs w:val="21"/>
        </w:rPr>
        <w:t>10</w:t>
      </w:r>
      <w:bookmarkEnd w:id="97"/>
      <w:r>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者在提交赎回申请时未作明确选择，投资者未能赎回部分作自动延期赎回处理。 </w:t>
      </w:r>
    </w:p>
    <w:p>
      <w:pPr>
        <w:pStyle w:val="7"/>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w:t>
      </w:r>
      <w:bookmarkStart w:id="98" w:name="field_59_minholdshare_5"/>
      <w:r>
        <w:rPr>
          <w:sz w:val="21"/>
          <w:szCs w:val="21"/>
        </w:rPr>
        <w:t>10</w:t>
      </w:r>
      <w:bookmarkEnd w:id="98"/>
      <w:r>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99" w:name="field_59_minholdshare_6"/>
      <w:r>
        <w:rPr>
          <w:sz w:val="21"/>
          <w:szCs w:val="21"/>
        </w:rPr>
        <w:t>10</w:t>
      </w:r>
      <w:bookmarkEnd w:id="99"/>
      <w:r>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暂停赎回：连续2日以上（含本数）发生巨额赎回，如基金管理人认为有必要，可暂停接受基金的赎回申请；已经接受的赎回申请可以延缓支付赎回款项，但不得超过20个工作日，并应当在指定媒介上进行公告。 </w:t>
      </w:r>
    </w:p>
    <w:p>
      <w:pPr>
        <w:pStyle w:val="7"/>
        <w:spacing w:before="0" w:beforeAutospacing="0" w:after="0" w:afterAutospacing="0" w:line="360" w:lineRule="auto"/>
        <w:ind w:firstLine="420"/>
        <w:rPr>
          <w:sz w:val="21"/>
          <w:szCs w:val="21"/>
        </w:rPr>
      </w:pPr>
      <w:r>
        <w:rPr>
          <w:rFonts w:hint="eastAsia"/>
          <w:sz w:val="21"/>
          <w:szCs w:val="21"/>
        </w:rPr>
        <w:t xml:space="preserve">3、巨额赎回的公告 </w:t>
      </w:r>
    </w:p>
    <w:p>
      <w:pPr>
        <w:pStyle w:val="7"/>
        <w:spacing w:before="0" w:beforeAutospacing="0" w:after="0" w:afterAutospacing="0" w:line="360" w:lineRule="auto"/>
        <w:ind w:firstLine="420"/>
        <w:rPr>
          <w:sz w:val="21"/>
          <w:szCs w:val="21"/>
        </w:rPr>
      </w:pPr>
      <w:r>
        <w:rPr>
          <w:rFonts w:hint="eastAsia"/>
          <w:sz w:val="21"/>
          <w:szCs w:val="21"/>
        </w:rPr>
        <w:t xml:space="preserve">当发生上述延期赎回并延期或暂停办理时，基金管理人应当通过邮寄、传真或者招募说明书规定的其他方式在3个交易日内通知基金份额持有人，说明有关处理方法，并在2日内在指定媒介上刊登公告。 </w:t>
      </w:r>
    </w:p>
    <w:p>
      <w:pPr>
        <w:pStyle w:val="7"/>
        <w:spacing w:before="0" w:beforeAutospacing="0" w:after="0" w:afterAutospacing="0" w:line="360" w:lineRule="auto"/>
        <w:ind w:firstLine="420"/>
        <w:rPr>
          <w:sz w:val="21"/>
          <w:szCs w:val="21"/>
        </w:rPr>
      </w:pPr>
      <w:r>
        <w:rPr>
          <w:rStyle w:val="11"/>
          <w:rFonts w:hint="eastAsia"/>
          <w:sz w:val="21"/>
          <w:szCs w:val="21"/>
        </w:rPr>
        <w:t>十二、暂停申购或赎回的公告和重新开放申购或赎回的公告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pPr>
        <w:pStyle w:val="7"/>
        <w:spacing w:before="0" w:beforeAutospacing="0" w:after="0" w:afterAutospacing="0" w:line="360" w:lineRule="auto"/>
        <w:ind w:firstLine="420"/>
        <w:rPr>
          <w:sz w:val="21"/>
          <w:szCs w:val="21"/>
        </w:rPr>
      </w:pPr>
      <w:r>
        <w:rPr>
          <w:rFonts w:hint="eastAsia"/>
          <w:sz w:val="21"/>
          <w:szCs w:val="21"/>
        </w:rPr>
        <w:t xml:space="preserve">2、如发生暂停的时间为1日，基金管理人应于重新开放日，在指定媒介上刊登基金重新开放申购或赎回公告，并公布最近1个开放日的基金份额净值。 </w:t>
      </w:r>
    </w:p>
    <w:p>
      <w:pPr>
        <w:pStyle w:val="7"/>
        <w:spacing w:before="0" w:beforeAutospacing="0" w:after="0" w:afterAutospacing="0" w:line="360" w:lineRule="auto"/>
        <w:ind w:firstLine="420"/>
        <w:rPr>
          <w:sz w:val="21"/>
          <w:szCs w:val="21"/>
        </w:rPr>
      </w:pPr>
      <w:r>
        <w:rPr>
          <w:rFonts w:hint="eastAsia"/>
          <w:sz w:val="21"/>
          <w:szCs w:val="21"/>
        </w:rPr>
        <w:t xml:space="preserve">3、如发生暂停的时间超过1日但少于2周，暂停结束，基金重新开放申购或赎回时，基金管理人应提前2日在指定媒介上刊登基金重新开放申购或赎回公告，并公告最近1个开放日的基金份额净值。 </w:t>
      </w:r>
    </w:p>
    <w:p>
      <w:pPr>
        <w:pStyle w:val="7"/>
        <w:spacing w:before="0" w:beforeAutospacing="0" w:after="0" w:afterAutospacing="0" w:line="360" w:lineRule="auto"/>
        <w:ind w:firstLine="420"/>
        <w:rPr>
          <w:sz w:val="21"/>
          <w:szCs w:val="21"/>
        </w:rPr>
      </w:pPr>
      <w:r>
        <w:rPr>
          <w:rFonts w:hint="eastAsia"/>
          <w:sz w:val="21"/>
          <w:szCs w:val="21"/>
        </w:rPr>
        <w:t>4、如发生暂停的时间超过2周，暂停期间，基金管理人应每2周至少刊登暂停公告1次。暂停结束，基金重新开放申购或赎回时，基金管理人应提前2日在指定媒介上连续刊登</w:t>
      </w:r>
      <w:bookmarkStart w:id="100" w:name="chapter_level1_10_59_section_3_end"/>
      <w:bookmarkEnd w:id="100"/>
      <w:r>
        <w:rPr>
          <w:rFonts w:hint="eastAsia"/>
          <w:sz w:val="21"/>
          <w:szCs w:val="21"/>
        </w:rPr>
        <w:t xml:space="preserve">基金重新开放申购或赎回公告，并公告最近1个开放日的基金份额净值。 </w:t>
      </w:r>
    </w:p>
    <w:p>
      <w:pPr>
        <w:pStyle w:val="7"/>
        <w:spacing w:before="0" w:beforeAutospacing="0" w:after="0" w:afterAutospacing="0" w:line="360" w:lineRule="auto"/>
        <w:ind w:firstLine="420"/>
        <w:rPr>
          <w:sz w:val="21"/>
          <w:szCs w:val="21"/>
        </w:rPr>
      </w:pPr>
      <w:bookmarkStart w:id="101" w:name="chapter_level1_10_59_section_4"/>
      <w:bookmarkEnd w:id="101"/>
      <w:r>
        <w:rPr>
          <w:rStyle w:val="11"/>
          <w:rFonts w:hint="eastAsia"/>
          <w:sz w:val="21"/>
          <w:szCs w:val="21"/>
        </w:rPr>
        <w:t>十三、基金转换</w:t>
      </w:r>
    </w:p>
    <w:p>
      <w:pPr>
        <w:pStyle w:val="7"/>
        <w:spacing w:before="0" w:beforeAutospacing="0" w:after="0" w:afterAutospacing="0" w:line="360" w:lineRule="auto"/>
        <w:ind w:firstLine="420"/>
        <w:rPr>
          <w:sz w:val="21"/>
          <w:szCs w:val="21"/>
        </w:rPr>
      </w:pPr>
      <w:r>
        <w:rPr>
          <w:rFonts w:hint="eastAsia"/>
          <w:sz w:val="21"/>
          <w:szCs w:val="21"/>
        </w:rPr>
        <w:t xml:space="preserve">自2011年1月17日起，本基金管理人和销售机构共同推出本基金的基金转换业务。 </w:t>
      </w:r>
    </w:p>
    <w:p>
      <w:pPr>
        <w:pStyle w:val="7"/>
        <w:spacing w:before="0" w:beforeAutospacing="0" w:after="0" w:afterAutospacing="0" w:line="360" w:lineRule="auto"/>
        <w:ind w:firstLine="420"/>
        <w:rPr>
          <w:sz w:val="21"/>
          <w:szCs w:val="21"/>
        </w:rPr>
      </w:pPr>
      <w:r>
        <w:rPr>
          <w:rFonts w:hint="eastAsia"/>
          <w:sz w:val="21"/>
          <w:szCs w:val="21"/>
        </w:rPr>
        <w:t xml:space="preserve">1、转换费用 </w:t>
      </w:r>
    </w:p>
    <w:p>
      <w:pPr>
        <w:pStyle w:val="7"/>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pPr>
        <w:pStyle w:val="7"/>
        <w:spacing w:before="0" w:beforeAutospacing="0" w:after="0" w:afterAutospacing="0" w:line="360" w:lineRule="auto"/>
        <w:ind w:firstLine="420"/>
        <w:rPr>
          <w:sz w:val="21"/>
          <w:szCs w:val="21"/>
        </w:rPr>
      </w:pPr>
      <w:r>
        <w:rPr>
          <w:rFonts w:hint="eastAsia"/>
          <w:sz w:val="21"/>
          <w:szCs w:val="21"/>
        </w:rPr>
        <w:t xml:space="preserve">2、业务规则 </w:t>
      </w:r>
    </w:p>
    <w:p>
      <w:pPr>
        <w:pStyle w:val="7"/>
        <w:spacing w:before="0" w:beforeAutospacing="0" w:after="0" w:afterAutospacing="0" w:line="360" w:lineRule="auto"/>
        <w:ind w:firstLine="420"/>
        <w:rPr>
          <w:sz w:val="21"/>
          <w:szCs w:val="21"/>
        </w:rPr>
      </w:pPr>
      <w:r>
        <w:rPr>
          <w:rFonts w:hint="eastAsia"/>
          <w:sz w:val="21"/>
          <w:szCs w:val="21"/>
        </w:rPr>
        <w:t xml:space="preserve">（1）基金转换只能在同一销售机构进行。转换的两只基金必须都是该销售机构代理的同一基金管理人管理的、在同一登记机构处注册登记的基金。 </w:t>
      </w:r>
    </w:p>
    <w:p>
      <w:pPr>
        <w:pStyle w:val="7"/>
        <w:spacing w:before="0" w:beforeAutospacing="0" w:after="0" w:afterAutospacing="0" w:line="360" w:lineRule="auto"/>
        <w:ind w:firstLine="420"/>
        <w:rPr>
          <w:sz w:val="21"/>
          <w:szCs w:val="21"/>
        </w:rPr>
      </w:pPr>
      <w:r>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换。  </w:t>
      </w:r>
    </w:p>
    <w:p>
      <w:pPr>
        <w:pStyle w:val="7"/>
        <w:spacing w:before="0" w:beforeAutospacing="0" w:after="0" w:afterAutospacing="0" w:line="360" w:lineRule="auto"/>
        <w:ind w:firstLine="420"/>
        <w:rPr>
          <w:sz w:val="21"/>
          <w:szCs w:val="21"/>
        </w:rPr>
      </w:pPr>
      <w:r>
        <w:rPr>
          <w:rFonts w:hint="eastAsia"/>
          <w:sz w:val="21"/>
          <w:szCs w:val="21"/>
        </w:rPr>
        <w:t xml:space="preserve">（3）基金转换的目标基金份额按新交易计算持有时间。基金转出视为赎回，转入视为申购。基金转换后可赎回的时间为T＋2日。 </w:t>
      </w:r>
    </w:p>
    <w:p>
      <w:pPr>
        <w:pStyle w:val="7"/>
        <w:spacing w:before="0" w:beforeAutospacing="0" w:after="0" w:afterAutospacing="0" w:line="360" w:lineRule="auto"/>
        <w:ind w:firstLine="420"/>
        <w:rPr>
          <w:sz w:val="21"/>
          <w:szCs w:val="21"/>
        </w:rPr>
      </w:pPr>
      <w:r>
        <w:rPr>
          <w:rFonts w:hint="eastAsia"/>
          <w:sz w:val="21"/>
          <w:szCs w:val="21"/>
        </w:rPr>
        <w:t xml:space="preserve">（4）基金分红时再投资的份额可在权益登记日的T＋2日提交基金转换申请。 </w:t>
      </w:r>
    </w:p>
    <w:p>
      <w:pPr>
        <w:pStyle w:val="7"/>
        <w:spacing w:before="0" w:beforeAutospacing="0" w:after="0" w:afterAutospacing="0" w:line="360" w:lineRule="auto"/>
        <w:ind w:firstLine="420"/>
        <w:rPr>
          <w:sz w:val="21"/>
          <w:szCs w:val="21"/>
        </w:rPr>
      </w:pPr>
      <w:r>
        <w:rPr>
          <w:rFonts w:hint="eastAsia"/>
          <w:sz w:val="21"/>
          <w:szCs w:val="21"/>
        </w:rPr>
        <w:t xml:space="preserve">（5）基金转换以申请当日基金份额净值为基础计算。投资者采用“份额转换”的原则提交申请。转出基金份额必须是可用份额，并遵循“先进先出”的原则。 </w:t>
      </w:r>
    </w:p>
    <w:p>
      <w:pPr>
        <w:pStyle w:val="7"/>
        <w:spacing w:before="0" w:beforeAutospacing="0" w:after="0" w:afterAutospacing="0" w:line="360" w:lineRule="auto"/>
        <w:ind w:firstLine="420"/>
        <w:rPr>
          <w:sz w:val="21"/>
          <w:szCs w:val="21"/>
        </w:rPr>
      </w:pPr>
      <w:r>
        <w:rPr>
          <w:rFonts w:hint="eastAsia"/>
          <w:sz w:val="21"/>
          <w:szCs w:val="21"/>
        </w:rPr>
        <w:t xml:space="preserve">3、暂停基金转换的情形及处理 </w:t>
      </w:r>
    </w:p>
    <w:p>
      <w:pPr>
        <w:pStyle w:val="7"/>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基金转换视同为转出基金的赎回和转入基金的申购，因此有关转出基金和转入基金暂停或拒绝申购、暂停赎回的有关规定适用于基金转换。 </w:t>
      </w:r>
    </w:p>
    <w:p>
      <w:pPr>
        <w:pStyle w:val="7"/>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7"/>
        <w:spacing w:before="0" w:beforeAutospacing="0" w:after="0" w:afterAutospacing="0" w:line="360" w:lineRule="auto"/>
        <w:ind w:firstLine="420"/>
        <w:rPr>
          <w:sz w:val="21"/>
          <w:szCs w:val="21"/>
        </w:rPr>
      </w:pPr>
      <w:r>
        <w:rPr>
          <w:rFonts w:hint="eastAsia"/>
          <w:sz w:val="21"/>
          <w:szCs w:val="21"/>
        </w:rPr>
        <w:t xml:space="preserve">4、重要提示 </w:t>
      </w:r>
    </w:p>
    <w:p>
      <w:pPr>
        <w:pStyle w:val="7"/>
        <w:spacing w:before="0" w:beforeAutospacing="0" w:after="0" w:afterAutospacing="0" w:line="360" w:lineRule="auto"/>
        <w:ind w:firstLine="420"/>
        <w:rPr>
          <w:sz w:val="21"/>
          <w:szCs w:val="21"/>
        </w:rPr>
      </w:pPr>
      <w:r>
        <w:rPr>
          <w:rFonts w:hint="eastAsia"/>
          <w:sz w:val="21"/>
          <w:szCs w:val="21"/>
        </w:rPr>
        <w:t xml:space="preserve">（1）转换业务适用基金详见相关公告。 </w:t>
      </w:r>
    </w:p>
    <w:p>
      <w:pPr>
        <w:pStyle w:val="7"/>
        <w:spacing w:before="0" w:beforeAutospacing="0" w:after="0" w:afterAutospacing="0" w:line="360" w:lineRule="auto"/>
        <w:ind w:firstLine="420"/>
        <w:rPr>
          <w:sz w:val="21"/>
          <w:szCs w:val="21"/>
        </w:rPr>
      </w:pPr>
      <w:r>
        <w:rPr>
          <w:rFonts w:hint="eastAsia"/>
          <w:sz w:val="21"/>
          <w:szCs w:val="21"/>
        </w:rPr>
        <w:t>（2）本基金转换业务适用于可以销售包括</w:t>
      </w:r>
      <w:bookmarkStart w:id="102" w:name="field_0_productfullname_10"/>
      <w:r>
        <w:rPr>
          <w:rFonts w:hint="eastAsia"/>
          <w:sz w:val="21"/>
          <w:szCs w:val="21"/>
        </w:rPr>
        <w:t>博时行业轮动混合型证券投资基金</w:t>
      </w:r>
      <w:bookmarkEnd w:id="102"/>
      <w:r>
        <w:rPr>
          <w:rFonts w:hint="eastAsia"/>
          <w:sz w:val="21"/>
          <w:szCs w:val="21"/>
        </w:rPr>
        <w:t xml:space="preserve">在内的两只以上（含两只），且基金登记机构为同一机构的博时旗下基金的销售机构。  </w:t>
      </w:r>
    </w:p>
    <w:p>
      <w:pPr>
        <w:pStyle w:val="7"/>
        <w:spacing w:before="0" w:beforeAutospacing="0" w:after="0" w:afterAutospacing="0" w:line="360" w:lineRule="auto"/>
        <w:ind w:firstLine="420"/>
        <w:rPr>
          <w:sz w:val="21"/>
          <w:szCs w:val="21"/>
        </w:rPr>
      </w:pPr>
      <w:r>
        <w:rPr>
          <w:rFonts w:hint="eastAsia"/>
          <w:sz w:val="21"/>
          <w:szCs w:val="21"/>
        </w:rPr>
        <w:t>（3）转换业务的收费计算公式及举例参见2010年3月16日刊登于本公司网站的《</w:t>
      </w:r>
      <w:bookmarkStart w:id="103" w:name="field_0_managerorgfullname_5"/>
      <w:r>
        <w:rPr>
          <w:rFonts w:hint="eastAsia"/>
          <w:sz w:val="21"/>
          <w:szCs w:val="21"/>
        </w:rPr>
        <w:t>博时基金管理有限公司</w:t>
      </w:r>
      <w:bookmarkEnd w:id="103"/>
      <w:r>
        <w:rPr>
          <w:rFonts w:hint="eastAsia"/>
          <w:sz w:val="21"/>
          <w:szCs w:val="21"/>
        </w:rPr>
        <w:t xml:space="preserve">关于旗下开放式基金转换业务的公告》。 </w:t>
      </w:r>
    </w:p>
    <w:p>
      <w:pPr>
        <w:pStyle w:val="7"/>
        <w:spacing w:before="0" w:beforeAutospacing="0" w:after="0" w:afterAutospacing="0" w:line="360" w:lineRule="auto"/>
        <w:ind w:firstLine="420"/>
        <w:rPr>
          <w:sz w:val="21"/>
          <w:szCs w:val="21"/>
        </w:rPr>
      </w:pPr>
      <w:bookmarkStart w:id="104" w:name="chapter_level1_10_59_section_4_end"/>
      <w:bookmarkEnd w:id="104"/>
      <w:r>
        <w:rPr>
          <w:rFonts w:hint="eastAsia"/>
          <w:sz w:val="21"/>
          <w:szCs w:val="21"/>
        </w:rPr>
        <w:t xml:space="preserve">（4）本公司管理基金的转换业务的解释权归本公司。 </w:t>
      </w:r>
    </w:p>
    <w:p>
      <w:pPr>
        <w:pStyle w:val="7"/>
        <w:spacing w:before="0" w:beforeAutospacing="0" w:after="0" w:afterAutospacing="0" w:line="360" w:lineRule="auto"/>
        <w:ind w:firstLine="420"/>
        <w:rPr>
          <w:sz w:val="21"/>
          <w:szCs w:val="21"/>
        </w:rPr>
      </w:pPr>
      <w:bookmarkStart w:id="105" w:name="chapter_level1_10_59_section_5"/>
      <w:bookmarkEnd w:id="105"/>
      <w:r>
        <w:rPr>
          <w:rStyle w:val="11"/>
          <w:rFonts w:hint="eastAsia"/>
          <w:sz w:val="21"/>
          <w:szCs w:val="21"/>
        </w:rPr>
        <w:t>十四、基金的非交易过户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而产生的非交易过户以及登记机构认可、符合法律法规的其它非交易过户。无论在上述何种情况下，接受划转的主体必须是依法可以持有本基金基金份额的投资者。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十五、基金的转托管</w:t>
      </w:r>
    </w:p>
    <w:p>
      <w:pPr>
        <w:pStyle w:val="7"/>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06" w:name="chapter_level1_10_59_section_5_end"/>
      <w:bookmarkEnd w:id="106"/>
      <w:r>
        <w:rPr>
          <w:rFonts w:hint="eastAsia"/>
          <w:sz w:val="21"/>
          <w:szCs w:val="21"/>
        </w:rPr>
        <w:t xml:space="preserve">以按照规定的标准收取转托管费。 </w:t>
      </w:r>
    </w:p>
    <w:p>
      <w:pPr>
        <w:pStyle w:val="7"/>
        <w:spacing w:before="0" w:beforeAutospacing="0" w:after="0" w:afterAutospacing="0" w:line="360" w:lineRule="auto"/>
        <w:ind w:firstLine="420"/>
        <w:rPr>
          <w:sz w:val="21"/>
          <w:szCs w:val="21"/>
        </w:rPr>
      </w:pPr>
      <w:bookmarkStart w:id="107" w:name="chapter_level1_10_59_section_6"/>
      <w:bookmarkEnd w:id="107"/>
      <w:r>
        <w:rPr>
          <w:rStyle w:val="11"/>
          <w:rFonts w:hint="eastAsia"/>
          <w:sz w:val="21"/>
          <w:szCs w:val="21"/>
        </w:rPr>
        <w:t>十六、定期定额投资计划</w:t>
      </w:r>
    </w:p>
    <w:p>
      <w:pPr>
        <w:pStyle w:val="7"/>
        <w:spacing w:before="0" w:beforeAutospacing="0" w:after="0" w:afterAutospacing="0" w:line="360" w:lineRule="auto"/>
        <w:ind w:firstLine="420"/>
        <w:rPr>
          <w:sz w:val="21"/>
          <w:szCs w:val="21"/>
        </w:rPr>
      </w:pPr>
      <w:r>
        <w:rPr>
          <w:rFonts w:hint="eastAsia"/>
          <w:sz w:val="21"/>
          <w:szCs w:val="21"/>
        </w:rPr>
        <w:t xml:space="preserve">本基金定于2011年1月17日起开始办理基金定期定额投资业务。 </w:t>
      </w:r>
    </w:p>
    <w:p>
      <w:pPr>
        <w:pStyle w:val="7"/>
        <w:spacing w:before="0" w:beforeAutospacing="0" w:after="0" w:afterAutospacing="0" w:line="360" w:lineRule="auto"/>
        <w:ind w:firstLine="420"/>
        <w:rPr>
          <w:sz w:val="21"/>
          <w:szCs w:val="21"/>
        </w:rPr>
      </w:pPr>
      <w:r>
        <w:rPr>
          <w:rFonts w:hint="eastAsia"/>
          <w:sz w:val="21"/>
          <w:szCs w:val="21"/>
        </w:rPr>
        <w:t xml:space="preserve">1、定期定额投资费率 </w:t>
      </w:r>
    </w:p>
    <w:p>
      <w:pPr>
        <w:pStyle w:val="7"/>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pPr>
        <w:pStyle w:val="7"/>
        <w:spacing w:before="0" w:beforeAutospacing="0" w:after="0" w:afterAutospacing="0" w:line="360" w:lineRule="auto"/>
        <w:ind w:firstLine="420"/>
        <w:rPr>
          <w:sz w:val="21"/>
          <w:szCs w:val="21"/>
        </w:rPr>
      </w:pPr>
      <w:r>
        <w:rPr>
          <w:rFonts w:hint="eastAsia"/>
          <w:sz w:val="21"/>
          <w:szCs w:val="21"/>
        </w:rPr>
        <w:t xml:space="preserve">本基金申购费率具体为： </w:t>
      </w:r>
    </w:p>
    <w:p>
      <w:pPr>
        <w:pStyle w:val="7"/>
        <w:spacing w:before="0" w:beforeAutospacing="0" w:after="0" w:afterAutospacing="0" w:line="360" w:lineRule="auto"/>
        <w:ind w:firstLine="420"/>
        <w:rPr>
          <w:sz w:val="21"/>
          <w:szCs w:val="21"/>
        </w:rPr>
      </w:pPr>
      <w:r>
        <w:rPr>
          <w:rFonts w:hint="eastAsia"/>
          <w:sz w:val="21"/>
          <w:szCs w:val="21"/>
        </w:rPr>
        <w:t xml:space="preserve">表：本基金的申购费率结构 </w:t>
      </w:r>
    </w:p>
    <w:tbl>
      <w:tblPr>
        <w:tblStyle w:val="9"/>
        <w:tblW w:w="4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申购金额（M） </w:t>
            </w:r>
          </w:p>
        </w:tc>
        <w:tc>
          <w:tcPr>
            <w:tcW w:w="0" w:type="auto"/>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M＜50万元 </w:t>
            </w:r>
          </w:p>
        </w:tc>
        <w:tc>
          <w:tcPr>
            <w:tcW w:w="0" w:type="auto"/>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50万元≤M＜100万元 </w:t>
            </w:r>
          </w:p>
        </w:tc>
        <w:tc>
          <w:tcPr>
            <w:tcW w:w="0" w:type="auto"/>
            <w:shd w:val="clear" w:color="auto" w:fill="auto"/>
          </w:tcPr>
          <w:p>
            <w:pPr>
              <w:pStyle w:val="7"/>
            </w:pPr>
            <w:r>
              <w:rPr>
                <w:rFonts w:hint="eastAsia"/>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100万元≤M＜500万元 </w:t>
            </w:r>
          </w:p>
        </w:tc>
        <w:tc>
          <w:tcPr>
            <w:tcW w:w="0" w:type="auto"/>
            <w:shd w:val="clear" w:color="auto" w:fill="auto"/>
          </w:tcPr>
          <w:p>
            <w:pPr>
              <w:pStyle w:val="7"/>
            </w:pPr>
            <w:r>
              <w:rPr>
                <w:rFonts w:hint="eastAsia"/>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7"/>
            </w:pPr>
            <w:r>
              <w:rPr>
                <w:rFonts w:hint="eastAsia"/>
              </w:rPr>
              <w:t xml:space="preserve">M≥500万元 </w:t>
            </w:r>
          </w:p>
        </w:tc>
        <w:tc>
          <w:tcPr>
            <w:tcW w:w="0" w:type="auto"/>
            <w:shd w:val="clear" w:color="auto" w:fill="auto"/>
          </w:tcPr>
          <w:p>
            <w:pPr>
              <w:pStyle w:val="7"/>
            </w:pPr>
            <w:r>
              <w:rPr>
                <w:rFonts w:hint="eastAsia"/>
              </w:rPr>
              <w:t xml:space="preserve">1000元/笔 </w:t>
            </w:r>
          </w:p>
        </w:tc>
      </w:tr>
    </w:tbl>
    <w:p>
      <w:pPr>
        <w:pStyle w:val="7"/>
        <w:spacing w:before="0" w:beforeAutospacing="0" w:after="0" w:afterAutospacing="0" w:line="360" w:lineRule="auto"/>
        <w:ind w:firstLine="420"/>
        <w:rPr>
          <w:sz w:val="21"/>
          <w:szCs w:val="21"/>
        </w:rPr>
      </w:pPr>
      <w:r>
        <w:rPr>
          <w:rFonts w:hint="eastAsia"/>
          <w:sz w:val="21"/>
          <w:szCs w:val="21"/>
        </w:rPr>
        <w:t xml:space="preserve">来源：博时基金 </w:t>
      </w:r>
    </w:p>
    <w:p>
      <w:pPr>
        <w:pStyle w:val="7"/>
        <w:spacing w:before="0" w:beforeAutospacing="0" w:after="0" w:afterAutospacing="0" w:line="360" w:lineRule="auto"/>
        <w:ind w:firstLine="420"/>
        <w:rPr>
          <w:sz w:val="21"/>
          <w:szCs w:val="21"/>
        </w:rPr>
      </w:pPr>
      <w:r>
        <w:rPr>
          <w:rFonts w:hint="eastAsia"/>
          <w:sz w:val="21"/>
          <w:szCs w:val="21"/>
        </w:rPr>
        <w:t xml:space="preserve">2、扣款日期和扣款金额 </w:t>
      </w:r>
    </w:p>
    <w:p>
      <w:pPr>
        <w:pStyle w:val="7"/>
        <w:spacing w:before="0" w:beforeAutospacing="0" w:after="0" w:afterAutospacing="0" w:line="360" w:lineRule="auto"/>
        <w:ind w:firstLine="420"/>
        <w:rPr>
          <w:sz w:val="21"/>
          <w:szCs w:val="21"/>
        </w:rPr>
      </w:pPr>
      <w:r>
        <w:rPr>
          <w:rFonts w:hint="eastAsia"/>
          <w:sz w:val="21"/>
          <w:szCs w:val="21"/>
        </w:rPr>
        <w:t xml:space="preserve">投资者须遵循各销售机构有关扣款日期的规定，并与销售机构约定每月扣款金额，但最低每次不少于人民币1.00元（含1.00元）。 </w:t>
      </w:r>
    </w:p>
    <w:p>
      <w:pPr>
        <w:pStyle w:val="7"/>
        <w:spacing w:before="0" w:beforeAutospacing="0" w:after="0" w:afterAutospacing="0" w:line="360" w:lineRule="auto"/>
        <w:ind w:firstLine="420"/>
        <w:rPr>
          <w:sz w:val="21"/>
          <w:szCs w:val="21"/>
        </w:rPr>
      </w:pPr>
      <w:r>
        <w:rPr>
          <w:rFonts w:hint="eastAsia"/>
          <w:sz w:val="21"/>
          <w:szCs w:val="21"/>
        </w:rPr>
        <w:t xml:space="preserve">3、重要提示 </w:t>
      </w:r>
    </w:p>
    <w:p>
      <w:pPr>
        <w:pStyle w:val="7"/>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7"/>
        <w:spacing w:before="0" w:beforeAutospacing="0" w:after="0" w:afterAutospacing="0" w:line="360" w:lineRule="auto"/>
        <w:ind w:firstLine="420"/>
        <w:rPr>
          <w:sz w:val="21"/>
          <w:szCs w:val="21"/>
        </w:rPr>
      </w:pPr>
      <w:r>
        <w:rPr>
          <w:rFonts w:hint="eastAsia"/>
          <w:sz w:val="21"/>
          <w:szCs w:val="21"/>
        </w:rPr>
        <w:t>2）本基金定期定额投资计划的每月实际扣款日即为基金申购申请日，并以该日（T日）的基金份额净值为基准计算申购份额。投资者可以从T+2日起通过本计划办理网点、致电本公司客服电话或登录本公司网站查询其每次申购申请的确认情况。申购份额将在确认成功后</w:t>
      </w:r>
      <w:bookmarkStart w:id="108" w:name="chapter_level1_10_59_section_6_end"/>
      <w:bookmarkEnd w:id="108"/>
      <w:r>
        <w:rPr>
          <w:rFonts w:hint="eastAsia"/>
          <w:sz w:val="21"/>
          <w:szCs w:val="21"/>
        </w:rPr>
        <w:t xml:space="preserve">直接计入投资者的基金账户。 </w:t>
      </w:r>
    </w:p>
    <w:p>
      <w:pPr>
        <w:pStyle w:val="7"/>
        <w:spacing w:before="0" w:beforeAutospacing="0" w:after="0" w:afterAutospacing="0" w:line="360" w:lineRule="auto"/>
        <w:ind w:firstLine="420"/>
        <w:rPr>
          <w:sz w:val="21"/>
          <w:szCs w:val="21"/>
        </w:rPr>
      </w:pPr>
      <w:bookmarkStart w:id="109" w:name="chapter_level1_10_59_section_7"/>
      <w:bookmarkEnd w:id="109"/>
      <w:r>
        <w:rPr>
          <w:rStyle w:val="11"/>
          <w:rFonts w:hint="eastAsia"/>
          <w:sz w:val="21"/>
          <w:szCs w:val="21"/>
        </w:rPr>
        <w:t>十七、基金的冻结和解冻</w:t>
      </w:r>
    </w:p>
    <w:p>
      <w:pPr>
        <w:pStyle w:val="7"/>
        <w:spacing w:before="0" w:beforeAutospacing="0" w:after="0" w:afterAutospacing="0" w:line="360" w:lineRule="auto"/>
        <w:ind w:firstLine="420"/>
        <w:rPr>
          <w:sz w:val="21"/>
          <w:szCs w:val="21"/>
        </w:rPr>
      </w:pPr>
      <w:r>
        <w:rPr>
          <w:rFonts w:hint="eastAsia"/>
          <w:sz w:val="21"/>
          <w:szCs w:val="21"/>
        </w:rPr>
        <w:t>基金登记机构只受理国家有权机关依法要求的基金份额的冻结与解冻，以及登记机构认可、符合法律法规的其他情况下的冻结与解冻。基金份额被冻结的，被冻结部分产生的权益</w:t>
      </w:r>
      <w:bookmarkStart w:id="110" w:name="chapter_level1_10_59_section_7_end"/>
      <w:bookmarkEnd w:id="110"/>
      <w:r>
        <w:rPr>
          <w:rFonts w:hint="eastAsia"/>
          <w:sz w:val="21"/>
          <w:szCs w:val="21"/>
        </w:rPr>
        <w:t xml:space="preserve">一律转为基金份额并冻结。被冻结部分份额仍然参与收益分配。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1" w:name="chapter_level1_11_60"/>
      <w:bookmarkStart w:id="112" w:name="_Toc113295497"/>
      <w:r>
        <w:rPr>
          <w:rFonts w:hint="eastAsia" w:ascii="宋体" w:hAnsi="宋体" w:eastAsia="宋体"/>
          <w:sz w:val="30"/>
        </w:rPr>
        <w:t>第八部分  基金的投资</w:t>
      </w:r>
      <w:bookmarkEnd w:id="111"/>
      <w:bookmarkEnd w:id="112"/>
    </w:p>
    <w:p>
      <w:pPr>
        <w:pStyle w:val="7"/>
        <w:spacing w:before="0" w:beforeAutospacing="0" w:after="0" w:afterAutospacing="0" w:line="360" w:lineRule="auto"/>
        <w:ind w:firstLine="420"/>
        <w:rPr>
          <w:sz w:val="21"/>
          <w:szCs w:val="21"/>
        </w:rPr>
      </w:pPr>
      <w:bookmarkStart w:id="113" w:name="chapter_level1_11_60_section_1"/>
      <w:bookmarkEnd w:id="113"/>
      <w:r>
        <w:rPr>
          <w:rStyle w:val="11"/>
          <w:rFonts w:hint="eastAsia"/>
          <w:sz w:val="21"/>
          <w:szCs w:val="21"/>
        </w:rPr>
        <w:t>一、投资目标</w:t>
      </w:r>
    </w:p>
    <w:p>
      <w:pPr>
        <w:pStyle w:val="7"/>
        <w:spacing w:before="0" w:beforeAutospacing="0" w:after="0" w:afterAutospacing="0" w:line="360" w:lineRule="auto"/>
        <w:ind w:firstLine="420"/>
        <w:rPr>
          <w:sz w:val="21"/>
          <w:szCs w:val="21"/>
        </w:rPr>
      </w:pPr>
      <w:bookmarkStart w:id="114" w:name="field_60_investmenttarget_1_start"/>
      <w:bookmarkEnd w:id="114"/>
      <w:r>
        <w:rPr>
          <w:rFonts w:hint="eastAsia"/>
          <w:sz w:val="21"/>
          <w:szCs w:val="21"/>
        </w:rPr>
        <w:t xml:space="preserve">本基金通过深入分析经济周期不同阶段的关键驱动因素和不同行业股价波动的关键驱动因子，把握周期性行业与稳定性行业轮动、周期性行业内部轮动的规律，力争实现在经济周期和行业景气波动下的资产稳定增值。  </w:t>
      </w:r>
      <w:bookmarkStart w:id="115" w:name="field_60_investmenttarget_1_end"/>
      <w:bookmarkEnd w:id="115"/>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二、投资范围</w:t>
      </w:r>
    </w:p>
    <w:p>
      <w:pPr>
        <w:pStyle w:val="7"/>
        <w:spacing w:before="0" w:beforeAutospacing="0" w:after="0" w:afterAutospacing="0" w:line="360" w:lineRule="auto"/>
        <w:ind w:firstLine="420"/>
        <w:rPr>
          <w:sz w:val="21"/>
          <w:szCs w:val="21"/>
        </w:rPr>
      </w:pPr>
      <w:bookmarkStart w:id="116" w:name="field_60_investmentrange_1_start"/>
      <w:bookmarkEnd w:id="116"/>
      <w:r>
        <w:rPr>
          <w:rFonts w:hint="eastAsia"/>
          <w:sz w:val="21"/>
          <w:szCs w:val="21"/>
        </w:rPr>
        <w:t xml:space="preserve">本基金的投资范围为具有良好流动性的金融工具，包括国内依法发行的股票（含存托凭证）、固定收益类证券、回购、权证、股指期货及法律法规或中国证监会允许基金投资的其他金融工具。   </w:t>
      </w:r>
    </w:p>
    <w:p>
      <w:pPr>
        <w:pStyle w:val="7"/>
        <w:spacing w:before="0" w:beforeAutospacing="0" w:after="0" w:afterAutospacing="0" w:line="360" w:lineRule="auto"/>
        <w:ind w:firstLine="420"/>
        <w:rPr>
          <w:sz w:val="21"/>
          <w:szCs w:val="21"/>
        </w:rPr>
      </w:pPr>
      <w:r>
        <w:rPr>
          <w:rFonts w:hint="eastAsia"/>
          <w:sz w:val="21"/>
          <w:szCs w:val="21"/>
        </w:rPr>
        <w:t>本基金投资组合中股票（含存托凭证）投资比例为基金资产的60%—95%，权证投资比例不得超过基金资产净值的3%；债券等固定收益类证券投资比例为基金资产的0%—40%，债券等固定收益类证券投资范围主要包括国债、金融债、公司债、中央银行票据、企业债、短期融资券、可转换债券、资产证券化产品等；现金或者到期日在一年以内的政府债券投资比例合计不低于基金资产净值的5%，其中，现金不包括结算备付金、存出保证金、应收申购款等。本基金将不低于80%的股票资产按照行业轮动策略进行投资。   如果法律法规或监管机构以后允许基金投资其他品种，本基金管理人在履行适当程序后，可以将其纳入本基金的投资范围。</w:t>
      </w:r>
      <w:bookmarkStart w:id="117" w:name="field_60_investmentrange_1_end"/>
      <w:bookmarkEnd w:id="11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b/>
          <w:bCs/>
          <w:sz w:val="21"/>
          <w:szCs w:val="21"/>
        </w:rPr>
        <w:t>三、投资理念</w:t>
      </w:r>
    </w:p>
    <w:p>
      <w:pPr>
        <w:pStyle w:val="7"/>
        <w:spacing w:before="0" w:beforeAutospacing="0" w:after="0" w:afterAutospacing="0" w:line="360" w:lineRule="auto"/>
        <w:ind w:firstLine="420"/>
        <w:rPr>
          <w:sz w:val="21"/>
          <w:szCs w:val="21"/>
        </w:rPr>
      </w:pPr>
      <w:r>
        <w:rPr>
          <w:rFonts w:hint="eastAsia"/>
          <w:sz w:val="21"/>
          <w:szCs w:val="21"/>
        </w:rPr>
        <w:t xml:space="preserve">宏观经济的增长往往表现出波动性和周期性的特征，通过预判经济周期所处的阶段，并深入分析各个行业在不同的经济周期阶段所表现出的收益特征模式，力争获取超额收益。 </w:t>
      </w:r>
    </w:p>
    <w:p>
      <w:pPr>
        <w:pStyle w:val="7"/>
        <w:spacing w:before="0" w:beforeAutospacing="0" w:after="0" w:afterAutospacing="0" w:line="360" w:lineRule="auto"/>
        <w:ind w:firstLine="420"/>
        <w:rPr>
          <w:sz w:val="21"/>
          <w:szCs w:val="21"/>
        </w:rPr>
      </w:pPr>
      <w:r>
        <w:rPr>
          <w:rStyle w:val="11"/>
          <w:rFonts w:hint="eastAsia"/>
          <w:sz w:val="21"/>
          <w:szCs w:val="21"/>
        </w:rPr>
        <w:t>四、投资策略</w:t>
      </w:r>
    </w:p>
    <w:p>
      <w:pPr>
        <w:pStyle w:val="7"/>
        <w:spacing w:before="0" w:beforeAutospacing="0" w:after="0" w:afterAutospacing="0" w:line="360" w:lineRule="auto"/>
        <w:ind w:firstLine="420"/>
        <w:rPr>
          <w:sz w:val="21"/>
          <w:szCs w:val="21"/>
        </w:rPr>
      </w:pPr>
      <w:bookmarkStart w:id="118" w:name="field_60_investmentstrategy_1_start"/>
      <w:bookmarkEnd w:id="118"/>
    </w:p>
    <w:p>
      <w:pPr>
        <w:pStyle w:val="7"/>
        <w:spacing w:before="0" w:beforeAutospacing="0" w:after="0" w:afterAutospacing="0" w:line="360" w:lineRule="auto"/>
        <w:ind w:firstLine="420"/>
        <w:rPr>
          <w:sz w:val="21"/>
          <w:szCs w:val="21"/>
        </w:rPr>
      </w:pPr>
      <w:r>
        <w:rPr>
          <w:rFonts w:hint="eastAsia"/>
          <w:sz w:val="21"/>
          <w:szCs w:val="21"/>
        </w:rPr>
        <w:t xml:space="preserve">本基金具体投资策略分三个层次：首先是大类资产的配置，即根据经济周期决定权益类证券和固定收益类证券的投资比例；其次是行业配置，即根据行业轮动的规律和经济发展的内在逻辑，在经济周期的不同阶段，配置不同的行业；最后是个股选择策略和债券投资策略。行业轮动策略是本基金的核心策略。   </w:t>
      </w:r>
    </w:p>
    <w:p>
      <w:pPr>
        <w:pStyle w:val="7"/>
        <w:spacing w:before="0" w:beforeAutospacing="0" w:after="0" w:afterAutospacing="0" w:line="360" w:lineRule="auto"/>
        <w:ind w:firstLine="420"/>
        <w:rPr>
          <w:sz w:val="21"/>
          <w:szCs w:val="21"/>
        </w:rPr>
      </w:pPr>
      <w:r>
        <w:rPr>
          <w:rFonts w:hint="eastAsia"/>
          <w:sz w:val="21"/>
          <w:szCs w:val="21"/>
        </w:rPr>
        <w:t xml:space="preserve">1、资产配置策略   </w:t>
      </w:r>
    </w:p>
    <w:p>
      <w:pPr>
        <w:pStyle w:val="7"/>
        <w:spacing w:before="0" w:beforeAutospacing="0" w:after="0" w:afterAutospacing="0" w:line="360" w:lineRule="auto"/>
        <w:ind w:firstLine="420"/>
        <w:rPr>
          <w:sz w:val="21"/>
          <w:szCs w:val="21"/>
        </w:rPr>
      </w:pPr>
      <w:r>
        <w:rPr>
          <w:rFonts w:hint="eastAsia"/>
          <w:sz w:val="21"/>
          <w:szCs w:val="21"/>
        </w:rPr>
        <w:t xml:space="preserve">本基金将通过跟踪考量通常的宏观经济变量（包括GDP增长率、CPI走势、M2的绝对水平和增长率、利率水平与走势等）以及国家财政、税收、货币、汇率各项政策，来判断经济周期目前的位置以及未来将发展的方向。除此之外，本基金还将主要通过监测重要行业的产能利用率来辅助判断。   </w:t>
      </w:r>
    </w:p>
    <w:p>
      <w:pPr>
        <w:pStyle w:val="7"/>
        <w:spacing w:before="0" w:beforeAutospacing="0" w:after="0" w:afterAutospacing="0" w:line="360" w:lineRule="auto"/>
        <w:ind w:firstLine="420"/>
        <w:rPr>
          <w:sz w:val="21"/>
          <w:szCs w:val="21"/>
        </w:rPr>
      </w:pPr>
      <w:r>
        <w:rPr>
          <w:rFonts w:hint="eastAsia"/>
          <w:sz w:val="21"/>
          <w:szCs w:val="21"/>
        </w:rPr>
        <w:t xml:space="preserve">本基金将根据主要的经济信号指标对国内外经济形势进行分析，判断经济所处的经济周期阶段、景气循环状况和未来运行趋势，并在此基础上进一步分析经济周期、企业盈利与股票市场的关系。   </w:t>
      </w:r>
    </w:p>
    <w:p>
      <w:pPr>
        <w:pStyle w:val="7"/>
        <w:spacing w:before="0" w:beforeAutospacing="0" w:after="0" w:afterAutospacing="0" w:line="360" w:lineRule="auto"/>
        <w:ind w:firstLine="420"/>
        <w:rPr>
          <w:sz w:val="21"/>
          <w:szCs w:val="21"/>
        </w:rPr>
      </w:pPr>
      <w:r>
        <w:rPr>
          <w:rFonts w:hint="eastAsia"/>
          <w:sz w:val="21"/>
          <w:szCs w:val="21"/>
        </w:rPr>
        <w:t xml:space="preserve">在对经济周期的划分之上，综合对所跟踪的宏观经济指标和市场指标的分析，本基金将对大类资产进行配置：在经济的复苏和繁荣期超配股票资产；在经济的衰退和政策刺激阶段，超配债券等固定收益类资产。   </w:t>
      </w:r>
    </w:p>
    <w:p>
      <w:pPr>
        <w:pStyle w:val="7"/>
        <w:spacing w:before="0" w:beforeAutospacing="0" w:after="0" w:afterAutospacing="0" w:line="360" w:lineRule="auto"/>
        <w:ind w:firstLine="420"/>
        <w:rPr>
          <w:sz w:val="21"/>
          <w:szCs w:val="21"/>
        </w:rPr>
      </w:pPr>
      <w:r>
        <w:rPr>
          <w:rFonts w:hint="eastAsia"/>
          <w:sz w:val="21"/>
          <w:szCs w:val="21"/>
        </w:rPr>
        <w:t xml:space="preserve">2、股票投资策略   </w:t>
      </w:r>
    </w:p>
    <w:p>
      <w:pPr>
        <w:pStyle w:val="7"/>
        <w:spacing w:before="0" w:beforeAutospacing="0" w:after="0" w:afterAutospacing="0" w:line="360" w:lineRule="auto"/>
        <w:ind w:firstLine="420"/>
        <w:rPr>
          <w:sz w:val="21"/>
          <w:szCs w:val="21"/>
        </w:rPr>
      </w:pPr>
      <w:r>
        <w:rPr>
          <w:rFonts w:hint="eastAsia"/>
          <w:sz w:val="21"/>
          <w:szCs w:val="21"/>
        </w:rPr>
        <w:t xml:space="preserve">行业轮动策略是本基金股票投资的核心策略，其在战略层面上是围绕对经济周期景气的预判来实施大类资产的配置；其在战术的层面，是形成以行业轮动为核心的投资组合构建策略。在个股投资的层面，本基金将贯彻以大类资产配置和行业轮动策略为核心指导原则下的个股精选策略。   </w:t>
      </w:r>
    </w:p>
    <w:p>
      <w:pPr>
        <w:pStyle w:val="7"/>
        <w:spacing w:before="0" w:beforeAutospacing="0" w:after="0" w:afterAutospacing="0" w:line="360" w:lineRule="auto"/>
        <w:ind w:firstLine="420"/>
        <w:rPr>
          <w:sz w:val="21"/>
          <w:szCs w:val="21"/>
        </w:rPr>
      </w:pPr>
      <w:r>
        <w:rPr>
          <w:rFonts w:hint="eastAsia"/>
          <w:sz w:val="21"/>
          <w:szCs w:val="21"/>
        </w:rPr>
        <w:t xml:space="preserve">（1）行业轮动策略   </w:t>
      </w:r>
    </w:p>
    <w:p>
      <w:pPr>
        <w:pStyle w:val="7"/>
        <w:spacing w:before="0" w:beforeAutospacing="0" w:after="0" w:afterAutospacing="0" w:line="360" w:lineRule="auto"/>
        <w:ind w:firstLine="420"/>
        <w:rPr>
          <w:sz w:val="21"/>
          <w:szCs w:val="21"/>
        </w:rPr>
      </w:pPr>
      <w:r>
        <w:rPr>
          <w:rFonts w:hint="eastAsia"/>
          <w:sz w:val="21"/>
          <w:szCs w:val="21"/>
        </w:rPr>
        <w:t xml:space="preserve">1）周期性和稳定性行业的划分和轮动规律   </w:t>
      </w:r>
    </w:p>
    <w:p>
      <w:pPr>
        <w:pStyle w:val="7"/>
        <w:spacing w:before="0" w:beforeAutospacing="0" w:after="0" w:afterAutospacing="0" w:line="360" w:lineRule="auto"/>
        <w:ind w:firstLine="420"/>
        <w:rPr>
          <w:sz w:val="21"/>
          <w:szCs w:val="21"/>
        </w:rPr>
      </w:pPr>
      <w:r>
        <w:rPr>
          <w:rFonts w:hint="eastAsia"/>
          <w:sz w:val="21"/>
          <w:szCs w:val="21"/>
        </w:rPr>
        <w:t xml:space="preserve">在对经济周期综合研究判断的基础上形成大类资产的配置，进而按照行业轮动规律进行行业配置。   </w:t>
      </w:r>
    </w:p>
    <w:p>
      <w:pPr>
        <w:pStyle w:val="7"/>
        <w:spacing w:before="0" w:beforeAutospacing="0" w:after="0" w:afterAutospacing="0" w:line="360" w:lineRule="auto"/>
        <w:ind w:firstLine="420"/>
        <w:rPr>
          <w:sz w:val="21"/>
          <w:szCs w:val="21"/>
        </w:rPr>
      </w:pPr>
      <w:r>
        <w:rPr>
          <w:rFonts w:hint="eastAsia"/>
          <w:sz w:val="21"/>
          <w:szCs w:val="21"/>
        </w:rPr>
        <w:t xml:space="preserve">总体而言，本基金将行业分为两大类：周期性行业以及稳定类行业。这两类行业的划分标准在于行业盈利对经济周期变化的敏感度。稳定类行业是最终环节的生产商，它们通常很难将上升的成本转移给最终的消费者。周期性行业通常是中间环节的生产商，这类行业的价格转嫁能力要复杂一些，依赖于宏观经济、生产能力和通货水平的情况。   </w:t>
      </w:r>
    </w:p>
    <w:p>
      <w:pPr>
        <w:pStyle w:val="7"/>
        <w:spacing w:before="0" w:beforeAutospacing="0" w:after="0" w:afterAutospacing="0" w:line="360" w:lineRule="auto"/>
        <w:ind w:firstLine="420"/>
        <w:rPr>
          <w:sz w:val="21"/>
          <w:szCs w:val="21"/>
        </w:rPr>
      </w:pPr>
      <w:r>
        <w:rPr>
          <w:rFonts w:hint="eastAsia"/>
          <w:sz w:val="21"/>
          <w:szCs w:val="21"/>
        </w:rPr>
        <w:t xml:space="preserve">毛利率反映的是行业相对上下游的议价能力和行业的成本转嫁能力，稳定型和周期型行业的毛利率变化在经济周期不同阶段具有显著差异，毛利率能够较好的反应行业的利润变化特征。本基金主要以毛利率为行业分类标准，通过分析其与经济增速的相关性对行业进行大类的划分。对于盈利性与经济周期相关度较低的行业，本基金将其归为稳定型行业；而另一类行业受自身以及上下游行业产能、投资等多方面因素的影响因素，行业对成本的承载力、下游企业对价格的敏感度都与经济周期具有显著的相关性，因此行业呈现出毛利率与经济周期高度相关的特征，对于这一类行业，本基金将其归为周期型行业。   </w:t>
      </w:r>
    </w:p>
    <w:p>
      <w:pPr>
        <w:pStyle w:val="7"/>
        <w:spacing w:before="0" w:beforeAutospacing="0" w:after="0" w:afterAutospacing="0" w:line="360" w:lineRule="auto"/>
        <w:ind w:firstLine="420"/>
        <w:rPr>
          <w:sz w:val="21"/>
          <w:szCs w:val="21"/>
        </w:rPr>
      </w:pPr>
      <w:r>
        <w:rPr>
          <w:rFonts w:hint="eastAsia"/>
          <w:sz w:val="21"/>
          <w:szCs w:val="21"/>
        </w:rPr>
        <w:t xml:space="preserve">基于本基金对行业的大类划分，本基金将在股票投资组合构建的过程之中，主要采取两种轮动的策略。   </w:t>
      </w:r>
    </w:p>
    <w:p>
      <w:pPr>
        <w:pStyle w:val="7"/>
        <w:spacing w:before="0" w:beforeAutospacing="0" w:after="0" w:afterAutospacing="0" w:line="360" w:lineRule="auto"/>
        <w:ind w:firstLine="420"/>
        <w:rPr>
          <w:sz w:val="21"/>
          <w:szCs w:val="21"/>
        </w:rPr>
      </w:pPr>
      <w:r>
        <w:rPr>
          <w:rFonts w:hint="eastAsia"/>
          <w:sz w:val="21"/>
          <w:szCs w:val="21"/>
        </w:rPr>
        <w:t xml:space="preserve">①周期性行业内部的轮动策略   </w:t>
      </w:r>
    </w:p>
    <w:p>
      <w:pPr>
        <w:pStyle w:val="7"/>
        <w:spacing w:before="0" w:beforeAutospacing="0" w:after="0" w:afterAutospacing="0" w:line="360" w:lineRule="auto"/>
        <w:ind w:firstLine="420"/>
        <w:rPr>
          <w:sz w:val="21"/>
          <w:szCs w:val="21"/>
        </w:rPr>
      </w:pPr>
      <w:r>
        <w:rPr>
          <w:rFonts w:hint="eastAsia"/>
          <w:sz w:val="21"/>
          <w:szCs w:val="21"/>
        </w:rPr>
        <w:t xml:space="preserve">周期性行业通常对经济周期较为敏感。这类行业通常与经济活动中的投资支出关系密切，但由于不同产业在产业链上的位置，周期性行业内部诸行业之间的收益表现也不是同步的，有早周期行业、顺周期行业以及后周期行业之分。故在不同的经济景气阶段中，在周期性行业内部有可能通过轮动的操作来获取持续的超额收益。通常，本基金主要通过观测各个行业的资本开支、库存、价格、开工率等数据来提前把握周期性行业内部的轮动规律。   </w:t>
      </w:r>
    </w:p>
    <w:p>
      <w:pPr>
        <w:pStyle w:val="7"/>
        <w:spacing w:before="0" w:beforeAutospacing="0" w:after="0" w:afterAutospacing="0" w:line="360" w:lineRule="auto"/>
        <w:ind w:firstLine="420"/>
        <w:rPr>
          <w:sz w:val="21"/>
          <w:szCs w:val="21"/>
        </w:rPr>
      </w:pPr>
      <w:r>
        <w:rPr>
          <w:rFonts w:hint="eastAsia"/>
          <w:sz w:val="21"/>
          <w:szCs w:val="21"/>
        </w:rPr>
        <w:t xml:space="preserve">②周期性行业与稳定类行业的轮动策略   </w:t>
      </w:r>
    </w:p>
    <w:p>
      <w:pPr>
        <w:pStyle w:val="7"/>
        <w:spacing w:before="0" w:beforeAutospacing="0" w:after="0" w:afterAutospacing="0" w:line="360" w:lineRule="auto"/>
        <w:ind w:firstLine="420"/>
        <w:rPr>
          <w:sz w:val="21"/>
          <w:szCs w:val="21"/>
        </w:rPr>
      </w:pPr>
      <w:r>
        <w:rPr>
          <w:rFonts w:hint="eastAsia"/>
          <w:sz w:val="21"/>
          <w:szCs w:val="21"/>
        </w:rPr>
        <w:t xml:space="preserve">行业盈利一般来源于行业所生产的商品和服务的数量以及其价格，价格的波动往往大于数量的波动。故在整个经济周期波动过程中，由于价格的波动，稳定类公司与周期类公司的利润会呈现出此高彼低的趋势，其分析的核心是生产商或批发价格（WPI）与零售价格（CPI）的关系。   </w:t>
      </w:r>
    </w:p>
    <w:p>
      <w:pPr>
        <w:pStyle w:val="7"/>
        <w:spacing w:before="0" w:beforeAutospacing="0" w:after="0" w:afterAutospacing="0" w:line="360" w:lineRule="auto"/>
        <w:ind w:firstLine="420"/>
        <w:rPr>
          <w:sz w:val="21"/>
          <w:szCs w:val="21"/>
        </w:rPr>
      </w:pPr>
      <w:r>
        <w:rPr>
          <w:rFonts w:hint="eastAsia"/>
          <w:sz w:val="21"/>
          <w:szCs w:val="21"/>
        </w:rPr>
        <w:t xml:space="preserve">稳定类行业的收入弹性通常小于1，对经济周期波动的敏感程度较低。这类行业通常与经济活动中的消费活动密切相关。通常在经济上升到后期或者经济下降到后期，稳定型行业是较好选择。   </w:t>
      </w:r>
    </w:p>
    <w:p>
      <w:pPr>
        <w:pStyle w:val="7"/>
        <w:spacing w:before="0" w:beforeAutospacing="0" w:after="0" w:afterAutospacing="0" w:line="360" w:lineRule="auto"/>
        <w:ind w:firstLine="420"/>
        <w:rPr>
          <w:sz w:val="21"/>
          <w:szCs w:val="21"/>
        </w:rPr>
      </w:pPr>
      <w:r>
        <w:rPr>
          <w:rFonts w:hint="eastAsia"/>
          <w:sz w:val="21"/>
          <w:szCs w:val="21"/>
        </w:rPr>
        <w:t xml:space="preserve">2）博时行业轮动模型   </w:t>
      </w:r>
    </w:p>
    <w:p>
      <w:pPr>
        <w:pStyle w:val="7"/>
        <w:spacing w:before="0" w:beforeAutospacing="0" w:after="0" w:afterAutospacing="0" w:line="360" w:lineRule="auto"/>
        <w:ind w:firstLine="420"/>
        <w:rPr>
          <w:sz w:val="21"/>
          <w:szCs w:val="21"/>
        </w:rPr>
      </w:pPr>
      <w:r>
        <w:rPr>
          <w:rFonts w:hint="eastAsia"/>
          <w:sz w:val="21"/>
          <w:szCs w:val="21"/>
        </w:rPr>
        <w:t xml:space="preserve">在总结实际投资经验的基础上，博时公司开发了行业轮动的模型。该模型的核心思想是：通过历史数据检验并融合本基金管理人在资产管理上多年积累的经验，识别出影响各个行业股价收益率的关键因子，并通过对关键因子的持续跟踪，判断出各个行业出现“拐点”的时机，最终实现在经济周期不同阶段的行业轮动配置。   </w:t>
      </w:r>
    </w:p>
    <w:p>
      <w:pPr>
        <w:pStyle w:val="7"/>
        <w:spacing w:before="0" w:beforeAutospacing="0" w:after="0" w:afterAutospacing="0" w:line="360" w:lineRule="auto"/>
        <w:ind w:firstLine="420"/>
        <w:rPr>
          <w:sz w:val="21"/>
          <w:szCs w:val="21"/>
        </w:rPr>
      </w:pPr>
      <w:r>
        <w:rPr>
          <w:rFonts w:hint="eastAsia"/>
          <w:sz w:val="21"/>
          <w:szCs w:val="21"/>
        </w:rPr>
        <w:t xml:space="preserve">= 1 * GB3①各个行业驱动股价收益率的主要因子分析   </w:t>
      </w:r>
    </w:p>
    <w:p>
      <w:pPr>
        <w:pStyle w:val="7"/>
        <w:spacing w:before="0" w:beforeAutospacing="0" w:after="0" w:afterAutospacing="0" w:line="360" w:lineRule="auto"/>
        <w:ind w:firstLine="420"/>
        <w:rPr>
          <w:sz w:val="21"/>
          <w:szCs w:val="21"/>
        </w:rPr>
      </w:pPr>
      <w:r>
        <w:rPr>
          <w:rFonts w:hint="eastAsia"/>
          <w:sz w:val="21"/>
          <w:szCs w:val="21"/>
        </w:rPr>
        <w:t xml:space="preserve">按照申万一级行业为分类标准，对各个行业历史收益率与一些因子进行了回归检验，看看各个行业股价收益率的关键因子包括哪些。选取的关键因子主要包括三个方面的变量：一种为估值指标（如PE,PB,EV/EBITDA,EV/吨产能）；第二种为“质量”指标，包括毛利率、ROE等；第三种为经济周期景气指标，如利率、贷款增速、订单、开工率等。   </w:t>
      </w:r>
    </w:p>
    <w:p>
      <w:pPr>
        <w:pStyle w:val="7"/>
        <w:spacing w:before="0" w:beforeAutospacing="0" w:after="0" w:afterAutospacing="0" w:line="360" w:lineRule="auto"/>
        <w:ind w:firstLine="420"/>
        <w:rPr>
          <w:sz w:val="21"/>
          <w:szCs w:val="21"/>
        </w:rPr>
      </w:pPr>
      <w:r>
        <w:rPr>
          <w:rFonts w:hint="eastAsia"/>
          <w:sz w:val="21"/>
          <w:szCs w:val="21"/>
        </w:rPr>
        <w:t xml:space="preserve">= 2 * GB3②判断行业出现“拐点”的时机   </w:t>
      </w:r>
    </w:p>
    <w:p>
      <w:pPr>
        <w:pStyle w:val="7"/>
        <w:spacing w:before="0" w:beforeAutospacing="0" w:after="0" w:afterAutospacing="0" w:line="360" w:lineRule="auto"/>
        <w:ind w:firstLine="420"/>
        <w:rPr>
          <w:sz w:val="21"/>
          <w:szCs w:val="21"/>
        </w:rPr>
      </w:pPr>
      <w:r>
        <w:rPr>
          <w:rFonts w:hint="eastAsia"/>
          <w:sz w:val="21"/>
          <w:szCs w:val="21"/>
        </w:rPr>
        <w:t xml:space="preserve">判断行业出现“拐点”的主要方法，在于对经济周期景气的认知以及对市场情绪的把握。本基金对行业景气、估值水平、基本面三个方面指标变化进行统计分析，以统计学中的中位数作为变化是否超预期的衡量标准，具体分两步判断行业拐点以及轮动时点。   </w:t>
      </w:r>
    </w:p>
    <w:p>
      <w:pPr>
        <w:pStyle w:val="7"/>
        <w:spacing w:before="0" w:beforeAutospacing="0" w:after="0" w:afterAutospacing="0" w:line="360" w:lineRule="auto"/>
        <w:ind w:firstLine="420"/>
        <w:rPr>
          <w:sz w:val="21"/>
          <w:szCs w:val="21"/>
        </w:rPr>
      </w:pPr>
      <w:r>
        <w:rPr>
          <w:rFonts w:hint="eastAsia"/>
          <w:sz w:val="21"/>
          <w:szCs w:val="21"/>
        </w:rPr>
        <w:t xml:space="preserve">第一步：对各行业关键指标对宏观变量（利率、CPI、汇率等）的反应弹性进行横向比较，找到反映弹性排前的行业；   </w:t>
      </w:r>
    </w:p>
    <w:p>
      <w:pPr>
        <w:pStyle w:val="7"/>
        <w:spacing w:before="0" w:beforeAutospacing="0" w:after="0" w:afterAutospacing="0" w:line="360" w:lineRule="auto"/>
        <w:ind w:firstLine="420"/>
        <w:rPr>
          <w:sz w:val="21"/>
          <w:szCs w:val="21"/>
        </w:rPr>
      </w:pPr>
      <w:r>
        <w:rPr>
          <w:rFonts w:hint="eastAsia"/>
          <w:sz w:val="21"/>
          <w:szCs w:val="21"/>
        </w:rPr>
        <w:t xml:space="preserve">第二步：对行业关键指标对宏观变量的反应弹性进行纵向比较，找到纵向比较该变化已超过历史中位值的行业。   </w:t>
      </w:r>
    </w:p>
    <w:p>
      <w:pPr>
        <w:pStyle w:val="7"/>
        <w:spacing w:before="0" w:beforeAutospacing="0" w:after="0" w:afterAutospacing="0" w:line="360" w:lineRule="auto"/>
        <w:ind w:firstLine="420"/>
        <w:rPr>
          <w:sz w:val="21"/>
          <w:szCs w:val="21"/>
        </w:rPr>
      </w:pPr>
      <w:r>
        <w:rPr>
          <w:rFonts w:hint="eastAsia"/>
          <w:sz w:val="21"/>
          <w:szCs w:val="21"/>
        </w:rPr>
        <w:t xml:space="preserve">= 3 * GB3③在经济周期不同阶段实现行业轮动   </w:t>
      </w:r>
    </w:p>
    <w:p>
      <w:pPr>
        <w:pStyle w:val="7"/>
        <w:spacing w:before="0" w:beforeAutospacing="0" w:after="0" w:afterAutospacing="0" w:line="360" w:lineRule="auto"/>
        <w:ind w:firstLine="420"/>
        <w:rPr>
          <w:sz w:val="21"/>
          <w:szCs w:val="21"/>
        </w:rPr>
      </w:pPr>
      <w:r>
        <w:rPr>
          <w:rFonts w:hint="eastAsia"/>
          <w:sz w:val="21"/>
          <w:szCs w:val="21"/>
        </w:rPr>
        <w:t xml:space="preserve">要解决不同行业轮动的顺序问题，必须对每一轮经济周期中，增长的模式有深刻的理解。通常而言，宽松的货币政策、低利率和低价格往往是每一轮经济复苏的直接动力。本基金将结合对经济结构和增长模式的深入分析，在经济周期的不同阶段，按照一定的次序实施行业轮动。   </w:t>
      </w:r>
    </w:p>
    <w:p>
      <w:pPr>
        <w:pStyle w:val="7"/>
        <w:spacing w:before="0" w:beforeAutospacing="0" w:after="0" w:afterAutospacing="0" w:line="360" w:lineRule="auto"/>
        <w:ind w:firstLine="420"/>
        <w:rPr>
          <w:sz w:val="21"/>
          <w:szCs w:val="21"/>
        </w:rPr>
      </w:pPr>
      <w:r>
        <w:rPr>
          <w:rFonts w:hint="eastAsia"/>
          <w:sz w:val="21"/>
          <w:szCs w:val="21"/>
        </w:rPr>
        <w:t xml:space="preserve">（2）个股选择策略   </w:t>
      </w:r>
    </w:p>
    <w:p>
      <w:pPr>
        <w:pStyle w:val="7"/>
        <w:spacing w:before="0" w:beforeAutospacing="0" w:after="0" w:afterAutospacing="0" w:line="360" w:lineRule="auto"/>
        <w:ind w:firstLine="420"/>
        <w:rPr>
          <w:sz w:val="21"/>
          <w:szCs w:val="21"/>
        </w:rPr>
      </w:pPr>
      <w:r>
        <w:rPr>
          <w:rFonts w:hint="eastAsia"/>
          <w:sz w:val="21"/>
          <w:szCs w:val="21"/>
        </w:rPr>
        <w:t xml:space="preserve">本基金偏重于行业轮动的策略，个股选择仅是对行业轮动策略的具体落实。在资产配置策略和行业轮动策略的大框架下，本基金将精选优质个股构建组合，在最大化行业轮动收益的同时，力争最大化个股收益。   </w:t>
      </w:r>
    </w:p>
    <w:p>
      <w:pPr>
        <w:pStyle w:val="7"/>
        <w:spacing w:before="0" w:beforeAutospacing="0" w:after="0" w:afterAutospacing="0" w:line="360" w:lineRule="auto"/>
        <w:ind w:firstLine="420"/>
        <w:rPr>
          <w:sz w:val="21"/>
          <w:szCs w:val="21"/>
        </w:rPr>
      </w:pPr>
      <w:r>
        <w:rPr>
          <w:rFonts w:hint="eastAsia"/>
          <w:sz w:val="21"/>
          <w:szCs w:val="21"/>
        </w:rPr>
        <w:t xml:space="preserve">在具体行业中个股的选择过程中，本基金将结合公司价值股与成长股的备选股票池，综合考虑个股的估值以及各个行业研究员的投资判断，并适当选择行业中优质个股构建投资组合，最终达到更为有效的实现行业类别资产轮动的目标。   </w:t>
      </w:r>
    </w:p>
    <w:p>
      <w:pPr>
        <w:pStyle w:val="7"/>
        <w:spacing w:before="0" w:beforeAutospacing="0" w:after="0" w:afterAutospacing="0" w:line="360" w:lineRule="auto"/>
        <w:ind w:firstLine="420"/>
        <w:rPr>
          <w:sz w:val="21"/>
          <w:szCs w:val="21"/>
        </w:rPr>
      </w:pPr>
      <w:r>
        <w:rPr>
          <w:rFonts w:hint="eastAsia"/>
          <w:sz w:val="21"/>
          <w:szCs w:val="21"/>
        </w:rPr>
        <w:t xml:space="preserve">成长类指标主要考察：EPS增长率；资产回报率等反映企业未来盈利状况、企业盈利增长的可持续性、可预测性等方面的指标；价值指标主要考察：估值；净利润等反映估值水平、财务指标的变化趋势等方面的指标。价值指标和成长指标的重要性并非一成不变，而是随着经济周期的变化有所变化；一般而言，在经济的上升期更注重成长，在经济的下降期更注重价值；本基金在服从大类资产配置和行业配置的基础上，根据周期不同阶段，对价值指标和成长指标有所侧重。 </w:t>
      </w:r>
    </w:p>
    <w:p>
      <w:pPr>
        <w:pStyle w:val="7"/>
        <w:spacing w:before="0" w:beforeAutospacing="0" w:after="0" w:afterAutospacing="0" w:line="360" w:lineRule="auto"/>
        <w:ind w:firstLine="420"/>
        <w:rPr>
          <w:sz w:val="21"/>
          <w:szCs w:val="21"/>
        </w:rPr>
      </w:pPr>
      <w:r>
        <w:rPr>
          <w:rFonts w:hint="eastAsia"/>
          <w:sz w:val="21"/>
          <w:szCs w:val="21"/>
        </w:rPr>
        <w:t xml:space="preserve">（3）存托凭证投资策略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Fonts w:hint="eastAsia"/>
          <w:sz w:val="21"/>
          <w:szCs w:val="21"/>
        </w:rPr>
        <w:t xml:space="preserve">3、债券投资策略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本基金的固定收益证券投资组合以高票息债券作为主要投资对象，并通过信用、久期和凸性等的灵活配置，进行相对积极主动的操作，力争获取超越于所对应的债券基准的收益。   </w:t>
      </w:r>
    </w:p>
    <w:p>
      <w:pPr>
        <w:pStyle w:val="7"/>
        <w:spacing w:before="0" w:beforeAutospacing="0" w:after="0" w:afterAutospacing="0" w:line="360" w:lineRule="auto"/>
        <w:ind w:firstLine="420"/>
        <w:rPr>
          <w:sz w:val="21"/>
          <w:szCs w:val="21"/>
        </w:rPr>
      </w:pPr>
      <w:r>
        <w:rPr>
          <w:rFonts w:hint="eastAsia"/>
          <w:sz w:val="21"/>
          <w:szCs w:val="21"/>
        </w:rPr>
        <w:t xml:space="preserve">（1）自上而下的分析   </w:t>
      </w:r>
    </w:p>
    <w:p>
      <w:pPr>
        <w:pStyle w:val="7"/>
        <w:spacing w:before="0" w:beforeAutospacing="0" w:after="0" w:afterAutospacing="0" w:line="360" w:lineRule="auto"/>
        <w:ind w:firstLine="420"/>
        <w:rPr>
          <w:sz w:val="21"/>
          <w:szCs w:val="21"/>
        </w:rPr>
      </w:pPr>
      <w:r>
        <w:rPr>
          <w:rFonts w:hint="eastAsia"/>
          <w:sz w:val="21"/>
          <w:szCs w:val="21"/>
        </w:rPr>
        <w:t xml:space="preserve">根据各种宏观经济指标及金融数据，对未来的财政政策及货币政策做出判断或预测。   </w:t>
      </w:r>
    </w:p>
    <w:p>
      <w:pPr>
        <w:pStyle w:val="7"/>
        <w:spacing w:before="0" w:beforeAutospacing="0" w:after="0" w:afterAutospacing="0" w:line="360" w:lineRule="auto"/>
        <w:ind w:firstLine="420"/>
        <w:rPr>
          <w:sz w:val="21"/>
          <w:szCs w:val="21"/>
        </w:rPr>
      </w:pPr>
      <w:r>
        <w:rPr>
          <w:rFonts w:hint="eastAsia"/>
          <w:sz w:val="21"/>
          <w:szCs w:val="21"/>
        </w:rPr>
        <w:t xml:space="preserve">根据货币市场运行状况及央行票据发行到期情况，对债券市场短期利率走势进行判断。   </w:t>
      </w:r>
    </w:p>
    <w:p>
      <w:pPr>
        <w:pStyle w:val="7"/>
        <w:spacing w:before="0" w:beforeAutospacing="0" w:after="0" w:afterAutospacing="0" w:line="360" w:lineRule="auto"/>
        <w:ind w:firstLine="420"/>
        <w:rPr>
          <w:sz w:val="21"/>
          <w:szCs w:val="21"/>
        </w:rPr>
      </w:pPr>
      <w:r>
        <w:rPr>
          <w:rFonts w:hint="eastAsia"/>
          <w:sz w:val="21"/>
          <w:szCs w:val="21"/>
        </w:rPr>
        <w:t xml:space="preserve">根据近期债券市场的发行状况及各交易主体的资金需求特点，对债券的发行利率进行判断，进而对债券市场的走势进行分析。   </w:t>
      </w:r>
    </w:p>
    <w:p>
      <w:pPr>
        <w:pStyle w:val="7"/>
        <w:spacing w:before="0" w:beforeAutospacing="0" w:after="0" w:afterAutospacing="0" w:line="360" w:lineRule="auto"/>
        <w:ind w:firstLine="420"/>
        <w:rPr>
          <w:sz w:val="21"/>
          <w:szCs w:val="21"/>
        </w:rPr>
      </w:pPr>
      <w:r>
        <w:rPr>
          <w:rFonts w:hint="eastAsia"/>
          <w:sz w:val="21"/>
          <w:szCs w:val="21"/>
        </w:rPr>
        <w:t xml:space="preserve">根据近期的资金供需状况，对债券市场的回购利率进行分析。   </w:t>
      </w:r>
    </w:p>
    <w:p>
      <w:pPr>
        <w:pStyle w:val="7"/>
        <w:spacing w:before="0" w:beforeAutospacing="0" w:after="0" w:afterAutospacing="0" w:line="360" w:lineRule="auto"/>
        <w:ind w:firstLine="420"/>
        <w:rPr>
          <w:sz w:val="21"/>
          <w:szCs w:val="21"/>
        </w:rPr>
      </w:pPr>
      <w:r>
        <w:rPr>
          <w:rFonts w:hint="eastAsia"/>
          <w:sz w:val="21"/>
          <w:szCs w:val="21"/>
        </w:rPr>
        <w:t xml:space="preserve">（2）自下而上的分析   </w:t>
      </w:r>
    </w:p>
    <w:p>
      <w:pPr>
        <w:pStyle w:val="7"/>
        <w:spacing w:before="0" w:beforeAutospacing="0" w:after="0" w:afterAutospacing="0" w:line="360" w:lineRule="auto"/>
        <w:ind w:firstLine="420"/>
        <w:rPr>
          <w:sz w:val="21"/>
          <w:szCs w:val="21"/>
        </w:rPr>
      </w:pPr>
      <w:r>
        <w:rPr>
          <w:rFonts w:hint="eastAsia"/>
          <w:sz w:val="21"/>
          <w:szCs w:val="21"/>
        </w:rPr>
        <w:t xml:space="preserve">根据债券市场的当前交易数据，估计出债券市场当前的期限结构，并对隐含远期利率、当期利差水平等进行分析，进而对未来的期限结构变动做出判断。   </w:t>
      </w:r>
    </w:p>
    <w:p>
      <w:pPr>
        <w:pStyle w:val="7"/>
        <w:spacing w:before="0" w:beforeAutospacing="0" w:after="0" w:afterAutospacing="0" w:line="360" w:lineRule="auto"/>
        <w:ind w:firstLine="420"/>
        <w:rPr>
          <w:sz w:val="21"/>
          <w:szCs w:val="21"/>
        </w:rPr>
      </w:pPr>
      <w:r>
        <w:rPr>
          <w:rFonts w:hint="eastAsia"/>
          <w:sz w:val="21"/>
          <w:szCs w:val="21"/>
        </w:rPr>
        <w:t xml:space="preserve">根据债券市场的历史交易数据，估计出债券市场的历史期限结构，并对历史利率水平、历史利差水平等进行分析，进而对未来的期限结构变动做出判断。   </w:t>
      </w:r>
    </w:p>
    <w:p>
      <w:pPr>
        <w:pStyle w:val="7"/>
        <w:spacing w:before="0" w:beforeAutospacing="0" w:after="0" w:afterAutospacing="0" w:line="360" w:lineRule="auto"/>
        <w:ind w:firstLine="420"/>
        <w:rPr>
          <w:sz w:val="21"/>
          <w:szCs w:val="21"/>
        </w:rPr>
      </w:pPr>
      <w:r>
        <w:rPr>
          <w:rFonts w:hint="eastAsia"/>
          <w:sz w:val="21"/>
          <w:szCs w:val="21"/>
        </w:rPr>
        <w:t xml:space="preserve">1） 资产配置   </w:t>
      </w:r>
    </w:p>
    <w:p>
      <w:pPr>
        <w:pStyle w:val="7"/>
        <w:spacing w:before="0" w:beforeAutospacing="0" w:after="0" w:afterAutospacing="0" w:line="360" w:lineRule="auto"/>
        <w:ind w:firstLine="420"/>
        <w:rPr>
          <w:sz w:val="21"/>
          <w:szCs w:val="21"/>
        </w:rPr>
      </w:pPr>
      <w:r>
        <w:rPr>
          <w:rFonts w:hint="eastAsia"/>
          <w:sz w:val="21"/>
          <w:szCs w:val="21"/>
        </w:rPr>
        <w:t xml:space="preserve">综合上述各种分析及对股票市场走势的判断，确定整体资产配置，即债券、股票及现金的比例。   </w:t>
      </w:r>
    </w:p>
    <w:p>
      <w:pPr>
        <w:pStyle w:val="7"/>
        <w:spacing w:before="0" w:beforeAutospacing="0" w:after="0" w:afterAutospacing="0" w:line="360" w:lineRule="auto"/>
        <w:ind w:firstLine="420"/>
        <w:rPr>
          <w:sz w:val="21"/>
          <w:szCs w:val="21"/>
        </w:rPr>
      </w:pPr>
      <w:r>
        <w:rPr>
          <w:rFonts w:hint="eastAsia"/>
          <w:sz w:val="21"/>
          <w:szCs w:val="21"/>
        </w:rPr>
        <w:t xml:space="preserve">2） 券种配置   </w:t>
      </w:r>
    </w:p>
    <w:p>
      <w:pPr>
        <w:pStyle w:val="7"/>
        <w:spacing w:before="0" w:beforeAutospacing="0" w:after="0" w:afterAutospacing="0" w:line="360" w:lineRule="auto"/>
        <w:ind w:firstLine="420"/>
        <w:rPr>
          <w:sz w:val="21"/>
          <w:szCs w:val="21"/>
        </w:rPr>
      </w:pPr>
      <w:r>
        <w:rPr>
          <w:rFonts w:hint="eastAsia"/>
          <w:sz w:val="21"/>
          <w:szCs w:val="21"/>
        </w:rPr>
        <w:t xml:space="preserve">通常情况下，国债具有国家信用，其流动性比较好；金融债具有类国家信用，但流动性比国债差；而公司债、企业债则为企业信用，其流动性次于国债和金融债，但收益率一般比前两者要高，此间收益率的差异体现为市场对信用风险的溢价补偿。一般而言，当经济处于上升周期时，市场的风险溢价会相应降低，从而体现在公司债、企业债的收益率曲线与国债收益率曲线之间的利差缩小；而当经济处于下降周期时，市场的风险溢价会相应提高，从而体现在公司债、企业债的收益率曲线与国债收益率曲线之间的利差扩大。因此，本基金管理人会基于对宏观经济指标的判断，对不同信用等级债券的利差走势进行预测，进而在各券种之间进行配置。   </w:t>
      </w:r>
    </w:p>
    <w:p>
      <w:pPr>
        <w:pStyle w:val="7"/>
        <w:spacing w:before="0" w:beforeAutospacing="0" w:after="0" w:afterAutospacing="0" w:line="360" w:lineRule="auto"/>
        <w:ind w:firstLine="420"/>
        <w:rPr>
          <w:sz w:val="21"/>
          <w:szCs w:val="21"/>
        </w:rPr>
      </w:pPr>
      <w:r>
        <w:rPr>
          <w:rFonts w:hint="eastAsia"/>
          <w:sz w:val="21"/>
          <w:szCs w:val="21"/>
        </w:rPr>
        <w:t xml:space="preserve">3） 久期选择   </w:t>
      </w:r>
    </w:p>
    <w:p>
      <w:pPr>
        <w:pStyle w:val="7"/>
        <w:spacing w:before="0" w:beforeAutospacing="0" w:after="0" w:afterAutospacing="0" w:line="360" w:lineRule="auto"/>
        <w:ind w:firstLine="420"/>
        <w:rPr>
          <w:sz w:val="21"/>
          <w:szCs w:val="21"/>
        </w:rPr>
      </w:pPr>
      <w:r>
        <w:rPr>
          <w:rFonts w:hint="eastAsia"/>
          <w:sz w:val="21"/>
          <w:szCs w:val="21"/>
        </w:rPr>
        <w:t xml:space="preserve">基于未来期限结构形变进行久期选择。   </w:t>
      </w:r>
    </w:p>
    <w:p>
      <w:pPr>
        <w:pStyle w:val="7"/>
        <w:spacing w:before="0" w:beforeAutospacing="0" w:after="0" w:afterAutospacing="0" w:line="360" w:lineRule="auto"/>
        <w:ind w:firstLine="420"/>
        <w:rPr>
          <w:sz w:val="21"/>
          <w:szCs w:val="21"/>
        </w:rPr>
      </w:pPr>
      <w:r>
        <w:rPr>
          <w:rFonts w:hint="eastAsia"/>
          <w:sz w:val="21"/>
          <w:szCs w:val="21"/>
        </w:rPr>
        <w:t xml:space="preserve">当预期收益率曲线下移时，可以适当提高组合久期，以分享债券市场上涨的收益；当预期收益率曲线上移时，可以适当降低组合久期，以规避债券市场下跌的风险。   </w:t>
      </w:r>
    </w:p>
    <w:p>
      <w:pPr>
        <w:pStyle w:val="7"/>
        <w:spacing w:before="0" w:beforeAutospacing="0" w:after="0" w:afterAutospacing="0" w:line="360" w:lineRule="auto"/>
        <w:ind w:firstLine="420"/>
        <w:rPr>
          <w:sz w:val="21"/>
          <w:szCs w:val="21"/>
        </w:rPr>
      </w:pPr>
      <w:r>
        <w:rPr>
          <w:rFonts w:hint="eastAsia"/>
          <w:sz w:val="21"/>
          <w:szCs w:val="21"/>
        </w:rPr>
        <w:t xml:space="preserve">4） 凸性管理   </w:t>
      </w:r>
    </w:p>
    <w:p>
      <w:pPr>
        <w:pStyle w:val="7"/>
        <w:spacing w:before="0" w:beforeAutospacing="0" w:after="0" w:afterAutospacing="0" w:line="360" w:lineRule="auto"/>
        <w:ind w:firstLine="420"/>
        <w:rPr>
          <w:sz w:val="21"/>
          <w:szCs w:val="21"/>
        </w:rPr>
      </w:pPr>
      <w:r>
        <w:rPr>
          <w:rFonts w:hint="eastAsia"/>
          <w:sz w:val="21"/>
          <w:szCs w:val="21"/>
        </w:rPr>
        <w:t xml:space="preserve">当预期收益率曲线变平时，可以提高组合凸性，以便从收益率曲线变平的交易中获利，如可以构造哑铃型组合；当预期收益率曲线变陡时，可以降低组合凸性，以便从收益率曲线变陡的交易中获利，如可以构造子弹型组合。   </w:t>
      </w:r>
    </w:p>
    <w:p>
      <w:pPr>
        <w:pStyle w:val="7"/>
        <w:spacing w:before="0" w:beforeAutospacing="0" w:after="0" w:afterAutospacing="0" w:line="360" w:lineRule="auto"/>
        <w:ind w:firstLine="420"/>
        <w:rPr>
          <w:sz w:val="21"/>
          <w:szCs w:val="21"/>
        </w:rPr>
      </w:pPr>
      <w:r>
        <w:rPr>
          <w:rFonts w:hint="eastAsia"/>
          <w:sz w:val="21"/>
          <w:szCs w:val="21"/>
        </w:rPr>
        <w:t xml:space="preserve">影响收益率曲线非平行移动的因素有多种，既有宏观经济与金融的因素，也有市场微观结构的因素。因此，在对组合构建中究竟是采取哑铃型组合还是子弹型组合，需要综合以上各种因素进行分析。   </w:t>
      </w:r>
    </w:p>
    <w:p>
      <w:pPr>
        <w:pStyle w:val="7"/>
        <w:spacing w:before="0" w:beforeAutospacing="0" w:after="0" w:afterAutospacing="0" w:line="360" w:lineRule="auto"/>
        <w:ind w:firstLine="420"/>
        <w:rPr>
          <w:sz w:val="21"/>
          <w:szCs w:val="21"/>
        </w:rPr>
      </w:pPr>
      <w:r>
        <w:rPr>
          <w:rFonts w:hint="eastAsia"/>
          <w:sz w:val="21"/>
          <w:szCs w:val="21"/>
        </w:rPr>
        <w:t xml:space="preserve">5） 个券选择   </w:t>
      </w:r>
    </w:p>
    <w:p>
      <w:pPr>
        <w:pStyle w:val="7"/>
        <w:spacing w:before="0" w:beforeAutospacing="0" w:after="0" w:afterAutospacing="0" w:line="360" w:lineRule="auto"/>
        <w:ind w:firstLine="420"/>
        <w:rPr>
          <w:sz w:val="21"/>
          <w:szCs w:val="21"/>
        </w:rPr>
      </w:pPr>
      <w:r>
        <w:rPr>
          <w:rFonts w:hint="eastAsia"/>
          <w:sz w:val="21"/>
          <w:szCs w:val="21"/>
        </w:rPr>
        <w:t xml:space="preserve">通过对个券相对于收益率曲线被低估（或高估）的程度分析，结合个券的信用等级、交易市场、流动性、息票率、税赋特点等，充分挖掘价值相对被低估的个券，以把握市场失效所带来的投资机会。   </w:t>
      </w:r>
    </w:p>
    <w:p>
      <w:pPr>
        <w:pStyle w:val="7"/>
        <w:spacing w:before="0" w:beforeAutospacing="0" w:after="0" w:afterAutospacing="0" w:line="360" w:lineRule="auto"/>
        <w:ind w:firstLine="420"/>
        <w:rPr>
          <w:sz w:val="21"/>
          <w:szCs w:val="21"/>
        </w:rPr>
      </w:pPr>
      <w:r>
        <w:rPr>
          <w:rFonts w:hint="eastAsia"/>
          <w:sz w:val="21"/>
          <w:szCs w:val="21"/>
        </w:rPr>
        <w:t xml:space="preserve">6） 组合构建与调整   </w:t>
      </w:r>
    </w:p>
    <w:p>
      <w:pPr>
        <w:pStyle w:val="7"/>
        <w:spacing w:before="0" w:beforeAutospacing="0" w:after="0" w:afterAutospacing="0" w:line="360" w:lineRule="auto"/>
        <w:ind w:firstLine="420"/>
        <w:rPr>
          <w:sz w:val="21"/>
          <w:szCs w:val="21"/>
        </w:rPr>
      </w:pPr>
      <w:r>
        <w:rPr>
          <w:rFonts w:hint="eastAsia"/>
          <w:sz w:val="21"/>
          <w:szCs w:val="21"/>
        </w:rPr>
        <w:t xml:space="preserve">基于基金的投资风格，在组合构建时需要遵循以下原则：债券组合信用等级维持在投资级以上水平；债券组合的流动性维持在适当的水平。   </w:t>
      </w:r>
    </w:p>
    <w:p>
      <w:pPr>
        <w:pStyle w:val="7"/>
        <w:spacing w:before="0" w:beforeAutospacing="0" w:after="0" w:afterAutospacing="0" w:line="360" w:lineRule="auto"/>
        <w:ind w:firstLine="420"/>
        <w:rPr>
          <w:sz w:val="21"/>
          <w:szCs w:val="21"/>
        </w:rPr>
      </w:pPr>
      <w:r>
        <w:rPr>
          <w:rFonts w:hint="eastAsia"/>
          <w:sz w:val="21"/>
          <w:szCs w:val="21"/>
        </w:rPr>
        <w:t xml:space="preserve">在投资过程中，需要随时根据宏观经济、市场变化，以及基于流动性和风险管理的要求，对构建组合进行调整。   </w:t>
      </w:r>
    </w:p>
    <w:p>
      <w:pPr>
        <w:pStyle w:val="7"/>
        <w:spacing w:before="0" w:beforeAutospacing="0" w:after="0" w:afterAutospacing="0" w:line="360" w:lineRule="auto"/>
        <w:ind w:firstLine="420"/>
        <w:rPr>
          <w:sz w:val="21"/>
          <w:szCs w:val="21"/>
        </w:rPr>
      </w:pPr>
      <w:r>
        <w:rPr>
          <w:rFonts w:hint="eastAsia"/>
          <w:sz w:val="21"/>
          <w:szCs w:val="21"/>
        </w:rPr>
        <w:t xml:space="preserve">4、权证投资策略   </w:t>
      </w:r>
    </w:p>
    <w:p>
      <w:pPr>
        <w:pStyle w:val="7"/>
        <w:spacing w:before="0" w:beforeAutospacing="0" w:after="0" w:afterAutospacing="0" w:line="360" w:lineRule="auto"/>
        <w:ind w:firstLine="420"/>
        <w:rPr>
          <w:sz w:val="21"/>
          <w:szCs w:val="21"/>
        </w:rPr>
      </w:pPr>
      <w:r>
        <w:rPr>
          <w:rFonts w:hint="eastAsia"/>
          <w:sz w:val="21"/>
          <w:szCs w:val="21"/>
        </w:rPr>
        <w:t xml:space="preserve">权证为本基金辅助性投资工具，投资原则为有利于基金资产增值、控制下跌风险、实现保值和锁定收益。本基金将主要投资满足成长和价值优选条件的公司发行的权证。   </w:t>
      </w:r>
    </w:p>
    <w:p>
      <w:pPr>
        <w:pStyle w:val="7"/>
        <w:spacing w:before="0" w:beforeAutospacing="0" w:after="0" w:afterAutospacing="0" w:line="360" w:lineRule="auto"/>
        <w:ind w:firstLine="420"/>
        <w:rPr>
          <w:sz w:val="21"/>
          <w:szCs w:val="21"/>
        </w:rPr>
      </w:pPr>
      <w:r>
        <w:rPr>
          <w:rFonts w:hint="eastAsia"/>
          <w:sz w:val="21"/>
          <w:szCs w:val="21"/>
        </w:rPr>
        <w:t xml:space="preserve">5、股指期货的投资策略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pPr>
        <w:pStyle w:val="7"/>
        <w:spacing w:before="0" w:beforeAutospacing="0" w:after="0" w:afterAutospacing="0" w:line="360" w:lineRule="auto"/>
        <w:ind w:firstLine="420"/>
        <w:rPr>
          <w:sz w:val="21"/>
          <w:szCs w:val="21"/>
        </w:rPr>
      </w:pPr>
      <w:r>
        <w:rPr>
          <w:rFonts w:hint="eastAsia"/>
          <w:sz w:val="21"/>
          <w:szCs w:val="21"/>
        </w:rPr>
        <w:t xml:space="preserve">（1）时机选择策略   </w:t>
      </w:r>
    </w:p>
    <w:p>
      <w:pPr>
        <w:pStyle w:val="7"/>
        <w:spacing w:before="0" w:beforeAutospacing="0" w:after="0" w:afterAutospacing="0" w:line="360" w:lineRule="auto"/>
        <w:ind w:firstLine="420"/>
        <w:rPr>
          <w:sz w:val="21"/>
          <w:szCs w:val="21"/>
        </w:rPr>
      </w:pPr>
      <w:r>
        <w:rPr>
          <w:rFonts w:hint="eastAsia"/>
          <w:sz w:val="21"/>
          <w:szCs w:val="21"/>
        </w:rPr>
        <w:t xml:space="preserve">根据本基金对经济周期运行不同阶段的预测和对市场情绪、估值指标的跟踪分析，决定是否对投资组合进行套期保值以及套期保值的现货标的及其比例。   </w:t>
      </w:r>
    </w:p>
    <w:p>
      <w:pPr>
        <w:pStyle w:val="7"/>
        <w:spacing w:before="0" w:beforeAutospacing="0" w:after="0" w:afterAutospacing="0" w:line="360" w:lineRule="auto"/>
        <w:ind w:firstLine="420"/>
        <w:rPr>
          <w:sz w:val="21"/>
          <w:szCs w:val="21"/>
        </w:rPr>
      </w:pPr>
      <w:r>
        <w:rPr>
          <w:rFonts w:hint="eastAsia"/>
          <w:sz w:val="21"/>
          <w:szCs w:val="21"/>
        </w:rPr>
        <w:t xml:space="preserve">（2）期货合约选择和头寸选择策略   </w:t>
      </w:r>
    </w:p>
    <w:p>
      <w:pPr>
        <w:pStyle w:val="7"/>
        <w:spacing w:before="0" w:beforeAutospacing="0" w:after="0" w:afterAutospacing="0" w:line="360" w:lineRule="auto"/>
        <w:ind w:firstLine="420"/>
        <w:rPr>
          <w:sz w:val="21"/>
          <w:szCs w:val="21"/>
        </w:rPr>
      </w:pPr>
      <w:r>
        <w:rPr>
          <w:rFonts w:hint="eastAsia"/>
          <w:sz w:val="21"/>
          <w:szCs w:val="21"/>
        </w:rPr>
        <w:t xml:space="preserve">在套期保值的现货标的确认之后，根据期货合约的基差水平、流动性等因素选择合适的期货合约；运用多种量化模型计算套期保值所需的期货合约头寸；对套期保值的现货标的Beta值进行动态的跟踪，动态的调整套期保值的期货头寸。   </w:t>
      </w:r>
    </w:p>
    <w:p>
      <w:pPr>
        <w:pStyle w:val="7"/>
        <w:spacing w:before="0" w:beforeAutospacing="0" w:after="0" w:afterAutospacing="0" w:line="360" w:lineRule="auto"/>
        <w:ind w:firstLine="420"/>
        <w:rPr>
          <w:sz w:val="21"/>
          <w:szCs w:val="21"/>
        </w:rPr>
      </w:pPr>
      <w:r>
        <w:rPr>
          <w:rFonts w:hint="eastAsia"/>
          <w:sz w:val="21"/>
          <w:szCs w:val="21"/>
        </w:rPr>
        <w:t xml:space="preserve">（3）展期策略   </w:t>
      </w:r>
    </w:p>
    <w:p>
      <w:pPr>
        <w:pStyle w:val="7"/>
        <w:spacing w:before="0" w:beforeAutospacing="0" w:after="0" w:afterAutospacing="0" w:line="360" w:lineRule="auto"/>
        <w:ind w:firstLine="420"/>
        <w:rPr>
          <w:sz w:val="21"/>
          <w:szCs w:val="21"/>
        </w:rPr>
      </w:pPr>
      <w:r>
        <w:rPr>
          <w:rFonts w:hint="eastAsia"/>
          <w:sz w:val="21"/>
          <w:szCs w:val="21"/>
        </w:rPr>
        <w:t xml:space="preserve">当套期保值的时间较长时，需要对期货合约进行展期。理论上，不同交割时间的期货合约价差是一个确定值；现实中，价差是不断波动的。本基金将动态的跟踪不同交割时间的期货合约的价差，选择合适的交易时机进行展仓。   </w:t>
      </w:r>
    </w:p>
    <w:p>
      <w:pPr>
        <w:pStyle w:val="7"/>
        <w:spacing w:before="0" w:beforeAutospacing="0" w:after="0" w:afterAutospacing="0" w:line="360" w:lineRule="auto"/>
        <w:ind w:firstLine="420"/>
        <w:rPr>
          <w:sz w:val="21"/>
          <w:szCs w:val="21"/>
        </w:rPr>
      </w:pPr>
      <w:r>
        <w:rPr>
          <w:rFonts w:hint="eastAsia"/>
          <w:sz w:val="21"/>
          <w:szCs w:val="21"/>
        </w:rPr>
        <w:t xml:space="preserve">（4）保证金管理   </w:t>
      </w:r>
    </w:p>
    <w:p>
      <w:pPr>
        <w:pStyle w:val="7"/>
        <w:spacing w:before="0" w:beforeAutospacing="0" w:after="0" w:afterAutospacing="0" w:line="360" w:lineRule="auto"/>
        <w:ind w:firstLine="420"/>
        <w:rPr>
          <w:sz w:val="21"/>
          <w:szCs w:val="21"/>
        </w:rPr>
      </w:pPr>
      <w:r>
        <w:rPr>
          <w:rFonts w:hint="eastAsia"/>
          <w:sz w:val="21"/>
          <w:szCs w:val="21"/>
        </w:rPr>
        <w:t xml:space="preserve">本基金将根据套期保值的时间、现货标的的波动性动态地计算所需的结算准备金，避免因保证金不足被迫平仓导致的套保失败。   </w:t>
      </w:r>
    </w:p>
    <w:p>
      <w:pPr>
        <w:pStyle w:val="7"/>
        <w:spacing w:before="0" w:beforeAutospacing="0" w:after="0" w:afterAutospacing="0" w:line="360" w:lineRule="auto"/>
        <w:ind w:firstLine="420"/>
        <w:rPr>
          <w:sz w:val="21"/>
          <w:szCs w:val="21"/>
        </w:rPr>
      </w:pPr>
      <w:r>
        <w:rPr>
          <w:rFonts w:hint="eastAsia"/>
          <w:sz w:val="21"/>
          <w:szCs w:val="21"/>
        </w:rPr>
        <w:t xml:space="preserve">（5）投资组合管理策略   </w:t>
      </w:r>
    </w:p>
    <w:p>
      <w:pPr>
        <w:pStyle w:val="7"/>
        <w:spacing w:before="0" w:beforeAutospacing="0" w:after="0" w:afterAutospacing="0" w:line="360" w:lineRule="auto"/>
        <w:ind w:firstLine="420"/>
        <w:rPr>
          <w:sz w:val="21"/>
          <w:szCs w:val="21"/>
        </w:rPr>
      </w:pPr>
      <w:r>
        <w:rPr>
          <w:rFonts w:hint="eastAsia"/>
          <w:sz w:val="21"/>
          <w:szCs w:val="21"/>
        </w:rPr>
        <w:t xml:space="preserve">本基金建仓时，将根据市场环境，运用股指期货管理建仓成本。   </w:t>
      </w:r>
    </w:p>
    <w:p>
      <w:pPr>
        <w:pStyle w:val="7"/>
        <w:spacing w:before="0" w:beforeAutospacing="0" w:after="0" w:afterAutospacing="0" w:line="360" w:lineRule="auto"/>
        <w:ind w:firstLine="420"/>
        <w:rPr>
          <w:sz w:val="21"/>
          <w:szCs w:val="21"/>
        </w:rPr>
      </w:pPr>
      <w:r>
        <w:rPr>
          <w:rFonts w:hint="eastAsia"/>
          <w:sz w:val="21"/>
          <w:szCs w:val="21"/>
        </w:rPr>
        <w:t xml:space="preserve">本基金出现较大申购赎回时，将运用股指期货管理组合的风险。   </w:t>
      </w:r>
    </w:p>
    <w:p>
      <w:pPr>
        <w:rPr>
          <w:rFonts w:ascii="宋体" w:hAnsi="宋体" w:eastAsia="宋体"/>
          <w:sz w:val="24"/>
          <w:szCs w:val="24"/>
        </w:rPr>
      </w:pPr>
      <w:r>
        <w:rPr>
          <w:rFonts w:ascii="宋体" w:hAnsi="宋体" w:eastAsia="宋体"/>
        </w:rPr>
        <w:t xml:space="preserve">未来，随着中国证券市场投资工具的发展和丰富，在符合有关法律法规规定的前提下，基金可相应调整和更新相关投资策略。 </w:t>
      </w:r>
    </w:p>
    <w:p>
      <w:pPr>
        <w:pStyle w:val="7"/>
        <w:spacing w:before="0" w:beforeAutospacing="0" w:after="0" w:afterAutospacing="0" w:line="360" w:lineRule="auto"/>
        <w:ind w:firstLine="420"/>
        <w:rPr>
          <w:sz w:val="21"/>
          <w:szCs w:val="21"/>
        </w:rPr>
      </w:pPr>
      <w:bookmarkStart w:id="119" w:name="chapter_level1_11_60_section_1_end"/>
      <w:bookmarkEnd w:id="119"/>
      <w:bookmarkStart w:id="120" w:name="field_60_investmentstrategy_1_end"/>
      <w:bookmarkEnd w:id="120"/>
      <w:r>
        <w:rPr>
          <w:rFonts w:hint="eastAsia"/>
          <w:sz w:val="21"/>
          <w:szCs w:val="21"/>
        </w:rPr>
        <w:t xml:space="preserve">  </w:t>
      </w:r>
    </w:p>
    <w:p>
      <w:pPr>
        <w:pStyle w:val="7"/>
        <w:spacing w:before="0" w:beforeAutospacing="0" w:after="0" w:afterAutospacing="0" w:line="360" w:lineRule="auto"/>
        <w:ind w:firstLine="420"/>
        <w:rPr>
          <w:sz w:val="21"/>
          <w:szCs w:val="21"/>
        </w:rPr>
      </w:pPr>
      <w:bookmarkStart w:id="121" w:name="chapter_level1_11_60_section_2"/>
      <w:bookmarkEnd w:id="121"/>
      <w:r>
        <w:rPr>
          <w:rStyle w:val="11"/>
          <w:rFonts w:hint="eastAsia"/>
          <w:sz w:val="21"/>
          <w:szCs w:val="21"/>
        </w:rPr>
        <w:t>五、禁止行为</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4、买卖其他基金份额，但是国务院另有规定的除外；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5、向其基金管理人、基金托管人出资或者买卖其基金管理人、基金托管人发行的股票或者债券； </w:t>
      </w:r>
    </w:p>
    <w:p>
      <w:pPr>
        <w:pStyle w:val="7"/>
        <w:spacing w:before="0" w:beforeAutospacing="0" w:after="0" w:afterAutospacing="0" w:line="360" w:lineRule="auto"/>
        <w:ind w:firstLine="420"/>
        <w:rPr>
          <w:sz w:val="21"/>
          <w:szCs w:val="21"/>
        </w:rPr>
      </w:pPr>
      <w:r>
        <w:rPr>
          <w:rFonts w:hint="eastAsia"/>
          <w:sz w:val="21"/>
          <w:szCs w:val="21"/>
        </w:rPr>
        <w:t xml:space="preserve">6、买卖与其基金管理人、基金托管人有控股关系的股东或者与其基金管理人、基金托管人有其他重大利害关系的公司发行的证券或者承销期内承销的证券； </w:t>
      </w:r>
    </w:p>
    <w:p>
      <w:pPr>
        <w:pStyle w:val="7"/>
        <w:spacing w:before="0" w:beforeAutospacing="0" w:after="0" w:afterAutospacing="0" w:line="360" w:lineRule="auto"/>
        <w:ind w:firstLine="420"/>
        <w:rPr>
          <w:sz w:val="21"/>
          <w:szCs w:val="21"/>
        </w:rPr>
      </w:pPr>
      <w:r>
        <w:rPr>
          <w:rFonts w:hint="eastAsia"/>
          <w:sz w:val="21"/>
          <w:szCs w:val="21"/>
        </w:rPr>
        <w:t xml:space="preserve">7、从事内幕交易、操纵证券交易价格及其他不正当的证券交易活动；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8、依照法律法规有关规定，由中国证监会规定禁止的其他活动；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9、法律法规或监管部门取消上述限制，如适用于本基金，则本基金投资不再受相关限制。 </w:t>
      </w:r>
    </w:p>
    <w:p>
      <w:pPr>
        <w:pStyle w:val="7"/>
        <w:spacing w:before="0" w:beforeAutospacing="0" w:after="0" w:afterAutospacing="0" w:line="360" w:lineRule="auto"/>
        <w:ind w:firstLine="420"/>
        <w:rPr>
          <w:sz w:val="21"/>
          <w:szCs w:val="21"/>
        </w:rPr>
      </w:pPr>
      <w:r>
        <w:rPr>
          <w:rStyle w:val="11"/>
          <w:rFonts w:hint="eastAsia"/>
          <w:sz w:val="21"/>
          <w:szCs w:val="21"/>
        </w:rPr>
        <w:t>六、投资限制</w:t>
      </w:r>
    </w:p>
    <w:p>
      <w:pPr>
        <w:pStyle w:val="7"/>
        <w:spacing w:before="0" w:beforeAutospacing="0" w:after="0" w:afterAutospacing="0" w:line="360" w:lineRule="auto"/>
        <w:ind w:firstLine="420"/>
        <w:rPr>
          <w:sz w:val="21"/>
          <w:szCs w:val="21"/>
        </w:rPr>
      </w:pPr>
      <w:r>
        <w:rPr>
          <w:rFonts w:hint="eastAsia"/>
          <w:sz w:val="21"/>
          <w:szCs w:val="21"/>
        </w:rPr>
        <w:t xml:space="preserve">1、组合限制 </w:t>
      </w:r>
    </w:p>
    <w:p>
      <w:pPr>
        <w:pStyle w:val="7"/>
        <w:spacing w:before="0" w:beforeAutospacing="0" w:after="0" w:afterAutospacing="0" w:line="360" w:lineRule="auto"/>
        <w:ind w:firstLine="420"/>
        <w:rPr>
          <w:sz w:val="21"/>
          <w:szCs w:val="21"/>
        </w:rPr>
      </w:pPr>
      <w:r>
        <w:rPr>
          <w:rFonts w:hint="eastAsia"/>
          <w:sz w:val="21"/>
          <w:szCs w:val="21"/>
        </w:rPr>
        <w:t xml:space="preserve">本基金在投资策略上兼顾投资原则以及开放式基金的固有特点，通过分散投资降低基金财产的非系统性风险，保持基金组合良好的流动性。基金的投资组合将遵循以下限制：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（1）本基金持有一家上市公司的股票（含存托凭证），其市值不超过基金资产净值的10%；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（3）本基金管理人管理的全部基金持有一家公司发行的证券（含存托凭证），不超过该证券的10%；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（5）本基金进入全国银行间同业市场进行债券回购的资金余额不得超过基金资产净值的40%； </w:t>
      </w:r>
    </w:p>
    <w:p>
      <w:pPr>
        <w:pStyle w:val="7"/>
        <w:spacing w:before="0" w:beforeAutospacing="0" w:after="0" w:afterAutospacing="0" w:line="360" w:lineRule="auto"/>
        <w:ind w:firstLine="420"/>
        <w:rPr>
          <w:sz w:val="21"/>
          <w:szCs w:val="21"/>
        </w:rPr>
      </w:pPr>
      <w:r>
        <w:rPr>
          <w:rFonts w:hint="eastAsia"/>
          <w:sz w:val="21"/>
          <w:szCs w:val="21"/>
        </w:rPr>
        <w:t xml:space="preserve">（6）本基金投资组合中股票（含存托凭证）投资比例为基金资产的60%—95%，债券等固定收益类证券投资比例为基金资产的0%—40%，现金或者到期日在一年以内的政府债券投资比例合计不低于基金资产净值的5%；本基金将不低于80%的股票资产按照行业轮动策略进行投资； </w:t>
      </w:r>
    </w:p>
    <w:p>
      <w:pPr>
        <w:pStyle w:val="7"/>
        <w:spacing w:before="0" w:beforeAutospacing="0" w:after="0" w:afterAutospacing="0" w:line="360" w:lineRule="auto"/>
        <w:ind w:firstLine="420"/>
        <w:rPr>
          <w:sz w:val="21"/>
          <w:szCs w:val="21"/>
        </w:rPr>
      </w:pPr>
      <w:r>
        <w:rPr>
          <w:rFonts w:hint="eastAsia"/>
          <w:sz w:val="21"/>
          <w:szCs w:val="21"/>
        </w:rPr>
        <w:t xml:space="preserve">（7）本基金投资于同一原始权益人的各类资产支持证券的比例，不得超过基金资产净值的10%；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（8）本基金持有的全部资产支持证券，其市值不得超过基金资产净值的20%；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（9）本基金持有的同一（指同一信用级别）资产支持证券的比例，不得超过该资产支持证券规模的10%；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（10）本基金管理人管理的全部基金投资于同一原始权益人的各类资产支持证券，不得超过其各类资产支持证券合计规模的10%；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（11）本基金应投资于信用级别评级为BBB以上（含BBB）的资产支持证券。基金持有资产支持证券期间，如果其信用等级下降、不再符合投资标准，应在评级报告发布之日起3个月内予以全部卖出；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（12）基金财产参与股票发行申购，本基金所申报的金额不超过本基金的总资产，本基金所申报的股票数量不超过拟发行股票公司本次发行股票的总量；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（13）本基金在任何交易日买入权证的总金额，不得超过上一交易日基金资产净值的0.5%；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（14） 本基金持有的所有流通受限证券，其公允价值不得超过本基金资产净值的15%；本基金持有的同一流通受限证券，其公允价值不得超过本基金资产净值的10%；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（16）每个交易日日终在扣除股指期货合约需缴纳的交易保证金后，应当保持不低于基金资产净值5%的现金或到期日在一年以内的政府债券。其中，现金不包括结算备付金、存出保证金、应收申购款等；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（18）本基金主动投资于流动性受限资产的市值合计不得超过本基金资产净值的15% ；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如果法律法规对基金合同约定投资组合比例限制进行变更的，以变更后的规定为准。法律法规或监管部门取消上述限制，如适用于本基金，则本基金投资不再受相关限制。 </w:t>
      </w:r>
    </w:p>
    <w:p>
      <w:pPr>
        <w:pStyle w:val="7"/>
        <w:spacing w:before="0" w:beforeAutospacing="0" w:after="0" w:afterAutospacing="0" w:line="360" w:lineRule="auto"/>
        <w:ind w:firstLine="420"/>
        <w:rPr>
          <w:sz w:val="21"/>
          <w:szCs w:val="21"/>
        </w:rPr>
      </w:pPr>
      <w:r>
        <w:rPr>
          <w:rFonts w:hint="eastAsia"/>
          <w:sz w:val="21"/>
          <w:szCs w:val="21"/>
        </w:rPr>
        <w:t xml:space="preserve">除上述第（11）、（16）、（18）、（19）项外，因证券市场波动、上市公司合并、基金规模变动、股权分置改革中支付对价等基金管理人之外的因素致使基金投资比例不符合上述规定投资比例的，基金管理人应当在10个交易日内进行调整。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基金管理人应当自基金合同生效之日起6个月内使基金的投资组合比例符合基金合同的有关约定。基金托管人对基金的投资的监督与检查自基金合同生效之日起开始。 </w:t>
      </w:r>
    </w:p>
    <w:p>
      <w:pPr>
        <w:pStyle w:val="7"/>
        <w:spacing w:before="0" w:beforeAutospacing="0" w:after="0" w:afterAutospacing="0" w:line="360" w:lineRule="auto"/>
        <w:ind w:firstLine="420"/>
        <w:rPr>
          <w:sz w:val="21"/>
          <w:szCs w:val="21"/>
        </w:rPr>
      </w:pPr>
      <w:bookmarkStart w:id="122" w:name="chapter_level1_11_60_section_2_end"/>
      <w:bookmarkEnd w:id="122"/>
      <w:r>
        <w:rPr>
          <w:rStyle w:val="11"/>
          <w:rFonts w:hint="eastAsia"/>
          <w:sz w:val="21"/>
          <w:szCs w:val="21"/>
        </w:rPr>
        <w:t>七、业绩比较基准</w:t>
      </w:r>
    </w:p>
    <w:p>
      <w:pPr>
        <w:pStyle w:val="7"/>
        <w:spacing w:before="0" w:beforeAutospacing="0" w:after="0" w:afterAutospacing="0" w:line="360" w:lineRule="auto"/>
        <w:ind w:firstLine="420"/>
        <w:rPr>
          <w:sz w:val="21"/>
          <w:szCs w:val="21"/>
        </w:rPr>
      </w:pPr>
      <w:bookmarkStart w:id="123" w:name="chapter_level1_11_60_section_3"/>
      <w:bookmarkEnd w:id="123"/>
      <w:r>
        <w:rPr>
          <w:rFonts w:hint="eastAsia"/>
          <w:sz w:val="21"/>
          <w:szCs w:val="21"/>
        </w:rPr>
        <w:t>本基金的业绩比较基准为：</w:t>
      </w:r>
      <w:bookmarkStart w:id="124" w:name="field_60_benchmark_1_start"/>
      <w:bookmarkEnd w:id="124"/>
      <w:r>
        <w:rPr>
          <w:rFonts w:hint="eastAsia"/>
          <w:sz w:val="21"/>
          <w:szCs w:val="21"/>
        </w:rPr>
        <w:t xml:space="preserve">沪深300指数收益率×80%＋中国债券总指数收益率×20%  </w:t>
      </w:r>
      <w:bookmarkStart w:id="125" w:name="field_60_benchmark_1_end"/>
      <w:bookmarkEnd w:id="12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本基金为混合型基金。在综合考虑了基金股票组合的构建、投资标的以及市场上可得的股票指数的编制方法后，本基金选择市场认同度较高并且作为股指期货标的的沪深300指数作为本基金股票组合的业绩比较基准。债券组合则采用中国债券总指数作为业绩比较基准。本基金的股票投资比例区间为60%-95%，取80%为基准指数中股票投资所代表的权重，其余20%为基准指数中债券投资所对应的权重。因此，本基金的业绩比较基准确定为“沪深300指数收益率×80%＋中国债券总指数收益率×20%”。 </w:t>
      </w:r>
    </w:p>
    <w:p>
      <w:pPr>
        <w:pStyle w:val="7"/>
        <w:spacing w:before="0" w:beforeAutospacing="0" w:after="0" w:afterAutospacing="0" w:line="360" w:lineRule="auto"/>
        <w:ind w:firstLine="420"/>
        <w:rPr>
          <w:sz w:val="21"/>
          <w:szCs w:val="21"/>
        </w:rPr>
      </w:pPr>
      <w:r>
        <w:rPr>
          <w:rFonts w:hint="eastAsia"/>
          <w:sz w:val="21"/>
          <w:szCs w:val="21"/>
        </w:rPr>
        <w:t>如果今后市场出现更具代表性的业绩比较基准，或者指数编制单位停止编制该指数，或有更具权威、更科学的复合指数权重比例，在与基金托管人协商一致后，本基金管理人可以</w:t>
      </w:r>
      <w:bookmarkStart w:id="126" w:name="chapter_level1_11_60_section_3_end"/>
      <w:bookmarkEnd w:id="126"/>
      <w:r>
        <w:rPr>
          <w:rFonts w:hint="eastAsia"/>
          <w:sz w:val="21"/>
          <w:szCs w:val="21"/>
        </w:rPr>
        <w:t xml:space="preserve">在报中国证监会备案后调整或变更业绩比较基准并及时公告。 </w:t>
      </w:r>
    </w:p>
    <w:p>
      <w:pPr>
        <w:pStyle w:val="7"/>
        <w:spacing w:before="0" w:beforeAutospacing="0" w:after="0" w:afterAutospacing="0" w:line="360" w:lineRule="auto"/>
        <w:ind w:firstLine="420"/>
        <w:rPr>
          <w:sz w:val="21"/>
          <w:szCs w:val="21"/>
        </w:rPr>
      </w:pPr>
      <w:bookmarkStart w:id="127" w:name="chapter_level1_11_60_section_4"/>
      <w:bookmarkEnd w:id="127"/>
      <w:r>
        <w:rPr>
          <w:rStyle w:val="11"/>
          <w:rFonts w:hint="eastAsia"/>
          <w:sz w:val="21"/>
          <w:szCs w:val="21"/>
        </w:rPr>
        <w:t>八、风险收益特征</w:t>
      </w:r>
    </w:p>
    <w:p>
      <w:pPr>
        <w:pStyle w:val="7"/>
        <w:spacing w:before="0" w:beforeAutospacing="0" w:after="0" w:afterAutospacing="0" w:line="360" w:lineRule="auto"/>
        <w:ind w:firstLine="420"/>
        <w:rPr>
          <w:sz w:val="21"/>
          <w:szCs w:val="21"/>
        </w:rPr>
      </w:pPr>
      <w:bookmarkStart w:id="128" w:name="field_60_riskyield_1_start"/>
      <w:bookmarkEnd w:id="128"/>
      <w:r>
        <w:rPr>
          <w:rFonts w:hint="eastAsia"/>
          <w:sz w:val="21"/>
          <w:szCs w:val="21"/>
        </w:rPr>
        <w:t xml:space="preserve">本基金为混合型基金，预期风险和预期收益高于货币市场基金、债券型基金，低于股票型基金，属于证券投资基金中的中高风险/收益品种。  </w:t>
      </w:r>
      <w:bookmarkStart w:id="129" w:name="field_60_riskyield_1_end"/>
      <w:bookmarkEnd w:id="129"/>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九、基金管理人代表基金行使股东权利的处理原则及方法</w:t>
      </w:r>
    </w:p>
    <w:p>
      <w:pPr>
        <w:pStyle w:val="7"/>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1、基金管理人按照国家有关规定代表基金独立行使股东权利，保护基金份额持有人的利益； </w:t>
      </w:r>
    </w:p>
    <w:p>
      <w:pPr>
        <w:pStyle w:val="7"/>
        <w:spacing w:before="0" w:beforeAutospacing="0" w:after="0" w:afterAutospacing="0" w:line="360" w:lineRule="auto"/>
        <w:ind w:firstLine="420"/>
        <w:rPr>
          <w:sz w:val="21"/>
          <w:szCs w:val="21"/>
        </w:rPr>
      </w:pPr>
      <w:r>
        <w:rPr>
          <w:rFonts w:hint="eastAsia"/>
          <w:sz w:val="21"/>
          <w:szCs w:val="21"/>
        </w:rPr>
        <w:t xml:space="preserve">2、不谋求对上市公司的控股，不参与所投资上市公司的经营管理； </w:t>
      </w:r>
    </w:p>
    <w:p>
      <w:pPr>
        <w:pStyle w:val="7"/>
        <w:spacing w:before="0" w:beforeAutospacing="0" w:after="0" w:afterAutospacing="0" w:line="360" w:lineRule="auto"/>
        <w:ind w:firstLine="420"/>
        <w:rPr>
          <w:sz w:val="21"/>
          <w:szCs w:val="21"/>
        </w:rPr>
      </w:pPr>
      <w:r>
        <w:rPr>
          <w:rFonts w:hint="eastAsia"/>
          <w:sz w:val="21"/>
          <w:szCs w:val="21"/>
        </w:rPr>
        <w:t xml:space="preserve">3、有利于基金财产的安全与增值； </w:t>
      </w:r>
    </w:p>
    <w:p>
      <w:pPr>
        <w:pStyle w:val="7"/>
        <w:spacing w:before="0" w:beforeAutospacing="0" w:after="0" w:afterAutospacing="0" w:line="360" w:lineRule="auto"/>
        <w:ind w:firstLine="420"/>
        <w:rPr>
          <w:sz w:val="21"/>
          <w:szCs w:val="21"/>
        </w:rPr>
      </w:pPr>
      <w:r>
        <w:rPr>
          <w:rFonts w:hint="eastAsia"/>
          <w:sz w:val="21"/>
          <w:szCs w:val="21"/>
        </w:rPr>
        <w:t xml:space="preserve">4、不通过关联交易为自身、雇员、授权代理人或任何存在利害关系的第三人牟取任何不当利益。 </w:t>
      </w:r>
    </w:p>
    <w:p>
      <w:pPr>
        <w:pStyle w:val="7"/>
        <w:spacing w:before="0" w:beforeAutospacing="0" w:after="0" w:afterAutospacing="0" w:line="360" w:lineRule="auto"/>
        <w:ind w:firstLine="420"/>
        <w:rPr>
          <w:sz w:val="21"/>
          <w:szCs w:val="21"/>
        </w:rPr>
      </w:pPr>
      <w:r>
        <w:rPr>
          <w:rStyle w:val="11"/>
          <w:rFonts w:hint="eastAsia"/>
          <w:sz w:val="21"/>
          <w:szCs w:val="21"/>
        </w:rPr>
        <w:t>十、基金的融资融券</w:t>
      </w:r>
    </w:p>
    <w:p>
      <w:pPr>
        <w:pStyle w:val="7"/>
        <w:spacing w:before="0" w:beforeAutospacing="0" w:after="0" w:afterAutospacing="0" w:line="360" w:lineRule="auto"/>
        <w:ind w:firstLine="420"/>
        <w:rPr>
          <w:sz w:val="21"/>
          <w:szCs w:val="21"/>
        </w:rPr>
      </w:pPr>
      <w:bookmarkStart w:id="130" w:name="chapter_level1_11_60_section_4_end"/>
      <w:bookmarkEnd w:id="130"/>
      <w:r>
        <w:rPr>
          <w:rFonts w:hint="eastAsia"/>
          <w:sz w:val="21"/>
          <w:szCs w:val="21"/>
        </w:rPr>
        <w:t xml:space="preserve">本基金可以按照国家的有关规定进行融资、融券。 </w:t>
      </w:r>
    </w:p>
    <w:p>
      <w:pPr>
        <w:pStyle w:val="7"/>
        <w:spacing w:before="0" w:beforeAutospacing="0" w:after="0" w:afterAutospacing="0" w:line="360" w:lineRule="auto"/>
        <w:ind w:firstLine="420"/>
        <w:rPr>
          <w:sz w:val="21"/>
          <w:szCs w:val="21"/>
        </w:rPr>
      </w:pPr>
      <w:bookmarkStart w:id="131" w:name="chapter_level1_11_60_section_5_end"/>
      <w:bookmarkEnd w:id="131"/>
      <w:bookmarkStart w:id="132" w:name="chapter_level1_11_60_section_5"/>
      <w:bookmarkEnd w:id="132"/>
      <w:r>
        <w:rPr>
          <w:rStyle w:val="11"/>
          <w:rFonts w:hint="eastAsia"/>
          <w:sz w:val="21"/>
          <w:szCs w:val="21"/>
        </w:rPr>
        <w:t>十一、基金投资组合报告</w:t>
      </w:r>
    </w:p>
    <w:p>
      <w:pPr>
        <w:pStyle w:val="7"/>
        <w:spacing w:before="0" w:beforeAutospacing="0" w:after="0" w:afterAutospacing="0" w:line="360" w:lineRule="auto"/>
        <w:ind w:firstLine="420"/>
        <w:rPr>
          <w:sz w:val="21"/>
          <w:szCs w:val="21"/>
        </w:rPr>
      </w:pPr>
      <w:bookmarkStart w:id="133" w:name="chapter_level1_11_60_section_6"/>
      <w:bookmarkEnd w:id="133"/>
      <w:r>
        <w:rPr>
          <w:rFonts w:hint="eastAsia"/>
          <w:sz w:val="21"/>
          <w:szCs w:val="21"/>
        </w:rPr>
        <w:t xml:space="preserve">基金管理人的董事会及董事保证本报告所载资料不存在虚假记载、误导性陈述或重大遗漏，并对其内容的真实性、准确性和完整性承担个别及连带责任。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34" w:name="field_2343_financeendday_2"/>
      <w:r>
        <w:rPr>
          <w:sz w:val="21"/>
          <w:szCs w:val="21"/>
        </w:rPr>
        <w:t>2022年6月30日</w:t>
      </w:r>
      <w:bookmarkEnd w:id="134"/>
      <w:r>
        <w:rPr>
          <w:rFonts w:hint="eastAsia"/>
          <w:sz w:val="21"/>
          <w:szCs w:val="21"/>
        </w:rPr>
        <w:t xml:space="preserve">，本报告财务数据未经审计。 </w:t>
      </w:r>
    </w:p>
    <w:p>
      <w:pPr>
        <w:pStyle w:val="7"/>
        <w:spacing w:before="0" w:beforeAutospacing="0" w:after="0" w:afterAutospacing="0" w:line="360" w:lineRule="auto"/>
        <w:ind w:firstLine="420"/>
        <w:rPr>
          <w:sz w:val="21"/>
          <w:szCs w:val="21"/>
        </w:rPr>
      </w:pPr>
      <w:r>
        <w:rPr>
          <w:rFonts w:hint="eastAsia"/>
          <w:sz w:val="21"/>
          <w:szCs w:val="21"/>
        </w:rPr>
        <w:t xml:space="preserve">1 报告期末基金资产组合情况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3305"/>
        <w:gridCol w:w="2321"/>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序号 </w:t>
            </w:r>
          </w:p>
        </w:tc>
        <w:tc>
          <w:tcPr>
            <w:tcW w:w="4425" w:type="dxa"/>
            <w:shd w:val="clear" w:color="auto" w:fill="auto"/>
          </w:tcPr>
          <w:p>
            <w:pPr>
              <w:pStyle w:val="7"/>
              <w:jc w:val="center"/>
            </w:pPr>
            <w:r>
              <w:rPr>
                <w:rFonts w:hint="eastAsia"/>
              </w:rPr>
              <w:t xml:space="preserve">项目 </w:t>
            </w:r>
          </w:p>
        </w:tc>
        <w:tc>
          <w:tcPr>
            <w:tcW w:w="2535" w:type="dxa"/>
            <w:shd w:val="clear" w:color="auto" w:fill="auto"/>
          </w:tcPr>
          <w:p>
            <w:pPr>
              <w:pStyle w:val="7"/>
              <w:jc w:val="center"/>
            </w:pPr>
            <w:r>
              <w:rPr>
                <w:rFonts w:hint="eastAsia"/>
              </w:rPr>
              <w:t xml:space="preserve">金额(元) </w:t>
            </w:r>
          </w:p>
        </w:tc>
        <w:tc>
          <w:tcPr>
            <w:tcW w:w="2790" w:type="dxa"/>
            <w:shd w:val="clear" w:color="auto" w:fill="auto"/>
          </w:tcPr>
          <w:p>
            <w:pPr>
              <w:pStyle w:val="7"/>
              <w:jc w:val="center"/>
            </w:pPr>
            <w:r>
              <w:rPr>
                <w:rFonts w:hint="eastAsia"/>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1 </w:t>
            </w:r>
          </w:p>
        </w:tc>
        <w:tc>
          <w:tcPr>
            <w:tcW w:w="4425" w:type="dxa"/>
            <w:shd w:val="clear" w:color="auto" w:fill="auto"/>
          </w:tcPr>
          <w:p>
            <w:pPr>
              <w:pStyle w:val="7"/>
            </w:pPr>
            <w:r>
              <w:rPr>
                <w:rFonts w:hint="eastAsia"/>
              </w:rPr>
              <w:t xml:space="preserve">权益投资 </w:t>
            </w:r>
          </w:p>
        </w:tc>
        <w:tc>
          <w:tcPr>
            <w:tcW w:w="2535" w:type="dxa"/>
            <w:shd w:val="clear" w:color="auto" w:fill="auto"/>
          </w:tcPr>
          <w:p>
            <w:pPr>
              <w:pStyle w:val="7"/>
              <w:jc w:val="right"/>
            </w:pPr>
            <w:r>
              <w:rPr>
                <w:rFonts w:hint="eastAsia"/>
              </w:rPr>
              <w:t xml:space="preserve">235,622,265.34 </w:t>
            </w:r>
          </w:p>
        </w:tc>
        <w:tc>
          <w:tcPr>
            <w:tcW w:w="2790" w:type="dxa"/>
            <w:shd w:val="clear" w:color="auto" w:fill="auto"/>
          </w:tcPr>
          <w:p>
            <w:pPr>
              <w:pStyle w:val="7"/>
              <w:jc w:val="right"/>
            </w:pPr>
            <w:r>
              <w:rPr>
                <w:rFonts w:hint="eastAsia"/>
              </w:rPr>
              <w:t xml:space="preserve">93.25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 w:val="24"/>
                <w:szCs w:val="24"/>
              </w:rPr>
            </w:pPr>
          </w:p>
        </w:tc>
        <w:tc>
          <w:tcPr>
            <w:tcW w:w="4425" w:type="dxa"/>
            <w:shd w:val="clear" w:color="auto" w:fill="auto"/>
          </w:tcPr>
          <w:p>
            <w:pPr>
              <w:pStyle w:val="7"/>
            </w:pPr>
            <w:r>
              <w:rPr>
                <w:rFonts w:hint="eastAsia"/>
              </w:rPr>
              <w:t xml:space="preserve">其中：股票 </w:t>
            </w:r>
          </w:p>
        </w:tc>
        <w:tc>
          <w:tcPr>
            <w:tcW w:w="2535" w:type="dxa"/>
            <w:shd w:val="clear" w:color="auto" w:fill="auto"/>
          </w:tcPr>
          <w:p>
            <w:pPr>
              <w:pStyle w:val="7"/>
              <w:jc w:val="right"/>
            </w:pPr>
            <w:r>
              <w:rPr>
                <w:rFonts w:hint="eastAsia"/>
              </w:rPr>
              <w:t xml:space="preserve">235,622,265.34 </w:t>
            </w:r>
          </w:p>
        </w:tc>
        <w:tc>
          <w:tcPr>
            <w:tcW w:w="2790" w:type="dxa"/>
            <w:shd w:val="clear" w:color="auto" w:fill="auto"/>
          </w:tcPr>
          <w:p>
            <w:pPr>
              <w:pStyle w:val="7"/>
              <w:jc w:val="right"/>
            </w:pPr>
            <w:r>
              <w:rPr>
                <w:rFonts w:hint="eastAsia"/>
              </w:rPr>
              <w:t xml:space="preserve">93.25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2 </w:t>
            </w:r>
          </w:p>
        </w:tc>
        <w:tc>
          <w:tcPr>
            <w:tcW w:w="4425" w:type="dxa"/>
            <w:shd w:val="clear" w:color="auto" w:fill="auto"/>
          </w:tcPr>
          <w:p>
            <w:pPr>
              <w:pStyle w:val="7"/>
            </w:pPr>
            <w:r>
              <w:rPr>
                <w:rFonts w:hint="eastAsia"/>
              </w:rPr>
              <w:t xml:space="preserve">基金投资 </w:t>
            </w:r>
          </w:p>
        </w:tc>
        <w:tc>
          <w:tcPr>
            <w:tcW w:w="253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3 </w:t>
            </w:r>
          </w:p>
        </w:tc>
        <w:tc>
          <w:tcPr>
            <w:tcW w:w="4425" w:type="dxa"/>
            <w:shd w:val="clear" w:color="auto" w:fill="auto"/>
          </w:tcPr>
          <w:p>
            <w:pPr>
              <w:pStyle w:val="7"/>
            </w:pPr>
            <w:r>
              <w:rPr>
                <w:rFonts w:hint="eastAsia"/>
              </w:rPr>
              <w:t xml:space="preserve">固定收益投资 </w:t>
            </w:r>
          </w:p>
        </w:tc>
        <w:tc>
          <w:tcPr>
            <w:tcW w:w="2535" w:type="dxa"/>
            <w:shd w:val="clear" w:color="auto" w:fill="auto"/>
          </w:tcPr>
          <w:p>
            <w:pPr>
              <w:pStyle w:val="7"/>
              <w:jc w:val="right"/>
            </w:pPr>
            <w:r>
              <w:rPr>
                <w:rFonts w:hint="eastAsia"/>
              </w:rPr>
              <w:t xml:space="preserve">3,176,252.35 </w:t>
            </w:r>
          </w:p>
        </w:tc>
        <w:tc>
          <w:tcPr>
            <w:tcW w:w="2790" w:type="dxa"/>
            <w:shd w:val="clear" w:color="auto" w:fill="auto"/>
          </w:tcPr>
          <w:p>
            <w:pPr>
              <w:pStyle w:val="7"/>
              <w:jc w:val="right"/>
            </w:pPr>
            <w:r>
              <w:rPr>
                <w:rFonts w:hint="eastAsia"/>
              </w:rPr>
              <w:t xml:space="preserve">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 w:val="24"/>
                <w:szCs w:val="24"/>
              </w:rPr>
            </w:pPr>
          </w:p>
        </w:tc>
        <w:tc>
          <w:tcPr>
            <w:tcW w:w="4425" w:type="dxa"/>
            <w:shd w:val="clear" w:color="auto" w:fill="auto"/>
          </w:tcPr>
          <w:p>
            <w:pPr>
              <w:pStyle w:val="7"/>
            </w:pPr>
            <w:r>
              <w:rPr>
                <w:rFonts w:hint="eastAsia"/>
              </w:rPr>
              <w:t xml:space="preserve">其中：债券 </w:t>
            </w:r>
          </w:p>
        </w:tc>
        <w:tc>
          <w:tcPr>
            <w:tcW w:w="2535" w:type="dxa"/>
            <w:shd w:val="clear" w:color="auto" w:fill="auto"/>
          </w:tcPr>
          <w:p>
            <w:pPr>
              <w:pStyle w:val="7"/>
              <w:jc w:val="right"/>
            </w:pPr>
            <w:r>
              <w:rPr>
                <w:rFonts w:hint="eastAsia"/>
              </w:rPr>
              <w:t xml:space="preserve">3,176,252.35 </w:t>
            </w:r>
          </w:p>
        </w:tc>
        <w:tc>
          <w:tcPr>
            <w:tcW w:w="2790" w:type="dxa"/>
            <w:shd w:val="clear" w:color="auto" w:fill="auto"/>
          </w:tcPr>
          <w:p>
            <w:pPr>
              <w:pStyle w:val="7"/>
              <w:jc w:val="right"/>
            </w:pPr>
            <w:r>
              <w:rPr>
                <w:rFonts w:hint="eastAsia"/>
              </w:rPr>
              <w:t xml:space="preserve">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 w:val="24"/>
                <w:szCs w:val="24"/>
              </w:rPr>
            </w:pPr>
          </w:p>
        </w:tc>
        <w:tc>
          <w:tcPr>
            <w:tcW w:w="4425" w:type="dxa"/>
            <w:shd w:val="clear" w:color="auto" w:fill="auto"/>
          </w:tcPr>
          <w:p>
            <w:pPr>
              <w:pStyle w:val="7"/>
              <w:ind w:firstLine="626"/>
            </w:pPr>
            <w:r>
              <w:rPr>
                <w:rFonts w:hint="eastAsia"/>
              </w:rPr>
              <w:t xml:space="preserve">资产支持证券 </w:t>
            </w:r>
          </w:p>
        </w:tc>
        <w:tc>
          <w:tcPr>
            <w:tcW w:w="253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4 </w:t>
            </w:r>
          </w:p>
        </w:tc>
        <w:tc>
          <w:tcPr>
            <w:tcW w:w="4425" w:type="dxa"/>
            <w:shd w:val="clear" w:color="auto" w:fill="auto"/>
          </w:tcPr>
          <w:p>
            <w:pPr>
              <w:pStyle w:val="7"/>
            </w:pPr>
            <w:r>
              <w:rPr>
                <w:rFonts w:hint="eastAsia"/>
              </w:rPr>
              <w:t xml:space="preserve">贵金属投资 </w:t>
            </w:r>
          </w:p>
        </w:tc>
        <w:tc>
          <w:tcPr>
            <w:tcW w:w="253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5 </w:t>
            </w:r>
          </w:p>
        </w:tc>
        <w:tc>
          <w:tcPr>
            <w:tcW w:w="4425" w:type="dxa"/>
            <w:shd w:val="clear" w:color="auto" w:fill="auto"/>
          </w:tcPr>
          <w:p>
            <w:pPr>
              <w:pStyle w:val="7"/>
            </w:pPr>
            <w:r>
              <w:rPr>
                <w:rFonts w:hint="eastAsia"/>
              </w:rPr>
              <w:t xml:space="preserve">金融衍生品投资 </w:t>
            </w:r>
          </w:p>
        </w:tc>
        <w:tc>
          <w:tcPr>
            <w:tcW w:w="253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6 </w:t>
            </w:r>
          </w:p>
        </w:tc>
        <w:tc>
          <w:tcPr>
            <w:tcW w:w="4425" w:type="dxa"/>
            <w:shd w:val="clear" w:color="auto" w:fill="auto"/>
          </w:tcPr>
          <w:p>
            <w:pPr>
              <w:pStyle w:val="7"/>
            </w:pPr>
            <w:r>
              <w:rPr>
                <w:rFonts w:hint="eastAsia"/>
              </w:rPr>
              <w:t xml:space="preserve">买入返售金融资产 </w:t>
            </w:r>
          </w:p>
        </w:tc>
        <w:tc>
          <w:tcPr>
            <w:tcW w:w="253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 w:val="24"/>
                <w:szCs w:val="24"/>
              </w:rPr>
            </w:pPr>
          </w:p>
        </w:tc>
        <w:tc>
          <w:tcPr>
            <w:tcW w:w="4425" w:type="dxa"/>
            <w:shd w:val="clear" w:color="auto" w:fill="auto"/>
          </w:tcPr>
          <w:p>
            <w:pPr>
              <w:pStyle w:val="7"/>
            </w:pPr>
            <w:r>
              <w:rPr>
                <w:rFonts w:hint="eastAsia"/>
              </w:rPr>
              <w:t xml:space="preserve">其中：买断式回购的买入返售金融资产 </w:t>
            </w:r>
          </w:p>
        </w:tc>
        <w:tc>
          <w:tcPr>
            <w:tcW w:w="2535" w:type="dxa"/>
            <w:shd w:val="clear" w:color="auto" w:fill="auto"/>
          </w:tcPr>
          <w:p>
            <w:pPr>
              <w:pStyle w:val="7"/>
              <w:jc w:val="right"/>
            </w:pPr>
            <w:r>
              <w:rPr>
                <w:rFonts w:hint="eastAsia"/>
              </w:rPr>
              <w:t xml:space="preserve">- </w:t>
            </w:r>
          </w:p>
        </w:tc>
        <w:tc>
          <w:tcPr>
            <w:tcW w:w="279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7 </w:t>
            </w:r>
          </w:p>
        </w:tc>
        <w:tc>
          <w:tcPr>
            <w:tcW w:w="4425" w:type="dxa"/>
            <w:shd w:val="clear" w:color="auto" w:fill="auto"/>
          </w:tcPr>
          <w:p>
            <w:pPr>
              <w:pStyle w:val="7"/>
            </w:pPr>
            <w:r>
              <w:rPr>
                <w:rFonts w:hint="eastAsia"/>
              </w:rPr>
              <w:t xml:space="preserve">银行存款和结算备付金合计 </w:t>
            </w:r>
          </w:p>
        </w:tc>
        <w:tc>
          <w:tcPr>
            <w:tcW w:w="2535" w:type="dxa"/>
            <w:shd w:val="clear" w:color="auto" w:fill="auto"/>
          </w:tcPr>
          <w:p>
            <w:pPr>
              <w:pStyle w:val="7"/>
              <w:jc w:val="right"/>
            </w:pPr>
            <w:r>
              <w:rPr>
                <w:rFonts w:hint="eastAsia"/>
              </w:rPr>
              <w:t xml:space="preserve">11,044,483.44 </w:t>
            </w:r>
          </w:p>
        </w:tc>
        <w:tc>
          <w:tcPr>
            <w:tcW w:w="2790" w:type="dxa"/>
            <w:shd w:val="clear" w:color="auto" w:fill="auto"/>
          </w:tcPr>
          <w:p>
            <w:pPr>
              <w:pStyle w:val="7"/>
              <w:jc w:val="right"/>
            </w:pPr>
            <w:r>
              <w:rPr>
                <w:rFonts w:hint="eastAsia"/>
              </w:rPr>
              <w:t xml:space="preserve">4.37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8 </w:t>
            </w:r>
          </w:p>
        </w:tc>
        <w:tc>
          <w:tcPr>
            <w:tcW w:w="4425" w:type="dxa"/>
            <w:shd w:val="clear" w:color="auto" w:fill="auto"/>
          </w:tcPr>
          <w:p>
            <w:pPr>
              <w:pStyle w:val="7"/>
            </w:pPr>
            <w:r>
              <w:rPr>
                <w:rFonts w:hint="eastAsia"/>
              </w:rPr>
              <w:t xml:space="preserve">其他各项资产 </w:t>
            </w:r>
          </w:p>
        </w:tc>
        <w:tc>
          <w:tcPr>
            <w:tcW w:w="2535" w:type="dxa"/>
            <w:shd w:val="clear" w:color="auto" w:fill="auto"/>
          </w:tcPr>
          <w:p>
            <w:pPr>
              <w:pStyle w:val="7"/>
              <w:jc w:val="right"/>
            </w:pPr>
            <w:r>
              <w:rPr>
                <w:rFonts w:hint="eastAsia"/>
              </w:rPr>
              <w:t xml:space="preserve">2,838,767.69 </w:t>
            </w:r>
          </w:p>
        </w:tc>
        <w:tc>
          <w:tcPr>
            <w:tcW w:w="2790" w:type="dxa"/>
            <w:shd w:val="clear" w:color="auto" w:fill="auto"/>
          </w:tcPr>
          <w:p>
            <w:pPr>
              <w:pStyle w:val="7"/>
              <w:jc w:val="right"/>
            </w:pPr>
            <w:r>
              <w:rPr>
                <w:rFonts w:hint="eastAsia"/>
              </w:rPr>
              <w:t xml:space="preserve">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pPr>
            <w:r>
              <w:rPr>
                <w:rFonts w:hint="eastAsia"/>
              </w:rPr>
              <w:t xml:space="preserve">9 </w:t>
            </w:r>
          </w:p>
        </w:tc>
        <w:tc>
          <w:tcPr>
            <w:tcW w:w="4425" w:type="dxa"/>
            <w:shd w:val="clear" w:color="auto" w:fill="auto"/>
          </w:tcPr>
          <w:p>
            <w:pPr>
              <w:pStyle w:val="7"/>
            </w:pPr>
            <w:r>
              <w:rPr>
                <w:rFonts w:hint="eastAsia"/>
              </w:rPr>
              <w:t xml:space="preserve">合计 </w:t>
            </w:r>
          </w:p>
        </w:tc>
        <w:tc>
          <w:tcPr>
            <w:tcW w:w="2535" w:type="dxa"/>
            <w:shd w:val="clear" w:color="auto" w:fill="auto"/>
          </w:tcPr>
          <w:p>
            <w:pPr>
              <w:pStyle w:val="7"/>
              <w:jc w:val="right"/>
            </w:pPr>
            <w:r>
              <w:rPr>
                <w:rFonts w:hint="eastAsia"/>
              </w:rPr>
              <w:t xml:space="preserve">252,681,768.82 </w:t>
            </w:r>
          </w:p>
        </w:tc>
        <w:tc>
          <w:tcPr>
            <w:tcW w:w="2790" w:type="dxa"/>
            <w:shd w:val="clear" w:color="auto" w:fill="auto"/>
          </w:tcPr>
          <w:p>
            <w:pPr>
              <w:pStyle w:val="7"/>
              <w:jc w:val="right"/>
            </w:pPr>
            <w:r>
              <w:rPr>
                <w:rFonts w:hint="eastAsia"/>
              </w:rPr>
              <w:t xml:space="preserve">100.00 </w:t>
            </w:r>
          </w:p>
        </w:tc>
      </w:tr>
    </w:tbl>
    <w:p>
      <w:pPr>
        <w:pStyle w:val="7"/>
        <w:spacing w:before="0" w:beforeAutospacing="0" w:after="0" w:afterAutospacing="0" w:line="360" w:lineRule="auto"/>
        <w:ind w:firstLine="420"/>
        <w:rPr>
          <w:sz w:val="21"/>
          <w:szCs w:val="21"/>
        </w:rPr>
      </w:pPr>
      <w:r>
        <w:rPr>
          <w:rFonts w:hint="eastAsia"/>
          <w:sz w:val="21"/>
          <w:szCs w:val="21"/>
        </w:rPr>
        <w:t xml:space="preserve">2 报告期末按行业分类的股票投资组合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3120"/>
        <w:gridCol w:w="260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代码 </w:t>
            </w:r>
          </w:p>
        </w:tc>
        <w:tc>
          <w:tcPr>
            <w:tcW w:w="4215" w:type="dxa"/>
            <w:shd w:val="clear" w:color="auto" w:fill="auto"/>
          </w:tcPr>
          <w:p>
            <w:pPr>
              <w:pStyle w:val="7"/>
              <w:jc w:val="center"/>
            </w:pPr>
            <w:r>
              <w:rPr>
                <w:rFonts w:hint="eastAsia"/>
              </w:rPr>
              <w:t xml:space="preserve">行业类别 </w:t>
            </w:r>
          </w:p>
        </w:tc>
        <w:tc>
          <w:tcPr>
            <w:tcW w:w="2940" w:type="dxa"/>
            <w:shd w:val="clear" w:color="auto" w:fill="auto"/>
          </w:tcPr>
          <w:p>
            <w:pPr>
              <w:pStyle w:val="7"/>
              <w:jc w:val="center"/>
            </w:pPr>
            <w:r>
              <w:rPr>
                <w:rFonts w:hint="eastAsia"/>
              </w:rPr>
              <w:t xml:space="preserve">公允价值（元） </w:t>
            </w:r>
          </w:p>
        </w:tc>
        <w:tc>
          <w:tcPr>
            <w:tcW w:w="2760"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A </w:t>
            </w:r>
          </w:p>
        </w:tc>
        <w:tc>
          <w:tcPr>
            <w:tcW w:w="4215" w:type="dxa"/>
            <w:shd w:val="clear" w:color="auto" w:fill="auto"/>
          </w:tcPr>
          <w:p>
            <w:pPr>
              <w:pStyle w:val="7"/>
              <w:ind w:left="105"/>
            </w:pPr>
            <w:r>
              <w:rPr>
                <w:rFonts w:hint="eastAsia"/>
              </w:rPr>
              <w:t xml:space="preserve">农、林、牧、渔业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B </w:t>
            </w:r>
          </w:p>
        </w:tc>
        <w:tc>
          <w:tcPr>
            <w:tcW w:w="4215" w:type="dxa"/>
            <w:shd w:val="clear" w:color="auto" w:fill="auto"/>
          </w:tcPr>
          <w:p>
            <w:pPr>
              <w:pStyle w:val="7"/>
              <w:ind w:left="105"/>
            </w:pPr>
            <w:r>
              <w:rPr>
                <w:rFonts w:hint="eastAsia"/>
              </w:rPr>
              <w:t xml:space="preserve">采矿业 </w:t>
            </w:r>
          </w:p>
        </w:tc>
        <w:tc>
          <w:tcPr>
            <w:tcW w:w="2940" w:type="dxa"/>
            <w:shd w:val="clear" w:color="auto" w:fill="auto"/>
          </w:tcPr>
          <w:p>
            <w:pPr>
              <w:pStyle w:val="7"/>
              <w:jc w:val="right"/>
            </w:pPr>
            <w:r>
              <w:rPr>
                <w:rFonts w:hint="eastAsia"/>
              </w:rPr>
              <w:t xml:space="preserve">1,332,303.44 </w:t>
            </w:r>
          </w:p>
        </w:tc>
        <w:tc>
          <w:tcPr>
            <w:tcW w:w="2760" w:type="dxa"/>
            <w:shd w:val="clear" w:color="auto" w:fill="auto"/>
          </w:tcPr>
          <w:p>
            <w:pPr>
              <w:pStyle w:val="7"/>
              <w:jc w:val="right"/>
            </w:pPr>
            <w:r>
              <w:rPr>
                <w:rFonts w:hint="eastAsia"/>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C </w:t>
            </w:r>
          </w:p>
        </w:tc>
        <w:tc>
          <w:tcPr>
            <w:tcW w:w="4215" w:type="dxa"/>
            <w:shd w:val="clear" w:color="auto" w:fill="auto"/>
          </w:tcPr>
          <w:p>
            <w:pPr>
              <w:pStyle w:val="7"/>
              <w:ind w:left="105"/>
            </w:pPr>
            <w:r>
              <w:rPr>
                <w:rFonts w:hint="eastAsia"/>
              </w:rPr>
              <w:t xml:space="preserve">制造业 </w:t>
            </w:r>
          </w:p>
        </w:tc>
        <w:tc>
          <w:tcPr>
            <w:tcW w:w="2940" w:type="dxa"/>
            <w:shd w:val="clear" w:color="auto" w:fill="auto"/>
          </w:tcPr>
          <w:p>
            <w:pPr>
              <w:pStyle w:val="7"/>
              <w:jc w:val="right"/>
            </w:pPr>
            <w:r>
              <w:rPr>
                <w:rFonts w:hint="eastAsia"/>
              </w:rPr>
              <w:t xml:space="preserve">218,702,365.29 </w:t>
            </w:r>
          </w:p>
        </w:tc>
        <w:tc>
          <w:tcPr>
            <w:tcW w:w="2760" w:type="dxa"/>
            <w:shd w:val="clear" w:color="auto" w:fill="auto"/>
          </w:tcPr>
          <w:p>
            <w:pPr>
              <w:pStyle w:val="7"/>
              <w:jc w:val="right"/>
            </w:pPr>
            <w:r>
              <w:rPr>
                <w:rFonts w:hint="eastAsia"/>
              </w:rPr>
              <w:t xml:space="preserve">87.88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D </w:t>
            </w:r>
          </w:p>
        </w:tc>
        <w:tc>
          <w:tcPr>
            <w:tcW w:w="4215" w:type="dxa"/>
            <w:shd w:val="clear" w:color="auto" w:fill="auto"/>
          </w:tcPr>
          <w:p>
            <w:pPr>
              <w:pStyle w:val="7"/>
              <w:ind w:left="105"/>
            </w:pPr>
            <w:r>
              <w:rPr>
                <w:rFonts w:hint="eastAsia"/>
              </w:rPr>
              <w:t xml:space="preserve">电力、热力、燃气及水生产和供应业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E </w:t>
            </w:r>
          </w:p>
        </w:tc>
        <w:tc>
          <w:tcPr>
            <w:tcW w:w="4215" w:type="dxa"/>
            <w:shd w:val="clear" w:color="auto" w:fill="auto"/>
          </w:tcPr>
          <w:p>
            <w:pPr>
              <w:pStyle w:val="7"/>
              <w:ind w:left="105"/>
            </w:pPr>
            <w:r>
              <w:rPr>
                <w:rFonts w:hint="eastAsia"/>
              </w:rPr>
              <w:t xml:space="preserve">建筑业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F </w:t>
            </w:r>
          </w:p>
        </w:tc>
        <w:tc>
          <w:tcPr>
            <w:tcW w:w="4215" w:type="dxa"/>
            <w:shd w:val="clear" w:color="auto" w:fill="auto"/>
          </w:tcPr>
          <w:p>
            <w:pPr>
              <w:pStyle w:val="7"/>
              <w:ind w:left="105"/>
            </w:pPr>
            <w:r>
              <w:rPr>
                <w:rFonts w:hint="eastAsia"/>
              </w:rPr>
              <w:t xml:space="preserve">批发和零售业 </w:t>
            </w:r>
          </w:p>
        </w:tc>
        <w:tc>
          <w:tcPr>
            <w:tcW w:w="2940" w:type="dxa"/>
            <w:shd w:val="clear" w:color="auto" w:fill="auto"/>
          </w:tcPr>
          <w:p>
            <w:pPr>
              <w:pStyle w:val="7"/>
              <w:jc w:val="right"/>
            </w:pPr>
            <w:r>
              <w:rPr>
                <w:rFonts w:hint="eastAsia"/>
              </w:rPr>
              <w:t xml:space="preserve">15,539.84 </w:t>
            </w:r>
          </w:p>
        </w:tc>
        <w:tc>
          <w:tcPr>
            <w:tcW w:w="2760" w:type="dxa"/>
            <w:shd w:val="clear" w:color="auto" w:fill="auto"/>
          </w:tcPr>
          <w:p>
            <w:pPr>
              <w:pStyle w:val="7"/>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G </w:t>
            </w:r>
          </w:p>
        </w:tc>
        <w:tc>
          <w:tcPr>
            <w:tcW w:w="4215" w:type="dxa"/>
            <w:shd w:val="clear" w:color="auto" w:fill="auto"/>
          </w:tcPr>
          <w:p>
            <w:pPr>
              <w:pStyle w:val="7"/>
              <w:ind w:left="105"/>
            </w:pPr>
            <w:r>
              <w:rPr>
                <w:rFonts w:hint="eastAsia"/>
              </w:rPr>
              <w:t xml:space="preserve">交通运输、仓储和邮政业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H </w:t>
            </w:r>
          </w:p>
        </w:tc>
        <w:tc>
          <w:tcPr>
            <w:tcW w:w="4215" w:type="dxa"/>
            <w:shd w:val="clear" w:color="auto" w:fill="auto"/>
          </w:tcPr>
          <w:p>
            <w:pPr>
              <w:pStyle w:val="7"/>
              <w:ind w:left="105"/>
            </w:pPr>
            <w:r>
              <w:rPr>
                <w:rFonts w:hint="eastAsia"/>
              </w:rPr>
              <w:t xml:space="preserve">住宿和餐饮业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I </w:t>
            </w:r>
          </w:p>
        </w:tc>
        <w:tc>
          <w:tcPr>
            <w:tcW w:w="4215" w:type="dxa"/>
            <w:shd w:val="clear" w:color="auto" w:fill="auto"/>
          </w:tcPr>
          <w:p>
            <w:pPr>
              <w:pStyle w:val="7"/>
              <w:ind w:left="105"/>
            </w:pPr>
            <w:r>
              <w:rPr>
                <w:rFonts w:hint="eastAsia"/>
              </w:rPr>
              <w:t xml:space="preserve">信息传输、软件和信息技术服务业 </w:t>
            </w:r>
          </w:p>
        </w:tc>
        <w:tc>
          <w:tcPr>
            <w:tcW w:w="2940" w:type="dxa"/>
            <w:shd w:val="clear" w:color="auto" w:fill="auto"/>
          </w:tcPr>
          <w:p>
            <w:pPr>
              <w:pStyle w:val="7"/>
              <w:jc w:val="right"/>
            </w:pPr>
            <w:r>
              <w:rPr>
                <w:rFonts w:hint="eastAsia"/>
              </w:rPr>
              <w:t xml:space="preserve">15,531,651.90 </w:t>
            </w:r>
          </w:p>
        </w:tc>
        <w:tc>
          <w:tcPr>
            <w:tcW w:w="2760" w:type="dxa"/>
            <w:shd w:val="clear" w:color="auto" w:fill="auto"/>
          </w:tcPr>
          <w:p>
            <w:pPr>
              <w:pStyle w:val="7"/>
              <w:jc w:val="right"/>
            </w:pPr>
            <w:r>
              <w:rPr>
                <w:rFonts w:hint="eastAsia"/>
              </w:rPr>
              <w:t xml:space="preserve">6.24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J </w:t>
            </w:r>
          </w:p>
        </w:tc>
        <w:tc>
          <w:tcPr>
            <w:tcW w:w="4215" w:type="dxa"/>
            <w:shd w:val="clear" w:color="auto" w:fill="auto"/>
          </w:tcPr>
          <w:p>
            <w:pPr>
              <w:pStyle w:val="7"/>
              <w:ind w:left="105"/>
            </w:pPr>
            <w:r>
              <w:rPr>
                <w:rFonts w:hint="eastAsia"/>
              </w:rPr>
              <w:t xml:space="preserve">金融业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K </w:t>
            </w:r>
          </w:p>
        </w:tc>
        <w:tc>
          <w:tcPr>
            <w:tcW w:w="4215" w:type="dxa"/>
            <w:shd w:val="clear" w:color="auto" w:fill="auto"/>
          </w:tcPr>
          <w:p>
            <w:pPr>
              <w:pStyle w:val="7"/>
              <w:ind w:left="105"/>
            </w:pPr>
            <w:r>
              <w:rPr>
                <w:rFonts w:hint="eastAsia"/>
              </w:rPr>
              <w:t xml:space="preserve">房地产业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L </w:t>
            </w:r>
          </w:p>
        </w:tc>
        <w:tc>
          <w:tcPr>
            <w:tcW w:w="4215" w:type="dxa"/>
            <w:shd w:val="clear" w:color="auto" w:fill="auto"/>
          </w:tcPr>
          <w:p>
            <w:pPr>
              <w:pStyle w:val="7"/>
              <w:ind w:left="105"/>
            </w:pPr>
            <w:r>
              <w:rPr>
                <w:rFonts w:hint="eastAsia"/>
              </w:rPr>
              <w:t xml:space="preserve">租赁和商务服务业 </w:t>
            </w:r>
          </w:p>
        </w:tc>
        <w:tc>
          <w:tcPr>
            <w:tcW w:w="2940" w:type="dxa"/>
            <w:shd w:val="clear" w:color="auto" w:fill="auto"/>
          </w:tcPr>
          <w:p>
            <w:pPr>
              <w:pStyle w:val="7"/>
              <w:jc w:val="right"/>
            </w:pPr>
            <w:r>
              <w:rPr>
                <w:rFonts w:hint="eastAsia"/>
              </w:rPr>
              <w:t xml:space="preserve">7,119.61 </w:t>
            </w:r>
          </w:p>
        </w:tc>
        <w:tc>
          <w:tcPr>
            <w:tcW w:w="2760" w:type="dxa"/>
            <w:shd w:val="clear" w:color="auto" w:fill="auto"/>
          </w:tcPr>
          <w:p>
            <w:pPr>
              <w:pStyle w:val="7"/>
              <w:jc w:val="right"/>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M </w:t>
            </w:r>
          </w:p>
        </w:tc>
        <w:tc>
          <w:tcPr>
            <w:tcW w:w="4215" w:type="dxa"/>
            <w:shd w:val="clear" w:color="auto" w:fill="auto"/>
          </w:tcPr>
          <w:p>
            <w:pPr>
              <w:pStyle w:val="7"/>
              <w:ind w:left="105"/>
            </w:pPr>
            <w:r>
              <w:rPr>
                <w:rFonts w:hint="eastAsia"/>
              </w:rPr>
              <w:t xml:space="preserve">科学研究和技术服务业 </w:t>
            </w:r>
          </w:p>
        </w:tc>
        <w:tc>
          <w:tcPr>
            <w:tcW w:w="2940" w:type="dxa"/>
            <w:shd w:val="clear" w:color="auto" w:fill="auto"/>
          </w:tcPr>
          <w:p>
            <w:pPr>
              <w:pStyle w:val="7"/>
              <w:jc w:val="right"/>
            </w:pPr>
            <w:r>
              <w:rPr>
                <w:rFonts w:hint="eastAsia"/>
              </w:rPr>
              <w:t xml:space="preserve">15,091.82 </w:t>
            </w:r>
          </w:p>
        </w:tc>
        <w:tc>
          <w:tcPr>
            <w:tcW w:w="2760" w:type="dxa"/>
            <w:shd w:val="clear" w:color="auto" w:fill="auto"/>
          </w:tcPr>
          <w:p>
            <w:pPr>
              <w:pStyle w:val="7"/>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N </w:t>
            </w:r>
          </w:p>
        </w:tc>
        <w:tc>
          <w:tcPr>
            <w:tcW w:w="4215" w:type="dxa"/>
            <w:shd w:val="clear" w:color="auto" w:fill="auto"/>
          </w:tcPr>
          <w:p>
            <w:pPr>
              <w:pStyle w:val="7"/>
              <w:ind w:left="105"/>
            </w:pPr>
            <w:r>
              <w:rPr>
                <w:rFonts w:hint="eastAsia"/>
              </w:rPr>
              <w:t xml:space="preserve">水利、环境和公共设施管理业 </w:t>
            </w:r>
          </w:p>
        </w:tc>
        <w:tc>
          <w:tcPr>
            <w:tcW w:w="2940" w:type="dxa"/>
            <w:shd w:val="clear" w:color="auto" w:fill="auto"/>
          </w:tcPr>
          <w:p>
            <w:pPr>
              <w:pStyle w:val="7"/>
              <w:jc w:val="right"/>
            </w:pPr>
            <w:r>
              <w:rPr>
                <w:rFonts w:hint="eastAsia"/>
              </w:rPr>
              <w:t xml:space="preserve">18,193.44 </w:t>
            </w:r>
          </w:p>
        </w:tc>
        <w:tc>
          <w:tcPr>
            <w:tcW w:w="2760" w:type="dxa"/>
            <w:shd w:val="clear" w:color="auto" w:fill="auto"/>
          </w:tcPr>
          <w:p>
            <w:pPr>
              <w:pStyle w:val="7"/>
              <w:jc w:val="right"/>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O </w:t>
            </w:r>
          </w:p>
        </w:tc>
        <w:tc>
          <w:tcPr>
            <w:tcW w:w="4215" w:type="dxa"/>
            <w:shd w:val="clear" w:color="auto" w:fill="auto"/>
          </w:tcPr>
          <w:p>
            <w:pPr>
              <w:pStyle w:val="7"/>
              <w:ind w:left="105"/>
            </w:pPr>
            <w:r>
              <w:rPr>
                <w:rFonts w:hint="eastAsia"/>
              </w:rPr>
              <w:t xml:space="preserve">居民服务、修理和其他服务业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P </w:t>
            </w:r>
          </w:p>
        </w:tc>
        <w:tc>
          <w:tcPr>
            <w:tcW w:w="4215" w:type="dxa"/>
            <w:shd w:val="clear" w:color="auto" w:fill="auto"/>
          </w:tcPr>
          <w:p>
            <w:pPr>
              <w:pStyle w:val="7"/>
              <w:ind w:left="105"/>
            </w:pPr>
            <w:r>
              <w:rPr>
                <w:rFonts w:hint="eastAsia"/>
              </w:rPr>
              <w:t xml:space="preserve">教育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Q </w:t>
            </w:r>
          </w:p>
        </w:tc>
        <w:tc>
          <w:tcPr>
            <w:tcW w:w="4215" w:type="dxa"/>
            <w:shd w:val="clear" w:color="auto" w:fill="auto"/>
          </w:tcPr>
          <w:p>
            <w:pPr>
              <w:pStyle w:val="7"/>
              <w:ind w:left="105"/>
            </w:pPr>
            <w:r>
              <w:rPr>
                <w:rFonts w:hint="eastAsia"/>
              </w:rPr>
              <w:t xml:space="preserve">卫生和社会工作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R </w:t>
            </w:r>
          </w:p>
        </w:tc>
        <w:tc>
          <w:tcPr>
            <w:tcW w:w="4215" w:type="dxa"/>
            <w:shd w:val="clear" w:color="auto" w:fill="auto"/>
          </w:tcPr>
          <w:p>
            <w:pPr>
              <w:pStyle w:val="7"/>
              <w:ind w:left="105"/>
            </w:pPr>
            <w:r>
              <w:rPr>
                <w:rFonts w:hint="eastAsia"/>
              </w:rPr>
              <w:t xml:space="preserve">文化、体育和娱乐业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pPr>
            <w:r>
              <w:rPr>
                <w:rFonts w:hint="eastAsia"/>
              </w:rPr>
              <w:t xml:space="preserve">S </w:t>
            </w:r>
          </w:p>
        </w:tc>
        <w:tc>
          <w:tcPr>
            <w:tcW w:w="4215" w:type="dxa"/>
            <w:shd w:val="clear" w:color="auto" w:fill="auto"/>
          </w:tcPr>
          <w:p>
            <w:pPr>
              <w:pStyle w:val="7"/>
              <w:ind w:left="105"/>
            </w:pPr>
            <w:r>
              <w:rPr>
                <w:rFonts w:hint="eastAsia"/>
              </w:rPr>
              <w:t xml:space="preserve">综合 </w:t>
            </w:r>
          </w:p>
        </w:tc>
        <w:tc>
          <w:tcPr>
            <w:tcW w:w="2940" w:type="dxa"/>
            <w:shd w:val="clear" w:color="auto" w:fill="auto"/>
          </w:tcPr>
          <w:p>
            <w:pPr>
              <w:pStyle w:val="7"/>
              <w:jc w:val="right"/>
            </w:pPr>
            <w:r>
              <w:rPr>
                <w:rFonts w:hint="eastAsia"/>
              </w:rPr>
              <w:t xml:space="preserve">- </w:t>
            </w:r>
          </w:p>
        </w:tc>
        <w:tc>
          <w:tcPr>
            <w:tcW w:w="2760"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rPr>
                <w:rFonts w:ascii="宋体" w:hAnsi="宋体" w:eastAsia="宋体" w:cs="宋体"/>
                <w:sz w:val="24"/>
                <w:szCs w:val="24"/>
              </w:rPr>
            </w:pPr>
          </w:p>
        </w:tc>
        <w:tc>
          <w:tcPr>
            <w:tcW w:w="4215" w:type="dxa"/>
            <w:shd w:val="clear" w:color="auto" w:fill="auto"/>
          </w:tcPr>
          <w:p>
            <w:pPr>
              <w:pStyle w:val="7"/>
              <w:ind w:left="105"/>
            </w:pPr>
            <w:r>
              <w:rPr>
                <w:rFonts w:hint="eastAsia"/>
              </w:rPr>
              <w:t xml:space="preserve">合计 </w:t>
            </w:r>
          </w:p>
        </w:tc>
        <w:tc>
          <w:tcPr>
            <w:tcW w:w="2940" w:type="dxa"/>
            <w:shd w:val="clear" w:color="auto" w:fill="auto"/>
          </w:tcPr>
          <w:p>
            <w:pPr>
              <w:pStyle w:val="7"/>
              <w:jc w:val="right"/>
            </w:pPr>
            <w:r>
              <w:rPr>
                <w:rFonts w:hint="eastAsia"/>
              </w:rPr>
              <w:t xml:space="preserve">235,622,265.34 </w:t>
            </w:r>
          </w:p>
        </w:tc>
        <w:tc>
          <w:tcPr>
            <w:tcW w:w="2760" w:type="dxa"/>
            <w:shd w:val="clear" w:color="auto" w:fill="auto"/>
          </w:tcPr>
          <w:p>
            <w:pPr>
              <w:pStyle w:val="7"/>
              <w:jc w:val="right"/>
            </w:pPr>
            <w:r>
              <w:rPr>
                <w:rFonts w:hint="eastAsia"/>
              </w:rPr>
              <w:t xml:space="preserve">94.68 </w:t>
            </w:r>
          </w:p>
        </w:tc>
      </w:tr>
    </w:tbl>
    <w:p>
      <w:pPr>
        <w:pStyle w:val="7"/>
        <w:spacing w:before="0" w:beforeAutospacing="0" w:after="0" w:afterAutospacing="0" w:line="360" w:lineRule="auto"/>
        <w:ind w:firstLine="420"/>
        <w:rPr>
          <w:sz w:val="21"/>
          <w:szCs w:val="21"/>
        </w:rPr>
      </w:pPr>
      <w:r>
        <w:rPr>
          <w:rFonts w:hint="eastAsia"/>
          <w:sz w:val="21"/>
          <w:szCs w:val="21"/>
        </w:rPr>
        <w:t xml:space="preserve">3报告期末按公允价值占基金资产净值比例大小排序的前十名股票投资明细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1258"/>
        <w:gridCol w:w="1085"/>
        <w:gridCol w:w="1576"/>
        <w:gridCol w:w="193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序号 </w:t>
            </w:r>
          </w:p>
        </w:tc>
        <w:tc>
          <w:tcPr>
            <w:tcW w:w="1470" w:type="dxa"/>
            <w:shd w:val="clear" w:color="auto" w:fill="auto"/>
          </w:tcPr>
          <w:p>
            <w:pPr>
              <w:pStyle w:val="7"/>
              <w:jc w:val="center"/>
            </w:pPr>
            <w:r>
              <w:rPr>
                <w:rFonts w:hint="eastAsia"/>
              </w:rPr>
              <w:t xml:space="preserve">股票代码 </w:t>
            </w:r>
          </w:p>
        </w:tc>
        <w:tc>
          <w:tcPr>
            <w:tcW w:w="1500" w:type="dxa"/>
            <w:shd w:val="clear" w:color="auto" w:fill="auto"/>
          </w:tcPr>
          <w:p>
            <w:pPr>
              <w:pStyle w:val="7"/>
              <w:jc w:val="center"/>
            </w:pPr>
            <w:r>
              <w:rPr>
                <w:rFonts w:hint="eastAsia"/>
              </w:rPr>
              <w:t xml:space="preserve">股票名称 </w:t>
            </w:r>
          </w:p>
        </w:tc>
        <w:tc>
          <w:tcPr>
            <w:tcW w:w="1920" w:type="dxa"/>
            <w:shd w:val="clear" w:color="auto" w:fill="auto"/>
          </w:tcPr>
          <w:p>
            <w:pPr>
              <w:pStyle w:val="7"/>
              <w:jc w:val="center"/>
            </w:pPr>
            <w:r>
              <w:rPr>
                <w:rFonts w:hint="eastAsia"/>
              </w:rPr>
              <w:t xml:space="preserve">数量(股) </w:t>
            </w:r>
          </w:p>
        </w:tc>
        <w:tc>
          <w:tcPr>
            <w:tcW w:w="2040" w:type="dxa"/>
            <w:shd w:val="clear" w:color="auto" w:fill="auto"/>
          </w:tcPr>
          <w:p>
            <w:pPr>
              <w:pStyle w:val="7"/>
              <w:jc w:val="center"/>
            </w:pPr>
            <w:r>
              <w:rPr>
                <w:rFonts w:hint="eastAsia"/>
              </w:rPr>
              <w:t xml:space="preserve">公允价值(元) </w:t>
            </w:r>
          </w:p>
        </w:tc>
        <w:tc>
          <w:tcPr>
            <w:tcW w:w="283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1 </w:t>
            </w:r>
          </w:p>
        </w:tc>
        <w:tc>
          <w:tcPr>
            <w:tcW w:w="1470" w:type="dxa"/>
            <w:shd w:val="clear" w:color="auto" w:fill="auto"/>
          </w:tcPr>
          <w:p>
            <w:pPr>
              <w:pStyle w:val="7"/>
              <w:jc w:val="center"/>
            </w:pPr>
            <w:r>
              <w:rPr>
                <w:rFonts w:hint="eastAsia"/>
              </w:rPr>
              <w:t xml:space="preserve">002371 </w:t>
            </w:r>
          </w:p>
        </w:tc>
        <w:tc>
          <w:tcPr>
            <w:tcW w:w="1500" w:type="dxa"/>
            <w:shd w:val="clear" w:color="auto" w:fill="auto"/>
          </w:tcPr>
          <w:p>
            <w:pPr>
              <w:pStyle w:val="7"/>
              <w:jc w:val="center"/>
            </w:pPr>
            <w:r>
              <w:rPr>
                <w:rFonts w:hint="eastAsia"/>
              </w:rPr>
              <w:t xml:space="preserve">北方华创 </w:t>
            </w:r>
          </w:p>
        </w:tc>
        <w:tc>
          <w:tcPr>
            <w:tcW w:w="1920" w:type="dxa"/>
            <w:shd w:val="clear" w:color="auto" w:fill="auto"/>
          </w:tcPr>
          <w:p>
            <w:pPr>
              <w:pStyle w:val="7"/>
              <w:jc w:val="right"/>
            </w:pPr>
            <w:r>
              <w:rPr>
                <w:rFonts w:hint="eastAsia"/>
              </w:rPr>
              <w:t xml:space="preserve">67,900 </w:t>
            </w:r>
          </w:p>
        </w:tc>
        <w:tc>
          <w:tcPr>
            <w:tcW w:w="2040" w:type="dxa"/>
            <w:shd w:val="clear" w:color="auto" w:fill="auto"/>
          </w:tcPr>
          <w:p>
            <w:pPr>
              <w:pStyle w:val="7"/>
              <w:jc w:val="right"/>
            </w:pPr>
            <w:r>
              <w:rPr>
                <w:rFonts w:hint="eastAsia"/>
              </w:rPr>
              <w:t xml:space="preserve">18,816,448.00 </w:t>
            </w:r>
          </w:p>
        </w:tc>
        <w:tc>
          <w:tcPr>
            <w:tcW w:w="2835" w:type="dxa"/>
            <w:shd w:val="clear" w:color="auto" w:fill="auto"/>
          </w:tcPr>
          <w:p>
            <w:pPr>
              <w:pStyle w:val="7"/>
              <w:jc w:val="right"/>
            </w:pPr>
            <w:r>
              <w:rPr>
                <w:rFonts w:hint="eastAsia"/>
              </w:rPr>
              <w:t xml:space="preserve">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2 </w:t>
            </w:r>
          </w:p>
        </w:tc>
        <w:tc>
          <w:tcPr>
            <w:tcW w:w="1470" w:type="dxa"/>
            <w:shd w:val="clear" w:color="auto" w:fill="auto"/>
          </w:tcPr>
          <w:p>
            <w:pPr>
              <w:pStyle w:val="7"/>
              <w:jc w:val="center"/>
            </w:pPr>
            <w:r>
              <w:rPr>
                <w:rFonts w:hint="eastAsia"/>
              </w:rPr>
              <w:t xml:space="preserve">300373 </w:t>
            </w:r>
          </w:p>
        </w:tc>
        <w:tc>
          <w:tcPr>
            <w:tcW w:w="1500" w:type="dxa"/>
            <w:shd w:val="clear" w:color="auto" w:fill="auto"/>
          </w:tcPr>
          <w:p>
            <w:pPr>
              <w:pStyle w:val="7"/>
              <w:jc w:val="center"/>
            </w:pPr>
            <w:r>
              <w:rPr>
                <w:rFonts w:hint="eastAsia"/>
              </w:rPr>
              <w:t xml:space="preserve">扬杰科技 </w:t>
            </w:r>
          </w:p>
        </w:tc>
        <w:tc>
          <w:tcPr>
            <w:tcW w:w="1920" w:type="dxa"/>
            <w:shd w:val="clear" w:color="auto" w:fill="auto"/>
          </w:tcPr>
          <w:p>
            <w:pPr>
              <w:pStyle w:val="7"/>
              <w:jc w:val="right"/>
            </w:pPr>
            <w:r>
              <w:rPr>
                <w:rFonts w:hint="eastAsia"/>
              </w:rPr>
              <w:t xml:space="preserve">238,300 </w:t>
            </w:r>
          </w:p>
        </w:tc>
        <w:tc>
          <w:tcPr>
            <w:tcW w:w="2040" w:type="dxa"/>
            <w:shd w:val="clear" w:color="auto" w:fill="auto"/>
          </w:tcPr>
          <w:p>
            <w:pPr>
              <w:pStyle w:val="7"/>
              <w:jc w:val="right"/>
            </w:pPr>
            <w:r>
              <w:rPr>
                <w:rFonts w:hint="eastAsia"/>
              </w:rPr>
              <w:t xml:space="preserve">16,978,875.00 </w:t>
            </w:r>
          </w:p>
        </w:tc>
        <w:tc>
          <w:tcPr>
            <w:tcW w:w="2835" w:type="dxa"/>
            <w:shd w:val="clear" w:color="auto" w:fill="auto"/>
          </w:tcPr>
          <w:p>
            <w:pPr>
              <w:pStyle w:val="7"/>
              <w:jc w:val="right"/>
            </w:pPr>
            <w:r>
              <w:rPr>
                <w:rFonts w:hint="eastAsia"/>
              </w:rPr>
              <w:t xml:space="preserve">6.82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3 </w:t>
            </w:r>
          </w:p>
        </w:tc>
        <w:tc>
          <w:tcPr>
            <w:tcW w:w="1470" w:type="dxa"/>
            <w:shd w:val="clear" w:color="auto" w:fill="auto"/>
          </w:tcPr>
          <w:p>
            <w:pPr>
              <w:pStyle w:val="7"/>
              <w:jc w:val="center"/>
            </w:pPr>
            <w:r>
              <w:rPr>
                <w:rFonts w:hint="eastAsia"/>
              </w:rPr>
              <w:t xml:space="preserve">600460 </w:t>
            </w:r>
          </w:p>
        </w:tc>
        <w:tc>
          <w:tcPr>
            <w:tcW w:w="1500" w:type="dxa"/>
            <w:shd w:val="clear" w:color="auto" w:fill="auto"/>
          </w:tcPr>
          <w:p>
            <w:pPr>
              <w:pStyle w:val="7"/>
              <w:jc w:val="center"/>
            </w:pPr>
            <w:r>
              <w:rPr>
                <w:rFonts w:hint="eastAsia"/>
              </w:rPr>
              <w:t xml:space="preserve">士兰微 </w:t>
            </w:r>
          </w:p>
        </w:tc>
        <w:tc>
          <w:tcPr>
            <w:tcW w:w="1920" w:type="dxa"/>
            <w:shd w:val="clear" w:color="auto" w:fill="auto"/>
          </w:tcPr>
          <w:p>
            <w:pPr>
              <w:pStyle w:val="7"/>
              <w:jc w:val="right"/>
            </w:pPr>
            <w:r>
              <w:rPr>
                <w:rFonts w:hint="eastAsia"/>
              </w:rPr>
              <w:t xml:space="preserve">297,000 </w:t>
            </w:r>
          </w:p>
        </w:tc>
        <w:tc>
          <w:tcPr>
            <w:tcW w:w="2040" w:type="dxa"/>
            <w:shd w:val="clear" w:color="auto" w:fill="auto"/>
          </w:tcPr>
          <w:p>
            <w:pPr>
              <w:pStyle w:val="7"/>
              <w:jc w:val="right"/>
            </w:pPr>
            <w:r>
              <w:rPr>
                <w:rFonts w:hint="eastAsia"/>
              </w:rPr>
              <w:t xml:space="preserve">15,444,000.00 </w:t>
            </w:r>
          </w:p>
        </w:tc>
        <w:tc>
          <w:tcPr>
            <w:tcW w:w="2835" w:type="dxa"/>
            <w:shd w:val="clear" w:color="auto" w:fill="auto"/>
          </w:tcPr>
          <w:p>
            <w:pPr>
              <w:pStyle w:val="7"/>
              <w:jc w:val="right"/>
            </w:pPr>
            <w:r>
              <w:rPr>
                <w:rFonts w:hint="eastAsia"/>
              </w:rPr>
              <w:t xml:space="preserve">6.21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4 </w:t>
            </w:r>
          </w:p>
        </w:tc>
        <w:tc>
          <w:tcPr>
            <w:tcW w:w="1470" w:type="dxa"/>
            <w:shd w:val="clear" w:color="auto" w:fill="auto"/>
          </w:tcPr>
          <w:p>
            <w:pPr>
              <w:pStyle w:val="7"/>
              <w:jc w:val="center"/>
            </w:pPr>
            <w:r>
              <w:rPr>
                <w:rFonts w:hint="eastAsia"/>
              </w:rPr>
              <w:t xml:space="preserve">688187 </w:t>
            </w:r>
          </w:p>
        </w:tc>
        <w:tc>
          <w:tcPr>
            <w:tcW w:w="1500" w:type="dxa"/>
            <w:shd w:val="clear" w:color="auto" w:fill="auto"/>
          </w:tcPr>
          <w:p>
            <w:pPr>
              <w:pStyle w:val="7"/>
              <w:jc w:val="center"/>
            </w:pPr>
            <w:r>
              <w:rPr>
                <w:rFonts w:hint="eastAsia"/>
              </w:rPr>
              <w:t xml:space="preserve">时代电气 </w:t>
            </w:r>
          </w:p>
        </w:tc>
        <w:tc>
          <w:tcPr>
            <w:tcW w:w="1920" w:type="dxa"/>
            <w:shd w:val="clear" w:color="auto" w:fill="auto"/>
          </w:tcPr>
          <w:p>
            <w:pPr>
              <w:pStyle w:val="7"/>
              <w:jc w:val="right"/>
            </w:pPr>
            <w:r>
              <w:rPr>
                <w:rFonts w:hint="eastAsia"/>
              </w:rPr>
              <w:t xml:space="preserve">233,031 </w:t>
            </w:r>
          </w:p>
        </w:tc>
        <w:tc>
          <w:tcPr>
            <w:tcW w:w="2040" w:type="dxa"/>
            <w:shd w:val="clear" w:color="auto" w:fill="auto"/>
          </w:tcPr>
          <w:p>
            <w:pPr>
              <w:pStyle w:val="7"/>
              <w:jc w:val="right"/>
            </w:pPr>
            <w:r>
              <w:rPr>
                <w:rFonts w:hint="eastAsia"/>
              </w:rPr>
              <w:t xml:space="preserve">15,144,684.69 </w:t>
            </w:r>
          </w:p>
        </w:tc>
        <w:tc>
          <w:tcPr>
            <w:tcW w:w="2835" w:type="dxa"/>
            <w:shd w:val="clear" w:color="auto" w:fill="auto"/>
          </w:tcPr>
          <w:p>
            <w:pPr>
              <w:pStyle w:val="7"/>
              <w:jc w:val="right"/>
            </w:pPr>
            <w:r>
              <w:rPr>
                <w:rFonts w:hint="eastAsia"/>
              </w:rPr>
              <w:t xml:space="preserve">6.09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5 </w:t>
            </w:r>
          </w:p>
        </w:tc>
        <w:tc>
          <w:tcPr>
            <w:tcW w:w="1470" w:type="dxa"/>
            <w:shd w:val="clear" w:color="auto" w:fill="auto"/>
          </w:tcPr>
          <w:p>
            <w:pPr>
              <w:pStyle w:val="7"/>
              <w:jc w:val="center"/>
            </w:pPr>
            <w:r>
              <w:rPr>
                <w:rFonts w:hint="eastAsia"/>
              </w:rPr>
              <w:t xml:space="preserve">605358 </w:t>
            </w:r>
          </w:p>
        </w:tc>
        <w:tc>
          <w:tcPr>
            <w:tcW w:w="1500" w:type="dxa"/>
            <w:shd w:val="clear" w:color="auto" w:fill="auto"/>
          </w:tcPr>
          <w:p>
            <w:pPr>
              <w:pStyle w:val="7"/>
              <w:jc w:val="center"/>
            </w:pPr>
            <w:r>
              <w:rPr>
                <w:rFonts w:hint="eastAsia"/>
              </w:rPr>
              <w:t xml:space="preserve">立昂微 </w:t>
            </w:r>
          </w:p>
        </w:tc>
        <w:tc>
          <w:tcPr>
            <w:tcW w:w="1920" w:type="dxa"/>
            <w:shd w:val="clear" w:color="auto" w:fill="auto"/>
          </w:tcPr>
          <w:p>
            <w:pPr>
              <w:pStyle w:val="7"/>
              <w:jc w:val="right"/>
            </w:pPr>
            <w:r>
              <w:rPr>
                <w:rFonts w:hint="eastAsia"/>
              </w:rPr>
              <w:t xml:space="preserve">220,520 </w:t>
            </w:r>
          </w:p>
        </w:tc>
        <w:tc>
          <w:tcPr>
            <w:tcW w:w="2040" w:type="dxa"/>
            <w:shd w:val="clear" w:color="auto" w:fill="auto"/>
          </w:tcPr>
          <w:p>
            <w:pPr>
              <w:pStyle w:val="7"/>
              <w:jc w:val="right"/>
            </w:pPr>
            <w:r>
              <w:rPr>
                <w:rFonts w:hint="eastAsia"/>
              </w:rPr>
              <w:t xml:space="preserve">14,858,637.60 </w:t>
            </w:r>
          </w:p>
        </w:tc>
        <w:tc>
          <w:tcPr>
            <w:tcW w:w="2835" w:type="dxa"/>
            <w:shd w:val="clear" w:color="auto" w:fill="auto"/>
          </w:tcPr>
          <w:p>
            <w:pPr>
              <w:pStyle w:val="7"/>
              <w:jc w:val="right"/>
            </w:pPr>
            <w:r>
              <w:rPr>
                <w:rFonts w:hint="eastAsia"/>
              </w:rPr>
              <w:t xml:space="preserve">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6 </w:t>
            </w:r>
          </w:p>
        </w:tc>
        <w:tc>
          <w:tcPr>
            <w:tcW w:w="1470" w:type="dxa"/>
            <w:shd w:val="clear" w:color="auto" w:fill="auto"/>
          </w:tcPr>
          <w:p>
            <w:pPr>
              <w:pStyle w:val="7"/>
              <w:jc w:val="center"/>
            </w:pPr>
            <w:r>
              <w:rPr>
                <w:rFonts w:hint="eastAsia"/>
              </w:rPr>
              <w:t xml:space="preserve">300661 </w:t>
            </w:r>
          </w:p>
        </w:tc>
        <w:tc>
          <w:tcPr>
            <w:tcW w:w="1500" w:type="dxa"/>
            <w:shd w:val="clear" w:color="auto" w:fill="auto"/>
          </w:tcPr>
          <w:p>
            <w:pPr>
              <w:pStyle w:val="7"/>
              <w:jc w:val="center"/>
            </w:pPr>
            <w:r>
              <w:rPr>
                <w:rFonts w:hint="eastAsia"/>
              </w:rPr>
              <w:t xml:space="preserve">圣邦股份 </w:t>
            </w:r>
          </w:p>
        </w:tc>
        <w:tc>
          <w:tcPr>
            <w:tcW w:w="1920" w:type="dxa"/>
            <w:shd w:val="clear" w:color="auto" w:fill="auto"/>
          </w:tcPr>
          <w:p>
            <w:pPr>
              <w:pStyle w:val="7"/>
              <w:jc w:val="right"/>
            </w:pPr>
            <w:r>
              <w:rPr>
                <w:rFonts w:hint="eastAsia"/>
              </w:rPr>
              <w:t xml:space="preserve">81,300 </w:t>
            </w:r>
          </w:p>
        </w:tc>
        <w:tc>
          <w:tcPr>
            <w:tcW w:w="2040" w:type="dxa"/>
            <w:shd w:val="clear" w:color="auto" w:fill="auto"/>
          </w:tcPr>
          <w:p>
            <w:pPr>
              <w:pStyle w:val="7"/>
              <w:jc w:val="right"/>
            </w:pPr>
            <w:r>
              <w:rPr>
                <w:rFonts w:hint="eastAsia"/>
              </w:rPr>
              <w:t xml:space="preserve">14,798,226.00 </w:t>
            </w:r>
          </w:p>
        </w:tc>
        <w:tc>
          <w:tcPr>
            <w:tcW w:w="2835" w:type="dxa"/>
            <w:shd w:val="clear" w:color="auto" w:fill="auto"/>
          </w:tcPr>
          <w:p>
            <w:pPr>
              <w:pStyle w:val="7"/>
              <w:jc w:val="right"/>
            </w:pPr>
            <w:r>
              <w:rPr>
                <w:rFonts w:hint="eastAsia"/>
              </w:rPr>
              <w:t xml:space="preserve">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7 </w:t>
            </w:r>
          </w:p>
        </w:tc>
        <w:tc>
          <w:tcPr>
            <w:tcW w:w="1470" w:type="dxa"/>
            <w:shd w:val="clear" w:color="auto" w:fill="auto"/>
          </w:tcPr>
          <w:p>
            <w:pPr>
              <w:pStyle w:val="7"/>
              <w:jc w:val="center"/>
            </w:pPr>
            <w:r>
              <w:rPr>
                <w:rFonts w:hint="eastAsia"/>
              </w:rPr>
              <w:t xml:space="preserve">603290 </w:t>
            </w:r>
          </w:p>
        </w:tc>
        <w:tc>
          <w:tcPr>
            <w:tcW w:w="1500" w:type="dxa"/>
            <w:shd w:val="clear" w:color="auto" w:fill="auto"/>
          </w:tcPr>
          <w:p>
            <w:pPr>
              <w:pStyle w:val="7"/>
              <w:jc w:val="center"/>
            </w:pPr>
            <w:r>
              <w:rPr>
                <w:rFonts w:hint="eastAsia"/>
              </w:rPr>
              <w:t xml:space="preserve">斯达半导 </w:t>
            </w:r>
          </w:p>
        </w:tc>
        <w:tc>
          <w:tcPr>
            <w:tcW w:w="1920" w:type="dxa"/>
            <w:shd w:val="clear" w:color="auto" w:fill="auto"/>
          </w:tcPr>
          <w:p>
            <w:pPr>
              <w:pStyle w:val="7"/>
              <w:jc w:val="right"/>
            </w:pPr>
            <w:r>
              <w:rPr>
                <w:rFonts w:hint="eastAsia"/>
              </w:rPr>
              <w:t xml:space="preserve">37,500 </w:t>
            </w:r>
          </w:p>
        </w:tc>
        <w:tc>
          <w:tcPr>
            <w:tcW w:w="2040" w:type="dxa"/>
            <w:shd w:val="clear" w:color="auto" w:fill="auto"/>
          </w:tcPr>
          <w:p>
            <w:pPr>
              <w:pStyle w:val="7"/>
              <w:jc w:val="right"/>
            </w:pPr>
            <w:r>
              <w:rPr>
                <w:rFonts w:hint="eastAsia"/>
              </w:rPr>
              <w:t xml:space="preserve">14,471,250.00 </w:t>
            </w:r>
          </w:p>
        </w:tc>
        <w:tc>
          <w:tcPr>
            <w:tcW w:w="2835" w:type="dxa"/>
            <w:shd w:val="clear" w:color="auto" w:fill="auto"/>
          </w:tcPr>
          <w:p>
            <w:pPr>
              <w:pStyle w:val="7"/>
              <w:jc w:val="right"/>
            </w:pPr>
            <w:r>
              <w:rPr>
                <w:rFonts w:hint="eastAsia"/>
              </w:rPr>
              <w:t xml:space="preserve">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8 </w:t>
            </w:r>
          </w:p>
        </w:tc>
        <w:tc>
          <w:tcPr>
            <w:tcW w:w="1470" w:type="dxa"/>
            <w:shd w:val="clear" w:color="auto" w:fill="auto"/>
          </w:tcPr>
          <w:p>
            <w:pPr>
              <w:pStyle w:val="7"/>
              <w:jc w:val="center"/>
            </w:pPr>
            <w:r>
              <w:rPr>
                <w:rFonts w:hint="eastAsia"/>
              </w:rPr>
              <w:t xml:space="preserve">688536 </w:t>
            </w:r>
          </w:p>
        </w:tc>
        <w:tc>
          <w:tcPr>
            <w:tcW w:w="1500" w:type="dxa"/>
            <w:shd w:val="clear" w:color="auto" w:fill="auto"/>
          </w:tcPr>
          <w:p>
            <w:pPr>
              <w:pStyle w:val="7"/>
              <w:jc w:val="center"/>
            </w:pPr>
            <w:r>
              <w:rPr>
                <w:rFonts w:hint="eastAsia"/>
              </w:rPr>
              <w:t xml:space="preserve">思瑞浦 </w:t>
            </w:r>
          </w:p>
        </w:tc>
        <w:tc>
          <w:tcPr>
            <w:tcW w:w="1920" w:type="dxa"/>
            <w:shd w:val="clear" w:color="auto" w:fill="auto"/>
          </w:tcPr>
          <w:p>
            <w:pPr>
              <w:pStyle w:val="7"/>
              <w:jc w:val="right"/>
            </w:pPr>
            <w:r>
              <w:rPr>
                <w:rFonts w:hint="eastAsia"/>
              </w:rPr>
              <w:t xml:space="preserve">22,566 </w:t>
            </w:r>
          </w:p>
        </w:tc>
        <w:tc>
          <w:tcPr>
            <w:tcW w:w="2040" w:type="dxa"/>
            <w:shd w:val="clear" w:color="auto" w:fill="auto"/>
          </w:tcPr>
          <w:p>
            <w:pPr>
              <w:pStyle w:val="7"/>
              <w:jc w:val="right"/>
            </w:pPr>
            <w:r>
              <w:rPr>
                <w:rFonts w:hint="eastAsia"/>
              </w:rPr>
              <w:t xml:space="preserve">12,672,839.94 </w:t>
            </w:r>
          </w:p>
        </w:tc>
        <w:tc>
          <w:tcPr>
            <w:tcW w:w="2835" w:type="dxa"/>
            <w:shd w:val="clear" w:color="auto" w:fill="auto"/>
          </w:tcPr>
          <w:p>
            <w:pPr>
              <w:pStyle w:val="7"/>
              <w:jc w:val="right"/>
            </w:pPr>
            <w:r>
              <w:rPr>
                <w:rFonts w:hint="eastAsia"/>
              </w:rPr>
              <w:t xml:space="preserve">5.09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9 </w:t>
            </w:r>
          </w:p>
        </w:tc>
        <w:tc>
          <w:tcPr>
            <w:tcW w:w="1470" w:type="dxa"/>
            <w:shd w:val="clear" w:color="auto" w:fill="auto"/>
          </w:tcPr>
          <w:p>
            <w:pPr>
              <w:pStyle w:val="7"/>
              <w:jc w:val="center"/>
            </w:pPr>
            <w:r>
              <w:rPr>
                <w:rFonts w:hint="eastAsia"/>
              </w:rPr>
              <w:t xml:space="preserve">002409 </w:t>
            </w:r>
          </w:p>
        </w:tc>
        <w:tc>
          <w:tcPr>
            <w:tcW w:w="1500" w:type="dxa"/>
            <w:shd w:val="clear" w:color="auto" w:fill="auto"/>
          </w:tcPr>
          <w:p>
            <w:pPr>
              <w:pStyle w:val="7"/>
              <w:jc w:val="center"/>
            </w:pPr>
            <w:r>
              <w:rPr>
                <w:rFonts w:hint="eastAsia"/>
              </w:rPr>
              <w:t xml:space="preserve">雅克科技 </w:t>
            </w:r>
          </w:p>
        </w:tc>
        <w:tc>
          <w:tcPr>
            <w:tcW w:w="1920" w:type="dxa"/>
            <w:shd w:val="clear" w:color="auto" w:fill="auto"/>
          </w:tcPr>
          <w:p>
            <w:pPr>
              <w:pStyle w:val="7"/>
              <w:jc w:val="right"/>
            </w:pPr>
            <w:r>
              <w:rPr>
                <w:rFonts w:hint="eastAsia"/>
              </w:rPr>
              <w:t xml:space="preserve">205,903 </w:t>
            </w:r>
          </w:p>
        </w:tc>
        <w:tc>
          <w:tcPr>
            <w:tcW w:w="2040" w:type="dxa"/>
            <w:shd w:val="clear" w:color="auto" w:fill="auto"/>
          </w:tcPr>
          <w:p>
            <w:pPr>
              <w:pStyle w:val="7"/>
              <w:jc w:val="right"/>
            </w:pPr>
            <w:r>
              <w:rPr>
                <w:rFonts w:hint="eastAsia"/>
              </w:rPr>
              <w:t xml:space="preserve">11,429,675.53 </w:t>
            </w:r>
          </w:p>
        </w:tc>
        <w:tc>
          <w:tcPr>
            <w:tcW w:w="2835" w:type="dxa"/>
            <w:shd w:val="clear" w:color="auto" w:fill="auto"/>
          </w:tcPr>
          <w:p>
            <w:pPr>
              <w:pStyle w:val="7"/>
              <w:jc w:val="right"/>
            </w:pPr>
            <w:r>
              <w:rPr>
                <w:rFonts w:hint="eastAsia"/>
              </w:rPr>
              <w:t xml:space="preserve">4.59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7"/>
              <w:jc w:val="center"/>
            </w:pPr>
            <w:r>
              <w:rPr>
                <w:rFonts w:hint="eastAsia"/>
              </w:rPr>
              <w:t xml:space="preserve">10 </w:t>
            </w:r>
          </w:p>
        </w:tc>
        <w:tc>
          <w:tcPr>
            <w:tcW w:w="1470" w:type="dxa"/>
            <w:shd w:val="clear" w:color="auto" w:fill="auto"/>
          </w:tcPr>
          <w:p>
            <w:pPr>
              <w:pStyle w:val="7"/>
              <w:jc w:val="center"/>
            </w:pPr>
            <w:r>
              <w:rPr>
                <w:rFonts w:hint="eastAsia"/>
              </w:rPr>
              <w:t xml:space="preserve">600703 </w:t>
            </w:r>
          </w:p>
        </w:tc>
        <w:tc>
          <w:tcPr>
            <w:tcW w:w="1500" w:type="dxa"/>
            <w:shd w:val="clear" w:color="auto" w:fill="auto"/>
          </w:tcPr>
          <w:p>
            <w:pPr>
              <w:pStyle w:val="7"/>
              <w:jc w:val="center"/>
            </w:pPr>
            <w:r>
              <w:rPr>
                <w:rFonts w:hint="eastAsia"/>
              </w:rPr>
              <w:t xml:space="preserve">三安光电 </w:t>
            </w:r>
          </w:p>
        </w:tc>
        <w:tc>
          <w:tcPr>
            <w:tcW w:w="1920" w:type="dxa"/>
            <w:shd w:val="clear" w:color="auto" w:fill="auto"/>
          </w:tcPr>
          <w:p>
            <w:pPr>
              <w:pStyle w:val="7"/>
              <w:jc w:val="right"/>
            </w:pPr>
            <w:r>
              <w:rPr>
                <w:rFonts w:hint="eastAsia"/>
              </w:rPr>
              <w:t xml:space="preserve">460,700 </w:t>
            </w:r>
          </w:p>
        </w:tc>
        <w:tc>
          <w:tcPr>
            <w:tcW w:w="2040" w:type="dxa"/>
            <w:shd w:val="clear" w:color="auto" w:fill="auto"/>
          </w:tcPr>
          <w:p>
            <w:pPr>
              <w:pStyle w:val="7"/>
              <w:jc w:val="right"/>
            </w:pPr>
            <w:r>
              <w:rPr>
                <w:rFonts w:hint="eastAsia"/>
              </w:rPr>
              <w:t xml:space="preserve">11,324,006.00 </w:t>
            </w:r>
          </w:p>
        </w:tc>
        <w:tc>
          <w:tcPr>
            <w:tcW w:w="2835" w:type="dxa"/>
            <w:shd w:val="clear" w:color="auto" w:fill="auto"/>
          </w:tcPr>
          <w:p>
            <w:pPr>
              <w:pStyle w:val="7"/>
              <w:jc w:val="right"/>
            </w:pPr>
            <w:r>
              <w:rPr>
                <w:rFonts w:hint="eastAsia"/>
              </w:rPr>
              <w:t xml:space="preserve">4.55 </w:t>
            </w:r>
          </w:p>
        </w:tc>
      </w:tr>
    </w:tbl>
    <w:p>
      <w:pPr>
        <w:pStyle w:val="7"/>
        <w:spacing w:before="0" w:beforeAutospacing="0" w:after="0" w:afterAutospacing="0" w:line="360" w:lineRule="auto"/>
        <w:ind w:firstLine="420"/>
        <w:rPr>
          <w:sz w:val="21"/>
          <w:szCs w:val="21"/>
        </w:rPr>
      </w:pPr>
      <w:r>
        <w:rPr>
          <w:rFonts w:hint="eastAsia"/>
          <w:sz w:val="21"/>
          <w:szCs w:val="21"/>
        </w:rPr>
        <w:t xml:space="preserve">4 报告期末按债券品种分类的债券投资组合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2403"/>
        <w:gridCol w:w="3173"/>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序号 </w:t>
            </w:r>
          </w:p>
        </w:tc>
        <w:tc>
          <w:tcPr>
            <w:tcW w:w="3120" w:type="dxa"/>
            <w:shd w:val="clear" w:color="auto" w:fill="auto"/>
          </w:tcPr>
          <w:p>
            <w:pPr>
              <w:pStyle w:val="7"/>
              <w:jc w:val="center"/>
            </w:pPr>
            <w:r>
              <w:rPr>
                <w:rFonts w:hint="eastAsia"/>
              </w:rPr>
              <w:t xml:space="preserve">债券品种 </w:t>
            </w:r>
          </w:p>
        </w:tc>
        <w:tc>
          <w:tcPr>
            <w:tcW w:w="3810" w:type="dxa"/>
            <w:shd w:val="clear" w:color="auto" w:fill="auto"/>
          </w:tcPr>
          <w:p>
            <w:pPr>
              <w:pStyle w:val="7"/>
              <w:jc w:val="center"/>
            </w:pPr>
            <w:r>
              <w:rPr>
                <w:rFonts w:hint="eastAsia"/>
              </w:rPr>
              <w:t xml:space="preserve">公允价值(元) </w:t>
            </w:r>
          </w:p>
        </w:tc>
        <w:tc>
          <w:tcPr>
            <w:tcW w:w="289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 </w:t>
            </w:r>
          </w:p>
        </w:tc>
        <w:tc>
          <w:tcPr>
            <w:tcW w:w="3120" w:type="dxa"/>
            <w:shd w:val="clear" w:color="auto" w:fill="auto"/>
          </w:tcPr>
          <w:p>
            <w:pPr>
              <w:pStyle w:val="7"/>
            </w:pPr>
            <w:r>
              <w:rPr>
                <w:rFonts w:hint="eastAsia"/>
              </w:rPr>
              <w:t xml:space="preserve">国家债券 </w:t>
            </w:r>
          </w:p>
        </w:tc>
        <w:tc>
          <w:tcPr>
            <w:tcW w:w="3810" w:type="dxa"/>
            <w:shd w:val="clear" w:color="auto" w:fill="auto"/>
          </w:tcPr>
          <w:p>
            <w:pPr>
              <w:pStyle w:val="7"/>
              <w:jc w:val="right"/>
            </w:pPr>
            <w:r>
              <w:rPr>
                <w:rFonts w:hint="eastAsia"/>
              </w:rPr>
              <w:t xml:space="preserve">3,176,252.35 </w:t>
            </w:r>
          </w:p>
        </w:tc>
        <w:tc>
          <w:tcPr>
            <w:tcW w:w="2895" w:type="dxa"/>
            <w:shd w:val="clear" w:color="auto" w:fill="auto"/>
          </w:tcPr>
          <w:p>
            <w:pPr>
              <w:pStyle w:val="7"/>
              <w:jc w:val="right"/>
            </w:pPr>
            <w:r>
              <w:rPr>
                <w:rFonts w:hint="eastAsia"/>
              </w:rPr>
              <w:t xml:space="preserve">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2 </w:t>
            </w:r>
          </w:p>
        </w:tc>
        <w:tc>
          <w:tcPr>
            <w:tcW w:w="3120" w:type="dxa"/>
            <w:shd w:val="clear" w:color="auto" w:fill="auto"/>
          </w:tcPr>
          <w:p>
            <w:pPr>
              <w:pStyle w:val="7"/>
            </w:pPr>
            <w:r>
              <w:rPr>
                <w:rFonts w:hint="eastAsia"/>
              </w:rPr>
              <w:t xml:space="preserve">央行票据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3 </w:t>
            </w:r>
          </w:p>
        </w:tc>
        <w:tc>
          <w:tcPr>
            <w:tcW w:w="3120" w:type="dxa"/>
            <w:shd w:val="clear" w:color="auto" w:fill="auto"/>
          </w:tcPr>
          <w:p>
            <w:pPr>
              <w:pStyle w:val="7"/>
            </w:pPr>
            <w:r>
              <w:rPr>
                <w:rFonts w:hint="eastAsia"/>
              </w:rPr>
              <w:t xml:space="preserve">金融债券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rPr>
                <w:rFonts w:ascii="宋体" w:hAnsi="宋体" w:eastAsia="宋体" w:cs="宋体"/>
                <w:sz w:val="24"/>
                <w:szCs w:val="24"/>
              </w:rPr>
            </w:pPr>
          </w:p>
        </w:tc>
        <w:tc>
          <w:tcPr>
            <w:tcW w:w="3120" w:type="dxa"/>
            <w:shd w:val="clear" w:color="auto" w:fill="auto"/>
          </w:tcPr>
          <w:p>
            <w:pPr>
              <w:pStyle w:val="7"/>
            </w:pPr>
            <w:r>
              <w:rPr>
                <w:rFonts w:hint="eastAsia"/>
              </w:rPr>
              <w:t xml:space="preserve">其中：政策性金融债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4 </w:t>
            </w:r>
          </w:p>
        </w:tc>
        <w:tc>
          <w:tcPr>
            <w:tcW w:w="3120" w:type="dxa"/>
            <w:shd w:val="clear" w:color="auto" w:fill="auto"/>
          </w:tcPr>
          <w:p>
            <w:pPr>
              <w:pStyle w:val="7"/>
            </w:pPr>
            <w:r>
              <w:rPr>
                <w:rFonts w:hint="eastAsia"/>
              </w:rPr>
              <w:t xml:space="preserve">企业债券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5 </w:t>
            </w:r>
          </w:p>
        </w:tc>
        <w:tc>
          <w:tcPr>
            <w:tcW w:w="3120" w:type="dxa"/>
            <w:shd w:val="clear" w:color="auto" w:fill="auto"/>
          </w:tcPr>
          <w:p>
            <w:pPr>
              <w:pStyle w:val="7"/>
            </w:pPr>
            <w:r>
              <w:rPr>
                <w:rFonts w:hint="eastAsia"/>
              </w:rPr>
              <w:t xml:space="preserve">企业短期融资券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6 </w:t>
            </w:r>
          </w:p>
        </w:tc>
        <w:tc>
          <w:tcPr>
            <w:tcW w:w="3120" w:type="dxa"/>
            <w:shd w:val="clear" w:color="auto" w:fill="auto"/>
          </w:tcPr>
          <w:p>
            <w:pPr>
              <w:pStyle w:val="7"/>
            </w:pPr>
            <w:r>
              <w:rPr>
                <w:rFonts w:hint="eastAsia"/>
              </w:rPr>
              <w:t xml:space="preserve">中期票据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7 </w:t>
            </w:r>
          </w:p>
        </w:tc>
        <w:tc>
          <w:tcPr>
            <w:tcW w:w="3120" w:type="dxa"/>
            <w:shd w:val="clear" w:color="auto" w:fill="auto"/>
          </w:tcPr>
          <w:p>
            <w:pPr>
              <w:pStyle w:val="7"/>
            </w:pPr>
            <w:r>
              <w:rPr>
                <w:rFonts w:hint="eastAsia"/>
              </w:rPr>
              <w:t xml:space="preserve">可转债（可交换债）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8 </w:t>
            </w:r>
          </w:p>
        </w:tc>
        <w:tc>
          <w:tcPr>
            <w:tcW w:w="3120" w:type="dxa"/>
            <w:shd w:val="clear" w:color="auto" w:fill="auto"/>
          </w:tcPr>
          <w:p>
            <w:pPr>
              <w:pStyle w:val="7"/>
            </w:pPr>
            <w:r>
              <w:rPr>
                <w:rFonts w:hint="eastAsia"/>
              </w:rPr>
              <w:t xml:space="preserve">同业存单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9 </w:t>
            </w:r>
          </w:p>
        </w:tc>
        <w:tc>
          <w:tcPr>
            <w:tcW w:w="3120" w:type="dxa"/>
            <w:shd w:val="clear" w:color="auto" w:fill="auto"/>
          </w:tcPr>
          <w:p>
            <w:pPr>
              <w:pStyle w:val="7"/>
            </w:pPr>
            <w:r>
              <w:rPr>
                <w:rFonts w:hint="eastAsia"/>
              </w:rPr>
              <w:t xml:space="preserve">其他 </w:t>
            </w:r>
          </w:p>
        </w:tc>
        <w:tc>
          <w:tcPr>
            <w:tcW w:w="3810" w:type="dxa"/>
            <w:shd w:val="clear" w:color="auto" w:fill="auto"/>
          </w:tcPr>
          <w:p>
            <w:pPr>
              <w:pStyle w:val="7"/>
              <w:jc w:val="right"/>
            </w:pPr>
            <w:r>
              <w:rPr>
                <w:rFonts w:hint="eastAsia"/>
              </w:rPr>
              <w:t xml:space="preserve">- </w:t>
            </w:r>
          </w:p>
        </w:tc>
        <w:tc>
          <w:tcPr>
            <w:tcW w:w="289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10 </w:t>
            </w:r>
          </w:p>
        </w:tc>
        <w:tc>
          <w:tcPr>
            <w:tcW w:w="3120" w:type="dxa"/>
            <w:shd w:val="clear" w:color="auto" w:fill="auto"/>
          </w:tcPr>
          <w:p>
            <w:pPr>
              <w:pStyle w:val="7"/>
            </w:pPr>
            <w:r>
              <w:rPr>
                <w:rFonts w:hint="eastAsia"/>
              </w:rPr>
              <w:t xml:space="preserve">合计 </w:t>
            </w:r>
          </w:p>
        </w:tc>
        <w:tc>
          <w:tcPr>
            <w:tcW w:w="3810" w:type="dxa"/>
            <w:shd w:val="clear" w:color="auto" w:fill="auto"/>
          </w:tcPr>
          <w:p>
            <w:pPr>
              <w:pStyle w:val="7"/>
              <w:jc w:val="right"/>
            </w:pPr>
            <w:r>
              <w:rPr>
                <w:rFonts w:hint="eastAsia"/>
              </w:rPr>
              <w:t xml:space="preserve">3,176,252.35 </w:t>
            </w:r>
          </w:p>
        </w:tc>
        <w:tc>
          <w:tcPr>
            <w:tcW w:w="2895" w:type="dxa"/>
            <w:shd w:val="clear" w:color="auto" w:fill="auto"/>
          </w:tcPr>
          <w:p>
            <w:pPr>
              <w:pStyle w:val="7"/>
              <w:jc w:val="right"/>
            </w:pPr>
            <w:r>
              <w:rPr>
                <w:rFonts w:hint="eastAsia"/>
              </w:rPr>
              <w:t xml:space="preserve">1.28 </w:t>
            </w:r>
          </w:p>
        </w:tc>
      </w:tr>
    </w:tbl>
    <w:p>
      <w:pPr>
        <w:pStyle w:val="7"/>
        <w:spacing w:before="0" w:beforeAutospacing="0" w:after="0" w:afterAutospacing="0" w:line="360" w:lineRule="auto"/>
        <w:ind w:firstLine="420"/>
        <w:rPr>
          <w:sz w:val="21"/>
          <w:szCs w:val="21"/>
        </w:rPr>
      </w:pPr>
      <w:r>
        <w:rPr>
          <w:rFonts w:hint="eastAsia"/>
          <w:sz w:val="21"/>
          <w:szCs w:val="21"/>
        </w:rPr>
        <w:t xml:space="preserve">5 报告期末按公允价值占基金资产净值比例大小排序的前五名债券投资明细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396"/>
        <w:gridCol w:w="1528"/>
        <w:gridCol w:w="1590"/>
        <w:gridCol w:w="2005"/>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序号 </w:t>
            </w:r>
          </w:p>
        </w:tc>
        <w:tc>
          <w:tcPr>
            <w:tcW w:w="1680" w:type="dxa"/>
            <w:shd w:val="clear" w:color="auto" w:fill="auto"/>
          </w:tcPr>
          <w:p>
            <w:pPr>
              <w:pStyle w:val="7"/>
              <w:jc w:val="center"/>
            </w:pPr>
            <w:r>
              <w:rPr>
                <w:rFonts w:hint="eastAsia"/>
              </w:rPr>
              <w:t xml:space="preserve">债券代码 </w:t>
            </w:r>
          </w:p>
        </w:tc>
        <w:tc>
          <w:tcPr>
            <w:tcW w:w="2190" w:type="dxa"/>
            <w:shd w:val="clear" w:color="auto" w:fill="auto"/>
          </w:tcPr>
          <w:p>
            <w:pPr>
              <w:pStyle w:val="7"/>
              <w:jc w:val="center"/>
            </w:pPr>
            <w:r>
              <w:rPr>
                <w:rFonts w:hint="eastAsia"/>
              </w:rPr>
              <w:t xml:space="preserve">债券名称 </w:t>
            </w:r>
          </w:p>
        </w:tc>
        <w:tc>
          <w:tcPr>
            <w:tcW w:w="1995" w:type="dxa"/>
            <w:shd w:val="clear" w:color="auto" w:fill="auto"/>
          </w:tcPr>
          <w:p>
            <w:pPr>
              <w:pStyle w:val="7"/>
              <w:jc w:val="center"/>
            </w:pPr>
            <w:r>
              <w:rPr>
                <w:rFonts w:hint="eastAsia"/>
              </w:rPr>
              <w:t xml:space="preserve">数量(张) </w:t>
            </w:r>
          </w:p>
        </w:tc>
        <w:tc>
          <w:tcPr>
            <w:tcW w:w="2220" w:type="dxa"/>
            <w:shd w:val="clear" w:color="auto" w:fill="auto"/>
          </w:tcPr>
          <w:p>
            <w:pPr>
              <w:pStyle w:val="7"/>
              <w:jc w:val="center"/>
            </w:pPr>
            <w:r>
              <w:rPr>
                <w:rFonts w:hint="eastAsia"/>
              </w:rPr>
              <w:t xml:space="preserve">公允价值(元) </w:t>
            </w:r>
          </w:p>
        </w:tc>
        <w:tc>
          <w:tcPr>
            <w:tcW w:w="1725" w:type="dxa"/>
            <w:shd w:val="clear" w:color="auto" w:fill="auto"/>
          </w:tcPr>
          <w:p>
            <w:pPr>
              <w:pStyle w:val="7"/>
              <w:jc w:val="center"/>
            </w:pPr>
            <w:r>
              <w:rPr>
                <w:rFonts w:hint="eastAsia"/>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5" w:type="dxa"/>
            <w:shd w:val="clear" w:color="auto" w:fill="auto"/>
          </w:tcPr>
          <w:p>
            <w:pPr>
              <w:pStyle w:val="7"/>
              <w:jc w:val="center"/>
            </w:pPr>
            <w:r>
              <w:rPr>
                <w:rFonts w:hint="eastAsia"/>
              </w:rPr>
              <w:t xml:space="preserve">1 </w:t>
            </w:r>
          </w:p>
        </w:tc>
        <w:tc>
          <w:tcPr>
            <w:tcW w:w="1680" w:type="dxa"/>
            <w:shd w:val="clear" w:color="auto" w:fill="auto"/>
          </w:tcPr>
          <w:p>
            <w:pPr>
              <w:pStyle w:val="7"/>
              <w:jc w:val="center"/>
            </w:pPr>
            <w:r>
              <w:rPr>
                <w:rFonts w:hint="eastAsia"/>
              </w:rPr>
              <w:t xml:space="preserve">019666 </w:t>
            </w:r>
          </w:p>
        </w:tc>
        <w:tc>
          <w:tcPr>
            <w:tcW w:w="2190" w:type="dxa"/>
            <w:shd w:val="clear" w:color="auto" w:fill="auto"/>
          </w:tcPr>
          <w:p>
            <w:pPr>
              <w:pStyle w:val="7"/>
              <w:jc w:val="center"/>
            </w:pPr>
            <w:r>
              <w:rPr>
                <w:rFonts w:hint="eastAsia"/>
              </w:rPr>
              <w:t xml:space="preserve">22国债01 </w:t>
            </w:r>
          </w:p>
        </w:tc>
        <w:tc>
          <w:tcPr>
            <w:tcW w:w="1995" w:type="dxa"/>
            <w:shd w:val="clear" w:color="auto" w:fill="auto"/>
          </w:tcPr>
          <w:p>
            <w:pPr>
              <w:pStyle w:val="7"/>
              <w:jc w:val="right"/>
            </w:pPr>
            <w:r>
              <w:rPr>
                <w:rFonts w:hint="eastAsia"/>
              </w:rPr>
              <w:t xml:space="preserve">31,410 </w:t>
            </w:r>
          </w:p>
        </w:tc>
        <w:tc>
          <w:tcPr>
            <w:tcW w:w="2220" w:type="dxa"/>
            <w:shd w:val="clear" w:color="auto" w:fill="auto"/>
          </w:tcPr>
          <w:p>
            <w:pPr>
              <w:pStyle w:val="7"/>
              <w:jc w:val="right"/>
            </w:pPr>
            <w:r>
              <w:rPr>
                <w:rFonts w:hint="eastAsia"/>
              </w:rPr>
              <w:t xml:space="preserve">3,176,252.35 </w:t>
            </w:r>
          </w:p>
        </w:tc>
        <w:tc>
          <w:tcPr>
            <w:tcW w:w="1725" w:type="dxa"/>
            <w:shd w:val="clear" w:color="auto" w:fill="auto"/>
          </w:tcPr>
          <w:p>
            <w:pPr>
              <w:pStyle w:val="7"/>
              <w:jc w:val="right"/>
            </w:pPr>
            <w:r>
              <w:rPr>
                <w:rFonts w:hint="eastAsia"/>
              </w:rPr>
              <w:t xml:space="preserve">1.28 </w:t>
            </w:r>
          </w:p>
        </w:tc>
      </w:tr>
    </w:tbl>
    <w:p>
      <w:pPr>
        <w:pStyle w:val="7"/>
        <w:spacing w:before="0" w:beforeAutospacing="0" w:after="0" w:afterAutospacing="0" w:line="360" w:lineRule="auto"/>
        <w:ind w:firstLine="420"/>
        <w:rPr>
          <w:sz w:val="21"/>
          <w:szCs w:val="21"/>
        </w:rPr>
      </w:pPr>
      <w:r>
        <w:rPr>
          <w:rFonts w:hint="eastAsia"/>
          <w:sz w:val="21"/>
          <w:szCs w:val="21"/>
        </w:rPr>
        <w:t xml:space="preserve">6 报告期末按公允价值占基金资产净值比例大小排序的前十名资产支持证券投资明细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sz w:val="21"/>
          <w:szCs w:val="21"/>
        </w:rPr>
        <w:t xml:space="preserve">7 报告期末按公允价值占基金资产净值比例大小排序的前五名贵金属投资明细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sz w:val="21"/>
          <w:szCs w:val="21"/>
        </w:rPr>
        <w:t xml:space="preserve">8报告期末按公允价值占基金资产净值比例大小排序的前五名权证投资明细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sz w:val="21"/>
          <w:szCs w:val="21"/>
        </w:rPr>
        <w:t xml:space="preserve">9报告期末本基金投资的股指期货交易情况说明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7"/>
        <w:spacing w:before="0" w:beforeAutospacing="0" w:after="0" w:afterAutospacing="0" w:line="360" w:lineRule="auto"/>
        <w:ind w:firstLine="420"/>
        <w:rPr>
          <w:sz w:val="21"/>
          <w:szCs w:val="21"/>
        </w:rPr>
      </w:pPr>
      <w:r>
        <w:rPr>
          <w:rFonts w:hint="eastAsia"/>
          <w:sz w:val="21"/>
          <w:szCs w:val="21"/>
        </w:rPr>
        <w:t xml:space="preserve">10报告期末本基金投资的国债期货交易情况说明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7"/>
        <w:spacing w:before="0" w:beforeAutospacing="0" w:after="0" w:afterAutospacing="0" w:line="360" w:lineRule="auto"/>
        <w:ind w:firstLine="420"/>
        <w:rPr>
          <w:sz w:val="21"/>
          <w:szCs w:val="21"/>
        </w:rPr>
      </w:pPr>
      <w:r>
        <w:rPr>
          <w:rFonts w:hint="eastAsia"/>
          <w:sz w:val="21"/>
          <w:szCs w:val="21"/>
        </w:rPr>
        <w:t xml:space="preserve">11投资组合报告附注 </w:t>
      </w:r>
    </w:p>
    <w:p>
      <w:pPr>
        <w:pStyle w:val="7"/>
        <w:spacing w:before="0" w:beforeAutospacing="0" w:after="0" w:afterAutospacing="0" w:line="360" w:lineRule="auto"/>
        <w:ind w:firstLine="420"/>
        <w:rPr>
          <w:sz w:val="21"/>
          <w:szCs w:val="21"/>
        </w:rPr>
      </w:pPr>
      <w:r>
        <w:rPr>
          <w:rFonts w:hint="eastAsia"/>
          <w:sz w:val="21"/>
          <w:szCs w:val="21"/>
        </w:rPr>
        <w:t xml:space="preserve">11.1基金投资前十名证券的发行主体被监管部门立案调查或编制日前一年内受到公开谴责、处罚的投资决策程序说明 </w:t>
      </w:r>
    </w:p>
    <w:p>
      <w:pPr>
        <w:pStyle w:val="7"/>
        <w:spacing w:before="0" w:beforeAutospacing="0" w:after="0" w:afterAutospacing="0" w:line="360" w:lineRule="auto"/>
        <w:ind w:firstLine="420"/>
        <w:rPr>
          <w:sz w:val="21"/>
          <w:szCs w:val="21"/>
        </w:rPr>
      </w:pPr>
      <w:r>
        <w:rPr>
          <w:rFonts w:hint="eastAsia"/>
          <w:sz w:val="21"/>
          <w:szCs w:val="21"/>
        </w:rPr>
        <w:t xml:space="preserve">基金管理人未发现本基金投资的前十名证券的发行主体出现本期被监管部门立案调查，或在报告编制日前一年内受到公开谴责、处罚的情形。 </w:t>
      </w:r>
    </w:p>
    <w:p>
      <w:pPr>
        <w:pStyle w:val="7"/>
        <w:spacing w:before="0" w:beforeAutospacing="0" w:after="0" w:afterAutospacing="0" w:line="360" w:lineRule="auto"/>
        <w:ind w:firstLine="420"/>
        <w:rPr>
          <w:sz w:val="21"/>
          <w:szCs w:val="21"/>
        </w:rPr>
      </w:pPr>
      <w:r>
        <w:rPr>
          <w:rFonts w:hint="eastAsia"/>
          <w:sz w:val="21"/>
          <w:szCs w:val="21"/>
        </w:rPr>
        <w:t xml:space="preserve">11.2报告期内基金投资的前十名股票中，没有投资超出基金合同规定备选股票库之外的股票。 </w:t>
      </w:r>
    </w:p>
    <w:p>
      <w:pPr>
        <w:pStyle w:val="7"/>
        <w:spacing w:before="0" w:beforeAutospacing="0" w:after="0" w:afterAutospacing="0" w:line="360" w:lineRule="auto"/>
        <w:ind w:firstLine="420"/>
        <w:rPr>
          <w:sz w:val="21"/>
          <w:szCs w:val="21"/>
        </w:rPr>
      </w:pPr>
      <w:r>
        <w:rPr>
          <w:rFonts w:hint="eastAsia"/>
          <w:sz w:val="21"/>
          <w:szCs w:val="21"/>
        </w:rPr>
        <w:t xml:space="preserve">11.3其他资产构成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3749"/>
        <w:gridCol w:w="4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序号 </w:t>
            </w:r>
          </w:p>
        </w:tc>
        <w:tc>
          <w:tcPr>
            <w:tcW w:w="4905" w:type="dxa"/>
            <w:shd w:val="clear" w:color="auto" w:fill="auto"/>
          </w:tcPr>
          <w:p>
            <w:pPr>
              <w:pStyle w:val="7"/>
              <w:jc w:val="center"/>
            </w:pPr>
            <w:r>
              <w:rPr>
                <w:rFonts w:hint="eastAsia"/>
              </w:rPr>
              <w:t xml:space="preserve">名称 </w:t>
            </w:r>
          </w:p>
        </w:tc>
        <w:tc>
          <w:tcPr>
            <w:tcW w:w="4905" w:type="dxa"/>
            <w:shd w:val="clear" w:color="auto" w:fill="auto"/>
          </w:tcPr>
          <w:p>
            <w:pPr>
              <w:pStyle w:val="7"/>
              <w:jc w:val="center"/>
            </w:pPr>
            <w:r>
              <w:rPr>
                <w:rFonts w:hint="eastAsia"/>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1 </w:t>
            </w:r>
          </w:p>
        </w:tc>
        <w:tc>
          <w:tcPr>
            <w:tcW w:w="4905" w:type="dxa"/>
            <w:shd w:val="clear" w:color="auto" w:fill="auto"/>
          </w:tcPr>
          <w:p>
            <w:pPr>
              <w:pStyle w:val="7"/>
            </w:pPr>
            <w:r>
              <w:rPr>
                <w:rFonts w:hint="eastAsia"/>
              </w:rPr>
              <w:t xml:space="preserve">存出保证金 </w:t>
            </w:r>
          </w:p>
        </w:tc>
        <w:tc>
          <w:tcPr>
            <w:tcW w:w="4905" w:type="dxa"/>
            <w:shd w:val="clear" w:color="auto" w:fill="auto"/>
          </w:tcPr>
          <w:p>
            <w:pPr>
              <w:pStyle w:val="7"/>
              <w:jc w:val="right"/>
            </w:pPr>
            <w:r>
              <w:rPr>
                <w:rFonts w:hint="eastAsia"/>
              </w:rPr>
              <w:t xml:space="preserve">38,914.59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2 </w:t>
            </w:r>
          </w:p>
        </w:tc>
        <w:tc>
          <w:tcPr>
            <w:tcW w:w="4905" w:type="dxa"/>
            <w:shd w:val="clear" w:color="auto" w:fill="auto"/>
          </w:tcPr>
          <w:p>
            <w:pPr>
              <w:pStyle w:val="7"/>
            </w:pPr>
            <w:r>
              <w:rPr>
                <w:rFonts w:hint="eastAsia"/>
              </w:rPr>
              <w:t xml:space="preserve">应收证券清算款 </w:t>
            </w:r>
          </w:p>
        </w:tc>
        <w:tc>
          <w:tcPr>
            <w:tcW w:w="4905" w:type="dxa"/>
            <w:shd w:val="clear" w:color="auto" w:fill="auto"/>
          </w:tcPr>
          <w:p>
            <w:pPr>
              <w:pStyle w:val="7"/>
              <w:jc w:val="right"/>
            </w:pPr>
            <w:r>
              <w:rPr>
                <w:rFonts w:hint="eastAsia"/>
              </w:rPr>
              <w:t xml:space="preserve">725,534.54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3 </w:t>
            </w:r>
          </w:p>
        </w:tc>
        <w:tc>
          <w:tcPr>
            <w:tcW w:w="4905" w:type="dxa"/>
            <w:shd w:val="clear" w:color="auto" w:fill="auto"/>
          </w:tcPr>
          <w:p>
            <w:pPr>
              <w:pStyle w:val="7"/>
            </w:pPr>
            <w:r>
              <w:rPr>
                <w:rFonts w:hint="eastAsia"/>
              </w:rPr>
              <w:t xml:space="preserve">应收股利 </w:t>
            </w:r>
          </w:p>
        </w:tc>
        <w:tc>
          <w:tcPr>
            <w:tcW w:w="49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4 </w:t>
            </w:r>
          </w:p>
        </w:tc>
        <w:tc>
          <w:tcPr>
            <w:tcW w:w="4905" w:type="dxa"/>
            <w:shd w:val="clear" w:color="auto" w:fill="auto"/>
          </w:tcPr>
          <w:p>
            <w:pPr>
              <w:pStyle w:val="7"/>
            </w:pPr>
            <w:r>
              <w:rPr>
                <w:rFonts w:hint="eastAsia"/>
              </w:rPr>
              <w:t xml:space="preserve">应收利息 </w:t>
            </w:r>
          </w:p>
        </w:tc>
        <w:tc>
          <w:tcPr>
            <w:tcW w:w="49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5 </w:t>
            </w:r>
          </w:p>
        </w:tc>
        <w:tc>
          <w:tcPr>
            <w:tcW w:w="4905" w:type="dxa"/>
            <w:shd w:val="clear" w:color="auto" w:fill="auto"/>
          </w:tcPr>
          <w:p>
            <w:pPr>
              <w:pStyle w:val="7"/>
            </w:pPr>
            <w:r>
              <w:rPr>
                <w:rFonts w:hint="eastAsia"/>
              </w:rPr>
              <w:t xml:space="preserve">应收申购款 </w:t>
            </w:r>
          </w:p>
        </w:tc>
        <w:tc>
          <w:tcPr>
            <w:tcW w:w="4905" w:type="dxa"/>
            <w:shd w:val="clear" w:color="auto" w:fill="auto"/>
          </w:tcPr>
          <w:p>
            <w:pPr>
              <w:pStyle w:val="7"/>
              <w:jc w:val="right"/>
            </w:pPr>
            <w:r>
              <w:rPr>
                <w:rFonts w:hint="eastAsia"/>
              </w:rPr>
              <w:t xml:space="preserve">2,074,318.56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6 </w:t>
            </w:r>
          </w:p>
        </w:tc>
        <w:tc>
          <w:tcPr>
            <w:tcW w:w="4905" w:type="dxa"/>
            <w:shd w:val="clear" w:color="auto" w:fill="auto"/>
          </w:tcPr>
          <w:p>
            <w:pPr>
              <w:pStyle w:val="7"/>
            </w:pPr>
            <w:r>
              <w:rPr>
                <w:rFonts w:hint="eastAsia"/>
              </w:rPr>
              <w:t xml:space="preserve">其他应收款 </w:t>
            </w:r>
          </w:p>
        </w:tc>
        <w:tc>
          <w:tcPr>
            <w:tcW w:w="49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7 </w:t>
            </w:r>
          </w:p>
        </w:tc>
        <w:tc>
          <w:tcPr>
            <w:tcW w:w="4905" w:type="dxa"/>
            <w:shd w:val="clear" w:color="auto" w:fill="auto"/>
          </w:tcPr>
          <w:p>
            <w:pPr>
              <w:pStyle w:val="7"/>
            </w:pPr>
            <w:r>
              <w:rPr>
                <w:rFonts w:hint="eastAsia"/>
              </w:rPr>
              <w:t xml:space="preserve">待摊费用 </w:t>
            </w:r>
          </w:p>
        </w:tc>
        <w:tc>
          <w:tcPr>
            <w:tcW w:w="49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8 </w:t>
            </w:r>
          </w:p>
        </w:tc>
        <w:tc>
          <w:tcPr>
            <w:tcW w:w="4905" w:type="dxa"/>
            <w:shd w:val="clear" w:color="auto" w:fill="auto"/>
          </w:tcPr>
          <w:p>
            <w:pPr>
              <w:pStyle w:val="7"/>
            </w:pPr>
            <w:r>
              <w:rPr>
                <w:rFonts w:hint="eastAsia"/>
              </w:rPr>
              <w:t xml:space="preserve">其他 </w:t>
            </w:r>
          </w:p>
        </w:tc>
        <w:tc>
          <w:tcPr>
            <w:tcW w:w="4905" w:type="dxa"/>
            <w:shd w:val="clear" w:color="auto" w:fill="auto"/>
          </w:tcPr>
          <w:p>
            <w:pPr>
              <w:pStyle w:val="7"/>
              <w:jc w:val="righ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pPr>
            <w:r>
              <w:rPr>
                <w:rFonts w:hint="eastAsia"/>
              </w:rPr>
              <w:t xml:space="preserve">9 </w:t>
            </w:r>
          </w:p>
        </w:tc>
        <w:tc>
          <w:tcPr>
            <w:tcW w:w="4905" w:type="dxa"/>
            <w:shd w:val="clear" w:color="auto" w:fill="auto"/>
          </w:tcPr>
          <w:p>
            <w:pPr>
              <w:pStyle w:val="7"/>
            </w:pPr>
            <w:r>
              <w:rPr>
                <w:rFonts w:hint="eastAsia"/>
              </w:rPr>
              <w:t xml:space="preserve">合计 </w:t>
            </w:r>
          </w:p>
        </w:tc>
        <w:tc>
          <w:tcPr>
            <w:tcW w:w="4905" w:type="dxa"/>
            <w:shd w:val="clear" w:color="auto" w:fill="auto"/>
          </w:tcPr>
          <w:p>
            <w:pPr>
              <w:pStyle w:val="7"/>
              <w:jc w:val="right"/>
            </w:pPr>
            <w:r>
              <w:rPr>
                <w:rFonts w:hint="eastAsia"/>
              </w:rPr>
              <w:t xml:space="preserve">2,838,767.69 </w:t>
            </w:r>
          </w:p>
        </w:tc>
      </w:tr>
    </w:tbl>
    <w:p>
      <w:pPr>
        <w:pStyle w:val="7"/>
        <w:spacing w:before="0" w:beforeAutospacing="0" w:after="0" w:afterAutospacing="0" w:line="360" w:lineRule="auto"/>
        <w:ind w:firstLine="420"/>
        <w:rPr>
          <w:sz w:val="21"/>
          <w:szCs w:val="21"/>
        </w:rPr>
      </w:pPr>
      <w:r>
        <w:rPr>
          <w:rFonts w:hint="eastAsia"/>
          <w:sz w:val="21"/>
          <w:szCs w:val="21"/>
        </w:rPr>
        <w:t xml:space="preserve">11.4报告期末持有的处于转股期的可转换债券明细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本基金本报告期末未持有处于转股期的可转换债券。 </w:t>
      </w:r>
    </w:p>
    <w:p>
      <w:pPr>
        <w:pStyle w:val="7"/>
        <w:spacing w:before="0" w:beforeAutospacing="0" w:after="0" w:afterAutospacing="0" w:line="360" w:lineRule="auto"/>
        <w:ind w:firstLine="420"/>
        <w:rPr>
          <w:sz w:val="21"/>
          <w:szCs w:val="21"/>
        </w:rPr>
      </w:pPr>
      <w:r>
        <w:rPr>
          <w:rFonts w:hint="eastAsia"/>
          <w:sz w:val="21"/>
          <w:szCs w:val="21"/>
        </w:rPr>
        <w:t xml:space="preserve">11.5报告期末前十名股票中存在流通受限情况的说明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本基金本报告期末前十名股票中不存在流通受限情况。 </w:t>
      </w:r>
    </w:p>
    <w:p>
      <w:pPr>
        <w:pStyle w:val="7"/>
        <w:spacing w:before="0" w:beforeAutospacing="0" w:after="0" w:afterAutospacing="0" w:line="360" w:lineRule="auto"/>
        <w:ind w:firstLine="420"/>
        <w:rPr>
          <w:sz w:val="21"/>
          <w:szCs w:val="21"/>
        </w:rPr>
      </w:pPr>
      <w:r>
        <w:rPr>
          <w:rFonts w:hint="eastAsia"/>
          <w:sz w:val="21"/>
          <w:szCs w:val="21"/>
        </w:rPr>
        <w:t xml:space="preserve">11.6投资组合报告附注的其他文字描述部分 </w:t>
      </w:r>
    </w:p>
    <w:p>
      <w:pPr>
        <w:pStyle w:val="7"/>
        <w:spacing w:before="0" w:beforeAutospacing="0" w:after="0" w:afterAutospacing="0" w:line="360" w:lineRule="auto"/>
        <w:ind w:firstLine="420"/>
        <w:rPr>
          <w:sz w:val="21"/>
          <w:szCs w:val="21"/>
        </w:rPr>
      </w:pPr>
      <w:bookmarkStart w:id="135" w:name="chapter_level1_11_60_section_6_end"/>
      <w:bookmarkEnd w:id="135"/>
      <w:r>
        <w:rPr>
          <w:rFonts w:hint="eastAsia"/>
          <w:sz w:val="21"/>
          <w:szCs w:val="21"/>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6" w:name="chapter_level1_12_3500"/>
      <w:bookmarkStart w:id="137" w:name="_Toc113295498"/>
      <w:r>
        <w:rPr>
          <w:rFonts w:hint="eastAsia" w:ascii="宋体" w:hAnsi="宋体" w:eastAsia="宋体"/>
          <w:sz w:val="30"/>
        </w:rPr>
        <w:t>第九部分 基金的业绩</w:t>
      </w:r>
      <w:bookmarkEnd w:id="136"/>
      <w:bookmarkEnd w:id="137"/>
    </w:p>
    <w:p>
      <w:pPr>
        <w:pStyle w:val="7"/>
        <w:spacing w:before="0" w:beforeAutospacing="0" w:after="0" w:afterAutospacing="0" w:line="360" w:lineRule="auto"/>
        <w:ind w:firstLine="420"/>
        <w:rPr>
          <w:sz w:val="21"/>
          <w:szCs w:val="21"/>
        </w:rPr>
      </w:pPr>
      <w:bookmarkStart w:id="138" w:name="chapter_level1_12_3500_section_1"/>
      <w:bookmarkEnd w:id="138"/>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历史各时间段基金份额净值增长率及其与同期业绩比较基准收益率的比较： </w:t>
      </w:r>
    </w:p>
    <w:p>
      <w:pPr>
        <w:pStyle w:val="7"/>
        <w:spacing w:before="0" w:beforeAutospacing="0" w:after="0" w:afterAutospacing="0" w:line="360" w:lineRule="auto"/>
        <w:ind w:firstLine="420"/>
        <w:rPr>
          <w:sz w:val="21"/>
          <w:szCs w:val="21"/>
        </w:rPr>
      </w:pPr>
      <w:bookmarkStart w:id="139" w:name="field_0_indatatable_1_start"/>
      <w:bookmarkEnd w:id="139"/>
      <w:r>
        <w:rPr>
          <w:rFonts w:hint="eastAsia"/>
          <w:sz w:val="21"/>
          <w:szCs w:val="21"/>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38"/>
        <w:gridCol w:w="970"/>
        <w:gridCol w:w="1180"/>
        <w:gridCol w:w="1110"/>
        <w:gridCol w:w="95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2010.12.10-2010.12.31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2011.01.01-2011.12.31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-27.80%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-19.41%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-8.39%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2012.01.01-2012.12.31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4.02%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-2.85%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2013.01.01-2013.12.31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4.13%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-6.22%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10.35%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2014.01.01-2014.12.31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16.11%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42.96%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-26.85%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2015.01.01-2015.12.31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13.00%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2.71%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7.38%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5.62%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2016.01.01-2016.12.31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-8.54%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6.69%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2017.01.01-2017.12.31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27.90%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16.89%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11.01%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2018.01.01-2018.12.31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-23.37%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-19.05%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-4.32%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2019.01.01-2019.12.31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31.91%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29.45%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2.46%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2020.01.01-2020.12.31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40.09%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22.51%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17.58%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2021.01.01-2021.12.31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-2.86%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18.16%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2022.01.01-2022.06.30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-18.50%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2.54%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-6.98%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-11.52%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2010.12.10-2022.06.30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71.40%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54.11%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17.29%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0.52% </w:t>
            </w:r>
          </w:p>
        </w:tc>
      </w:tr>
    </w:tbl>
    <w:p>
      <w:pPr>
        <w:pStyle w:val="7"/>
        <w:spacing w:before="0" w:beforeAutospacing="0" w:after="0" w:afterAutospacing="0" w:line="360" w:lineRule="auto"/>
        <w:ind w:firstLine="420"/>
        <w:rPr>
          <w:sz w:val="21"/>
          <w:szCs w:val="21"/>
        </w:rPr>
      </w:pPr>
      <w:bookmarkStart w:id="140" w:name="field_0_indatatable_1_end"/>
      <w:bookmarkEnd w:id="140"/>
      <w:bookmarkStart w:id="141" w:name="chapter_level1_12_3500_section_1_end"/>
      <w:bookmarkEnd w:id="141"/>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2" w:name="_Toc113295499"/>
      <w:bookmarkStart w:id="143" w:name="chapter_level1_13_62"/>
      <w:r>
        <w:rPr>
          <w:rFonts w:hint="eastAsia" w:ascii="宋体" w:hAnsi="宋体" w:eastAsia="宋体"/>
          <w:sz w:val="30"/>
        </w:rPr>
        <w:t>第十部分  基金的财产</w:t>
      </w:r>
      <w:bookmarkEnd w:id="142"/>
      <w:bookmarkEnd w:id="143"/>
    </w:p>
    <w:p>
      <w:pPr>
        <w:pStyle w:val="7"/>
        <w:spacing w:before="0" w:beforeAutospacing="0" w:after="0" w:afterAutospacing="0" w:line="360" w:lineRule="auto"/>
        <w:ind w:firstLine="420"/>
        <w:rPr>
          <w:sz w:val="21"/>
          <w:szCs w:val="21"/>
        </w:rPr>
      </w:pPr>
      <w:bookmarkStart w:id="144" w:name="chapter_level1_13_62_section_1"/>
      <w:bookmarkEnd w:id="144"/>
      <w:r>
        <w:rPr>
          <w:rStyle w:val="11"/>
          <w:rFonts w:hint="eastAsia"/>
          <w:sz w:val="21"/>
          <w:szCs w:val="21"/>
        </w:rPr>
        <w:t>一、基金资产总值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基金资产总值是指基金拥有的各类有价证券、银行存款本息、基金应收款项以及其他资产的价值总和。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基金资产净值是指基金资产总值减去负债后的价值。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 xml:space="preserve">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 </w:t>
      </w:r>
    </w:p>
    <w:p>
      <w:pPr>
        <w:pStyle w:val="7"/>
        <w:spacing w:before="0" w:beforeAutospacing="0" w:after="0" w:afterAutospacing="0" w:line="360" w:lineRule="auto"/>
        <w:ind w:firstLine="420"/>
        <w:rPr>
          <w:sz w:val="21"/>
          <w:szCs w:val="21"/>
        </w:rPr>
      </w:pPr>
      <w:r>
        <w:rPr>
          <w:rStyle w:val="11"/>
          <w:rFonts w:hint="eastAsia"/>
          <w:sz w:val="21"/>
          <w:szCs w:val="21"/>
        </w:rPr>
        <w:t>四、基金财产的处分</w:t>
      </w:r>
    </w:p>
    <w:p>
      <w:pPr>
        <w:pStyle w:val="7"/>
        <w:spacing w:before="0" w:beforeAutospacing="0" w:after="0" w:afterAutospacing="0" w:line="360" w:lineRule="auto"/>
        <w:ind w:firstLine="420"/>
        <w:rPr>
          <w:sz w:val="21"/>
          <w:szCs w:val="21"/>
        </w:rPr>
      </w:pPr>
      <w:r>
        <w:rPr>
          <w:rFonts w:hint="eastAsia"/>
          <w:sz w:val="21"/>
          <w:szCs w:val="21"/>
        </w:rPr>
        <w:t xml:space="preserve">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基金管理人、基金托管人因依法解散、被依法撤销或者被依法宣告破产等原因进行清算的，基金财产不属于其清算财产。 </w:t>
      </w:r>
    </w:p>
    <w:p>
      <w:pPr>
        <w:pStyle w:val="7"/>
        <w:spacing w:before="0" w:beforeAutospacing="0" w:after="0" w:afterAutospacing="0" w:line="360" w:lineRule="auto"/>
        <w:ind w:firstLine="420"/>
        <w:rPr>
          <w:sz w:val="21"/>
          <w:szCs w:val="21"/>
        </w:rPr>
      </w:pPr>
      <w:r>
        <w:rPr>
          <w:rFonts w:hint="eastAsia"/>
          <w:sz w:val="21"/>
          <w:szCs w:val="21"/>
        </w:rPr>
        <w:t>除依据《基金法》、基金合同及其他有关规定处分外，基金财产不得被处分。非因基金</w:t>
      </w:r>
      <w:bookmarkStart w:id="145" w:name="chapter_level1_13_62_section_1_end"/>
      <w:bookmarkEnd w:id="145"/>
      <w:r>
        <w:rPr>
          <w:rFonts w:hint="eastAsia"/>
          <w:sz w:val="21"/>
          <w:szCs w:val="21"/>
        </w:rPr>
        <w:t xml:space="preserve">财产本身承担的债务，不得对基金财产强制执行。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6" w:name="chapter_level1_14_63"/>
      <w:bookmarkStart w:id="147" w:name="_Toc113295500"/>
      <w:r>
        <w:rPr>
          <w:rFonts w:hint="eastAsia" w:ascii="宋体" w:hAnsi="宋体" w:eastAsia="宋体"/>
          <w:sz w:val="30"/>
        </w:rPr>
        <w:t>第十一部分  基金资产的估值</w:t>
      </w:r>
      <w:bookmarkEnd w:id="146"/>
      <w:bookmarkEnd w:id="147"/>
    </w:p>
    <w:p>
      <w:pPr>
        <w:pStyle w:val="7"/>
        <w:spacing w:before="0" w:beforeAutospacing="0" w:after="0" w:afterAutospacing="0" w:line="360" w:lineRule="auto"/>
        <w:ind w:firstLine="420"/>
        <w:rPr>
          <w:sz w:val="21"/>
          <w:szCs w:val="21"/>
        </w:rPr>
      </w:pPr>
      <w:bookmarkStart w:id="148" w:name="chapter_level1_14_63_section_1"/>
      <w:bookmarkEnd w:id="148"/>
      <w:r>
        <w:rPr>
          <w:rStyle w:val="11"/>
          <w:rFonts w:hint="eastAsia"/>
          <w:sz w:val="21"/>
          <w:szCs w:val="21"/>
        </w:rPr>
        <w:t>一、估值日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本基金的估值日为本基金相关的证券交易场所的正常营业日以及国家法律法规规定需要对外披露基金净值的非营业日。 </w:t>
      </w:r>
    </w:p>
    <w:p>
      <w:pPr>
        <w:pStyle w:val="7"/>
        <w:spacing w:before="0" w:beforeAutospacing="0" w:after="0" w:afterAutospacing="0" w:line="360" w:lineRule="auto"/>
        <w:ind w:firstLine="420"/>
        <w:rPr>
          <w:sz w:val="21"/>
          <w:szCs w:val="21"/>
        </w:rPr>
      </w:pPr>
      <w:r>
        <w:rPr>
          <w:rStyle w:val="11"/>
          <w:rFonts w:hint="eastAsia"/>
          <w:sz w:val="21"/>
          <w:szCs w:val="21"/>
        </w:rPr>
        <w:t>二、估值方法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pPr>
        <w:pStyle w:val="7"/>
        <w:spacing w:before="0" w:beforeAutospacing="0" w:after="0" w:afterAutospacing="0" w:line="360" w:lineRule="auto"/>
        <w:ind w:firstLine="420"/>
        <w:rPr>
          <w:sz w:val="21"/>
          <w:szCs w:val="21"/>
        </w:rPr>
      </w:pPr>
      <w:r>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7、相关法律法规以及监管部门有强制规定的，从其规定。如有新增事项，按国家最新规定估值。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pPr>
        <w:pStyle w:val="7"/>
        <w:spacing w:before="0" w:beforeAutospacing="0" w:after="0" w:afterAutospacing="0" w:line="360" w:lineRule="auto"/>
        <w:ind w:firstLine="420"/>
        <w:rPr>
          <w:sz w:val="21"/>
          <w:szCs w:val="21"/>
        </w:rPr>
      </w:pPr>
      <w:r>
        <w:rPr>
          <w:rStyle w:val="11"/>
          <w:rFonts w:hint="eastAsia"/>
          <w:sz w:val="21"/>
          <w:szCs w:val="21"/>
        </w:rPr>
        <w:t>三、估值对象</w:t>
      </w:r>
    </w:p>
    <w:p>
      <w:pPr>
        <w:pStyle w:val="7"/>
        <w:spacing w:before="0" w:beforeAutospacing="0" w:after="0" w:afterAutospacing="0" w:line="360" w:lineRule="auto"/>
        <w:ind w:firstLine="420"/>
        <w:rPr>
          <w:sz w:val="21"/>
          <w:szCs w:val="21"/>
        </w:rPr>
      </w:pPr>
      <w:bookmarkStart w:id="149" w:name="chapter_level1_14_63_section_1_end"/>
      <w:bookmarkEnd w:id="149"/>
      <w:r>
        <w:rPr>
          <w:rFonts w:hint="eastAsia"/>
          <w:sz w:val="21"/>
          <w:szCs w:val="21"/>
        </w:rPr>
        <w:t xml:space="preserve">基金所拥有的股票、权证、债券和银行存款本息、应收款项、其它投资等资产。 </w:t>
      </w:r>
    </w:p>
    <w:p>
      <w:pPr>
        <w:pStyle w:val="7"/>
        <w:spacing w:before="0" w:beforeAutospacing="0" w:after="0" w:afterAutospacing="0" w:line="360" w:lineRule="auto"/>
        <w:ind w:firstLine="420"/>
        <w:rPr>
          <w:sz w:val="21"/>
          <w:szCs w:val="21"/>
        </w:rPr>
      </w:pPr>
      <w:bookmarkStart w:id="150" w:name="chapter_level1_14_63_section_2"/>
      <w:bookmarkEnd w:id="150"/>
      <w:r>
        <w:rPr>
          <w:rStyle w:val="11"/>
          <w:rFonts w:hint="eastAsia"/>
          <w:sz w:val="21"/>
          <w:szCs w:val="21"/>
        </w:rPr>
        <w:t>四、估值程序</w:t>
      </w:r>
    </w:p>
    <w:p>
      <w:pPr>
        <w:pStyle w:val="7"/>
        <w:spacing w:before="0" w:beforeAutospacing="0" w:after="0" w:afterAutospacing="0" w:line="360" w:lineRule="auto"/>
        <w:ind w:firstLine="420"/>
        <w:rPr>
          <w:sz w:val="21"/>
          <w:szCs w:val="21"/>
        </w:rPr>
      </w:pPr>
      <w:r>
        <w:rPr>
          <w:rFonts w:hint="eastAsia"/>
          <w:sz w:val="21"/>
          <w:szCs w:val="21"/>
        </w:rPr>
        <w:t>1、基金份额净值是按照每个工作日闭市后，基金资产净值除以当日基金份额的余额数量计算，精确到</w:t>
      </w:r>
      <w:bookmarkStart w:id="151" w:name="field_63_netdecimalvalue_1"/>
      <w:r>
        <w:rPr>
          <w:sz w:val="21"/>
          <w:szCs w:val="21"/>
        </w:rPr>
        <w:t>0.001</w:t>
      </w:r>
      <w:bookmarkEnd w:id="151"/>
      <w:r>
        <w:rPr>
          <w:rFonts w:hint="eastAsia"/>
          <w:sz w:val="21"/>
          <w:szCs w:val="21"/>
        </w:rPr>
        <w:t>元，小数点后第</w:t>
      </w:r>
      <w:bookmarkStart w:id="152" w:name="field_63_netdecimaladd1_1"/>
      <w:r>
        <w:rPr>
          <w:sz w:val="21"/>
          <w:szCs w:val="21"/>
        </w:rPr>
        <w:t>4</w:t>
      </w:r>
      <w:bookmarkEnd w:id="152"/>
      <w:r>
        <w:rPr>
          <w:rFonts w:hint="eastAsia"/>
          <w:sz w:val="21"/>
          <w:szCs w:val="21"/>
        </w:rPr>
        <w:t xml:space="preserve">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每个工作日计算基金资产净值及基金份额净值，并按规定公告。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 </w:t>
      </w:r>
    </w:p>
    <w:p>
      <w:pPr>
        <w:pStyle w:val="7"/>
        <w:spacing w:before="0" w:beforeAutospacing="0" w:after="0" w:afterAutospacing="0" w:line="360" w:lineRule="auto"/>
        <w:ind w:firstLine="420"/>
        <w:rPr>
          <w:sz w:val="21"/>
          <w:szCs w:val="21"/>
        </w:rPr>
      </w:pPr>
      <w:r>
        <w:rPr>
          <w:rStyle w:val="11"/>
          <w:rFonts w:hint="eastAsia"/>
          <w:sz w:val="21"/>
          <w:szCs w:val="21"/>
        </w:rPr>
        <w:t>五、估值错误的处理</w:t>
      </w:r>
    </w:p>
    <w:p>
      <w:pPr>
        <w:pStyle w:val="7"/>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基金管理人和基金托管人将采取必要、适当、合理的措施确保基金资产估值的准确性、及时性。当基金份额净值小数点后</w:t>
      </w:r>
      <w:bookmarkStart w:id="153" w:name="field_63_netdecimal_1"/>
      <w:r>
        <w:rPr>
          <w:sz w:val="21"/>
          <w:szCs w:val="21"/>
        </w:rPr>
        <w:t>3</w:t>
      </w:r>
      <w:bookmarkEnd w:id="153"/>
      <w:r>
        <w:rPr>
          <w:rFonts w:hint="eastAsia"/>
          <w:sz w:val="21"/>
          <w:szCs w:val="21"/>
        </w:rPr>
        <w:t>位以内（含第</w:t>
      </w:r>
      <w:bookmarkStart w:id="154" w:name="field_63_netdecimal_2"/>
      <w:r>
        <w:rPr>
          <w:sz w:val="21"/>
          <w:szCs w:val="21"/>
        </w:rPr>
        <w:t>3</w:t>
      </w:r>
      <w:bookmarkEnd w:id="154"/>
      <w:r>
        <w:rPr>
          <w:rFonts w:hint="eastAsia"/>
          <w:sz w:val="21"/>
          <w:szCs w:val="21"/>
        </w:rPr>
        <w:t xml:space="preserve">位）发生差错时，视为基金份额净值错误。 </w:t>
      </w:r>
    </w:p>
    <w:p>
      <w:pPr>
        <w:pStyle w:val="7"/>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1、差错类型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代销机构、或投资者自身的过错造成差错，导致其他当事人遭受损失的，过错的责任人应当对由于该差错遭受损失当事人（“受损方”）的直接损失按下述“差错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pPr>
        <w:pStyle w:val="7"/>
        <w:spacing w:before="0" w:beforeAutospacing="0" w:after="0" w:afterAutospacing="0" w:line="360" w:lineRule="auto"/>
        <w:ind w:firstLine="420"/>
        <w:rPr>
          <w:sz w:val="21"/>
          <w:szCs w:val="21"/>
        </w:rPr>
      </w:pPr>
      <w:r>
        <w:rPr>
          <w:rFonts w:hint="eastAsia"/>
          <w:sz w:val="21"/>
          <w:szCs w:val="21"/>
        </w:rPr>
        <w:t xml:space="preserve">由于不可抗力原因造成投资者的交易资料灭失或被错误处理或造成其他差错，因不可抗力原因出现差错的当事人不对其他当事人承担赔偿责任，但因该差错取得不当得利的当事人仍应负有返还不当得利的义务。 </w:t>
      </w:r>
    </w:p>
    <w:p>
      <w:pPr>
        <w:pStyle w:val="7"/>
        <w:spacing w:before="0" w:beforeAutospacing="0" w:after="0" w:afterAutospacing="0" w:line="360" w:lineRule="auto"/>
        <w:ind w:firstLine="420"/>
        <w:rPr>
          <w:sz w:val="21"/>
          <w:szCs w:val="21"/>
        </w:rPr>
      </w:pPr>
      <w:r>
        <w:rPr>
          <w:rFonts w:hint="eastAsia"/>
          <w:sz w:val="21"/>
          <w:szCs w:val="21"/>
        </w:rPr>
        <w:t xml:space="preserve">2、差错处理原则 </w:t>
      </w:r>
    </w:p>
    <w:p>
      <w:pPr>
        <w:pStyle w:val="7"/>
        <w:spacing w:before="0" w:beforeAutospacing="0" w:after="0" w:afterAutospacing="0" w:line="360" w:lineRule="auto"/>
        <w:ind w:firstLine="420"/>
        <w:rPr>
          <w:sz w:val="21"/>
          <w:szCs w:val="21"/>
        </w:rPr>
      </w:pPr>
      <w:r>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 </w:t>
      </w:r>
    </w:p>
    <w:p>
      <w:pPr>
        <w:pStyle w:val="7"/>
        <w:spacing w:before="0" w:beforeAutospacing="0" w:after="0" w:afterAutospacing="0" w:line="360" w:lineRule="auto"/>
        <w:ind w:firstLine="420"/>
        <w:rPr>
          <w:sz w:val="21"/>
          <w:szCs w:val="21"/>
        </w:rPr>
      </w:pPr>
      <w:r>
        <w:rPr>
          <w:rFonts w:hint="eastAsia"/>
          <w:sz w:val="21"/>
          <w:szCs w:val="21"/>
        </w:rPr>
        <w:t xml:space="preserve">（2）差错的责任方对有关当事人的直接损失负责，不对间接损失负责，并且仅对差错的有关直接当事人负责，不对第三方负责。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pPr>
        <w:pStyle w:val="7"/>
        <w:spacing w:before="0" w:beforeAutospacing="0" w:after="0" w:afterAutospacing="0" w:line="360" w:lineRule="auto"/>
        <w:ind w:firstLine="420"/>
        <w:rPr>
          <w:sz w:val="21"/>
          <w:szCs w:val="21"/>
        </w:rPr>
      </w:pPr>
      <w:r>
        <w:rPr>
          <w:rFonts w:hint="eastAsia"/>
          <w:sz w:val="21"/>
          <w:szCs w:val="21"/>
        </w:rPr>
        <w:t xml:space="preserve">（4）差错调整采用尽量恢复至假设未发生差错的正确情形的方式。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 </w:t>
      </w:r>
    </w:p>
    <w:p>
      <w:pPr>
        <w:pStyle w:val="7"/>
        <w:spacing w:before="0" w:beforeAutospacing="0" w:after="0" w:afterAutospacing="0" w:line="360" w:lineRule="auto"/>
        <w:ind w:firstLine="420"/>
        <w:rPr>
          <w:sz w:val="21"/>
          <w:szCs w:val="21"/>
        </w:rPr>
      </w:pPr>
      <w:r>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 </w:t>
      </w:r>
    </w:p>
    <w:p>
      <w:pPr>
        <w:pStyle w:val="7"/>
        <w:spacing w:before="0" w:beforeAutospacing="0" w:after="0" w:afterAutospacing="0" w:line="360" w:lineRule="auto"/>
        <w:ind w:firstLine="420"/>
        <w:rPr>
          <w:sz w:val="21"/>
          <w:szCs w:val="21"/>
        </w:rPr>
      </w:pPr>
      <w:r>
        <w:rPr>
          <w:rFonts w:hint="eastAsia"/>
          <w:sz w:val="21"/>
          <w:szCs w:val="21"/>
        </w:rPr>
        <w:t xml:space="preserve">（7）按法律法规规定的其他原则处理差错。 </w:t>
      </w:r>
    </w:p>
    <w:p>
      <w:pPr>
        <w:pStyle w:val="7"/>
        <w:spacing w:before="0" w:beforeAutospacing="0" w:after="0" w:afterAutospacing="0" w:line="360" w:lineRule="auto"/>
        <w:ind w:firstLine="420"/>
        <w:rPr>
          <w:sz w:val="21"/>
          <w:szCs w:val="21"/>
        </w:rPr>
      </w:pPr>
      <w:r>
        <w:rPr>
          <w:rFonts w:hint="eastAsia"/>
          <w:sz w:val="21"/>
          <w:szCs w:val="21"/>
        </w:rPr>
        <w:t xml:space="preserve">3、差错处理程序 </w:t>
      </w:r>
    </w:p>
    <w:p>
      <w:pPr>
        <w:pStyle w:val="7"/>
        <w:spacing w:before="0" w:beforeAutospacing="0" w:after="0" w:afterAutospacing="0" w:line="360" w:lineRule="auto"/>
        <w:ind w:firstLine="420"/>
        <w:rPr>
          <w:sz w:val="21"/>
          <w:szCs w:val="21"/>
        </w:rPr>
      </w:pPr>
      <w:r>
        <w:rPr>
          <w:rFonts w:hint="eastAsia"/>
          <w:sz w:val="21"/>
          <w:szCs w:val="21"/>
        </w:rPr>
        <w:t xml:space="preserve">差错被发现后，有关的当事人应当及时进行处理，处理的程序如下：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（1）查明差错发生的原因，列明所有的当事人，并根据差错发生的原因确定差错的责任方； </w:t>
      </w:r>
    </w:p>
    <w:p>
      <w:pPr>
        <w:pStyle w:val="7"/>
        <w:spacing w:before="0" w:beforeAutospacing="0" w:after="0" w:afterAutospacing="0" w:line="360" w:lineRule="auto"/>
        <w:ind w:firstLine="420"/>
        <w:rPr>
          <w:sz w:val="21"/>
          <w:szCs w:val="21"/>
        </w:rPr>
      </w:pPr>
      <w:r>
        <w:rPr>
          <w:rFonts w:hint="eastAsia"/>
          <w:sz w:val="21"/>
          <w:szCs w:val="21"/>
        </w:rPr>
        <w:t xml:space="preserve">（2）根据差错处理原则或当事人协商的方法对因差错造成的损失进行评估；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（3）根据差错处理原则或当事人协商的方法由差错的责任方进行更正和赔偿损失；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（4）根据差错处理的方法，需要修改基金登记机构交易数据的，由基金登记机构进行更正，并就差错的更正向有关当事人进行确认。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4、基金份额净值差错处理的原则和方法如下： </w:t>
      </w:r>
    </w:p>
    <w:p>
      <w:pPr>
        <w:pStyle w:val="7"/>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7"/>
        <w:spacing w:before="0" w:beforeAutospacing="0" w:after="0" w:afterAutospacing="0" w:line="360" w:lineRule="auto"/>
        <w:ind w:firstLine="420"/>
        <w:rPr>
          <w:sz w:val="21"/>
          <w:szCs w:val="21"/>
        </w:rPr>
      </w:pPr>
      <w:r>
        <w:rPr>
          <w:rFonts w:hint="eastAsia"/>
          <w:sz w:val="21"/>
          <w:szCs w:val="21"/>
        </w:rPr>
        <w:t xml:space="preserve">（2）基金管理人和托管人基金份额计算错误偏差达到基金份额净值的0.25%时，基金管理人应当报中国证监会备案；错误偏差达到基金份额净值的0.5%时，基金管理人应当公告并报中国证监会备案。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（3）基金管理人和基金托管人由于各自技术系统设置而产生的净值计算尾差，以基金管理人计算结果为准。 </w:t>
      </w:r>
    </w:p>
    <w:p>
      <w:pPr>
        <w:pStyle w:val="7"/>
        <w:spacing w:before="0" w:beforeAutospacing="0" w:after="0" w:afterAutospacing="0" w:line="360" w:lineRule="auto"/>
        <w:ind w:firstLine="420"/>
        <w:rPr>
          <w:sz w:val="21"/>
          <w:szCs w:val="21"/>
        </w:rPr>
      </w:pPr>
      <w:r>
        <w:rPr>
          <w:rFonts w:hint="eastAsia"/>
          <w:sz w:val="21"/>
          <w:szCs w:val="21"/>
        </w:rPr>
        <w:t xml:space="preserve">（4）因基金份额净值计价错误造成基金份额持有人损失的，基金份额持有人有权要求基金管理人、基金托管人予以赔偿。 </w:t>
      </w:r>
    </w:p>
    <w:p>
      <w:pPr>
        <w:pStyle w:val="7"/>
        <w:spacing w:before="0" w:beforeAutospacing="0" w:after="0" w:afterAutospacing="0" w:line="360" w:lineRule="auto"/>
        <w:ind w:firstLine="420"/>
        <w:rPr>
          <w:sz w:val="21"/>
          <w:szCs w:val="21"/>
        </w:rPr>
      </w:pPr>
      <w:r>
        <w:rPr>
          <w:rFonts w:hint="eastAsia"/>
          <w:sz w:val="21"/>
          <w:szCs w:val="21"/>
        </w:rPr>
        <w:t xml:space="preserve">（5）前述内容如法律法规或监管机关另有规定的，从其规定处理。 </w:t>
      </w:r>
    </w:p>
    <w:p>
      <w:pPr>
        <w:pStyle w:val="7"/>
        <w:spacing w:before="0" w:beforeAutospacing="0" w:after="0" w:afterAutospacing="0" w:line="360" w:lineRule="auto"/>
        <w:ind w:firstLine="420"/>
        <w:rPr>
          <w:sz w:val="21"/>
          <w:szCs w:val="21"/>
        </w:rPr>
      </w:pPr>
      <w:r>
        <w:rPr>
          <w:rStyle w:val="11"/>
          <w:rFonts w:hint="eastAsia"/>
          <w:sz w:val="21"/>
          <w:szCs w:val="21"/>
        </w:rPr>
        <w:t>六、暂停估值的情形</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1、基金投资所涉及的证券交易市场遇法定节假日或因其他原因暂停营业时；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2、因不可抗力或其它情形致使基金管理人、基金托管人无法准确评估基金资产价值时；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3、占基金相当比例的投资品种的估值出现重大转变，而基金管理人为保障投资者的利益，已决定延迟估值；如出现会导致基金管理人不能出售或评估基金资产的紧急情况时； </w:t>
      </w:r>
    </w:p>
    <w:p>
      <w:pPr>
        <w:pStyle w:val="7"/>
        <w:spacing w:before="0" w:beforeAutospacing="0" w:after="0" w:afterAutospacing="0" w:line="360" w:lineRule="auto"/>
        <w:ind w:firstLine="420"/>
        <w:rPr>
          <w:sz w:val="21"/>
          <w:szCs w:val="21"/>
        </w:rPr>
      </w:pPr>
      <w:r>
        <w:rPr>
          <w:rFonts w:hint="eastAsia"/>
          <w:sz w:val="21"/>
          <w:szCs w:val="21"/>
        </w:rPr>
        <w:t xml:space="preserve">4、当前一估值日基金资产净值50%以上的资产出现无可参考的活跃市场价格且采用估值技术仍导致公允价值存在重大不确定性时，经与基金托管人协商一致的，应当暂停估值；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5、法律法规规定、中国证监会和基金合同认定的其它情形。 </w:t>
      </w:r>
    </w:p>
    <w:p>
      <w:pPr>
        <w:pStyle w:val="7"/>
        <w:spacing w:before="0" w:beforeAutospacing="0" w:after="0" w:afterAutospacing="0" w:line="360" w:lineRule="auto"/>
        <w:ind w:firstLine="420"/>
        <w:rPr>
          <w:sz w:val="21"/>
          <w:szCs w:val="21"/>
        </w:rPr>
      </w:pPr>
      <w:r>
        <w:rPr>
          <w:rStyle w:val="11"/>
          <w:rFonts w:hint="eastAsia"/>
          <w:sz w:val="21"/>
          <w:szCs w:val="21"/>
        </w:rPr>
        <w:t>七、基金净值的确认</w:t>
      </w:r>
    </w:p>
    <w:p>
      <w:pPr>
        <w:pStyle w:val="7"/>
        <w:spacing w:before="0" w:beforeAutospacing="0" w:after="0" w:afterAutospacing="0" w:line="360" w:lineRule="auto"/>
        <w:ind w:firstLine="420"/>
        <w:rPr>
          <w:sz w:val="21"/>
          <w:szCs w:val="21"/>
        </w:rPr>
      </w:pPr>
      <w:r>
        <w:rPr>
          <w:rFonts w:hint="eastAsia"/>
          <w:sz w:val="21"/>
          <w:szCs w:val="21"/>
        </w:rPr>
        <w:t xml:space="preserve">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按规定对基金净值予以公布。 </w:t>
      </w:r>
    </w:p>
    <w:p>
      <w:pPr>
        <w:pStyle w:val="7"/>
        <w:spacing w:before="0" w:beforeAutospacing="0" w:after="0" w:afterAutospacing="0" w:line="360" w:lineRule="auto"/>
        <w:ind w:firstLine="420"/>
        <w:rPr>
          <w:sz w:val="21"/>
          <w:szCs w:val="21"/>
        </w:rPr>
      </w:pPr>
      <w:r>
        <w:rPr>
          <w:rStyle w:val="11"/>
          <w:rFonts w:hint="eastAsia"/>
          <w:sz w:val="21"/>
          <w:szCs w:val="21"/>
        </w:rPr>
        <w:t>八、特殊情况的处理</w:t>
      </w:r>
    </w:p>
    <w:p>
      <w:pPr>
        <w:pStyle w:val="7"/>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1、基金管理人或基金托管人按估值方法的第6项进行估值时，所造成的误差不作为基金资产估值错误处理。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w:t>
      </w:r>
      <w:bookmarkStart w:id="155" w:name="chapter_level1_14_63_section_2_end"/>
      <w:bookmarkEnd w:id="155"/>
      <w:r>
        <w:rPr>
          <w:rFonts w:hint="eastAsia"/>
          <w:sz w:val="21"/>
          <w:szCs w:val="21"/>
        </w:rPr>
        <w:t xml:space="preserve">人免除赔偿责任。但基金管理人和基金托管人应当积极采取必要的措施消除由此造成的影响。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6" w:name="chapter_level1_15_64"/>
      <w:bookmarkStart w:id="157" w:name="_Toc113295501"/>
      <w:r>
        <w:rPr>
          <w:rFonts w:hint="eastAsia" w:ascii="宋体" w:hAnsi="宋体" w:eastAsia="宋体"/>
          <w:sz w:val="30"/>
        </w:rPr>
        <w:t>第十二部分  基金的收益分配</w:t>
      </w:r>
      <w:bookmarkEnd w:id="156"/>
      <w:bookmarkEnd w:id="157"/>
    </w:p>
    <w:p>
      <w:pPr>
        <w:pStyle w:val="7"/>
        <w:spacing w:before="0" w:beforeAutospacing="0" w:after="0" w:afterAutospacing="0" w:line="360" w:lineRule="auto"/>
        <w:ind w:firstLine="420"/>
        <w:rPr>
          <w:sz w:val="21"/>
          <w:szCs w:val="21"/>
        </w:rPr>
      </w:pPr>
      <w:bookmarkStart w:id="158" w:name="chapter_level1_15_64_section_1"/>
      <w:bookmarkEnd w:id="158"/>
      <w:r>
        <w:rPr>
          <w:rStyle w:val="11"/>
          <w:rFonts w:hint="eastAsia"/>
          <w:sz w:val="21"/>
          <w:szCs w:val="21"/>
        </w:rPr>
        <w:t>一、基金利润的构成</w:t>
      </w:r>
    </w:p>
    <w:p>
      <w:pPr>
        <w:pStyle w:val="7"/>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7"/>
        <w:spacing w:before="0" w:beforeAutospacing="0" w:after="0" w:afterAutospacing="0" w:line="360" w:lineRule="auto"/>
        <w:ind w:firstLine="420"/>
        <w:rPr>
          <w:sz w:val="21"/>
          <w:szCs w:val="21"/>
        </w:rPr>
      </w:pPr>
      <w:r>
        <w:rPr>
          <w:rStyle w:val="11"/>
          <w:rFonts w:hint="eastAsia"/>
          <w:sz w:val="21"/>
          <w:szCs w:val="21"/>
        </w:rPr>
        <w:t>二、基金可供分配利润</w:t>
      </w:r>
    </w:p>
    <w:p>
      <w:pPr>
        <w:pStyle w:val="7"/>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7"/>
        <w:spacing w:before="0" w:beforeAutospacing="0" w:after="0" w:afterAutospacing="0" w:line="360" w:lineRule="auto"/>
        <w:ind w:firstLine="420"/>
        <w:rPr>
          <w:sz w:val="21"/>
          <w:szCs w:val="21"/>
        </w:rPr>
      </w:pPr>
      <w:r>
        <w:rPr>
          <w:rStyle w:val="11"/>
          <w:rFonts w:hint="eastAsia"/>
          <w:sz w:val="21"/>
          <w:szCs w:val="21"/>
        </w:rPr>
        <w:t>三、收益分配原则</w:t>
      </w:r>
    </w:p>
    <w:p>
      <w:pPr>
        <w:pStyle w:val="7"/>
        <w:spacing w:before="0" w:beforeAutospacing="0" w:after="0" w:afterAutospacing="0" w:line="360" w:lineRule="auto"/>
        <w:ind w:firstLine="420"/>
        <w:rPr>
          <w:sz w:val="21"/>
          <w:szCs w:val="21"/>
        </w:rPr>
      </w:pPr>
      <w:r>
        <w:rPr>
          <w:rFonts w:hint="eastAsia"/>
          <w:sz w:val="21"/>
          <w:szCs w:val="21"/>
        </w:rPr>
        <w:t xml:space="preserve">本基金收益分配应遵循下列原则： </w:t>
      </w:r>
    </w:p>
    <w:p>
      <w:pPr>
        <w:pStyle w:val="7"/>
        <w:spacing w:before="0" w:beforeAutospacing="0" w:after="0" w:afterAutospacing="0" w:line="360" w:lineRule="auto"/>
        <w:ind w:firstLine="420"/>
        <w:rPr>
          <w:sz w:val="21"/>
          <w:szCs w:val="21"/>
        </w:rPr>
      </w:pPr>
      <w:r>
        <w:rPr>
          <w:rFonts w:hint="eastAsia"/>
          <w:sz w:val="21"/>
          <w:szCs w:val="21"/>
        </w:rPr>
        <w:t xml:space="preserve">1、本基金的每份基金份额享有同等分配权； </w:t>
      </w:r>
    </w:p>
    <w:p>
      <w:pPr>
        <w:pStyle w:val="7"/>
        <w:spacing w:before="0" w:beforeAutospacing="0" w:after="0" w:afterAutospacing="0" w:line="360" w:lineRule="auto"/>
        <w:ind w:firstLine="420"/>
        <w:rPr>
          <w:sz w:val="21"/>
          <w:szCs w:val="21"/>
        </w:rPr>
      </w:pPr>
      <w:r>
        <w:rPr>
          <w:rFonts w:hint="eastAsia"/>
          <w:sz w:val="21"/>
          <w:szCs w:val="21"/>
        </w:rPr>
        <w:t xml:space="preserve">2、收益分配时所发生的银行转账或其他手续费用由投资者自行承担。当投资者的现金红利小于一定金额，不足以支付银行转账或其他手续费用时，基金登记机构可将投资者的现金红利按除权后的单位净值自动转为基金份额； </w:t>
      </w:r>
    </w:p>
    <w:p>
      <w:pPr>
        <w:pStyle w:val="7"/>
        <w:spacing w:before="0" w:beforeAutospacing="0" w:after="0" w:afterAutospacing="0" w:line="360" w:lineRule="auto"/>
        <w:ind w:firstLine="420"/>
        <w:rPr>
          <w:sz w:val="21"/>
          <w:szCs w:val="21"/>
        </w:rPr>
      </w:pPr>
      <w:r>
        <w:rPr>
          <w:rFonts w:hint="eastAsia"/>
          <w:sz w:val="21"/>
          <w:szCs w:val="21"/>
        </w:rPr>
        <w:t xml:space="preserve">3、 在符合有关基金分红条件的前提下，本基金收益每年最多分配4次，每次基金收益分配比例不低于收益分配基准日可供分配利润的20%； </w:t>
      </w:r>
    </w:p>
    <w:p>
      <w:pPr>
        <w:pStyle w:val="7"/>
        <w:spacing w:before="0" w:beforeAutospacing="0" w:after="0" w:afterAutospacing="0" w:line="360" w:lineRule="auto"/>
        <w:ind w:firstLine="420"/>
        <w:rPr>
          <w:sz w:val="21"/>
          <w:szCs w:val="21"/>
        </w:rPr>
      </w:pPr>
      <w:r>
        <w:rPr>
          <w:rFonts w:hint="eastAsia"/>
          <w:sz w:val="21"/>
          <w:szCs w:val="21"/>
        </w:rPr>
        <w:t xml:space="preserve">4、若基金合同生效不满3个月则可不进行收益分配； </w:t>
      </w:r>
    </w:p>
    <w:p>
      <w:pPr>
        <w:pStyle w:val="7"/>
        <w:spacing w:before="0" w:beforeAutospacing="0" w:after="0" w:afterAutospacing="0" w:line="360" w:lineRule="auto"/>
        <w:ind w:firstLine="420"/>
        <w:rPr>
          <w:sz w:val="21"/>
          <w:szCs w:val="21"/>
        </w:rPr>
      </w:pPr>
      <w:r>
        <w:rPr>
          <w:rFonts w:hint="eastAsia"/>
          <w:sz w:val="21"/>
          <w:szCs w:val="21"/>
        </w:rPr>
        <w:t xml:space="preserve">5、本基金收益分配方式分为两种：现金分红与红利再投资，投资者可选择现金红利或将现金红利按除权后的单位净值自动转为基金份额进行再投资；若投资者不选择，本基金默认的收益分配方式是现金分红；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6、 基金红利发放日距离收益分配基准日（即可供分配利润计算截止日）的时间不得超过15个工作日； </w:t>
      </w:r>
    </w:p>
    <w:p>
      <w:pPr>
        <w:pStyle w:val="7"/>
        <w:spacing w:before="0" w:beforeAutospacing="0" w:after="0" w:afterAutospacing="0" w:line="360" w:lineRule="auto"/>
        <w:ind w:firstLine="420"/>
        <w:rPr>
          <w:sz w:val="21"/>
          <w:szCs w:val="21"/>
        </w:rPr>
      </w:pPr>
      <w:r>
        <w:rPr>
          <w:rFonts w:hint="eastAsia"/>
          <w:sz w:val="21"/>
          <w:szCs w:val="21"/>
        </w:rPr>
        <w:t xml:space="preserve">7、 基金收益分配后每一基金份额净值不能低于面值，即基金收益分配基准日的基金份额净值减去每单位基金份额收益分配金额后不能低于面值； </w:t>
      </w:r>
    </w:p>
    <w:p>
      <w:pPr>
        <w:pStyle w:val="7"/>
        <w:spacing w:before="0" w:beforeAutospacing="0" w:after="0" w:afterAutospacing="0" w:line="360" w:lineRule="auto"/>
        <w:ind w:firstLine="420"/>
        <w:rPr>
          <w:sz w:val="21"/>
          <w:szCs w:val="21"/>
        </w:rPr>
      </w:pPr>
      <w:bookmarkStart w:id="159" w:name="chapter_level1_15_64_section_1_end"/>
      <w:bookmarkEnd w:id="159"/>
      <w:r>
        <w:rPr>
          <w:rFonts w:hint="eastAsia"/>
          <w:sz w:val="21"/>
          <w:szCs w:val="21"/>
        </w:rPr>
        <w:t xml:space="preserve">8、法律法规或监管机构另有规定的从其规定。 </w:t>
      </w:r>
    </w:p>
    <w:p>
      <w:pPr>
        <w:pStyle w:val="7"/>
        <w:spacing w:before="0" w:beforeAutospacing="0" w:after="0" w:afterAutospacing="0" w:line="360" w:lineRule="auto"/>
        <w:ind w:firstLine="420"/>
        <w:rPr>
          <w:sz w:val="21"/>
          <w:szCs w:val="21"/>
        </w:rPr>
      </w:pPr>
      <w:bookmarkStart w:id="160" w:name="chapter_level1_15_64_section_2"/>
      <w:bookmarkEnd w:id="160"/>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基金收益分配方案中应载明收益分配基准日以及该日的可供分配利润、基金收益分配对象、分配时间、分配数额及比例、分配方式等内容。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五、收益分配的时间和程序</w:t>
      </w:r>
    </w:p>
    <w:p>
      <w:pPr>
        <w:pStyle w:val="7"/>
        <w:spacing w:before="0" w:beforeAutospacing="0" w:after="0" w:afterAutospacing="0" w:line="360" w:lineRule="auto"/>
        <w:ind w:firstLine="420"/>
        <w:rPr>
          <w:sz w:val="21"/>
          <w:szCs w:val="21"/>
        </w:rPr>
      </w:pPr>
      <w:r>
        <w:rPr>
          <w:rFonts w:hint="eastAsia"/>
          <w:sz w:val="21"/>
          <w:szCs w:val="21"/>
        </w:rPr>
        <w:t xml:space="preserve">1、基金收益分配方案由基金管理人拟订，由基金托管人复核，依照《信息披露办法》的有关规定在指定媒介公告； </w:t>
      </w:r>
    </w:p>
    <w:p>
      <w:pPr>
        <w:pStyle w:val="7"/>
        <w:spacing w:before="0" w:beforeAutospacing="0" w:after="0" w:afterAutospacing="0" w:line="360" w:lineRule="auto"/>
        <w:ind w:firstLine="420"/>
        <w:rPr>
          <w:sz w:val="21"/>
          <w:szCs w:val="21"/>
        </w:rPr>
      </w:pPr>
      <w:r>
        <w:rPr>
          <w:rFonts w:hint="eastAsia"/>
          <w:sz w:val="21"/>
          <w:szCs w:val="21"/>
        </w:rPr>
        <w:t>2、在收益分配方案公布后，基金管理人依据具体方案的规定就支付的现金红利向基金</w:t>
      </w:r>
      <w:bookmarkStart w:id="161" w:name="chapter_level1_15_64_section_2_end"/>
      <w:bookmarkEnd w:id="161"/>
      <w:r>
        <w:rPr>
          <w:rFonts w:hint="eastAsia"/>
          <w:sz w:val="21"/>
          <w:szCs w:val="21"/>
        </w:rPr>
        <w:t xml:space="preserve">托管人发送划款指令，基金托管人按照基金管理人的指令及时进行分红资金的划付。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2" w:name="_Toc113295502"/>
      <w:bookmarkStart w:id="163" w:name="chapter_level1_16_65"/>
      <w:r>
        <w:rPr>
          <w:rFonts w:hint="eastAsia" w:ascii="宋体" w:hAnsi="宋体" w:eastAsia="宋体"/>
          <w:sz w:val="30"/>
        </w:rPr>
        <w:t>第十三部分  基金费用与税收</w:t>
      </w:r>
      <w:bookmarkEnd w:id="162"/>
      <w:bookmarkEnd w:id="163"/>
    </w:p>
    <w:p>
      <w:pPr>
        <w:pStyle w:val="7"/>
        <w:spacing w:before="0" w:beforeAutospacing="0" w:after="0" w:afterAutospacing="0" w:line="360" w:lineRule="auto"/>
        <w:ind w:firstLine="420"/>
        <w:rPr>
          <w:sz w:val="21"/>
          <w:szCs w:val="21"/>
        </w:rPr>
      </w:pPr>
      <w:bookmarkStart w:id="164" w:name="chapter_level1_16_65_section_1"/>
      <w:bookmarkEnd w:id="164"/>
      <w:r>
        <w:rPr>
          <w:rFonts w:hint="eastAsia"/>
          <w:b/>
          <w:bCs/>
          <w:sz w:val="21"/>
          <w:szCs w:val="21"/>
        </w:rPr>
        <w:t>一、与基金运作有关的费用</w:t>
      </w:r>
    </w:p>
    <w:p>
      <w:pPr>
        <w:pStyle w:val="7"/>
        <w:spacing w:before="0" w:beforeAutospacing="0" w:after="0" w:afterAutospacing="0" w:line="360" w:lineRule="auto"/>
        <w:ind w:firstLine="420"/>
        <w:rPr>
          <w:sz w:val="21"/>
          <w:szCs w:val="21"/>
        </w:rPr>
      </w:pPr>
      <w:r>
        <w:rPr>
          <w:rFonts w:hint="eastAsia"/>
          <w:b/>
          <w:bCs/>
          <w:sz w:val="21"/>
          <w:szCs w:val="21"/>
        </w:rPr>
        <w:t>（一）、基金费用的种类</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3、基金财产拨划支付的银行费用； </w:t>
      </w:r>
    </w:p>
    <w:p>
      <w:pPr>
        <w:pStyle w:val="7"/>
        <w:spacing w:before="0" w:beforeAutospacing="0" w:after="0" w:afterAutospacing="0" w:line="360" w:lineRule="auto"/>
        <w:ind w:firstLine="420"/>
        <w:rPr>
          <w:sz w:val="21"/>
          <w:szCs w:val="21"/>
        </w:rPr>
      </w:pPr>
      <w:r>
        <w:rPr>
          <w:rFonts w:hint="eastAsia"/>
          <w:sz w:val="21"/>
          <w:szCs w:val="21"/>
        </w:rPr>
        <w:t xml:space="preserve">4、基金合同生效后的基金信息披露费用，法律法规、中国证监会另有规定的除外；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6、基金合同生效后与基金有关的会计师费和律师费； </w:t>
      </w:r>
    </w:p>
    <w:p>
      <w:pPr>
        <w:pStyle w:val="7"/>
        <w:spacing w:before="0" w:beforeAutospacing="0" w:after="0" w:afterAutospacing="0" w:line="360" w:lineRule="auto"/>
        <w:ind w:firstLine="420"/>
        <w:rPr>
          <w:sz w:val="21"/>
          <w:szCs w:val="21"/>
        </w:rPr>
      </w:pPr>
      <w:r>
        <w:rPr>
          <w:rFonts w:hint="eastAsia"/>
          <w:sz w:val="21"/>
          <w:szCs w:val="21"/>
        </w:rPr>
        <w:t xml:space="preserve">7、基金的证券交易费用； </w:t>
      </w:r>
    </w:p>
    <w:p>
      <w:pPr>
        <w:pStyle w:val="7"/>
        <w:spacing w:before="0" w:beforeAutospacing="0" w:after="0" w:afterAutospacing="0" w:line="360" w:lineRule="auto"/>
        <w:ind w:firstLine="420"/>
        <w:rPr>
          <w:sz w:val="21"/>
          <w:szCs w:val="21"/>
        </w:rPr>
      </w:pPr>
      <w:r>
        <w:rPr>
          <w:rFonts w:hint="eastAsia"/>
          <w:sz w:val="21"/>
          <w:szCs w:val="21"/>
        </w:rPr>
        <w:t xml:space="preserve">8、依法可以在基金财产中列支的其他费用。 </w:t>
      </w:r>
    </w:p>
    <w:p>
      <w:pPr>
        <w:pStyle w:val="7"/>
        <w:spacing w:before="0" w:beforeAutospacing="0" w:after="0" w:afterAutospacing="0" w:line="360" w:lineRule="auto"/>
        <w:ind w:firstLine="420"/>
        <w:rPr>
          <w:sz w:val="21"/>
          <w:szCs w:val="21"/>
        </w:rPr>
      </w:pPr>
      <w:r>
        <w:rPr>
          <w:rFonts w:hint="eastAsia"/>
          <w:b/>
          <w:bCs/>
          <w:sz w:val="21"/>
          <w:szCs w:val="21"/>
        </w:rPr>
        <w:t>（二）、基金费用计提方法、计提标准和支付方式</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在通常情况下，基金管理费按前一日基金资产净值的</w:t>
      </w:r>
      <w:bookmarkStart w:id="165" w:name="field_0_managementrate_1"/>
      <w:r>
        <w:rPr>
          <w:sz w:val="21"/>
          <w:szCs w:val="21"/>
        </w:rPr>
        <w:t>1.</w:t>
      </w:r>
      <w:r>
        <w:rPr>
          <w:rFonts w:hint="eastAsia"/>
          <w:sz w:val="21"/>
          <w:szCs w:val="21"/>
        </w:rPr>
        <w:t>2</w:t>
      </w:r>
      <w:r>
        <w:rPr>
          <w:sz w:val="21"/>
          <w:szCs w:val="21"/>
        </w:rPr>
        <w:t>0</w:t>
      </w:r>
      <w:bookmarkEnd w:id="165"/>
      <w:r>
        <w:rPr>
          <w:rFonts w:hint="eastAsia"/>
          <w:sz w:val="21"/>
          <w:szCs w:val="21"/>
        </w:rPr>
        <w:t xml:space="preserve">%年费率计提。计算方法如下： </w:t>
      </w:r>
    </w:p>
    <w:p>
      <w:pPr>
        <w:pStyle w:val="7"/>
        <w:spacing w:before="0" w:beforeAutospacing="0" w:after="0" w:afterAutospacing="0" w:line="360" w:lineRule="auto"/>
        <w:ind w:firstLine="420"/>
        <w:rPr>
          <w:sz w:val="21"/>
          <w:szCs w:val="21"/>
        </w:rPr>
      </w:pPr>
      <w:r>
        <w:rPr>
          <w:rFonts w:hint="eastAsia"/>
          <w:sz w:val="21"/>
          <w:szCs w:val="21"/>
        </w:rPr>
        <w:t xml:space="preserve">H＝E×年管理费率÷当年天数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提，按月支付。由基金管理人向基金托管人发送基金管理费划付指令，经基金托管人复核后于次月首日起5个工作日内从基金财产中一次性支付给基金管理人，若遇法定节假日、休息日，支付日期顺延。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在通常情况下，基金托管费按前一日基金资产净值的</w:t>
      </w:r>
      <w:bookmarkStart w:id="166" w:name="field_0_trusteerate_1"/>
      <w:r>
        <w:rPr>
          <w:sz w:val="21"/>
          <w:szCs w:val="21"/>
        </w:rPr>
        <w:t>0.2</w:t>
      </w:r>
      <w:r>
        <w:rPr>
          <w:rFonts w:hint="eastAsia"/>
          <w:sz w:val="21"/>
          <w:szCs w:val="21"/>
        </w:rPr>
        <w:t>0</w:t>
      </w:r>
      <w:bookmarkEnd w:id="166"/>
      <w:r>
        <w:rPr>
          <w:rFonts w:hint="eastAsia"/>
          <w:sz w:val="21"/>
          <w:szCs w:val="21"/>
        </w:rPr>
        <w:t xml:space="preserve">%年费率计提。计算方法如下： </w:t>
      </w:r>
    </w:p>
    <w:p>
      <w:pPr>
        <w:pStyle w:val="7"/>
        <w:spacing w:before="0" w:beforeAutospacing="0" w:after="0" w:afterAutospacing="0" w:line="360" w:lineRule="auto"/>
        <w:ind w:firstLine="420"/>
        <w:rPr>
          <w:sz w:val="21"/>
          <w:szCs w:val="21"/>
        </w:rPr>
      </w:pPr>
      <w:r>
        <w:rPr>
          <w:rFonts w:hint="eastAsia"/>
          <w:sz w:val="21"/>
          <w:szCs w:val="21"/>
        </w:rPr>
        <w:t xml:space="preserve">H＝E×年托管费率÷当年天数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提，按月支付。由基金管理人向基金托管人发送基金托管费划付指令，经基金托管人复核后于次月首日起5个工作日内从基金财产中一次性支付给基金托管人，若遇法定节假日、休息日，支付日期顺延。 </w:t>
      </w:r>
    </w:p>
    <w:p>
      <w:pPr>
        <w:pStyle w:val="7"/>
        <w:spacing w:before="0" w:beforeAutospacing="0" w:after="0" w:afterAutospacing="0" w:line="360" w:lineRule="auto"/>
        <w:ind w:firstLine="420"/>
        <w:rPr>
          <w:sz w:val="21"/>
          <w:szCs w:val="21"/>
        </w:rPr>
      </w:pPr>
      <w:r>
        <w:rPr>
          <w:rFonts w:hint="eastAsia"/>
          <w:sz w:val="21"/>
          <w:szCs w:val="21"/>
        </w:rPr>
        <w:t xml:space="preserve">3、除管理费和托管费之外的基金费用，由基金托管人根据其他有关法规及相应协议的规定，按费用支出金额支付，列入或摊入当期基金费用。 </w:t>
      </w:r>
    </w:p>
    <w:p>
      <w:pPr>
        <w:pStyle w:val="7"/>
        <w:spacing w:before="0" w:beforeAutospacing="0" w:after="0" w:afterAutospacing="0" w:line="360" w:lineRule="auto"/>
        <w:ind w:firstLine="420"/>
        <w:rPr>
          <w:sz w:val="21"/>
          <w:szCs w:val="21"/>
        </w:rPr>
      </w:pPr>
      <w:r>
        <w:rPr>
          <w:rFonts w:hint="eastAsia"/>
          <w:b/>
          <w:bCs/>
          <w:sz w:val="21"/>
          <w:szCs w:val="21"/>
        </w:rPr>
        <w:t>二、与基金销售有关的费用</w:t>
      </w:r>
    </w:p>
    <w:p>
      <w:pPr>
        <w:pStyle w:val="7"/>
        <w:spacing w:before="0" w:beforeAutospacing="0" w:after="0" w:afterAutospacing="0" w:line="360" w:lineRule="auto"/>
        <w:ind w:firstLine="420"/>
        <w:rPr>
          <w:sz w:val="21"/>
          <w:szCs w:val="21"/>
        </w:rPr>
      </w:pPr>
      <w:r>
        <w:rPr>
          <w:rFonts w:hint="eastAsia"/>
          <w:sz w:val="21"/>
          <w:szCs w:val="21"/>
        </w:rPr>
        <w:t xml:space="preserve">1、申购和赎回费率 </w:t>
      </w:r>
    </w:p>
    <w:p>
      <w:pPr>
        <w:pStyle w:val="7"/>
        <w:spacing w:before="0" w:beforeAutospacing="0" w:after="0" w:afterAutospacing="0" w:line="360" w:lineRule="auto"/>
        <w:ind w:firstLine="420"/>
        <w:jc w:val="center"/>
        <w:rPr>
          <w:sz w:val="21"/>
          <w:szCs w:val="21"/>
        </w:rPr>
      </w:pPr>
      <w:r>
        <w:rPr>
          <w:rFonts w:hint="eastAsia"/>
          <w:sz w:val="21"/>
          <w:szCs w:val="21"/>
        </w:rPr>
        <w:t xml:space="preserve">基金的申购费率结构表 </w:t>
      </w:r>
    </w:p>
    <w:tbl>
      <w:tblPr>
        <w:tblStyle w:val="9"/>
        <w:tblW w:w="6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9"/>
        <w:gridCol w:w="3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shd w:val="clear" w:color="auto" w:fill="auto"/>
          </w:tcPr>
          <w:p>
            <w:pPr>
              <w:pStyle w:val="7"/>
              <w:jc w:val="center"/>
            </w:pPr>
            <w:r>
              <w:rPr>
                <w:rFonts w:hint="eastAsia"/>
                <w:b/>
                <w:bCs/>
              </w:rPr>
              <w:t>申购金额（M）</w:t>
            </w:r>
          </w:p>
        </w:tc>
        <w:tc>
          <w:tcPr>
            <w:tcW w:w="3360" w:type="dxa"/>
            <w:shd w:val="clear" w:color="auto" w:fill="auto"/>
          </w:tcPr>
          <w:p>
            <w:pPr>
              <w:pStyle w:val="7"/>
              <w:jc w:val="center"/>
            </w:pPr>
            <w:r>
              <w:rPr>
                <w:rFonts w:hint="eastAsia"/>
                <w:b/>
                <w:bCs/>
              </w:rPr>
              <w:t>申购费率（%）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shd w:val="clear" w:color="auto" w:fill="auto"/>
          </w:tcPr>
          <w:p>
            <w:pPr>
              <w:pStyle w:val="7"/>
              <w:jc w:val="center"/>
            </w:pPr>
            <w:r>
              <w:rPr>
                <w:rFonts w:hint="eastAsia"/>
              </w:rPr>
              <w:t xml:space="preserve">M＜50万元  </w:t>
            </w:r>
          </w:p>
        </w:tc>
        <w:tc>
          <w:tcPr>
            <w:tcW w:w="3360" w:type="dxa"/>
            <w:shd w:val="clear" w:color="auto" w:fill="auto"/>
          </w:tcPr>
          <w:p>
            <w:pPr>
              <w:pStyle w:val="7"/>
              <w:jc w:val="center"/>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shd w:val="clear" w:color="auto" w:fill="auto"/>
          </w:tcPr>
          <w:p>
            <w:pPr>
              <w:pStyle w:val="7"/>
              <w:jc w:val="center"/>
            </w:pPr>
            <w:r>
              <w:rPr>
                <w:rFonts w:hint="eastAsia"/>
              </w:rPr>
              <w:t xml:space="preserve">50万元≤ M＜100万元  </w:t>
            </w:r>
          </w:p>
        </w:tc>
        <w:tc>
          <w:tcPr>
            <w:tcW w:w="3360" w:type="dxa"/>
            <w:shd w:val="clear" w:color="auto" w:fill="auto"/>
          </w:tcPr>
          <w:p>
            <w:pPr>
              <w:pStyle w:val="7"/>
              <w:jc w:val="center"/>
            </w:pPr>
            <w:r>
              <w:rPr>
                <w:rFonts w:hint="eastAsia"/>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shd w:val="clear" w:color="auto" w:fill="auto"/>
          </w:tcPr>
          <w:p>
            <w:pPr>
              <w:pStyle w:val="7"/>
              <w:jc w:val="center"/>
            </w:pPr>
            <w:r>
              <w:rPr>
                <w:rFonts w:hint="eastAsia"/>
              </w:rPr>
              <w:t xml:space="preserve">100万元≤ M＜500万元  </w:t>
            </w:r>
          </w:p>
        </w:tc>
        <w:tc>
          <w:tcPr>
            <w:tcW w:w="3360" w:type="dxa"/>
            <w:shd w:val="clear" w:color="auto" w:fill="auto"/>
          </w:tcPr>
          <w:p>
            <w:pPr>
              <w:pStyle w:val="7"/>
              <w:jc w:val="center"/>
            </w:pPr>
            <w:r>
              <w:rPr>
                <w:rFonts w:hint="eastAsia"/>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shd w:val="clear" w:color="auto" w:fill="auto"/>
          </w:tcPr>
          <w:p>
            <w:pPr>
              <w:pStyle w:val="7"/>
              <w:jc w:val="center"/>
            </w:pPr>
            <w:r>
              <w:rPr>
                <w:rFonts w:hint="eastAsia"/>
              </w:rPr>
              <w:t xml:space="preserve">M≥ 500万元  </w:t>
            </w:r>
          </w:p>
        </w:tc>
        <w:tc>
          <w:tcPr>
            <w:tcW w:w="3360" w:type="dxa"/>
            <w:shd w:val="clear" w:color="auto" w:fill="auto"/>
          </w:tcPr>
          <w:p>
            <w:pPr>
              <w:pStyle w:val="7"/>
              <w:jc w:val="center"/>
            </w:pPr>
            <w:r>
              <w:rPr>
                <w:rFonts w:hint="eastAsia"/>
              </w:rPr>
              <w:t xml:space="preserve">1000元/笔  </w:t>
            </w:r>
          </w:p>
        </w:tc>
      </w:tr>
    </w:tbl>
    <w:p>
      <w:pPr>
        <w:pStyle w:val="7"/>
        <w:spacing w:before="0" w:beforeAutospacing="0" w:after="0" w:afterAutospacing="0" w:line="360" w:lineRule="auto"/>
        <w:ind w:firstLine="420"/>
        <w:jc w:val="center"/>
        <w:rPr>
          <w:sz w:val="21"/>
          <w:szCs w:val="21"/>
        </w:rPr>
      </w:pPr>
      <w:r>
        <w:rPr>
          <w:rFonts w:hint="eastAsia"/>
          <w:sz w:val="21"/>
          <w:szCs w:val="21"/>
        </w:rPr>
        <w:t xml:space="preserve">本基金的赎回费率表 </w:t>
      </w:r>
    </w:p>
    <w:tbl>
      <w:tblPr>
        <w:tblStyle w:val="9"/>
        <w:tblW w:w="4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2"/>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shd w:val="clear" w:color="auto" w:fill="auto"/>
          </w:tcPr>
          <w:p>
            <w:pPr>
              <w:pStyle w:val="7"/>
              <w:jc w:val="center"/>
            </w:pPr>
            <w:r>
              <w:rPr>
                <w:rFonts w:hint="eastAsia"/>
                <w:b/>
                <w:bCs/>
              </w:rPr>
              <w:t>持有基金份额期限（Y）</w:t>
            </w:r>
          </w:p>
        </w:tc>
        <w:tc>
          <w:tcPr>
            <w:tcW w:w="2445" w:type="dxa"/>
            <w:shd w:val="clear" w:color="auto" w:fill="auto"/>
          </w:tcPr>
          <w:p>
            <w:pPr>
              <w:pStyle w:val="7"/>
              <w:jc w:val="center"/>
            </w:pPr>
            <w:r>
              <w:rPr>
                <w:rFonts w:hint="eastAsia"/>
                <w:b/>
                <w:bCs/>
              </w:rPr>
              <w:t>赎回费率（%）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shd w:val="clear" w:color="auto" w:fill="auto"/>
          </w:tcPr>
          <w:p>
            <w:pPr>
              <w:pStyle w:val="7"/>
              <w:jc w:val="center"/>
            </w:pPr>
            <w:r>
              <w:rPr>
                <w:rFonts w:hint="eastAsia"/>
              </w:rPr>
              <w:t xml:space="preserve">Y &lt;7日  </w:t>
            </w:r>
          </w:p>
        </w:tc>
        <w:tc>
          <w:tcPr>
            <w:tcW w:w="2445" w:type="dxa"/>
            <w:shd w:val="clear" w:color="auto" w:fill="auto"/>
          </w:tcPr>
          <w:p>
            <w:pPr>
              <w:pStyle w:val="7"/>
              <w:jc w:val="center"/>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shd w:val="clear" w:color="auto" w:fill="auto"/>
          </w:tcPr>
          <w:p>
            <w:pPr>
              <w:pStyle w:val="7"/>
              <w:jc w:val="center"/>
            </w:pPr>
            <w:r>
              <w:rPr>
                <w:rFonts w:hint="eastAsia"/>
              </w:rPr>
              <w:t xml:space="preserve">7日≤Y &lt; 两年  </w:t>
            </w:r>
          </w:p>
        </w:tc>
        <w:tc>
          <w:tcPr>
            <w:tcW w:w="2445" w:type="dxa"/>
            <w:shd w:val="clear" w:color="auto" w:fill="auto"/>
          </w:tcPr>
          <w:p>
            <w:pPr>
              <w:pStyle w:val="7"/>
              <w:jc w:val="center"/>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shd w:val="clear" w:color="auto" w:fill="auto"/>
          </w:tcPr>
          <w:p>
            <w:pPr>
              <w:pStyle w:val="7"/>
              <w:jc w:val="center"/>
            </w:pPr>
            <w:r>
              <w:rPr>
                <w:rFonts w:hint="eastAsia"/>
              </w:rPr>
              <w:t xml:space="preserve">两年≤ Y &lt; 三年  </w:t>
            </w:r>
          </w:p>
        </w:tc>
        <w:tc>
          <w:tcPr>
            <w:tcW w:w="2445" w:type="dxa"/>
            <w:shd w:val="clear" w:color="auto" w:fill="auto"/>
          </w:tcPr>
          <w:p>
            <w:pPr>
              <w:pStyle w:val="7"/>
              <w:jc w:val="center"/>
            </w:pPr>
            <w:r>
              <w:rPr>
                <w:rFonts w:hint="eastAsia"/>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shd w:val="clear" w:color="auto" w:fill="auto"/>
          </w:tcPr>
          <w:p>
            <w:pPr>
              <w:pStyle w:val="7"/>
              <w:jc w:val="center"/>
            </w:pPr>
            <w:r>
              <w:rPr>
                <w:rFonts w:hint="eastAsia"/>
              </w:rPr>
              <w:t xml:space="preserve">Y ≥ 三年  </w:t>
            </w:r>
          </w:p>
        </w:tc>
        <w:tc>
          <w:tcPr>
            <w:tcW w:w="2445" w:type="dxa"/>
            <w:shd w:val="clear" w:color="auto" w:fill="auto"/>
          </w:tcPr>
          <w:p>
            <w:pPr>
              <w:pStyle w:val="7"/>
              <w:jc w:val="center"/>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2、  转换费用 </w:t>
      </w:r>
    </w:p>
    <w:p>
      <w:pPr>
        <w:pStyle w:val="7"/>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pPr>
        <w:pStyle w:val="7"/>
        <w:spacing w:before="0" w:beforeAutospacing="0" w:after="0" w:afterAutospacing="0" w:line="360" w:lineRule="auto"/>
        <w:ind w:firstLine="420"/>
        <w:rPr>
          <w:sz w:val="21"/>
          <w:szCs w:val="21"/>
        </w:rPr>
      </w:pPr>
      <w:r>
        <w:rPr>
          <w:rFonts w:hint="eastAsia"/>
          <w:b/>
          <w:bCs/>
          <w:sz w:val="21"/>
          <w:szCs w:val="21"/>
        </w:rPr>
        <w:t>三、不列入基金费用的项目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pPr>
        <w:pStyle w:val="7"/>
        <w:spacing w:before="0" w:beforeAutospacing="0" w:after="0" w:afterAutospacing="0" w:line="360" w:lineRule="auto"/>
        <w:ind w:firstLine="420"/>
        <w:rPr>
          <w:sz w:val="21"/>
          <w:szCs w:val="21"/>
        </w:rPr>
      </w:pPr>
      <w:r>
        <w:rPr>
          <w:rFonts w:hint="eastAsia"/>
          <w:b/>
          <w:bCs/>
          <w:sz w:val="21"/>
          <w:szCs w:val="21"/>
        </w:rPr>
        <w:t>四、费用调整</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基金管理人和基金托管人可根据基金发展情况调整基金管理费率和基金托管费率。基金管理人必须最迟于新的费率实施日2日前在指定媒介上刊登公告。 </w:t>
      </w:r>
    </w:p>
    <w:p>
      <w:pPr>
        <w:pStyle w:val="7"/>
        <w:spacing w:before="0" w:beforeAutospacing="0" w:after="0" w:afterAutospacing="0" w:line="360" w:lineRule="auto"/>
        <w:ind w:firstLine="420"/>
        <w:rPr>
          <w:sz w:val="21"/>
          <w:szCs w:val="21"/>
        </w:rPr>
      </w:pPr>
      <w:r>
        <w:rPr>
          <w:rFonts w:hint="eastAsia"/>
          <w:b/>
          <w:bCs/>
          <w:sz w:val="21"/>
          <w:szCs w:val="21"/>
        </w:rPr>
        <w:t>五、基金税收</w:t>
      </w:r>
    </w:p>
    <w:p>
      <w:pPr>
        <w:pStyle w:val="7"/>
        <w:spacing w:before="0" w:beforeAutospacing="0" w:after="0" w:afterAutospacing="0" w:line="360" w:lineRule="auto"/>
        <w:ind w:firstLine="420"/>
        <w:rPr>
          <w:sz w:val="21"/>
          <w:szCs w:val="21"/>
        </w:rPr>
      </w:pPr>
      <w:bookmarkStart w:id="167" w:name="chapter_level1_16_65_section_1_end"/>
      <w:bookmarkEnd w:id="167"/>
      <w:r>
        <w:rPr>
          <w:rFonts w:hint="eastAsia"/>
          <w:sz w:val="21"/>
          <w:szCs w:val="21"/>
        </w:rPr>
        <w:t xml:space="preserve">基金和基金份额持有人根据国家法律法规的规定，履行纳税义务。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8" w:name="chapter_level1_17_66"/>
      <w:bookmarkStart w:id="169" w:name="_Toc113295503"/>
      <w:r>
        <w:rPr>
          <w:rFonts w:hint="eastAsia" w:ascii="宋体" w:hAnsi="宋体" w:eastAsia="宋体"/>
          <w:sz w:val="30"/>
        </w:rPr>
        <w:t>第十四部分  基金的会计与审计</w:t>
      </w:r>
      <w:bookmarkEnd w:id="168"/>
      <w:bookmarkEnd w:id="169"/>
    </w:p>
    <w:p>
      <w:pPr>
        <w:pStyle w:val="7"/>
        <w:spacing w:before="0" w:beforeAutospacing="0" w:after="0" w:afterAutospacing="0" w:line="360" w:lineRule="auto"/>
        <w:ind w:firstLine="420"/>
        <w:rPr>
          <w:sz w:val="21"/>
          <w:szCs w:val="21"/>
        </w:rPr>
      </w:pPr>
      <w:bookmarkStart w:id="170" w:name="chapter_level1_17_66_section_1"/>
      <w:bookmarkEnd w:id="170"/>
      <w:r>
        <w:rPr>
          <w:rStyle w:val="11"/>
          <w:rFonts w:hint="eastAsia"/>
          <w:sz w:val="21"/>
          <w:szCs w:val="21"/>
        </w:rPr>
        <w:t>一、基金的会计政策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1、基金管理人为本基金的会计责任方； </w:t>
      </w:r>
    </w:p>
    <w:p>
      <w:pPr>
        <w:pStyle w:val="7"/>
        <w:spacing w:before="0" w:beforeAutospacing="0" w:after="0" w:afterAutospacing="0" w:line="360" w:lineRule="auto"/>
        <w:ind w:firstLine="420"/>
        <w:rPr>
          <w:sz w:val="21"/>
          <w:szCs w:val="21"/>
        </w:rPr>
      </w:pPr>
      <w:r>
        <w:rPr>
          <w:rFonts w:hint="eastAsia"/>
          <w:sz w:val="21"/>
          <w:szCs w:val="21"/>
        </w:rPr>
        <w:t xml:space="preserve">2、本基金的会计年度为公历每年的1月1日至12月31日；基金首次募集的会计年度按如下原则：如果《基金合同》生效少于2个月，可以并入下一个会计年度； </w:t>
      </w:r>
    </w:p>
    <w:p>
      <w:pPr>
        <w:pStyle w:val="7"/>
        <w:spacing w:before="0" w:beforeAutospacing="0" w:after="0" w:afterAutospacing="0" w:line="360" w:lineRule="auto"/>
        <w:ind w:firstLine="420"/>
        <w:rPr>
          <w:sz w:val="21"/>
          <w:szCs w:val="21"/>
        </w:rPr>
      </w:pPr>
      <w:r>
        <w:rPr>
          <w:rFonts w:hint="eastAsia"/>
          <w:sz w:val="21"/>
          <w:szCs w:val="21"/>
        </w:rPr>
        <w:t xml:space="preserve">3、本基金的会计核算以人民币为记账本位币，以人民币元为记账单位；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4、会计制度执行国家有关的会计制度；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7、基金托管人定期与基金管理人就基金的会计核算、报表编制等进行核对并书面确认。 </w:t>
      </w:r>
    </w:p>
    <w:p>
      <w:pPr>
        <w:pStyle w:val="7"/>
        <w:spacing w:before="0" w:beforeAutospacing="0" w:after="0" w:afterAutospacing="0" w:line="360" w:lineRule="auto"/>
        <w:ind w:firstLine="420"/>
        <w:rPr>
          <w:sz w:val="21"/>
          <w:szCs w:val="21"/>
        </w:rPr>
      </w:pPr>
      <w:r>
        <w:rPr>
          <w:rStyle w:val="11"/>
          <w:rFonts w:hint="eastAsia"/>
          <w:sz w:val="21"/>
          <w:szCs w:val="21"/>
        </w:rPr>
        <w:t>二、基金的审计</w:t>
      </w:r>
    </w:p>
    <w:p>
      <w:pPr>
        <w:pStyle w:val="7"/>
        <w:spacing w:before="0" w:beforeAutospacing="0" w:after="0" w:afterAutospacing="0" w:line="360" w:lineRule="auto"/>
        <w:ind w:firstLine="420"/>
        <w:rPr>
          <w:sz w:val="21"/>
          <w:szCs w:val="21"/>
        </w:rPr>
      </w:pPr>
      <w:r>
        <w:rPr>
          <w:rFonts w:hint="eastAsia"/>
          <w:sz w:val="21"/>
          <w:szCs w:val="21"/>
        </w:rPr>
        <w:t xml:space="preserve">1、基金管理人聘请具有从事证券、期货相关业务资格的会计师事务所及其注册会计师对本基金年度财务报表及其他规定事项进行审计。会计师事务所及其注册会计师与基金管理人、基金托管人相互独立。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2、会计师事务所更换经办注册会计师时，应事先征得基金管理人同意。 </w:t>
      </w:r>
    </w:p>
    <w:p>
      <w:pPr>
        <w:pStyle w:val="7"/>
        <w:spacing w:before="0" w:beforeAutospacing="0" w:after="0" w:afterAutospacing="0" w:line="360" w:lineRule="auto"/>
        <w:ind w:firstLine="420"/>
        <w:rPr>
          <w:sz w:val="21"/>
          <w:szCs w:val="21"/>
        </w:rPr>
      </w:pPr>
      <w:r>
        <w:rPr>
          <w:rFonts w:hint="eastAsia"/>
          <w:sz w:val="21"/>
          <w:szCs w:val="21"/>
        </w:rPr>
        <w:t>3、基金管理人（或基金托管人）认为有充足理由更换会计师事务所，经基金托管人（或基金管理人）同意后可以更换。更换会计师事务所需按照《信息披露办法》的有关规定在指</w:t>
      </w:r>
      <w:bookmarkStart w:id="171" w:name="chapter_level1_17_66_section_1_end"/>
      <w:bookmarkEnd w:id="171"/>
      <w:r>
        <w:rPr>
          <w:rFonts w:hint="eastAsia"/>
          <w:sz w:val="21"/>
          <w:szCs w:val="21"/>
        </w:rPr>
        <w:t xml:space="preserve">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2" w:name="chapter_level1_18_67"/>
      <w:bookmarkStart w:id="173" w:name="_Toc113295504"/>
      <w:r>
        <w:rPr>
          <w:rFonts w:hint="eastAsia" w:ascii="宋体" w:hAnsi="宋体" w:eastAsia="宋体"/>
          <w:sz w:val="30"/>
        </w:rPr>
        <w:t>第十五部分  基金的信息披露</w:t>
      </w:r>
      <w:bookmarkEnd w:id="172"/>
      <w:bookmarkEnd w:id="173"/>
    </w:p>
    <w:p>
      <w:pPr>
        <w:pStyle w:val="7"/>
        <w:spacing w:before="0" w:beforeAutospacing="0" w:after="0" w:afterAutospacing="0" w:line="360" w:lineRule="auto"/>
        <w:ind w:firstLine="420"/>
        <w:rPr>
          <w:sz w:val="21"/>
          <w:szCs w:val="21"/>
        </w:rPr>
      </w:pPr>
      <w:bookmarkStart w:id="174" w:name="chapter_level1_18_67_section_1"/>
      <w:bookmarkEnd w:id="174"/>
      <w:r>
        <w:rPr>
          <w:rFonts w:hint="eastAsia"/>
          <w:sz w:val="21"/>
          <w:szCs w:val="21"/>
        </w:rPr>
        <w:t xml:space="preserve">基金的信息披露应符合《基金法》、《运作办法》、《信息披露办法》、基金合同及其他有关规定。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基金管理人、基金托管人和其他基金信息披露义务人应按规定将应予披露的基金信息披露事项在规定时间内通过中国证监会指定媒介披露。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本基金信息披露义务人承诺公开披露的基金信息，不得有下列行为：   </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4、诋毁其他基金管理人、基金托管人或者基金份额发售机构；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Fonts w:hint="eastAsia"/>
          <w:sz w:val="21"/>
          <w:szCs w:val="21"/>
        </w:rPr>
        <w:t xml:space="preserve">本基金公开披露的信息应采用中文文本。如同时采用外文文本的，基金信息披露义务人应保证不同文本的内容一致。不同文本之间发生歧义的，以中文文本为准。 </w:t>
      </w:r>
    </w:p>
    <w:p>
      <w:pPr>
        <w:pStyle w:val="7"/>
        <w:spacing w:before="0" w:beforeAutospacing="0" w:after="0" w:afterAutospacing="0" w:line="360" w:lineRule="auto"/>
        <w:ind w:firstLine="420"/>
        <w:rPr>
          <w:sz w:val="21"/>
          <w:szCs w:val="21"/>
        </w:rPr>
      </w:pPr>
      <w:bookmarkStart w:id="175" w:name="chapter_level1_18_67_section_1_end"/>
      <w:bookmarkEnd w:id="175"/>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76" w:name="chapter_level1_18_67_section_2"/>
      <w:bookmarkEnd w:id="176"/>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（一）招募说明书、基金产品资料概要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招募说明书是基金向社会公开发售时对基金情况进行说明的法律文件。   </w:t>
      </w:r>
    </w:p>
    <w:p>
      <w:pPr>
        <w:pStyle w:val="7"/>
        <w:spacing w:before="0" w:beforeAutospacing="0" w:after="0" w:afterAutospacing="0" w:line="360" w:lineRule="auto"/>
        <w:ind w:firstLine="420"/>
        <w:rPr>
          <w:sz w:val="21"/>
          <w:szCs w:val="21"/>
        </w:rPr>
      </w:pPr>
      <w:r>
        <w:rPr>
          <w:rFonts w:hint="eastAsia"/>
          <w:sz w:val="21"/>
          <w:szCs w:val="21"/>
        </w:rPr>
        <w:t xml:space="preserve">基金管理人按照《基金法》、《信息披露办法》、基金合同编制并在基金份额发售的3日前，将基金招募说明书登载在指定报刊和网站上。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（二）基金合同、托管协议   </w:t>
      </w:r>
    </w:p>
    <w:p>
      <w:pPr>
        <w:pStyle w:val="7"/>
        <w:spacing w:before="0" w:beforeAutospacing="0" w:after="0" w:afterAutospacing="0" w:line="360" w:lineRule="auto"/>
        <w:ind w:firstLine="420"/>
        <w:rPr>
          <w:sz w:val="21"/>
          <w:szCs w:val="21"/>
        </w:rPr>
      </w:pPr>
      <w:r>
        <w:rPr>
          <w:rFonts w:hint="eastAsia"/>
          <w:sz w:val="21"/>
          <w:szCs w:val="21"/>
        </w:rPr>
        <w:t xml:space="preserve">基金管理人应在基金份额发售的3日前，将基金合同摘要登载在指定报刊和网站上；基金管理人、基金托管人应将基金合同、托管协议登载在各自网站上。   </w:t>
      </w:r>
    </w:p>
    <w:p>
      <w:pPr>
        <w:pStyle w:val="7"/>
        <w:spacing w:before="0" w:beforeAutospacing="0" w:after="0" w:afterAutospacing="0" w:line="360" w:lineRule="auto"/>
        <w:ind w:firstLine="420"/>
        <w:rPr>
          <w:sz w:val="21"/>
          <w:szCs w:val="21"/>
        </w:rPr>
      </w:pPr>
      <w:r>
        <w:rPr>
          <w:rFonts w:hint="eastAsia"/>
          <w:sz w:val="21"/>
          <w:szCs w:val="21"/>
        </w:rPr>
        <w:t xml:space="preserve">（三）基金份额发售公告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基金管理人将按照《基金法》、《信息披露办法》的有关规定，就基金份额发售的具体事宜编制基金份额发售公告，并在披露招募说明书的当日登载于指定报刊和网站上。   </w:t>
      </w:r>
    </w:p>
    <w:p>
      <w:pPr>
        <w:pStyle w:val="7"/>
        <w:spacing w:before="0" w:beforeAutospacing="0" w:after="0" w:afterAutospacing="0" w:line="360" w:lineRule="auto"/>
        <w:ind w:firstLine="420"/>
        <w:rPr>
          <w:sz w:val="21"/>
          <w:szCs w:val="21"/>
        </w:rPr>
      </w:pPr>
      <w:r>
        <w:rPr>
          <w:rFonts w:hint="eastAsia"/>
          <w:sz w:val="21"/>
          <w:szCs w:val="21"/>
        </w:rPr>
        <w:t xml:space="preserve">（四）基金合同生效公告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基金管理人将在基金合同生效的次日在指定报刊和网站上登载基金合同生效公告。基金合同生效公告中将说明基金募集情况。   </w:t>
      </w:r>
    </w:p>
    <w:p>
      <w:pPr>
        <w:pStyle w:val="7"/>
        <w:spacing w:before="0" w:beforeAutospacing="0" w:after="0" w:afterAutospacing="0" w:line="360" w:lineRule="auto"/>
        <w:ind w:firstLine="420"/>
        <w:rPr>
          <w:sz w:val="21"/>
          <w:szCs w:val="21"/>
        </w:rPr>
      </w:pPr>
      <w:r>
        <w:rPr>
          <w:rFonts w:hint="eastAsia"/>
          <w:sz w:val="21"/>
          <w:szCs w:val="21"/>
        </w:rPr>
        <w:t xml:space="preserve">（五）基金净值信息   </w:t>
      </w:r>
    </w:p>
    <w:p>
      <w:pPr>
        <w:pStyle w:val="7"/>
        <w:spacing w:before="0" w:beforeAutospacing="0" w:after="0" w:afterAutospacing="0" w:line="360" w:lineRule="auto"/>
        <w:ind w:firstLine="420"/>
        <w:rPr>
          <w:sz w:val="21"/>
          <w:szCs w:val="21"/>
        </w:rPr>
      </w:pPr>
      <w:r>
        <w:rPr>
          <w:rFonts w:hint="eastAsia"/>
          <w:sz w:val="21"/>
          <w:szCs w:val="21"/>
        </w:rPr>
        <w:t xml:space="preserve">1、本基金的基金合同生效后，在开始办理基金份额申购或者赎回前，基金管理人将至少每周在指定网站披露一次基金份额净值和基金份额累计净值；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2、 在开始办理基金份额申购或者赎回后，基金管理人应当在不晚于每个开放日的次日，通过指定网站、基金销售机构网站或营业网点披露开放日的基金份额净值和基金份额累计净值；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3、基金管理人应在不晚于半年度和年度最后一日的次日，在指定网站披露半年度和年度最后一日的基金份额净值和基金份额累计净值。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（六）基金份额申购、赎回价格公告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本基金的基金合同、招募说明书等信息披露文件上载明基金份额申购、赎回价格的计算方式及有关申购、赎回费率，并保证投资者能够在基金销售机构网站或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（七）基金年度报告、基金中期报告、基金季度报告   </w:t>
      </w:r>
    </w:p>
    <w:p>
      <w:pPr>
        <w:pStyle w:val="7"/>
        <w:spacing w:before="0" w:beforeAutospacing="0" w:after="0" w:afterAutospacing="0" w:line="360" w:lineRule="auto"/>
        <w:ind w:firstLine="420"/>
        <w:rPr>
          <w:sz w:val="21"/>
          <w:szCs w:val="21"/>
        </w:rPr>
      </w:pPr>
      <w:r>
        <w:rPr>
          <w:rFonts w:hint="eastAsia"/>
          <w:sz w:val="21"/>
          <w:szCs w:val="21"/>
        </w:rPr>
        <w:t xml:space="preserve">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2、基金管理人应当在上半年结束之日起两个月内，编制完成基金中期报告，将中期报告登载在指定网站上，并将中期报告提示性公告登载在指定报刊上；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3、基金管理人应当在每个季度结束之日起15个工作日内，编制完成基金季度报告，将季度报告登载在指定网站上，并将季度报告提示性公告登载在指定报刊上；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4、基金合同生效不足2个月的，本基金管理人可以不编制当期季度报告、中期报告或者年度报告。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5、本基金持续运作过程中, 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6、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（八）临时报告与公告   </w:t>
      </w:r>
    </w:p>
    <w:p>
      <w:pPr>
        <w:pStyle w:val="7"/>
        <w:spacing w:before="0" w:beforeAutospacing="0" w:after="0" w:afterAutospacing="0" w:line="360" w:lineRule="auto"/>
        <w:ind w:firstLine="420"/>
        <w:rPr>
          <w:sz w:val="21"/>
          <w:szCs w:val="21"/>
        </w:rPr>
      </w:pPr>
      <w:r>
        <w:rPr>
          <w:rFonts w:hint="eastAsia"/>
          <w:sz w:val="21"/>
          <w:szCs w:val="21"/>
        </w:rPr>
        <w:t xml:space="preserve">在基金运作过程中发生如下可能对基金份额持有人权益或者基金份额的价格产生重大影响的事件时，有关信息披露义务人应当在2日内编制临时报告书，并登载在指定报刊和指定网站上：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8、基金募集期延长；  </w:t>
      </w:r>
    </w:p>
    <w:p>
      <w:pPr>
        <w:pStyle w:val="7"/>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11、涉及基金财产、基金管理业务、基金托管业务的诉讼或仲裁；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14、基金收益分配事项；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15、管理费、托管费、申购费、赎回费等费用计提标准、计提方式和费率发生变更；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16、基金份额净值计价错误达基金份额净值0.5%；  </w:t>
      </w:r>
    </w:p>
    <w:p>
      <w:pPr>
        <w:pStyle w:val="7"/>
        <w:spacing w:before="0" w:beforeAutospacing="0" w:after="0" w:afterAutospacing="0" w:line="360" w:lineRule="auto"/>
        <w:ind w:firstLine="420"/>
        <w:rPr>
          <w:sz w:val="21"/>
          <w:szCs w:val="21"/>
        </w:rPr>
      </w:pPr>
      <w:r>
        <w:rPr>
          <w:rFonts w:hint="eastAsia"/>
          <w:sz w:val="21"/>
          <w:szCs w:val="21"/>
        </w:rPr>
        <w:t xml:space="preserve">17、本基金开始办理申购、赎回；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18、本基金发生巨额赎回并延期办理；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19、本基金连续发生巨额赎回并暂停接受赎回申请或延缓支付赎回款项；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20、本基金暂停接受申购、赎回申请或重新接受申购、赎回申请；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21、发生涉及基金申购、赎回事项调整或潜在影响投资者赎回等重大事项时； </w:t>
      </w:r>
    </w:p>
    <w:p>
      <w:pPr>
        <w:pStyle w:val="7"/>
        <w:spacing w:before="0" w:beforeAutospacing="0" w:after="0" w:afterAutospacing="0" w:line="360" w:lineRule="auto"/>
        <w:ind w:firstLine="420"/>
        <w:rPr>
          <w:sz w:val="21"/>
          <w:szCs w:val="21"/>
        </w:rPr>
      </w:pPr>
      <w:r>
        <w:rPr>
          <w:rFonts w:hint="eastAsia"/>
          <w:sz w:val="21"/>
          <w:szCs w:val="21"/>
        </w:rPr>
        <w:t>22、基金信息披露义务人认为可能对基金份额持有人权益或者基金份额的价格产生重大</w:t>
      </w:r>
      <w:bookmarkStart w:id="177" w:name="chapter_level1_18_67_section_2_end"/>
      <w:bookmarkEnd w:id="177"/>
      <w:r>
        <w:rPr>
          <w:rFonts w:hint="eastAsia"/>
          <w:sz w:val="21"/>
          <w:szCs w:val="21"/>
        </w:rPr>
        <w:t xml:space="preserve">影响的其他事项或中国证监会规定的其他事项。  </w:t>
      </w:r>
    </w:p>
    <w:p>
      <w:pPr>
        <w:pStyle w:val="7"/>
        <w:spacing w:before="0" w:beforeAutospacing="0" w:after="0" w:afterAutospacing="0" w:line="360" w:lineRule="auto"/>
        <w:ind w:firstLine="420"/>
        <w:rPr>
          <w:sz w:val="21"/>
          <w:szCs w:val="21"/>
        </w:rPr>
      </w:pPr>
      <w:bookmarkStart w:id="178" w:name="chapter_level1_18_67_section_3"/>
      <w:bookmarkEnd w:id="178"/>
      <w:r>
        <w:rPr>
          <w:rFonts w:hint="eastAsia"/>
          <w:sz w:val="21"/>
          <w:szCs w:val="21"/>
        </w:rPr>
        <w:t xml:space="preserve">（九）澄清公告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存续期限内，任何公共媒体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（十）基金份额持有人大会决议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7"/>
        <w:spacing w:before="0" w:beforeAutospacing="0" w:after="0" w:afterAutospacing="0" w:line="360" w:lineRule="auto"/>
        <w:ind w:firstLine="420"/>
        <w:rPr>
          <w:sz w:val="21"/>
          <w:szCs w:val="21"/>
        </w:rPr>
      </w:pPr>
      <w:r>
        <w:rPr>
          <w:rFonts w:hint="eastAsia"/>
          <w:sz w:val="21"/>
          <w:szCs w:val="21"/>
        </w:rPr>
        <w:t xml:space="preserve">（十一）清算报告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（十二）中国证监会规定的其他信息   </w:t>
      </w:r>
    </w:p>
    <w:p>
      <w:pPr>
        <w:pStyle w:val="7"/>
        <w:spacing w:before="0" w:beforeAutospacing="0" w:after="0" w:afterAutospacing="0" w:line="360" w:lineRule="auto"/>
        <w:ind w:firstLine="420"/>
        <w:rPr>
          <w:sz w:val="21"/>
          <w:szCs w:val="21"/>
        </w:rPr>
      </w:pPr>
      <w:r>
        <w:rPr>
          <w:rFonts w:hint="eastAsia"/>
          <w:sz w:val="21"/>
          <w:szCs w:val="21"/>
        </w:rPr>
        <w:t xml:space="preserve">（十三）信息披露事务管理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基金信息披露义务人公开披露基金信息，应当符合中国证监会相关基金信息披露内容与格式准则等法规的规定。  </w:t>
      </w:r>
    </w:p>
    <w:p>
      <w:pPr>
        <w:pStyle w:val="7"/>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清算报告等相关基金信息进行复核、审查，并向基金管理人进行书面或电子确认。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基金管理人、基金托管人应当在指定报刊中选择披露信息的报刊。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pPr>
        <w:pStyle w:val="7"/>
        <w:spacing w:before="0" w:beforeAutospacing="0" w:after="0" w:afterAutospacing="0" w:line="360" w:lineRule="auto"/>
        <w:ind w:firstLine="420"/>
        <w:rPr>
          <w:sz w:val="21"/>
          <w:szCs w:val="21"/>
        </w:rPr>
      </w:pPr>
      <w:r>
        <w:rPr>
          <w:rFonts w:hint="eastAsia"/>
          <w:sz w:val="21"/>
          <w:szCs w:val="21"/>
        </w:rPr>
        <w:t xml:space="preserve">（十四）信息披露文件的存放与查阅 </w:t>
      </w:r>
    </w:p>
    <w:p>
      <w:pPr>
        <w:pStyle w:val="7"/>
        <w:spacing w:before="0" w:beforeAutospacing="0" w:after="0" w:afterAutospacing="0" w:line="360" w:lineRule="auto"/>
        <w:ind w:firstLine="420"/>
        <w:rPr>
          <w:sz w:val="21"/>
          <w:szCs w:val="21"/>
        </w:rPr>
      </w:pPr>
      <w:r>
        <w:rPr>
          <w:rFonts w:hint="eastAsia"/>
          <w:sz w:val="21"/>
          <w:szCs w:val="21"/>
        </w:rPr>
        <w:t>依法必须披露的信息发布后，基金管理人、基金托管人应当按照相关法律法规规定将信</w:t>
      </w:r>
      <w:bookmarkStart w:id="179" w:name="chapter_level1_18_67_section_3_end"/>
      <w:bookmarkEnd w:id="179"/>
      <w:r>
        <w:rPr>
          <w:rFonts w:hint="eastAsia"/>
          <w:sz w:val="21"/>
          <w:szCs w:val="21"/>
        </w:rPr>
        <w:t xml:space="preserve">息置备于公司住所，以供社会公众查阅、复制。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0" w:name="_Toc113295505"/>
      <w:bookmarkStart w:id="181" w:name="chapter_level1_19_68"/>
      <w:r>
        <w:rPr>
          <w:rFonts w:hint="eastAsia" w:ascii="宋体" w:hAnsi="宋体" w:eastAsia="宋体"/>
          <w:sz w:val="30"/>
        </w:rPr>
        <w:t>第十六部分  风险揭示</w:t>
      </w:r>
      <w:bookmarkEnd w:id="180"/>
      <w:bookmarkEnd w:id="181"/>
    </w:p>
    <w:p>
      <w:pPr>
        <w:pStyle w:val="7"/>
        <w:spacing w:before="0" w:beforeAutospacing="0" w:after="0" w:afterAutospacing="0" w:line="360" w:lineRule="auto"/>
        <w:ind w:firstLine="420"/>
        <w:rPr>
          <w:sz w:val="21"/>
          <w:szCs w:val="21"/>
        </w:rPr>
      </w:pPr>
      <w:bookmarkStart w:id="182" w:name="chapter_level1_19_68_section_1"/>
      <w:bookmarkEnd w:id="182"/>
      <w:r>
        <w:rPr>
          <w:rStyle w:val="11"/>
          <w:rFonts w:hint="eastAsia"/>
          <w:sz w:val="21"/>
          <w:szCs w:val="21"/>
        </w:rPr>
        <w:t>一、投资于本基金的主要风险</w:t>
      </w:r>
    </w:p>
    <w:p>
      <w:pPr>
        <w:pStyle w:val="7"/>
        <w:spacing w:before="0" w:beforeAutospacing="0" w:after="0" w:afterAutospacing="0" w:line="360" w:lineRule="auto"/>
        <w:ind w:firstLine="420"/>
        <w:rPr>
          <w:sz w:val="21"/>
          <w:szCs w:val="21"/>
        </w:rPr>
      </w:pPr>
      <w:r>
        <w:rPr>
          <w:rFonts w:hint="eastAsia"/>
          <w:sz w:val="21"/>
          <w:szCs w:val="21"/>
        </w:rPr>
        <w:t xml:space="preserve">1、市场风险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证券市场价格受到经济因素、政治因素、投资心理和交易制度等各种因素的影响，导致基金收益水平变化而产生风险，主要包括：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（2）经济周期风险。随经济运行的周期性变化，证券市场的收益水平也呈周期性变化。基金投资于债券，收益水平也会随之变化，从而产生风险。 </w:t>
      </w:r>
    </w:p>
    <w:p>
      <w:pPr>
        <w:pStyle w:val="7"/>
        <w:spacing w:before="0" w:beforeAutospacing="0" w:after="0" w:afterAutospacing="0" w:line="360" w:lineRule="auto"/>
        <w:ind w:firstLine="420"/>
        <w:rPr>
          <w:sz w:val="21"/>
          <w:szCs w:val="21"/>
        </w:rPr>
      </w:pPr>
      <w:r>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pPr>
        <w:pStyle w:val="7"/>
        <w:spacing w:before="0" w:beforeAutospacing="0" w:after="0" w:afterAutospacing="0" w:line="360" w:lineRule="auto"/>
        <w:ind w:firstLine="420"/>
        <w:rPr>
          <w:sz w:val="21"/>
          <w:szCs w:val="21"/>
        </w:rPr>
      </w:pPr>
      <w:r>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pPr>
        <w:pStyle w:val="7"/>
        <w:spacing w:before="0" w:beforeAutospacing="0" w:after="0" w:afterAutospacing="0" w:line="360" w:lineRule="auto"/>
        <w:ind w:firstLine="420"/>
        <w:rPr>
          <w:sz w:val="21"/>
          <w:szCs w:val="21"/>
        </w:rPr>
      </w:pPr>
      <w:r>
        <w:rPr>
          <w:rFonts w:hint="eastAsia"/>
          <w:sz w:val="21"/>
          <w:szCs w:val="21"/>
        </w:rPr>
        <w:t xml:space="preserve">（5）购买力风险。基金的利润将主要通过现金形式来分配，而现金可能因为通货膨胀的影响而导致购买力下降，从而使基金的实际收益下降。 </w:t>
      </w:r>
    </w:p>
    <w:p>
      <w:pPr>
        <w:pStyle w:val="7"/>
        <w:spacing w:before="0" w:beforeAutospacing="0" w:after="0" w:afterAutospacing="0" w:line="360" w:lineRule="auto"/>
        <w:ind w:firstLine="420"/>
        <w:rPr>
          <w:sz w:val="21"/>
          <w:szCs w:val="21"/>
        </w:rPr>
      </w:pPr>
      <w:r>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pPr>
        <w:pStyle w:val="7"/>
        <w:spacing w:before="0" w:beforeAutospacing="0" w:after="0" w:afterAutospacing="0" w:line="360" w:lineRule="auto"/>
        <w:ind w:firstLine="420"/>
        <w:rPr>
          <w:sz w:val="21"/>
          <w:szCs w:val="21"/>
        </w:rPr>
      </w:pPr>
      <w:r>
        <w:rPr>
          <w:rFonts w:hint="eastAsia"/>
          <w:sz w:val="21"/>
          <w:szCs w:val="21"/>
        </w:rPr>
        <w:t xml:space="preserve">（7）信用风险。基金所投资债券的发行人如出现违约、无法支付到期本息，或由于债券发行人信用等级降低导致债券价格下降，将造成基金资产损失。 </w:t>
      </w:r>
    </w:p>
    <w:p>
      <w:pPr>
        <w:pStyle w:val="7"/>
        <w:spacing w:before="0" w:beforeAutospacing="0" w:after="0" w:afterAutospacing="0" w:line="360" w:lineRule="auto"/>
        <w:ind w:firstLine="420"/>
        <w:rPr>
          <w:sz w:val="21"/>
          <w:szCs w:val="21"/>
        </w:rPr>
      </w:pPr>
      <w:r>
        <w:rPr>
          <w:rFonts w:hint="eastAsia"/>
          <w:sz w:val="21"/>
          <w:szCs w:val="21"/>
        </w:rPr>
        <w:t xml:space="preserve">（8）新股价格波动风险。本基金可投资于新股申购，本基金所投资新股价格波动将对基金收益率产生影响。 </w:t>
      </w:r>
    </w:p>
    <w:p>
      <w:pPr>
        <w:pStyle w:val="7"/>
        <w:spacing w:before="0" w:beforeAutospacing="0" w:after="0" w:afterAutospacing="0" w:line="360" w:lineRule="auto"/>
        <w:ind w:firstLine="420"/>
        <w:rPr>
          <w:sz w:val="21"/>
          <w:szCs w:val="21"/>
        </w:rPr>
      </w:pPr>
      <w:r>
        <w:rPr>
          <w:rFonts w:hint="eastAsia"/>
          <w:sz w:val="21"/>
          <w:szCs w:val="21"/>
        </w:rPr>
        <w:t xml:space="preserve">（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pPr>
        <w:pStyle w:val="7"/>
        <w:spacing w:before="0" w:beforeAutospacing="0" w:after="0" w:afterAutospacing="0" w:line="360" w:lineRule="auto"/>
        <w:ind w:firstLine="420"/>
        <w:rPr>
          <w:sz w:val="21"/>
          <w:szCs w:val="21"/>
        </w:rPr>
      </w:pPr>
      <w:r>
        <w:rPr>
          <w:rFonts w:hint="eastAsia"/>
          <w:sz w:val="21"/>
          <w:szCs w:val="21"/>
        </w:rPr>
        <w:t xml:space="preserve">2、管理风险 </w:t>
      </w:r>
    </w:p>
    <w:p>
      <w:pPr>
        <w:pStyle w:val="7"/>
        <w:spacing w:before="0" w:beforeAutospacing="0" w:after="0" w:afterAutospacing="0" w:line="360" w:lineRule="auto"/>
        <w:ind w:firstLine="420"/>
        <w:rPr>
          <w:sz w:val="21"/>
          <w:szCs w:val="21"/>
        </w:rPr>
      </w:pPr>
      <w:r>
        <w:rPr>
          <w:rFonts w:hint="eastAsia"/>
          <w:sz w:val="21"/>
          <w:szCs w:val="21"/>
        </w:rPr>
        <w:t xml:space="preserve">基金运作过程中由于基金投资策略、人为因素、管理系统设置不当造成操作失误或公司内部失控而可能产生的损失。管理风险包括： </w:t>
      </w:r>
    </w:p>
    <w:p>
      <w:pPr>
        <w:pStyle w:val="7"/>
        <w:spacing w:before="0" w:beforeAutospacing="0" w:after="0" w:afterAutospacing="0" w:line="360" w:lineRule="auto"/>
        <w:ind w:firstLine="420"/>
        <w:rPr>
          <w:sz w:val="21"/>
          <w:szCs w:val="21"/>
        </w:rPr>
      </w:pPr>
      <w:r>
        <w:rPr>
          <w:rFonts w:hint="eastAsia"/>
          <w:sz w:val="21"/>
          <w:szCs w:val="21"/>
        </w:rPr>
        <w:t xml:space="preserve">（1）决策风险：指基金投资的投资策略制定、投资决策执行和投资绩效监督检查过程中，由于决策失误而给基金资产造成的可能的损失； </w:t>
      </w:r>
    </w:p>
    <w:p>
      <w:pPr>
        <w:pStyle w:val="7"/>
        <w:spacing w:before="0" w:beforeAutospacing="0" w:after="0" w:afterAutospacing="0" w:line="360" w:lineRule="auto"/>
        <w:ind w:firstLine="420"/>
        <w:rPr>
          <w:sz w:val="21"/>
          <w:szCs w:val="21"/>
        </w:rPr>
      </w:pPr>
      <w:r>
        <w:rPr>
          <w:rFonts w:hint="eastAsia"/>
          <w:sz w:val="21"/>
          <w:szCs w:val="21"/>
        </w:rPr>
        <w:t xml:space="preserve">（2）操作风险：指基金投资决策执行中，由于投资指令不明晰、交易操作失误等人为因素而可能导致的损失； </w:t>
      </w:r>
    </w:p>
    <w:p>
      <w:pPr>
        <w:pStyle w:val="7"/>
        <w:spacing w:before="0" w:beforeAutospacing="0" w:after="0" w:afterAutospacing="0" w:line="360" w:lineRule="auto"/>
        <w:ind w:firstLine="420"/>
        <w:rPr>
          <w:sz w:val="21"/>
          <w:szCs w:val="21"/>
        </w:rPr>
      </w:pPr>
      <w:r>
        <w:rPr>
          <w:rFonts w:hint="eastAsia"/>
          <w:sz w:val="21"/>
          <w:szCs w:val="21"/>
        </w:rPr>
        <w:t xml:space="preserve">（3）技术风险：是指公司管理信息系统设置不当等因素而可能造成的损失。 </w:t>
      </w:r>
    </w:p>
    <w:p>
      <w:pPr>
        <w:pStyle w:val="7"/>
        <w:spacing w:before="0" w:beforeAutospacing="0" w:after="0" w:afterAutospacing="0" w:line="360" w:lineRule="auto"/>
        <w:ind w:firstLine="420"/>
        <w:rPr>
          <w:sz w:val="21"/>
          <w:szCs w:val="21"/>
        </w:rPr>
      </w:pPr>
      <w:r>
        <w:rPr>
          <w:rFonts w:hint="eastAsia"/>
          <w:sz w:val="21"/>
          <w:szCs w:val="21"/>
        </w:rPr>
        <w:t xml:space="preserve">3、职业道德风险：是指公司员工不遵守职业操守，发生违法、违规行为而可能导致的损失。 </w:t>
      </w:r>
    </w:p>
    <w:p>
      <w:pPr>
        <w:pStyle w:val="7"/>
        <w:spacing w:before="0" w:beforeAutospacing="0" w:after="0" w:afterAutospacing="0" w:line="360" w:lineRule="auto"/>
        <w:ind w:firstLine="420"/>
        <w:rPr>
          <w:sz w:val="21"/>
          <w:szCs w:val="21"/>
        </w:rPr>
      </w:pPr>
      <w:r>
        <w:rPr>
          <w:rFonts w:hint="eastAsia"/>
          <w:sz w:val="21"/>
          <w:szCs w:val="21"/>
        </w:rPr>
        <w:t xml:space="preserve">4、流动性风险 </w:t>
      </w:r>
    </w:p>
    <w:p>
      <w:pPr>
        <w:pStyle w:val="7"/>
        <w:spacing w:before="0" w:beforeAutospacing="0" w:after="0" w:afterAutospacing="0" w:line="360" w:lineRule="auto"/>
        <w:ind w:firstLine="420"/>
        <w:rPr>
          <w:sz w:val="21"/>
          <w:szCs w:val="21"/>
        </w:rPr>
      </w:pPr>
      <w:r>
        <w:rPr>
          <w:rFonts w:hint="eastAsia"/>
          <w:sz w:val="21"/>
          <w:szCs w:val="21"/>
        </w:rPr>
        <w:t xml:space="preserve">在开放式基金交易过程中，可能会发生巨额赎回的情形。巨额赎回可能会产生基金仓位调整的困难，导致流动性风险，甚至影响基金份额净值。 </w:t>
      </w:r>
    </w:p>
    <w:p>
      <w:pPr>
        <w:pStyle w:val="7"/>
        <w:spacing w:before="0" w:beforeAutospacing="0" w:after="0" w:afterAutospacing="0" w:line="360" w:lineRule="auto"/>
        <w:ind w:firstLine="420"/>
        <w:rPr>
          <w:sz w:val="21"/>
          <w:szCs w:val="21"/>
        </w:rPr>
      </w:pPr>
      <w:r>
        <w:rPr>
          <w:rFonts w:hint="eastAsia"/>
          <w:sz w:val="21"/>
          <w:szCs w:val="21"/>
        </w:rPr>
        <w:t xml:space="preserve">（1）基金申购、赎回安排 </w:t>
      </w:r>
    </w:p>
    <w:p>
      <w:pPr>
        <w:pStyle w:val="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5、合规性风险 </w:t>
      </w:r>
    </w:p>
    <w:p>
      <w:pPr>
        <w:pStyle w:val="7"/>
        <w:spacing w:before="0" w:beforeAutospacing="0" w:after="0" w:afterAutospacing="0" w:line="360" w:lineRule="auto"/>
        <w:ind w:firstLine="420"/>
        <w:rPr>
          <w:sz w:val="21"/>
          <w:szCs w:val="21"/>
        </w:rPr>
      </w:pPr>
      <w:r>
        <w:rPr>
          <w:rFonts w:hint="eastAsia"/>
          <w:sz w:val="21"/>
          <w:szCs w:val="21"/>
        </w:rPr>
        <w:t xml:space="preserve">指基金管理或运作过程中，违反国家法律、法规的规定，或者基金投资违反法规及基金合同有关规定的风险。 </w:t>
      </w:r>
    </w:p>
    <w:p>
      <w:pPr>
        <w:pStyle w:val="7"/>
        <w:spacing w:before="0" w:beforeAutospacing="0" w:after="0" w:afterAutospacing="0" w:line="360" w:lineRule="auto"/>
        <w:ind w:firstLine="420"/>
        <w:rPr>
          <w:sz w:val="21"/>
          <w:szCs w:val="21"/>
        </w:rPr>
      </w:pPr>
      <w:r>
        <w:rPr>
          <w:rFonts w:hint="eastAsia"/>
          <w:sz w:val="21"/>
          <w:szCs w:val="21"/>
        </w:rPr>
        <w:t xml:space="preserve">6、本基金特定投资策略带来的风险 </w:t>
      </w:r>
    </w:p>
    <w:p>
      <w:pPr>
        <w:pStyle w:val="7"/>
        <w:spacing w:before="0" w:beforeAutospacing="0" w:after="0" w:afterAutospacing="0" w:line="360" w:lineRule="auto"/>
        <w:ind w:firstLine="420"/>
        <w:rPr>
          <w:sz w:val="21"/>
          <w:szCs w:val="21"/>
        </w:rPr>
      </w:pPr>
      <w:r>
        <w:rPr>
          <w:rFonts w:hint="eastAsia"/>
          <w:sz w:val="21"/>
          <w:szCs w:val="21"/>
        </w:rPr>
        <w:t xml:space="preserve">行业轮动策略是本基金股票投资的核心策略，其在战略层面上，是围绕对经济周期景气的预判来实施大类资产的配置；其在战术的层面，是形成以行业轮动为核心的投资组合构建策略。在个股投资的层面，本基金将贯彻以大类资产配置和行业轮动策略为核心指导原则下的个股精选策略。然而上述策略建立在一定理论假设基础之上，判断结果可能与宏观经济的实际走向、上市公司的实际发展情况、股票市场或个股的实际表现存在偏差。此外，本基金在类别资产配置中也会由于市场环境、公司治理、制度建设等因素的不同影响，导致资产配置偏离优化水平，为组合绩效带来风险。本基金管理人将发挥专业优势，加强跟踪研究，持续优化组合配置，以控制特定风险。 </w:t>
      </w:r>
    </w:p>
    <w:p>
      <w:pPr>
        <w:pStyle w:val="7"/>
        <w:spacing w:before="0" w:beforeAutospacing="0" w:after="0" w:afterAutospacing="0" w:line="360" w:lineRule="auto"/>
        <w:ind w:firstLine="420"/>
        <w:rPr>
          <w:sz w:val="21"/>
          <w:szCs w:val="21"/>
        </w:rPr>
      </w:pPr>
      <w:r>
        <w:rPr>
          <w:rFonts w:hint="eastAsia"/>
          <w:sz w:val="21"/>
          <w:szCs w:val="21"/>
        </w:rPr>
        <w:t xml:space="preserve">7、投资于存托凭证的风险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rPr>
          <w:rFonts w:ascii="宋体" w:hAnsi="宋体" w:eastAsia="宋体"/>
          <w:sz w:val="24"/>
          <w:szCs w:val="24"/>
        </w:rPr>
      </w:pPr>
      <w:r>
        <w:rPr>
          <w:rFonts w:ascii="宋体" w:hAnsi="宋体" w:eastAsia="宋体"/>
        </w:rPr>
        <w:t xml:space="preserve">    8、其他风险 </w:t>
      </w:r>
    </w:p>
    <w:p>
      <w:pPr>
        <w:pStyle w:val="7"/>
        <w:spacing w:before="0" w:beforeAutospacing="0" w:after="0" w:afterAutospacing="0" w:line="360" w:lineRule="auto"/>
        <w:ind w:firstLine="420"/>
        <w:rPr>
          <w:sz w:val="21"/>
          <w:szCs w:val="21"/>
        </w:rPr>
      </w:pPr>
      <w:r>
        <w:rPr>
          <w:rFonts w:hint="eastAsia"/>
          <w:sz w:val="21"/>
          <w:szCs w:val="21"/>
        </w:rPr>
        <w:t xml:space="preserve">（1）随着符合本基金投资理念的新投资工具的出现和发展，如果投资于这些工具，基金可能会面临一些特殊的风险； </w:t>
      </w:r>
    </w:p>
    <w:p>
      <w:pPr>
        <w:pStyle w:val="7"/>
        <w:spacing w:before="0" w:beforeAutospacing="0" w:after="0" w:afterAutospacing="0" w:line="360" w:lineRule="auto"/>
        <w:ind w:firstLine="420"/>
        <w:rPr>
          <w:sz w:val="21"/>
          <w:szCs w:val="21"/>
        </w:rPr>
      </w:pPr>
      <w:r>
        <w:rPr>
          <w:rFonts w:hint="eastAsia"/>
          <w:sz w:val="21"/>
          <w:szCs w:val="21"/>
        </w:rPr>
        <w:t xml:space="preserve">（2）因技术因素而产生的风险，如计算机系统不可靠产生的风险； </w:t>
      </w:r>
    </w:p>
    <w:p>
      <w:pPr>
        <w:pStyle w:val="7"/>
        <w:spacing w:before="0" w:beforeAutospacing="0" w:after="0" w:afterAutospacing="0" w:line="360" w:lineRule="auto"/>
        <w:ind w:firstLine="420"/>
        <w:rPr>
          <w:sz w:val="21"/>
          <w:szCs w:val="21"/>
        </w:rPr>
      </w:pPr>
      <w:r>
        <w:rPr>
          <w:rFonts w:hint="eastAsia"/>
          <w:sz w:val="21"/>
          <w:szCs w:val="21"/>
        </w:rPr>
        <w:t xml:space="preserve">（3）因基金业务快速发展而在制度建设、人员配备、内控制度建立等方面不完善而产生的风险； </w:t>
      </w:r>
    </w:p>
    <w:p>
      <w:pPr>
        <w:pStyle w:val="7"/>
        <w:spacing w:before="0" w:beforeAutospacing="0" w:after="0" w:afterAutospacing="0" w:line="360" w:lineRule="auto"/>
        <w:ind w:firstLine="420"/>
        <w:rPr>
          <w:sz w:val="21"/>
          <w:szCs w:val="21"/>
        </w:rPr>
      </w:pPr>
      <w:r>
        <w:rPr>
          <w:rFonts w:hint="eastAsia"/>
          <w:sz w:val="21"/>
          <w:szCs w:val="21"/>
        </w:rPr>
        <w:t xml:space="preserve">（4）因人为因素而产生的风险、如内幕交易、欺诈行为等产生的风险； </w:t>
      </w:r>
    </w:p>
    <w:p>
      <w:pPr>
        <w:pStyle w:val="7"/>
        <w:spacing w:before="0" w:beforeAutospacing="0" w:after="0" w:afterAutospacing="0" w:line="360" w:lineRule="auto"/>
        <w:ind w:firstLine="420"/>
        <w:rPr>
          <w:sz w:val="21"/>
          <w:szCs w:val="21"/>
        </w:rPr>
      </w:pPr>
      <w:r>
        <w:rPr>
          <w:rFonts w:hint="eastAsia"/>
          <w:sz w:val="21"/>
          <w:szCs w:val="21"/>
        </w:rPr>
        <w:t xml:space="preserve">（5）对主要业务人员如基金经理的依赖而可能产生的风险； </w:t>
      </w:r>
    </w:p>
    <w:p>
      <w:pPr>
        <w:pStyle w:val="7"/>
        <w:spacing w:before="0" w:beforeAutospacing="0" w:after="0" w:afterAutospacing="0" w:line="360" w:lineRule="auto"/>
        <w:ind w:firstLine="420"/>
        <w:rPr>
          <w:sz w:val="21"/>
          <w:szCs w:val="21"/>
        </w:rPr>
      </w:pPr>
      <w:r>
        <w:rPr>
          <w:rFonts w:hint="eastAsia"/>
          <w:sz w:val="21"/>
          <w:szCs w:val="21"/>
        </w:rPr>
        <w:t xml:space="preserve">（6）战争、自然灾害等不可抗力可能导致基金资产的损失，影响基金收益水平，从而带来风险； </w:t>
      </w:r>
    </w:p>
    <w:p>
      <w:pPr>
        <w:pStyle w:val="7"/>
        <w:spacing w:before="0" w:beforeAutospacing="0" w:after="0" w:afterAutospacing="0" w:line="360" w:lineRule="auto"/>
        <w:ind w:firstLine="420"/>
        <w:rPr>
          <w:sz w:val="21"/>
          <w:szCs w:val="21"/>
        </w:rPr>
      </w:pPr>
      <w:r>
        <w:rPr>
          <w:rFonts w:hint="eastAsia"/>
          <w:sz w:val="21"/>
          <w:szCs w:val="21"/>
        </w:rPr>
        <w:t xml:space="preserve">（7）其他意外导致的风险。 </w:t>
      </w:r>
    </w:p>
    <w:p>
      <w:pPr>
        <w:pStyle w:val="7"/>
        <w:spacing w:before="0" w:beforeAutospacing="0" w:after="0" w:afterAutospacing="0" w:line="360" w:lineRule="auto"/>
        <w:ind w:firstLine="420"/>
        <w:rPr>
          <w:sz w:val="21"/>
          <w:szCs w:val="21"/>
        </w:rPr>
      </w:pPr>
      <w:r>
        <w:rPr>
          <w:rStyle w:val="11"/>
          <w:rFonts w:hint="eastAsia"/>
          <w:sz w:val="21"/>
          <w:szCs w:val="21"/>
        </w:rPr>
        <w:t>二、声明</w:t>
      </w:r>
    </w:p>
    <w:p>
      <w:pPr>
        <w:pStyle w:val="7"/>
        <w:spacing w:before="0" w:beforeAutospacing="0" w:after="0" w:afterAutospacing="0" w:line="360" w:lineRule="auto"/>
        <w:ind w:firstLine="420"/>
        <w:rPr>
          <w:sz w:val="21"/>
          <w:szCs w:val="21"/>
        </w:rPr>
      </w:pPr>
      <w:r>
        <w:rPr>
          <w:rFonts w:hint="eastAsia"/>
          <w:sz w:val="21"/>
          <w:szCs w:val="21"/>
        </w:rPr>
        <w:t xml:space="preserve">1、本基金未经任何一级政府、机构及部门担保。基金投资者自愿投资于本基金，须自行承担投资风险。 </w:t>
      </w:r>
    </w:p>
    <w:p>
      <w:pPr>
        <w:pStyle w:val="7"/>
        <w:spacing w:before="0" w:beforeAutospacing="0" w:after="0" w:afterAutospacing="0" w:line="360" w:lineRule="auto"/>
        <w:ind w:firstLine="420"/>
        <w:rPr>
          <w:sz w:val="21"/>
          <w:szCs w:val="21"/>
        </w:rPr>
      </w:pPr>
      <w:r>
        <w:rPr>
          <w:rFonts w:hint="eastAsia"/>
          <w:sz w:val="21"/>
          <w:szCs w:val="21"/>
        </w:rPr>
        <w:t>2、除基金管理人直接办理本基金的销售外，本基金还通过基金代销机构代理销售，但是，基金资产并不是代销机构的存款或负债，也没有经基金代销机构担保收益，代销机构并</w:t>
      </w:r>
      <w:bookmarkStart w:id="183" w:name="chapter_level1_19_68_section_1_end"/>
      <w:bookmarkEnd w:id="183"/>
      <w:r>
        <w:rPr>
          <w:rFonts w:hint="eastAsia"/>
          <w:sz w:val="21"/>
          <w:szCs w:val="21"/>
        </w:rPr>
        <w:t xml:space="preserve">不能保证其收益或本金安全。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4" w:name="chapter_level1_20_69"/>
      <w:bookmarkStart w:id="185" w:name="_Toc113295506"/>
      <w:r>
        <w:rPr>
          <w:rFonts w:hint="eastAsia" w:ascii="宋体" w:hAnsi="宋体" w:eastAsia="宋体"/>
          <w:sz w:val="30"/>
        </w:rPr>
        <w:t>第十七部分  基金合同的终止与基金财产的清算</w:t>
      </w:r>
      <w:bookmarkEnd w:id="184"/>
      <w:bookmarkEnd w:id="185"/>
    </w:p>
    <w:p>
      <w:pPr>
        <w:pStyle w:val="7"/>
        <w:spacing w:before="0" w:beforeAutospacing="0" w:after="0" w:afterAutospacing="0" w:line="360" w:lineRule="auto"/>
        <w:ind w:firstLine="420"/>
        <w:rPr>
          <w:sz w:val="21"/>
          <w:szCs w:val="21"/>
        </w:rPr>
      </w:pPr>
      <w:bookmarkStart w:id="186" w:name="chapter_level1_20_69_section_1"/>
      <w:bookmarkEnd w:id="186"/>
      <w:r>
        <w:rPr>
          <w:rStyle w:val="11"/>
          <w:rFonts w:hint="eastAsia"/>
          <w:sz w:val="21"/>
          <w:szCs w:val="21"/>
        </w:rPr>
        <w:t>一、基金合同的终止</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有下列情形之一的，基金合同经中国证监会核准后将终止：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2、基金管理人因解散、破产、撤销等事由，不能继续担任基金管理人的职务，而在6个月内无其他适当的基金管理公司承接其原有权利义务； </w:t>
      </w:r>
    </w:p>
    <w:p>
      <w:pPr>
        <w:pStyle w:val="7"/>
        <w:spacing w:before="0" w:beforeAutospacing="0" w:after="0" w:afterAutospacing="0" w:line="360" w:lineRule="auto"/>
        <w:ind w:firstLine="420"/>
        <w:rPr>
          <w:sz w:val="21"/>
          <w:szCs w:val="21"/>
        </w:rPr>
      </w:pPr>
      <w:r>
        <w:rPr>
          <w:rFonts w:hint="eastAsia"/>
          <w:sz w:val="21"/>
          <w:szCs w:val="21"/>
        </w:rPr>
        <w:t xml:space="preserve">3、基金托管人因解散、破产、撤销等事由，不能继续担任基金托管人的职务，而在6个月内无其他适当的托管机构承接其原有权利义务； </w:t>
      </w:r>
    </w:p>
    <w:p>
      <w:pPr>
        <w:pStyle w:val="7"/>
        <w:spacing w:before="0" w:beforeAutospacing="0" w:after="0" w:afterAutospacing="0" w:line="360" w:lineRule="auto"/>
        <w:ind w:firstLine="420"/>
        <w:rPr>
          <w:sz w:val="21"/>
          <w:szCs w:val="21"/>
        </w:rPr>
      </w:pPr>
      <w:r>
        <w:rPr>
          <w:rFonts w:hint="eastAsia"/>
          <w:sz w:val="21"/>
          <w:szCs w:val="21"/>
        </w:rPr>
        <w:t xml:space="preserve">4、中国证监会规定的其他情况。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二、基金财产的清算</w:t>
      </w:r>
    </w:p>
    <w:p>
      <w:pPr>
        <w:pStyle w:val="7"/>
        <w:spacing w:before="0" w:beforeAutospacing="0" w:after="0" w:afterAutospacing="0" w:line="360" w:lineRule="auto"/>
        <w:ind w:firstLine="420"/>
        <w:rPr>
          <w:sz w:val="21"/>
          <w:szCs w:val="21"/>
        </w:rPr>
      </w:pPr>
      <w:r>
        <w:rPr>
          <w:rFonts w:hint="eastAsia"/>
          <w:sz w:val="21"/>
          <w:szCs w:val="21"/>
        </w:rPr>
        <w:t xml:space="preserve">1、基金财产清算组 </w:t>
      </w:r>
    </w:p>
    <w:p>
      <w:pPr>
        <w:pStyle w:val="7"/>
        <w:spacing w:before="0" w:beforeAutospacing="0" w:after="0" w:afterAutospacing="0" w:line="360" w:lineRule="auto"/>
        <w:ind w:firstLine="420"/>
        <w:rPr>
          <w:sz w:val="21"/>
          <w:szCs w:val="21"/>
        </w:rPr>
      </w:pPr>
      <w:r>
        <w:rPr>
          <w:rFonts w:hint="eastAsia"/>
          <w:sz w:val="21"/>
          <w:szCs w:val="21"/>
        </w:rPr>
        <w:t xml:space="preserve">（1）基金合同终止时，成立基金财产清算组，基金财产清算组在中国证监会的监督下进行基金清算。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（3）基金财产清算组负责基金财产的保管、清理、估价、变现和分配。基金财产清算组可以依法进行必要的民事活动。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2、基金财产清算程序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基金合同终止，应当按法律法规和基金合同的有关规定对基金财产进行清算。基金财产清算程序主要包括： </w:t>
      </w:r>
    </w:p>
    <w:p>
      <w:pPr>
        <w:pStyle w:val="7"/>
        <w:spacing w:before="0" w:beforeAutospacing="0" w:after="0" w:afterAutospacing="0" w:line="360" w:lineRule="auto"/>
        <w:ind w:firstLine="420"/>
        <w:rPr>
          <w:sz w:val="21"/>
          <w:szCs w:val="21"/>
        </w:rPr>
      </w:pPr>
      <w:r>
        <w:rPr>
          <w:rFonts w:hint="eastAsia"/>
          <w:sz w:val="21"/>
          <w:szCs w:val="21"/>
        </w:rPr>
        <w:t xml:space="preserve">（1）基金合同终止后，发布基金财产清算公告； </w:t>
      </w:r>
    </w:p>
    <w:p>
      <w:pPr>
        <w:pStyle w:val="7"/>
        <w:spacing w:before="0" w:beforeAutospacing="0" w:after="0" w:afterAutospacing="0" w:line="360" w:lineRule="auto"/>
        <w:ind w:firstLine="420"/>
        <w:rPr>
          <w:sz w:val="21"/>
          <w:szCs w:val="21"/>
        </w:rPr>
      </w:pPr>
      <w:r>
        <w:rPr>
          <w:rFonts w:hint="eastAsia"/>
          <w:sz w:val="21"/>
          <w:szCs w:val="21"/>
        </w:rPr>
        <w:t xml:space="preserve">（2）基金合同终止时，由基金财产清算组统一接管基金财产； </w:t>
      </w:r>
    </w:p>
    <w:p>
      <w:pPr>
        <w:pStyle w:val="7"/>
        <w:spacing w:before="0" w:beforeAutospacing="0" w:after="0" w:afterAutospacing="0" w:line="360" w:lineRule="auto"/>
        <w:ind w:firstLine="420"/>
        <w:rPr>
          <w:sz w:val="21"/>
          <w:szCs w:val="21"/>
        </w:rPr>
      </w:pPr>
      <w:r>
        <w:rPr>
          <w:rFonts w:hint="eastAsia"/>
          <w:sz w:val="21"/>
          <w:szCs w:val="21"/>
        </w:rPr>
        <w:t xml:space="preserve">（3）对基金财产进行清理和确认； </w:t>
      </w:r>
    </w:p>
    <w:p>
      <w:pPr>
        <w:pStyle w:val="7"/>
        <w:spacing w:before="0" w:beforeAutospacing="0" w:after="0" w:afterAutospacing="0" w:line="360" w:lineRule="auto"/>
        <w:ind w:firstLine="420"/>
        <w:rPr>
          <w:sz w:val="21"/>
          <w:szCs w:val="21"/>
        </w:rPr>
      </w:pPr>
      <w:r>
        <w:rPr>
          <w:rFonts w:hint="eastAsia"/>
          <w:sz w:val="21"/>
          <w:szCs w:val="21"/>
        </w:rPr>
        <w:t xml:space="preserve">（4）对基金财产进行估价和变现；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（5）聘请会计师事务所对清算报告进行审计； </w:t>
      </w:r>
    </w:p>
    <w:p>
      <w:pPr>
        <w:pStyle w:val="7"/>
        <w:spacing w:before="0" w:beforeAutospacing="0" w:after="0" w:afterAutospacing="0" w:line="360" w:lineRule="auto"/>
        <w:ind w:firstLine="420"/>
        <w:rPr>
          <w:sz w:val="21"/>
          <w:szCs w:val="21"/>
        </w:rPr>
      </w:pPr>
      <w:r>
        <w:rPr>
          <w:rFonts w:hint="eastAsia"/>
          <w:sz w:val="21"/>
          <w:szCs w:val="21"/>
        </w:rPr>
        <w:t xml:space="preserve">（6）聘请律师事务所出具法律意见书； </w:t>
      </w:r>
    </w:p>
    <w:p>
      <w:pPr>
        <w:pStyle w:val="7"/>
        <w:spacing w:before="0" w:beforeAutospacing="0" w:after="0" w:afterAutospacing="0" w:line="360" w:lineRule="auto"/>
        <w:ind w:firstLine="420"/>
        <w:rPr>
          <w:sz w:val="21"/>
          <w:szCs w:val="21"/>
        </w:rPr>
      </w:pPr>
      <w:r>
        <w:rPr>
          <w:rFonts w:hint="eastAsia"/>
          <w:sz w:val="21"/>
          <w:szCs w:val="21"/>
        </w:rPr>
        <w:t xml:space="preserve">（7）将基金财产清算结果报告中国证监会； </w:t>
      </w:r>
    </w:p>
    <w:p>
      <w:pPr>
        <w:pStyle w:val="7"/>
        <w:spacing w:before="0" w:beforeAutospacing="0" w:after="0" w:afterAutospacing="0" w:line="360" w:lineRule="auto"/>
        <w:ind w:firstLine="420"/>
        <w:rPr>
          <w:sz w:val="21"/>
          <w:szCs w:val="21"/>
        </w:rPr>
      </w:pPr>
      <w:r>
        <w:rPr>
          <w:rFonts w:hint="eastAsia"/>
          <w:sz w:val="21"/>
          <w:szCs w:val="21"/>
        </w:rPr>
        <w:t xml:space="preserve">（8）参加与基金财产有关的民事诉讼； </w:t>
      </w:r>
    </w:p>
    <w:p>
      <w:pPr>
        <w:pStyle w:val="7"/>
        <w:spacing w:before="0" w:beforeAutospacing="0" w:after="0" w:afterAutospacing="0" w:line="360" w:lineRule="auto"/>
        <w:ind w:firstLine="420"/>
        <w:rPr>
          <w:sz w:val="21"/>
          <w:szCs w:val="21"/>
        </w:rPr>
      </w:pPr>
      <w:r>
        <w:rPr>
          <w:rFonts w:hint="eastAsia"/>
          <w:sz w:val="21"/>
          <w:szCs w:val="21"/>
        </w:rPr>
        <w:t xml:space="preserve">（9）公布基金财产清算结果； </w:t>
      </w:r>
    </w:p>
    <w:p>
      <w:pPr>
        <w:pStyle w:val="7"/>
        <w:spacing w:before="0" w:beforeAutospacing="0" w:after="0" w:afterAutospacing="0" w:line="360" w:lineRule="auto"/>
        <w:ind w:firstLine="420"/>
        <w:rPr>
          <w:sz w:val="21"/>
          <w:szCs w:val="21"/>
        </w:rPr>
      </w:pPr>
      <w:r>
        <w:rPr>
          <w:rFonts w:hint="eastAsia"/>
          <w:sz w:val="21"/>
          <w:szCs w:val="21"/>
        </w:rPr>
        <w:t xml:space="preserve">（10）对基金剩余财产进行分配。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3、清算费用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清算费用是指基金财产清算组在进行基金财产清算过程中发生的所有合理费用，清算费用由基金财产清算组优先从基金财产中支付。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4、基金财产按下列顺序清偿： </w:t>
      </w:r>
    </w:p>
    <w:p>
      <w:pPr>
        <w:pStyle w:val="7"/>
        <w:spacing w:before="0" w:beforeAutospacing="0" w:after="0" w:afterAutospacing="0" w:line="360" w:lineRule="auto"/>
        <w:ind w:firstLine="420"/>
        <w:rPr>
          <w:sz w:val="21"/>
          <w:szCs w:val="21"/>
        </w:rPr>
      </w:pPr>
      <w:r>
        <w:rPr>
          <w:rFonts w:hint="eastAsia"/>
          <w:sz w:val="21"/>
          <w:szCs w:val="21"/>
        </w:rPr>
        <w:t xml:space="preserve">（1）支付清算费用； </w:t>
      </w:r>
    </w:p>
    <w:p>
      <w:pPr>
        <w:pStyle w:val="7"/>
        <w:spacing w:before="0" w:beforeAutospacing="0" w:after="0" w:afterAutospacing="0" w:line="360" w:lineRule="auto"/>
        <w:ind w:firstLine="420"/>
        <w:rPr>
          <w:sz w:val="21"/>
          <w:szCs w:val="21"/>
        </w:rPr>
      </w:pPr>
      <w:r>
        <w:rPr>
          <w:rFonts w:hint="eastAsia"/>
          <w:sz w:val="21"/>
          <w:szCs w:val="21"/>
        </w:rPr>
        <w:t xml:space="preserve">（2）交纳所欠税款； </w:t>
      </w:r>
    </w:p>
    <w:p>
      <w:pPr>
        <w:pStyle w:val="7"/>
        <w:spacing w:before="0" w:beforeAutospacing="0" w:after="0" w:afterAutospacing="0" w:line="360" w:lineRule="auto"/>
        <w:ind w:firstLine="420"/>
        <w:rPr>
          <w:sz w:val="21"/>
          <w:szCs w:val="21"/>
        </w:rPr>
      </w:pPr>
      <w:r>
        <w:rPr>
          <w:rFonts w:hint="eastAsia"/>
          <w:sz w:val="21"/>
          <w:szCs w:val="21"/>
        </w:rPr>
        <w:t xml:space="preserve">（3）清偿基金债务； </w:t>
      </w:r>
    </w:p>
    <w:p>
      <w:pPr>
        <w:pStyle w:val="7"/>
        <w:spacing w:before="0" w:beforeAutospacing="0" w:after="0" w:afterAutospacing="0" w:line="360" w:lineRule="auto"/>
        <w:ind w:firstLine="420"/>
        <w:rPr>
          <w:sz w:val="21"/>
          <w:szCs w:val="21"/>
        </w:rPr>
      </w:pPr>
      <w:r>
        <w:rPr>
          <w:rFonts w:hint="eastAsia"/>
          <w:sz w:val="21"/>
          <w:szCs w:val="21"/>
        </w:rPr>
        <w:t xml:space="preserve">（4）按基金份额持有人持有的基金份额比例进行分配。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基金财产未按前款（1）－（3）项规定清偿前，不分配给基金份额持有人。 </w:t>
      </w:r>
    </w:p>
    <w:p>
      <w:pPr>
        <w:pStyle w:val="7"/>
        <w:spacing w:before="0" w:beforeAutospacing="0" w:after="0" w:afterAutospacing="0" w:line="360" w:lineRule="auto"/>
        <w:ind w:firstLine="420"/>
        <w:rPr>
          <w:sz w:val="21"/>
          <w:szCs w:val="21"/>
        </w:rPr>
      </w:pPr>
      <w:r>
        <w:rPr>
          <w:rFonts w:hint="eastAsia"/>
          <w:sz w:val="21"/>
          <w:szCs w:val="21"/>
        </w:rPr>
        <w:t xml:space="preserve">5、基金财产清算的公告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6、基金财产清算账册及文件的保存 </w:t>
      </w:r>
    </w:p>
    <w:p>
      <w:pPr>
        <w:pStyle w:val="7"/>
        <w:spacing w:before="0" w:beforeAutospacing="0" w:after="0" w:afterAutospacing="0" w:line="360" w:lineRule="auto"/>
        <w:ind w:firstLine="420"/>
        <w:rPr>
          <w:sz w:val="21"/>
          <w:szCs w:val="21"/>
        </w:rPr>
      </w:pPr>
      <w:bookmarkStart w:id="187" w:name="chapter_level1_20_69_section_1_end"/>
      <w:bookmarkEnd w:id="187"/>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8" w:name="_Toc113295507"/>
      <w:bookmarkStart w:id="189" w:name="chapter_level1_21_71"/>
      <w:r>
        <w:rPr>
          <w:rFonts w:hint="eastAsia" w:ascii="宋体" w:hAnsi="宋体" w:eastAsia="宋体"/>
          <w:sz w:val="30"/>
        </w:rPr>
        <w:t>第十八部分  基金合同的内容摘要</w:t>
      </w:r>
      <w:bookmarkEnd w:id="188"/>
      <w:bookmarkEnd w:id="189"/>
    </w:p>
    <w:p>
      <w:pPr>
        <w:pStyle w:val="7"/>
        <w:spacing w:before="0" w:beforeAutospacing="0" w:after="0" w:afterAutospacing="0" w:line="360" w:lineRule="auto"/>
        <w:ind w:firstLine="420"/>
        <w:rPr>
          <w:sz w:val="21"/>
          <w:szCs w:val="21"/>
        </w:rPr>
      </w:pPr>
      <w:bookmarkStart w:id="190" w:name="chapter_level1_21_71_section_1"/>
      <w:bookmarkEnd w:id="190"/>
      <w:r>
        <w:rPr>
          <w:rStyle w:val="11"/>
          <w:rFonts w:hint="eastAsia"/>
          <w:sz w:val="21"/>
          <w:szCs w:val="21"/>
        </w:rPr>
        <w:t>一、基金份额持有人、基金管理人和基金托管人的权利、义务</w:t>
      </w:r>
    </w:p>
    <w:p>
      <w:pPr>
        <w:pStyle w:val="7"/>
        <w:spacing w:before="0" w:beforeAutospacing="0" w:after="0" w:afterAutospacing="0" w:line="360" w:lineRule="auto"/>
        <w:ind w:firstLine="420"/>
        <w:rPr>
          <w:sz w:val="21"/>
          <w:szCs w:val="21"/>
        </w:rPr>
      </w:pPr>
      <w:r>
        <w:rPr>
          <w:rFonts w:hint="eastAsia"/>
          <w:sz w:val="21"/>
          <w:szCs w:val="21"/>
        </w:rPr>
        <w:t xml:space="preserve">（一）基金份额持有人的权利、义务 </w:t>
      </w:r>
    </w:p>
    <w:p>
      <w:pPr>
        <w:pStyle w:val="7"/>
        <w:spacing w:before="0" w:beforeAutospacing="0" w:after="0" w:afterAutospacing="0" w:line="360" w:lineRule="auto"/>
        <w:ind w:firstLine="420"/>
        <w:rPr>
          <w:sz w:val="21"/>
          <w:szCs w:val="21"/>
        </w:rPr>
      </w:pPr>
      <w:r>
        <w:rPr>
          <w:rFonts w:hint="eastAsia"/>
          <w:sz w:val="21"/>
          <w:szCs w:val="21"/>
        </w:rPr>
        <w:t xml:space="preserve">1、基金份额持有人的权利为：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（8）对基金管理人、基金托管人、基金份额发售机构损害其合法权益的行为依法提起诉讼； </w:t>
      </w:r>
    </w:p>
    <w:p>
      <w:pPr>
        <w:pStyle w:val="7"/>
        <w:spacing w:before="0" w:beforeAutospacing="0" w:after="0" w:afterAutospacing="0" w:line="360" w:lineRule="auto"/>
        <w:ind w:firstLine="420"/>
        <w:rPr>
          <w:sz w:val="21"/>
          <w:szCs w:val="21"/>
        </w:rPr>
      </w:pPr>
      <w:r>
        <w:rPr>
          <w:rFonts w:hint="eastAsia"/>
          <w:sz w:val="21"/>
          <w:szCs w:val="21"/>
        </w:rPr>
        <w:t xml:space="preserve">（9）法律法规和基金合同规定的其他权利。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每份基金份额具有同等的合法权益。 </w:t>
      </w:r>
    </w:p>
    <w:p>
      <w:pPr>
        <w:pStyle w:val="7"/>
        <w:spacing w:before="0" w:beforeAutospacing="0" w:after="0" w:afterAutospacing="0" w:line="360" w:lineRule="auto"/>
        <w:ind w:firstLine="420"/>
        <w:rPr>
          <w:sz w:val="21"/>
          <w:szCs w:val="21"/>
        </w:rPr>
      </w:pPr>
      <w:r>
        <w:rPr>
          <w:rFonts w:hint="eastAsia"/>
          <w:sz w:val="21"/>
          <w:szCs w:val="21"/>
        </w:rPr>
        <w:t xml:space="preserve">2、基金份额持有人的义务 </w:t>
      </w:r>
    </w:p>
    <w:p>
      <w:pPr>
        <w:pStyle w:val="7"/>
        <w:spacing w:before="0" w:beforeAutospacing="0" w:after="0" w:afterAutospacing="0" w:line="360" w:lineRule="auto"/>
        <w:ind w:firstLine="420"/>
        <w:rPr>
          <w:sz w:val="21"/>
          <w:szCs w:val="21"/>
        </w:rPr>
      </w:pPr>
      <w:r>
        <w:rPr>
          <w:rFonts w:hint="eastAsia"/>
          <w:sz w:val="21"/>
          <w:szCs w:val="21"/>
        </w:rPr>
        <w:t xml:space="preserve">根据《基金法》及其他有关法律法规，基金份额持有人的义务为： </w:t>
      </w:r>
    </w:p>
    <w:p>
      <w:pPr>
        <w:pStyle w:val="7"/>
        <w:spacing w:before="0" w:beforeAutospacing="0" w:after="0" w:afterAutospacing="0" w:line="360" w:lineRule="auto"/>
        <w:ind w:firstLine="420"/>
        <w:rPr>
          <w:sz w:val="21"/>
          <w:szCs w:val="21"/>
        </w:rPr>
      </w:pPr>
      <w:r>
        <w:rPr>
          <w:rFonts w:hint="eastAsia"/>
          <w:sz w:val="21"/>
          <w:szCs w:val="21"/>
        </w:rPr>
        <w:t xml:space="preserve">（1）遵守法律法规、基金合同及其他有关规定； </w:t>
      </w:r>
    </w:p>
    <w:p>
      <w:pPr>
        <w:pStyle w:val="7"/>
        <w:spacing w:before="0" w:beforeAutospacing="0" w:after="0" w:afterAutospacing="0" w:line="360" w:lineRule="auto"/>
        <w:ind w:firstLine="420"/>
        <w:rPr>
          <w:sz w:val="21"/>
          <w:szCs w:val="21"/>
        </w:rPr>
      </w:pPr>
      <w:r>
        <w:rPr>
          <w:rFonts w:hint="eastAsia"/>
          <w:sz w:val="21"/>
          <w:szCs w:val="21"/>
        </w:rPr>
        <w:t xml:space="preserve">（2）交纳基金认购、申购款项及法律法规和基金合同所规定的费用；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（3）在持有的基金份额范围内，承担基金亏损或者基金合同终止的有限责任；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（4）不从事任何有损基金及其他基金份额持有人合法权益的活动；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（5）执行生效的基金份额持有人大会决议；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（6）返还在基金交易过程中因任何原因，自基金管理人及基金管理人的代理人、基金托管人、代销机构、其他基金份额持有人处获得的不当得利； </w:t>
      </w:r>
    </w:p>
    <w:p>
      <w:pPr>
        <w:pStyle w:val="7"/>
        <w:spacing w:before="0" w:beforeAutospacing="0" w:after="0" w:afterAutospacing="0" w:line="360" w:lineRule="auto"/>
        <w:ind w:firstLine="420"/>
        <w:rPr>
          <w:sz w:val="21"/>
          <w:szCs w:val="21"/>
        </w:rPr>
      </w:pPr>
      <w:r>
        <w:rPr>
          <w:rFonts w:hint="eastAsia"/>
          <w:sz w:val="21"/>
          <w:szCs w:val="21"/>
        </w:rPr>
        <w:t xml:space="preserve">（7）法律法规和基金合同规定的其他义务。 </w:t>
      </w:r>
    </w:p>
    <w:p>
      <w:pPr>
        <w:pStyle w:val="7"/>
        <w:spacing w:before="0" w:beforeAutospacing="0" w:after="0" w:afterAutospacing="0" w:line="360" w:lineRule="auto"/>
        <w:ind w:firstLine="420"/>
        <w:rPr>
          <w:sz w:val="21"/>
          <w:szCs w:val="21"/>
        </w:rPr>
      </w:pPr>
      <w:r>
        <w:rPr>
          <w:rFonts w:hint="eastAsia"/>
          <w:sz w:val="21"/>
          <w:szCs w:val="21"/>
        </w:rPr>
        <w:t xml:space="preserve">（二）基金管理人的权利、义务 </w:t>
      </w:r>
    </w:p>
    <w:p>
      <w:pPr>
        <w:pStyle w:val="7"/>
        <w:spacing w:before="0" w:beforeAutospacing="0" w:after="0" w:afterAutospacing="0" w:line="360" w:lineRule="auto"/>
        <w:ind w:firstLine="420"/>
        <w:rPr>
          <w:sz w:val="21"/>
          <w:szCs w:val="21"/>
        </w:rPr>
      </w:pPr>
      <w:r>
        <w:rPr>
          <w:rFonts w:hint="eastAsia"/>
          <w:sz w:val="21"/>
          <w:szCs w:val="21"/>
        </w:rPr>
        <w:t xml:space="preserve">1、基金管理人的权利为： </w:t>
      </w:r>
    </w:p>
    <w:p>
      <w:pPr>
        <w:pStyle w:val="7"/>
        <w:spacing w:before="0" w:beforeAutospacing="0" w:after="0" w:afterAutospacing="0" w:line="360" w:lineRule="auto"/>
        <w:ind w:firstLine="420"/>
        <w:rPr>
          <w:sz w:val="21"/>
          <w:szCs w:val="21"/>
        </w:rPr>
      </w:pPr>
      <w:r>
        <w:rPr>
          <w:rFonts w:hint="eastAsia"/>
          <w:sz w:val="21"/>
          <w:szCs w:val="21"/>
        </w:rPr>
        <w:t xml:space="preserve">（1）自本基金合同生效之日起，依照有关法律法规和本基金合同的规定独立运用基金财产； </w:t>
      </w:r>
    </w:p>
    <w:p>
      <w:pPr>
        <w:pStyle w:val="7"/>
        <w:spacing w:before="0" w:beforeAutospacing="0" w:after="0" w:afterAutospacing="0" w:line="360" w:lineRule="auto"/>
        <w:ind w:firstLine="420"/>
        <w:rPr>
          <w:sz w:val="21"/>
          <w:szCs w:val="21"/>
        </w:rPr>
      </w:pPr>
      <w:r>
        <w:rPr>
          <w:rFonts w:hint="eastAsia"/>
          <w:sz w:val="21"/>
          <w:szCs w:val="21"/>
        </w:rPr>
        <w:t xml:space="preserve">（2）依照基金合同获得基金管理费以及法律法规规定或监管部门批准的其他收入； </w:t>
      </w:r>
    </w:p>
    <w:p>
      <w:pPr>
        <w:pStyle w:val="7"/>
        <w:spacing w:before="0" w:beforeAutospacing="0" w:after="0" w:afterAutospacing="0" w:line="360" w:lineRule="auto"/>
        <w:ind w:firstLine="420"/>
        <w:rPr>
          <w:sz w:val="21"/>
          <w:szCs w:val="21"/>
        </w:rPr>
      </w:pPr>
      <w:r>
        <w:rPr>
          <w:rFonts w:hint="eastAsia"/>
          <w:sz w:val="21"/>
          <w:szCs w:val="21"/>
        </w:rPr>
        <w:t xml:space="preserve">（3）发售基金份额； </w:t>
      </w:r>
    </w:p>
    <w:p>
      <w:pPr>
        <w:pStyle w:val="7"/>
        <w:spacing w:before="0" w:beforeAutospacing="0" w:after="0" w:afterAutospacing="0" w:line="360" w:lineRule="auto"/>
        <w:ind w:firstLine="420"/>
        <w:rPr>
          <w:sz w:val="21"/>
          <w:szCs w:val="21"/>
        </w:rPr>
      </w:pPr>
      <w:r>
        <w:rPr>
          <w:rFonts w:hint="eastAsia"/>
          <w:sz w:val="21"/>
          <w:szCs w:val="21"/>
        </w:rPr>
        <w:t xml:space="preserve">（4）依照有关规定行使因基金财产投资于证券所产生的权利；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5）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 </w:t>
      </w:r>
    </w:p>
    <w:p>
      <w:pPr>
        <w:pStyle w:val="7"/>
        <w:spacing w:before="0" w:beforeAutospacing="0" w:after="0" w:afterAutospacing="0" w:line="360" w:lineRule="auto"/>
        <w:ind w:firstLine="420"/>
        <w:rPr>
          <w:sz w:val="21"/>
          <w:szCs w:val="21"/>
        </w:rPr>
      </w:pPr>
      <w:r>
        <w:rPr>
          <w:rFonts w:hint="eastAsia"/>
          <w:sz w:val="21"/>
          <w:szCs w:val="21"/>
        </w:rPr>
        <w:t xml:space="preserve">（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 </w:t>
      </w:r>
    </w:p>
    <w:p>
      <w:pPr>
        <w:pStyle w:val="7"/>
        <w:spacing w:before="0" w:beforeAutospacing="0" w:after="0" w:afterAutospacing="0" w:line="360" w:lineRule="auto"/>
        <w:ind w:firstLine="420"/>
        <w:rPr>
          <w:sz w:val="21"/>
          <w:szCs w:val="21"/>
        </w:rPr>
      </w:pPr>
      <w:r>
        <w:rPr>
          <w:rFonts w:hint="eastAsia"/>
          <w:sz w:val="21"/>
          <w:szCs w:val="21"/>
        </w:rPr>
        <w:t xml:space="preserve">（7）在基金合同约定的范围内，拒绝或暂停受理申购和赎回申请； </w:t>
      </w:r>
    </w:p>
    <w:p>
      <w:pPr>
        <w:pStyle w:val="7"/>
        <w:spacing w:before="0" w:beforeAutospacing="0" w:after="0" w:afterAutospacing="0" w:line="360" w:lineRule="auto"/>
        <w:ind w:firstLine="420"/>
        <w:rPr>
          <w:sz w:val="21"/>
          <w:szCs w:val="21"/>
        </w:rPr>
      </w:pPr>
      <w:r>
        <w:rPr>
          <w:rFonts w:hint="eastAsia"/>
          <w:sz w:val="21"/>
          <w:szCs w:val="21"/>
        </w:rPr>
        <w:t xml:space="preserve">（8）在法律法规允许的前提下，为基金的利益依法为基金进行融资、融券； </w:t>
      </w:r>
    </w:p>
    <w:p>
      <w:pPr>
        <w:pStyle w:val="7"/>
        <w:spacing w:before="0" w:beforeAutospacing="0" w:after="0" w:afterAutospacing="0" w:line="360" w:lineRule="auto"/>
        <w:ind w:firstLine="420"/>
        <w:rPr>
          <w:sz w:val="21"/>
          <w:szCs w:val="21"/>
        </w:rPr>
      </w:pPr>
      <w:r>
        <w:rPr>
          <w:rFonts w:hint="eastAsia"/>
          <w:sz w:val="21"/>
          <w:szCs w:val="21"/>
        </w:rPr>
        <w:t xml:space="preserve">（9）自行担任或选择、更换登记机构，获取基金份额持有人名册，并对登记机构的代理行为进行必要的监督和检查； </w:t>
      </w:r>
    </w:p>
    <w:p>
      <w:pPr>
        <w:pStyle w:val="7"/>
        <w:spacing w:before="0" w:beforeAutospacing="0" w:after="0" w:afterAutospacing="0" w:line="360" w:lineRule="auto"/>
        <w:ind w:firstLine="420"/>
        <w:rPr>
          <w:sz w:val="21"/>
          <w:szCs w:val="21"/>
        </w:rPr>
      </w:pPr>
      <w:r>
        <w:rPr>
          <w:rFonts w:hint="eastAsia"/>
          <w:sz w:val="21"/>
          <w:szCs w:val="21"/>
        </w:rPr>
        <w:t xml:space="preserve">（10）选择、更换代销机构，并依据基金销售服务代理协议和有关法律法规，对其行为进行必要的监督和检查； </w:t>
      </w:r>
    </w:p>
    <w:p>
      <w:pPr>
        <w:pStyle w:val="7"/>
        <w:spacing w:before="0" w:beforeAutospacing="0" w:after="0" w:afterAutospacing="0" w:line="360" w:lineRule="auto"/>
        <w:ind w:firstLine="420"/>
        <w:rPr>
          <w:sz w:val="21"/>
          <w:szCs w:val="21"/>
        </w:rPr>
      </w:pPr>
      <w:r>
        <w:rPr>
          <w:rFonts w:hint="eastAsia"/>
          <w:sz w:val="21"/>
          <w:szCs w:val="21"/>
        </w:rPr>
        <w:t xml:space="preserve">（11）选择、更换律师、审计师、证券经纪商或其他为基金提供服务的外部机构；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（12）在基金托管人更换时，提名新的基金托管人；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（13）依法召集基金份额持有人大会；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（14）法律法规和基金合同规定的其他权利。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2、基金管理人的义务 </w:t>
      </w:r>
    </w:p>
    <w:p>
      <w:pPr>
        <w:pStyle w:val="7"/>
        <w:spacing w:before="0" w:beforeAutospacing="0" w:after="0" w:afterAutospacing="0" w:line="360" w:lineRule="auto"/>
        <w:ind w:firstLine="420"/>
        <w:rPr>
          <w:sz w:val="21"/>
          <w:szCs w:val="21"/>
        </w:rPr>
      </w:pPr>
      <w:r>
        <w:rPr>
          <w:rFonts w:hint="eastAsia"/>
          <w:sz w:val="21"/>
          <w:szCs w:val="21"/>
        </w:rPr>
        <w:t xml:space="preserve">（1）依法募集基金，办理或者委托经中国证监会认定的其他机构代为办理基金份额的发售、申购、赎回和登记事宜；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（3）自基金合同生效之日起，以诚实信用、勤勉尽责的原则管理和运用基金财产；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（8）计算并公告基金净值，确定基金份额申购、赎回价格；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（9）采取适当合理的措施使计算基金份额认购、申购、赎回和注销价格的方法符合基金合同等法律文件的规定； </w:t>
      </w:r>
    </w:p>
    <w:p>
      <w:pPr>
        <w:pStyle w:val="7"/>
        <w:spacing w:before="0" w:beforeAutospacing="0" w:after="0" w:afterAutospacing="0" w:line="360" w:lineRule="auto"/>
        <w:ind w:firstLine="420"/>
        <w:rPr>
          <w:sz w:val="21"/>
          <w:szCs w:val="21"/>
        </w:rPr>
      </w:pPr>
      <w:r>
        <w:rPr>
          <w:rFonts w:hint="eastAsia"/>
          <w:sz w:val="21"/>
          <w:szCs w:val="21"/>
        </w:rPr>
        <w:t xml:space="preserve">（10）按规定受理申购和赎回申请，及时、足额支付赎回款项；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（11）进行基金会计核算并编制基金财务会计报告；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（12）编制季度报告、中期报告和年度报告；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（13）严格按照《基金法》、基金合同及其他有关规定，履行信息披露及报告义务；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（14）保守基金商业秘密，不得泄露基金投资计划、投资意向等，除《基金法》、基金合同及其他有关规定另有规定外，在基金信息公开披露前应予保密，不得向他人泄露；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（15）按照基金合同的约定确定基金收益分配方案，及时向基金份额持有人分配收益； </w:t>
      </w:r>
    </w:p>
    <w:p>
      <w:pPr>
        <w:pStyle w:val="7"/>
        <w:spacing w:before="0" w:beforeAutospacing="0" w:after="0" w:afterAutospacing="0" w:line="360" w:lineRule="auto"/>
        <w:ind w:firstLine="420"/>
        <w:rPr>
          <w:sz w:val="21"/>
          <w:szCs w:val="21"/>
        </w:rPr>
      </w:pPr>
      <w:r>
        <w:rPr>
          <w:rFonts w:hint="eastAsia"/>
          <w:sz w:val="21"/>
          <w:szCs w:val="21"/>
        </w:rPr>
        <w:t xml:space="preserve">（16）依据《基金法》、基金合同及其他有关规定召集基金份额持有人大会或配合基金托管人、基金份额持有人依法召集基金份额持有人大会；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（17）保存基金财产管理业务活动的记录、账册、报表和其他相关资料； </w:t>
      </w:r>
    </w:p>
    <w:p>
      <w:pPr>
        <w:pStyle w:val="7"/>
        <w:spacing w:before="0" w:beforeAutospacing="0" w:after="0" w:afterAutospacing="0" w:line="360" w:lineRule="auto"/>
        <w:ind w:firstLine="420"/>
        <w:rPr>
          <w:sz w:val="21"/>
          <w:szCs w:val="21"/>
        </w:rPr>
      </w:pPr>
      <w:r>
        <w:rPr>
          <w:rFonts w:hint="eastAsia"/>
          <w:sz w:val="21"/>
          <w:szCs w:val="21"/>
        </w:rPr>
        <w:t xml:space="preserve">（18）以基金管理人名义，代表基金份额持有人利益行使诉讼权利或者实施其他法律行为；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（19）组织并参加基金财产清算小组，参与基金财产的保管、清理、估价、变现和分配；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（21）基金托管人违反基金合同造成基金财产损失时，应为基金份额持有人利益向基金托管人追偿；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（22）按规定向基金托管人提供基金份额持有人名册资料； </w:t>
      </w:r>
    </w:p>
    <w:p>
      <w:pPr>
        <w:pStyle w:val="7"/>
        <w:spacing w:before="0" w:beforeAutospacing="0" w:after="0" w:afterAutospacing="0" w:line="360" w:lineRule="auto"/>
        <w:ind w:firstLine="420"/>
        <w:rPr>
          <w:sz w:val="21"/>
          <w:szCs w:val="21"/>
        </w:rPr>
      </w:pPr>
      <w:r>
        <w:rPr>
          <w:rFonts w:hint="eastAsia"/>
          <w:sz w:val="21"/>
          <w:szCs w:val="21"/>
        </w:rPr>
        <w:t xml:space="preserve">（23）面临解散、依法被撤销或者被依法宣告破产时，及时报告中国证监会并通知基金托管人；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（24）执行生效的基金份额持有人大会决议；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（25）不从事任何有损基金及其他基金当事人利益的活动； </w:t>
      </w:r>
    </w:p>
    <w:p>
      <w:pPr>
        <w:pStyle w:val="7"/>
        <w:spacing w:before="0" w:beforeAutospacing="0" w:after="0" w:afterAutospacing="0" w:line="360" w:lineRule="auto"/>
        <w:ind w:firstLine="420"/>
        <w:rPr>
          <w:sz w:val="21"/>
          <w:szCs w:val="21"/>
        </w:rPr>
      </w:pPr>
      <w:r>
        <w:rPr>
          <w:rFonts w:hint="eastAsia"/>
          <w:sz w:val="21"/>
          <w:szCs w:val="21"/>
        </w:rPr>
        <w:t xml:space="preserve">（26）依照法律法规为基金的利益对被投资公司行使股东权利，为基金的利益行使因基金财产投资于证券所产生的权利，不谋求对上市公司的控股和直接管理； </w:t>
      </w:r>
    </w:p>
    <w:p>
      <w:pPr>
        <w:pStyle w:val="7"/>
        <w:spacing w:before="0" w:beforeAutospacing="0" w:after="0" w:afterAutospacing="0" w:line="360" w:lineRule="auto"/>
        <w:ind w:firstLine="420"/>
        <w:rPr>
          <w:sz w:val="21"/>
          <w:szCs w:val="21"/>
        </w:rPr>
      </w:pPr>
      <w:r>
        <w:rPr>
          <w:rFonts w:hint="eastAsia"/>
          <w:sz w:val="21"/>
          <w:szCs w:val="21"/>
        </w:rPr>
        <w:t xml:space="preserve">（27）法律法规、中国证监会和基金合同规定的其他义务。 </w:t>
      </w:r>
    </w:p>
    <w:p>
      <w:pPr>
        <w:pStyle w:val="7"/>
        <w:spacing w:before="0" w:beforeAutospacing="0" w:after="0" w:afterAutospacing="0" w:line="360" w:lineRule="auto"/>
        <w:ind w:firstLine="420"/>
        <w:rPr>
          <w:sz w:val="21"/>
          <w:szCs w:val="21"/>
        </w:rPr>
      </w:pPr>
      <w:r>
        <w:rPr>
          <w:rFonts w:hint="eastAsia"/>
          <w:sz w:val="21"/>
          <w:szCs w:val="21"/>
        </w:rPr>
        <w:t xml:space="preserve">（三）基金托管人的权利、义务 </w:t>
      </w:r>
    </w:p>
    <w:p>
      <w:pPr>
        <w:pStyle w:val="7"/>
        <w:spacing w:before="0" w:beforeAutospacing="0" w:after="0" w:afterAutospacing="0" w:line="360" w:lineRule="auto"/>
        <w:ind w:firstLine="420"/>
        <w:rPr>
          <w:sz w:val="21"/>
          <w:szCs w:val="21"/>
        </w:rPr>
      </w:pPr>
      <w:r>
        <w:rPr>
          <w:rFonts w:hint="eastAsia"/>
          <w:sz w:val="21"/>
          <w:szCs w:val="21"/>
        </w:rPr>
        <w:t xml:space="preserve">1、基金托管人的权利为： </w:t>
      </w:r>
    </w:p>
    <w:p>
      <w:pPr>
        <w:pStyle w:val="7"/>
        <w:spacing w:before="0" w:beforeAutospacing="0" w:after="0" w:afterAutospacing="0" w:line="360" w:lineRule="auto"/>
        <w:ind w:firstLine="420"/>
        <w:rPr>
          <w:sz w:val="21"/>
          <w:szCs w:val="21"/>
        </w:rPr>
      </w:pPr>
      <w:r>
        <w:rPr>
          <w:rFonts w:hint="eastAsia"/>
          <w:sz w:val="21"/>
          <w:szCs w:val="21"/>
        </w:rPr>
        <w:t xml:space="preserve">（1）依基金合同约定获得基金托管费以及法律法规规定或监管部门批准的其他收入； </w:t>
      </w:r>
    </w:p>
    <w:p>
      <w:pPr>
        <w:pStyle w:val="7"/>
        <w:spacing w:before="0" w:beforeAutospacing="0" w:after="0" w:afterAutospacing="0" w:line="360" w:lineRule="auto"/>
        <w:ind w:firstLine="420"/>
        <w:rPr>
          <w:sz w:val="21"/>
          <w:szCs w:val="21"/>
        </w:rPr>
      </w:pPr>
      <w:r>
        <w:rPr>
          <w:rFonts w:hint="eastAsia"/>
          <w:sz w:val="21"/>
          <w:szCs w:val="21"/>
        </w:rPr>
        <w:t xml:space="preserve">（2）监督基金管理人对本基金的投资运作； </w:t>
      </w:r>
    </w:p>
    <w:p>
      <w:pPr>
        <w:pStyle w:val="7"/>
        <w:spacing w:before="0" w:beforeAutospacing="0" w:after="0" w:afterAutospacing="0" w:line="360" w:lineRule="auto"/>
        <w:ind w:firstLine="420"/>
        <w:rPr>
          <w:sz w:val="21"/>
          <w:szCs w:val="21"/>
        </w:rPr>
      </w:pPr>
      <w:r>
        <w:rPr>
          <w:rFonts w:hint="eastAsia"/>
          <w:sz w:val="21"/>
          <w:szCs w:val="21"/>
        </w:rPr>
        <w:t xml:space="preserve">（3）自本基金合同生效之日起，依法保管基金资产； </w:t>
      </w:r>
    </w:p>
    <w:p>
      <w:pPr>
        <w:pStyle w:val="7"/>
        <w:spacing w:before="0" w:beforeAutospacing="0" w:after="0" w:afterAutospacing="0" w:line="360" w:lineRule="auto"/>
        <w:ind w:firstLine="420"/>
        <w:rPr>
          <w:sz w:val="21"/>
          <w:szCs w:val="21"/>
        </w:rPr>
      </w:pPr>
      <w:r>
        <w:rPr>
          <w:rFonts w:hint="eastAsia"/>
          <w:sz w:val="21"/>
          <w:szCs w:val="21"/>
        </w:rPr>
        <w:t xml:space="preserve">（4）在基金管理人更换时，提名新任基金管理人； </w:t>
      </w:r>
    </w:p>
    <w:p>
      <w:pPr>
        <w:pStyle w:val="7"/>
        <w:spacing w:before="0" w:beforeAutospacing="0" w:after="0" w:afterAutospacing="0" w:line="360" w:lineRule="auto"/>
        <w:ind w:firstLine="420"/>
        <w:rPr>
          <w:sz w:val="21"/>
          <w:szCs w:val="21"/>
        </w:rPr>
      </w:pPr>
      <w:r>
        <w:rPr>
          <w:rFonts w:hint="eastAsia"/>
          <w:sz w:val="21"/>
          <w:szCs w:val="21"/>
        </w:rPr>
        <w:t xml:space="preserve">（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 </w:t>
      </w:r>
    </w:p>
    <w:p>
      <w:pPr>
        <w:pStyle w:val="7"/>
        <w:spacing w:before="0" w:beforeAutospacing="0" w:after="0" w:afterAutospacing="0" w:line="360" w:lineRule="auto"/>
        <w:ind w:firstLine="420"/>
        <w:rPr>
          <w:sz w:val="21"/>
          <w:szCs w:val="21"/>
        </w:rPr>
      </w:pPr>
      <w:r>
        <w:rPr>
          <w:rFonts w:hint="eastAsia"/>
          <w:sz w:val="21"/>
          <w:szCs w:val="21"/>
        </w:rPr>
        <w:t xml:space="preserve">（6）依法召集基金份额持有人大会；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（7）按规定取得基金份额持有人名册资料； </w:t>
      </w:r>
    </w:p>
    <w:p>
      <w:pPr>
        <w:pStyle w:val="7"/>
        <w:spacing w:before="0" w:beforeAutospacing="0" w:after="0" w:afterAutospacing="0" w:line="360" w:lineRule="auto"/>
        <w:ind w:firstLine="420"/>
        <w:rPr>
          <w:sz w:val="21"/>
          <w:szCs w:val="21"/>
        </w:rPr>
      </w:pPr>
      <w:r>
        <w:rPr>
          <w:rFonts w:hint="eastAsia"/>
          <w:sz w:val="21"/>
          <w:szCs w:val="21"/>
        </w:rPr>
        <w:t xml:space="preserve">（8）法律法规和基金合同规定的其他权利。 </w:t>
      </w:r>
    </w:p>
    <w:p>
      <w:pPr>
        <w:pStyle w:val="7"/>
        <w:spacing w:before="0" w:beforeAutospacing="0" w:after="0" w:afterAutospacing="0" w:line="360" w:lineRule="auto"/>
        <w:ind w:firstLine="420"/>
        <w:rPr>
          <w:sz w:val="21"/>
          <w:szCs w:val="21"/>
        </w:rPr>
      </w:pPr>
      <w:r>
        <w:rPr>
          <w:rFonts w:hint="eastAsia"/>
          <w:sz w:val="21"/>
          <w:szCs w:val="21"/>
        </w:rPr>
        <w:t xml:space="preserve">2、基金托管人的义务 </w:t>
      </w:r>
    </w:p>
    <w:p>
      <w:pPr>
        <w:pStyle w:val="7"/>
        <w:spacing w:before="0" w:beforeAutospacing="0" w:after="0" w:afterAutospacing="0" w:line="360" w:lineRule="auto"/>
        <w:ind w:firstLine="420"/>
        <w:rPr>
          <w:sz w:val="21"/>
          <w:szCs w:val="21"/>
        </w:rPr>
      </w:pPr>
      <w:r>
        <w:rPr>
          <w:rFonts w:hint="eastAsia"/>
          <w:sz w:val="21"/>
          <w:szCs w:val="21"/>
        </w:rPr>
        <w:t xml:space="preserve">（1）安全保管基金财产；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（3）对所托管的不同基金财产分别设置账户，确保基金财产的完整与独立；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（6）按规定开设基金财产的资金账户和证券账户；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（7）保守基金商业秘密，除《基金法》、基金合同及其他有关规定另有规定外，在基金信息公开披露前应予保密，不得向他人泄露；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对基金财务会计报告、中期和年度基金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（9）保存基金托管业务活动的记录、账册、报表和其他相关资料； </w:t>
      </w:r>
    </w:p>
    <w:p>
      <w:pPr>
        <w:pStyle w:val="7"/>
        <w:spacing w:before="0" w:beforeAutospacing="0" w:after="0" w:afterAutospacing="0" w:line="360" w:lineRule="auto"/>
        <w:ind w:firstLine="420"/>
        <w:rPr>
          <w:sz w:val="21"/>
          <w:szCs w:val="21"/>
        </w:rPr>
      </w:pPr>
      <w:r>
        <w:rPr>
          <w:rFonts w:hint="eastAsia"/>
          <w:sz w:val="21"/>
          <w:szCs w:val="21"/>
        </w:rPr>
        <w:t xml:space="preserve">（10）按照基金合同的约定，根据基金管理人的投资指令，及时办理清算、交割事宜；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（11）办理与基金托管业务活动有关的信息披露事项；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（12）复核、审查基金管理人计算的基金资产净值、基金份额净值和基金份额申购、赎回价格；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（13）按照规定监督基金管理人的投资运作；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（14）按规定制作相关账册并与基金管理人核对；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（15）依据基金管理人的指令或有关规定向基金份额持有人支付基金收益和赎回款项；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（16）按照规定召集基金份额持有人大会或配合基金份额持有人依法自行召集基金份额持有人大会；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（17）因违反基金合同导致基金财产损失，应承担赔偿责任，其赔偿责任不因其退任而免除；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（18）基金管理人因违反基金合同造成基金财产损失时，应为基金向基金管理人追偿；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（19）参加基金财产清算小组，参与基金财产的保管、清理、估价、变现和分配；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（20）面临解散、依法被撤销或者被依法宣告破产时，及时报告中国证监会和银行业监督管理机构，并通知基金管理人；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（22）不从事任何有损基金及其他基金当事人利益的活动； </w:t>
      </w:r>
    </w:p>
    <w:p>
      <w:pPr>
        <w:pStyle w:val="7"/>
        <w:spacing w:before="0" w:beforeAutospacing="0" w:after="0" w:afterAutospacing="0" w:line="360" w:lineRule="auto"/>
        <w:ind w:firstLine="420"/>
        <w:rPr>
          <w:sz w:val="21"/>
          <w:szCs w:val="21"/>
        </w:rPr>
      </w:pPr>
      <w:r>
        <w:rPr>
          <w:rFonts w:hint="eastAsia"/>
          <w:sz w:val="21"/>
          <w:szCs w:val="21"/>
        </w:rPr>
        <w:t xml:space="preserve">（23）建立并保存基金份额持有人名册；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（24）法律法规、中国证监会和基金合同规定的其他义务。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二、基金份额持有人大会召集、议事及表决的程序和规则</w:t>
      </w:r>
    </w:p>
    <w:p>
      <w:pPr>
        <w:pStyle w:val="7"/>
        <w:spacing w:before="0" w:beforeAutospacing="0" w:after="0" w:afterAutospacing="0" w:line="360" w:lineRule="auto"/>
        <w:ind w:firstLine="420"/>
        <w:rPr>
          <w:sz w:val="21"/>
          <w:szCs w:val="21"/>
        </w:rPr>
      </w:pPr>
      <w:r>
        <w:rPr>
          <w:rFonts w:hint="eastAsia"/>
          <w:sz w:val="21"/>
          <w:szCs w:val="21"/>
        </w:rPr>
        <w:t xml:space="preserve">（一）基金份额持有人大会由基金份额持有人及其合法授权代表共同组成。基金份额持有人持有的每一基金份额具有同等的投票权。 </w:t>
      </w:r>
    </w:p>
    <w:p>
      <w:pPr>
        <w:pStyle w:val="7"/>
        <w:spacing w:before="0" w:beforeAutospacing="0" w:after="0" w:afterAutospacing="0" w:line="360" w:lineRule="auto"/>
        <w:ind w:firstLine="420"/>
        <w:rPr>
          <w:sz w:val="21"/>
          <w:szCs w:val="21"/>
        </w:rPr>
      </w:pPr>
      <w:r>
        <w:rPr>
          <w:rFonts w:hint="eastAsia"/>
          <w:sz w:val="21"/>
          <w:szCs w:val="21"/>
        </w:rPr>
        <w:t xml:space="preserve">（二）召开事由 </w:t>
      </w:r>
    </w:p>
    <w:p>
      <w:pPr>
        <w:pStyle w:val="7"/>
        <w:spacing w:before="0" w:beforeAutospacing="0" w:after="0" w:afterAutospacing="0" w:line="360" w:lineRule="auto"/>
        <w:ind w:firstLine="420"/>
        <w:rPr>
          <w:sz w:val="21"/>
          <w:szCs w:val="21"/>
        </w:rPr>
      </w:pPr>
      <w:r>
        <w:rPr>
          <w:rFonts w:hint="eastAsia"/>
          <w:sz w:val="21"/>
          <w:szCs w:val="21"/>
        </w:rPr>
        <w:t xml:space="preserve">1、当出现或需要决定下列事由之一的，经基金管理人、基金托管人或持有基金份额10%以上（含10%，下同）的基金份额持有人（以基金管理人收到提议当日的基金份额计算，下同）提议时，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（3）变更基金类别； </w:t>
      </w:r>
    </w:p>
    <w:p>
      <w:pPr>
        <w:pStyle w:val="7"/>
        <w:spacing w:before="0" w:beforeAutospacing="0" w:after="0" w:afterAutospacing="0" w:line="360" w:lineRule="auto"/>
        <w:ind w:firstLine="420"/>
        <w:rPr>
          <w:sz w:val="21"/>
          <w:szCs w:val="21"/>
        </w:rPr>
      </w:pPr>
      <w:r>
        <w:rPr>
          <w:rFonts w:hint="eastAsia"/>
          <w:sz w:val="21"/>
          <w:szCs w:val="21"/>
        </w:rPr>
        <w:t xml:space="preserve">（4）变更基金投资目标、投资范围或投资策略（法律法规和中国证监会另有规定的除外）；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（6）更换基金管理人、基金托管人； </w:t>
      </w:r>
    </w:p>
    <w:p>
      <w:pPr>
        <w:pStyle w:val="7"/>
        <w:spacing w:before="0" w:beforeAutospacing="0" w:after="0" w:afterAutospacing="0" w:line="360" w:lineRule="auto"/>
        <w:ind w:firstLine="420"/>
        <w:rPr>
          <w:sz w:val="21"/>
          <w:szCs w:val="21"/>
        </w:rPr>
      </w:pPr>
      <w:r>
        <w:rPr>
          <w:rFonts w:hint="eastAsia"/>
          <w:sz w:val="21"/>
          <w:szCs w:val="21"/>
        </w:rPr>
        <w:t xml:space="preserve">（7）提高基金管理人、基金托管人的报酬标准，但法律法规要求提高该等报酬标准的除外； </w:t>
      </w:r>
    </w:p>
    <w:p>
      <w:pPr>
        <w:pStyle w:val="7"/>
        <w:spacing w:before="0" w:beforeAutospacing="0" w:after="0" w:afterAutospacing="0" w:line="360" w:lineRule="auto"/>
        <w:ind w:firstLine="420"/>
        <w:rPr>
          <w:sz w:val="21"/>
          <w:szCs w:val="21"/>
        </w:rPr>
      </w:pPr>
      <w:r>
        <w:rPr>
          <w:rFonts w:hint="eastAsia"/>
          <w:sz w:val="21"/>
          <w:szCs w:val="21"/>
        </w:rPr>
        <w:t xml:space="preserve">（8）本基金与其他基金的合并；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（9）对基金合同当事人权利、义务产生重大影响的其他事项；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（10）法律法规、基金合同或中国证监会规定的其他情形。 </w:t>
      </w:r>
    </w:p>
    <w:p>
      <w:pPr>
        <w:pStyle w:val="7"/>
        <w:spacing w:before="0" w:beforeAutospacing="0" w:after="0" w:afterAutospacing="0" w:line="360" w:lineRule="auto"/>
        <w:ind w:firstLine="420"/>
        <w:rPr>
          <w:sz w:val="21"/>
          <w:szCs w:val="21"/>
        </w:rPr>
      </w:pPr>
      <w:r>
        <w:rPr>
          <w:rFonts w:hint="eastAsia"/>
          <w:sz w:val="21"/>
          <w:szCs w:val="21"/>
        </w:rPr>
        <w:t xml:space="preserve">2、出现以下情形之一的，可由基金管理人和基金托管人协商后修改基金合同，不需召开基金份额持有人大会：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（1）调低基金管理费、基金托管费和其他应由基金承担的费用； </w:t>
      </w:r>
    </w:p>
    <w:p>
      <w:pPr>
        <w:pStyle w:val="7"/>
        <w:spacing w:before="0" w:beforeAutospacing="0" w:after="0" w:afterAutospacing="0" w:line="360" w:lineRule="auto"/>
        <w:ind w:firstLine="420"/>
        <w:rPr>
          <w:sz w:val="21"/>
          <w:szCs w:val="21"/>
        </w:rPr>
      </w:pPr>
      <w:r>
        <w:rPr>
          <w:rFonts w:hint="eastAsia"/>
          <w:sz w:val="21"/>
          <w:szCs w:val="21"/>
        </w:rPr>
        <w:t xml:space="preserve">（2）在法律法规和本基金合同规定的范围内变更基金的申购费率、调低赎回费率或变更收费方式；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（3）因相应的法律法规发生变动必须对基金合同进行修改；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（4）对基金合同的修改不涉及本基金合同当事人权利义务关系发生变化； </w:t>
      </w:r>
    </w:p>
    <w:p>
      <w:pPr>
        <w:pStyle w:val="7"/>
        <w:spacing w:before="0" w:beforeAutospacing="0" w:after="0" w:afterAutospacing="0" w:line="360" w:lineRule="auto"/>
        <w:ind w:firstLine="420"/>
        <w:rPr>
          <w:sz w:val="21"/>
          <w:szCs w:val="21"/>
        </w:rPr>
      </w:pPr>
      <w:r>
        <w:rPr>
          <w:rFonts w:hint="eastAsia"/>
          <w:sz w:val="21"/>
          <w:szCs w:val="21"/>
        </w:rPr>
        <w:t xml:space="preserve">（5）基金合同的修改对基金份额持有人利益无实质性不利影响； </w:t>
      </w:r>
    </w:p>
    <w:p>
      <w:pPr>
        <w:pStyle w:val="7"/>
        <w:spacing w:before="0" w:beforeAutospacing="0" w:after="0" w:afterAutospacing="0" w:line="360" w:lineRule="auto"/>
        <w:ind w:firstLine="420"/>
        <w:rPr>
          <w:sz w:val="21"/>
          <w:szCs w:val="21"/>
        </w:rPr>
      </w:pPr>
      <w:r>
        <w:rPr>
          <w:rFonts w:hint="eastAsia"/>
          <w:sz w:val="21"/>
          <w:szCs w:val="21"/>
        </w:rPr>
        <w:t xml:space="preserve">（6）按照法律法规或本基金合同规定不需召开基金份额持有人大会的其他情形。 </w:t>
      </w:r>
    </w:p>
    <w:p>
      <w:pPr>
        <w:pStyle w:val="7"/>
        <w:spacing w:before="0" w:beforeAutospacing="0" w:after="0" w:afterAutospacing="0" w:line="360" w:lineRule="auto"/>
        <w:ind w:firstLine="420"/>
        <w:rPr>
          <w:sz w:val="21"/>
          <w:szCs w:val="21"/>
        </w:rPr>
      </w:pPr>
      <w:r>
        <w:rPr>
          <w:rFonts w:hint="eastAsia"/>
          <w:sz w:val="21"/>
          <w:szCs w:val="21"/>
        </w:rPr>
        <w:t xml:space="preserve">（三）召集人和召集方式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1、除法律法规或本基金合同另有约定外，基金份额持有人大会由基金管理人召集。基金管理人未按规定召集或者不能召集时，由基金托管人召集。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pPr>
        <w:pStyle w:val="7"/>
        <w:spacing w:before="0" w:beforeAutospacing="0" w:after="0" w:afterAutospacing="0" w:line="360" w:lineRule="auto"/>
        <w:ind w:firstLine="420"/>
        <w:rPr>
          <w:sz w:val="21"/>
          <w:szCs w:val="21"/>
        </w:rPr>
      </w:pPr>
      <w:r>
        <w:rPr>
          <w:rFonts w:hint="eastAsia"/>
          <w:sz w:val="21"/>
          <w:szCs w:val="21"/>
        </w:rPr>
        <w:t xml:space="preserve">3、代表基金份额10%以上的基金份额持有人就同一事项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 </w:t>
      </w:r>
    </w:p>
    <w:p>
      <w:pPr>
        <w:pStyle w:val="7"/>
        <w:spacing w:before="0" w:beforeAutospacing="0" w:after="0" w:afterAutospacing="0" w:line="360" w:lineRule="auto"/>
        <w:ind w:firstLine="420"/>
        <w:rPr>
          <w:sz w:val="21"/>
          <w:szCs w:val="21"/>
        </w:rPr>
      </w:pPr>
      <w:r>
        <w:rPr>
          <w:rFonts w:hint="eastAsia"/>
          <w:sz w:val="21"/>
          <w:szCs w:val="21"/>
        </w:rPr>
        <w:t xml:space="preserve">5、基金份额持有人依法自行召集基金份额持有人大会的，基金管理人、基金托管人应当配合，不得阻碍、干扰。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 xml:space="preserve">（四）召开基金份额持有人大会的通知时间、通知内容、通知方式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集人（以下简称“召集人”）负责选择确定开会时间、地点、方式和权益登记日。召开基金份额持有人大会，召集人必须于会议召开日前30日在指定媒介公告。基金份额持有人大会通知须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 </w:t>
      </w:r>
    </w:p>
    <w:p>
      <w:pPr>
        <w:pStyle w:val="7"/>
        <w:spacing w:before="0" w:beforeAutospacing="0" w:after="0" w:afterAutospacing="0" w:line="360" w:lineRule="auto"/>
        <w:ind w:firstLine="420"/>
        <w:rPr>
          <w:sz w:val="21"/>
          <w:szCs w:val="21"/>
        </w:rPr>
      </w:pPr>
      <w:r>
        <w:rPr>
          <w:rFonts w:hint="eastAsia"/>
          <w:sz w:val="21"/>
          <w:szCs w:val="21"/>
        </w:rPr>
        <w:t xml:space="preserve">（2）会议拟审议的主要事项； </w:t>
      </w:r>
    </w:p>
    <w:p>
      <w:pPr>
        <w:pStyle w:val="7"/>
        <w:spacing w:before="0" w:beforeAutospacing="0" w:after="0" w:afterAutospacing="0" w:line="360" w:lineRule="auto"/>
        <w:ind w:firstLine="420"/>
        <w:rPr>
          <w:sz w:val="21"/>
          <w:szCs w:val="21"/>
        </w:rPr>
      </w:pPr>
      <w:r>
        <w:rPr>
          <w:rFonts w:hint="eastAsia"/>
          <w:sz w:val="21"/>
          <w:szCs w:val="21"/>
        </w:rPr>
        <w:t xml:space="preserve">（3）会议形式； </w:t>
      </w:r>
    </w:p>
    <w:p>
      <w:pPr>
        <w:pStyle w:val="7"/>
        <w:spacing w:before="0" w:beforeAutospacing="0" w:after="0" w:afterAutospacing="0" w:line="360" w:lineRule="auto"/>
        <w:ind w:firstLine="420"/>
        <w:rPr>
          <w:sz w:val="21"/>
          <w:szCs w:val="21"/>
        </w:rPr>
      </w:pPr>
      <w:r>
        <w:rPr>
          <w:rFonts w:hint="eastAsia"/>
          <w:sz w:val="21"/>
          <w:szCs w:val="21"/>
        </w:rPr>
        <w:t xml:space="preserve">（4）议事程序； </w:t>
      </w:r>
    </w:p>
    <w:p>
      <w:pPr>
        <w:pStyle w:val="7"/>
        <w:spacing w:before="0" w:beforeAutospacing="0" w:after="0" w:afterAutospacing="0" w:line="360" w:lineRule="auto"/>
        <w:ind w:firstLine="420"/>
        <w:rPr>
          <w:sz w:val="21"/>
          <w:szCs w:val="21"/>
        </w:rPr>
      </w:pPr>
      <w:r>
        <w:rPr>
          <w:rFonts w:hint="eastAsia"/>
          <w:sz w:val="21"/>
          <w:szCs w:val="21"/>
        </w:rPr>
        <w:t xml:space="preserve">（5）有权出席基金份额持有人大会的基金份额持有人权益登记日； </w:t>
      </w:r>
    </w:p>
    <w:p>
      <w:pPr>
        <w:pStyle w:val="7"/>
        <w:spacing w:before="0" w:beforeAutospacing="0" w:after="0" w:afterAutospacing="0" w:line="360" w:lineRule="auto"/>
        <w:ind w:firstLine="420"/>
        <w:rPr>
          <w:sz w:val="21"/>
          <w:szCs w:val="21"/>
        </w:rPr>
      </w:pPr>
      <w:r>
        <w:rPr>
          <w:rFonts w:hint="eastAsia"/>
          <w:sz w:val="21"/>
          <w:szCs w:val="21"/>
        </w:rPr>
        <w:t xml:space="preserve">（6）代理投票的授权委托书的内容要求（包括但不限于代理人身份、代理权限和代理有效期限等）、送达时间和地点；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（7）表决方式； </w:t>
      </w:r>
    </w:p>
    <w:p>
      <w:pPr>
        <w:pStyle w:val="7"/>
        <w:spacing w:before="0" w:beforeAutospacing="0" w:after="0" w:afterAutospacing="0" w:line="360" w:lineRule="auto"/>
        <w:ind w:firstLine="420"/>
        <w:rPr>
          <w:sz w:val="21"/>
          <w:szCs w:val="21"/>
        </w:rPr>
      </w:pPr>
      <w:r>
        <w:rPr>
          <w:rFonts w:hint="eastAsia"/>
          <w:sz w:val="21"/>
          <w:szCs w:val="21"/>
        </w:rPr>
        <w:t xml:space="preserve">（8）会务常设联系人姓名、电话； </w:t>
      </w:r>
    </w:p>
    <w:p>
      <w:pPr>
        <w:pStyle w:val="7"/>
        <w:spacing w:before="0" w:beforeAutospacing="0" w:after="0" w:afterAutospacing="0" w:line="360" w:lineRule="auto"/>
        <w:ind w:firstLine="420"/>
        <w:rPr>
          <w:sz w:val="21"/>
          <w:szCs w:val="21"/>
        </w:rPr>
      </w:pPr>
      <w:r>
        <w:rPr>
          <w:rFonts w:hint="eastAsia"/>
          <w:sz w:val="21"/>
          <w:szCs w:val="21"/>
        </w:rPr>
        <w:t xml:space="preserve">（9）出席会议者必须准备的文件和必须履行的手续； </w:t>
      </w:r>
    </w:p>
    <w:p>
      <w:pPr>
        <w:pStyle w:val="7"/>
        <w:spacing w:before="0" w:beforeAutospacing="0" w:after="0" w:afterAutospacing="0" w:line="360" w:lineRule="auto"/>
        <w:ind w:firstLine="420"/>
        <w:rPr>
          <w:sz w:val="21"/>
          <w:szCs w:val="21"/>
        </w:rPr>
      </w:pPr>
      <w:r>
        <w:rPr>
          <w:rFonts w:hint="eastAsia"/>
          <w:sz w:val="21"/>
          <w:szCs w:val="21"/>
        </w:rPr>
        <w:t xml:space="preserve">（10）召集人需要通知的其他事项。 </w:t>
      </w:r>
    </w:p>
    <w:p>
      <w:pPr>
        <w:pStyle w:val="7"/>
        <w:spacing w:before="0" w:beforeAutospacing="0" w:after="0" w:afterAutospacing="0" w:line="360" w:lineRule="auto"/>
        <w:ind w:firstLine="420"/>
        <w:rPr>
          <w:sz w:val="21"/>
          <w:szCs w:val="21"/>
        </w:rPr>
      </w:pPr>
      <w:r>
        <w:rPr>
          <w:rFonts w:hint="eastAsia"/>
          <w:sz w:val="21"/>
          <w:szCs w:val="21"/>
        </w:rPr>
        <w:t xml:space="preserve">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 </w:t>
      </w:r>
    </w:p>
    <w:p>
      <w:pPr>
        <w:pStyle w:val="7"/>
        <w:spacing w:before="0" w:beforeAutospacing="0" w:after="0" w:afterAutospacing="0" w:line="360" w:lineRule="auto"/>
        <w:ind w:firstLine="420"/>
        <w:rPr>
          <w:sz w:val="21"/>
          <w:szCs w:val="21"/>
        </w:rPr>
      </w:pPr>
      <w:r>
        <w:rPr>
          <w:rFonts w:hint="eastAsia"/>
          <w:sz w:val="21"/>
          <w:szCs w:val="21"/>
        </w:rPr>
        <w:t xml:space="preserve">（五）基金份额持有人出席会议的方式 </w:t>
      </w:r>
    </w:p>
    <w:p>
      <w:pPr>
        <w:pStyle w:val="7"/>
        <w:spacing w:before="0" w:beforeAutospacing="0" w:after="0" w:afterAutospacing="0" w:line="360" w:lineRule="auto"/>
        <w:ind w:firstLine="420"/>
        <w:rPr>
          <w:sz w:val="21"/>
          <w:szCs w:val="21"/>
        </w:rPr>
      </w:pPr>
      <w:r>
        <w:rPr>
          <w:rFonts w:hint="eastAsia"/>
          <w:sz w:val="21"/>
          <w:szCs w:val="21"/>
        </w:rPr>
        <w:t xml:space="preserve">1、会议方式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（1）基金份额持有人大会的召开方式包括现场开会和通讯方式开会。 </w:t>
      </w:r>
    </w:p>
    <w:p>
      <w:pPr>
        <w:pStyle w:val="7"/>
        <w:spacing w:before="0" w:beforeAutospacing="0" w:after="0" w:afterAutospacing="0" w:line="360" w:lineRule="auto"/>
        <w:ind w:firstLine="420"/>
        <w:rPr>
          <w:sz w:val="21"/>
          <w:szCs w:val="21"/>
        </w:rPr>
      </w:pPr>
      <w:r>
        <w:rPr>
          <w:rFonts w:hint="eastAsia"/>
          <w:sz w:val="21"/>
          <w:szCs w:val="21"/>
        </w:rPr>
        <w:t xml:space="preserve">（2）现场开会由基金份额持有人本人出席或通过授权委托书委派其代理人出席，现场开会时基金管理人和基金托管人的授权代表应当出席，如基金管理人或基金托管人拒不派代表出席的，不影响表决效力。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（3）通讯方式开会指按照本基金合同的相关规定以通讯的书面方式进行表决。 </w:t>
      </w:r>
    </w:p>
    <w:p>
      <w:pPr>
        <w:pStyle w:val="7"/>
        <w:spacing w:before="0" w:beforeAutospacing="0" w:after="0" w:afterAutospacing="0" w:line="360" w:lineRule="auto"/>
        <w:ind w:firstLine="420"/>
        <w:rPr>
          <w:sz w:val="21"/>
          <w:szCs w:val="21"/>
        </w:rPr>
      </w:pPr>
      <w:r>
        <w:rPr>
          <w:rFonts w:hint="eastAsia"/>
          <w:sz w:val="21"/>
          <w:szCs w:val="21"/>
        </w:rPr>
        <w:t xml:space="preserve">（4）会议的召开方式由召集人确定。 </w:t>
      </w:r>
    </w:p>
    <w:p>
      <w:pPr>
        <w:pStyle w:val="7"/>
        <w:spacing w:before="0" w:beforeAutospacing="0" w:after="0" w:afterAutospacing="0" w:line="360" w:lineRule="auto"/>
        <w:ind w:firstLine="420"/>
        <w:rPr>
          <w:sz w:val="21"/>
          <w:szCs w:val="21"/>
        </w:rPr>
      </w:pPr>
      <w:r>
        <w:rPr>
          <w:rFonts w:hint="eastAsia"/>
          <w:sz w:val="21"/>
          <w:szCs w:val="21"/>
        </w:rPr>
        <w:t xml:space="preserve">2、召开基金份额持有人大会的条件 </w:t>
      </w:r>
    </w:p>
    <w:p>
      <w:pPr>
        <w:pStyle w:val="7"/>
        <w:spacing w:before="0" w:beforeAutospacing="0" w:after="0" w:afterAutospacing="0" w:line="360" w:lineRule="auto"/>
        <w:ind w:firstLine="420"/>
        <w:rPr>
          <w:sz w:val="21"/>
          <w:szCs w:val="21"/>
        </w:rPr>
      </w:pPr>
      <w:r>
        <w:rPr>
          <w:rFonts w:hint="eastAsia"/>
          <w:sz w:val="21"/>
          <w:szCs w:val="21"/>
        </w:rPr>
        <w:t xml:space="preserve">（1）现场开会方式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在同时符合以下条件时，现场会议方可举行： </w:t>
      </w:r>
    </w:p>
    <w:p>
      <w:pPr>
        <w:pStyle w:val="7"/>
        <w:spacing w:before="0" w:beforeAutospacing="0" w:after="0" w:afterAutospacing="0" w:line="360" w:lineRule="auto"/>
        <w:ind w:firstLine="420"/>
        <w:rPr>
          <w:sz w:val="21"/>
          <w:szCs w:val="21"/>
        </w:rPr>
      </w:pPr>
      <w:r>
        <w:rPr>
          <w:rFonts w:hint="eastAsia"/>
          <w:sz w:val="21"/>
          <w:szCs w:val="21"/>
        </w:rPr>
        <w:t xml:space="preserve">1）对到会者在权益登记日持有基金份额的统计显示，全部有效凭证所对应的基金份额应占权益登记日基金总份额的50%以上（含50%，下同）； </w:t>
      </w:r>
    </w:p>
    <w:p>
      <w:pPr>
        <w:pStyle w:val="7"/>
        <w:spacing w:before="0" w:beforeAutospacing="0" w:after="0" w:afterAutospacing="0" w:line="360" w:lineRule="auto"/>
        <w:ind w:firstLine="420"/>
        <w:rPr>
          <w:sz w:val="21"/>
          <w:szCs w:val="21"/>
        </w:rPr>
      </w:pPr>
      <w:r>
        <w:rPr>
          <w:rFonts w:hint="eastAsia"/>
          <w:sz w:val="21"/>
          <w:szCs w:val="21"/>
        </w:rPr>
        <w:t xml:space="preserve">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 </w:t>
      </w:r>
    </w:p>
    <w:p>
      <w:pPr>
        <w:pStyle w:val="7"/>
        <w:spacing w:before="0" w:beforeAutospacing="0" w:after="0" w:afterAutospacing="0" w:line="360" w:lineRule="auto"/>
        <w:ind w:firstLine="420"/>
        <w:rPr>
          <w:sz w:val="21"/>
          <w:szCs w:val="21"/>
        </w:rPr>
      </w:pPr>
      <w:r>
        <w:rPr>
          <w:rFonts w:hint="eastAsia"/>
          <w:sz w:val="21"/>
          <w:szCs w:val="21"/>
        </w:rPr>
        <w:t xml:space="preserve">未能满足上述条件的情况下，则召集人可另行确定并公告重新开会的时间(至少应在25个工作日后)和地点，但确定有权出席会议的基金份额持有人资格的权益登记日不变。 </w:t>
      </w:r>
    </w:p>
    <w:p>
      <w:pPr>
        <w:pStyle w:val="7"/>
        <w:spacing w:before="0" w:beforeAutospacing="0" w:after="0" w:afterAutospacing="0" w:line="360" w:lineRule="auto"/>
        <w:ind w:firstLine="420"/>
        <w:rPr>
          <w:sz w:val="21"/>
          <w:szCs w:val="21"/>
        </w:rPr>
      </w:pPr>
      <w:r>
        <w:rPr>
          <w:rFonts w:hint="eastAsia"/>
          <w:sz w:val="21"/>
          <w:szCs w:val="21"/>
        </w:rPr>
        <w:t xml:space="preserve">（2）通讯开会方式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在同时符合以下条件时，通讯会议方可举行： </w:t>
      </w:r>
    </w:p>
    <w:p>
      <w:pPr>
        <w:pStyle w:val="7"/>
        <w:spacing w:before="0" w:beforeAutospacing="0" w:after="0" w:afterAutospacing="0" w:line="360" w:lineRule="auto"/>
        <w:ind w:firstLine="420"/>
        <w:rPr>
          <w:sz w:val="21"/>
          <w:szCs w:val="21"/>
        </w:rPr>
      </w:pPr>
      <w:r>
        <w:rPr>
          <w:rFonts w:hint="eastAsia"/>
          <w:sz w:val="21"/>
          <w:szCs w:val="21"/>
        </w:rPr>
        <w:t xml:space="preserve">1）召集人按本基金合同规定公布会议通知后，在2个工作日内连续公布相关提示性公告；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2）召集人按基金合同规定通知基金托管人或/和基金管理人（分别或共同称为“监督人”）到指定地点对书面表决意见的计票进行监督； </w:t>
      </w:r>
    </w:p>
    <w:p>
      <w:pPr>
        <w:pStyle w:val="7"/>
        <w:spacing w:before="0" w:beforeAutospacing="0" w:after="0" w:afterAutospacing="0" w:line="360" w:lineRule="auto"/>
        <w:ind w:firstLine="420"/>
        <w:rPr>
          <w:sz w:val="21"/>
          <w:szCs w:val="21"/>
        </w:rPr>
      </w:pPr>
      <w:r>
        <w:rPr>
          <w:rFonts w:hint="eastAsia"/>
          <w:sz w:val="21"/>
          <w:szCs w:val="21"/>
        </w:rPr>
        <w:t xml:space="preserve">3）召集人在监督人和公证机关的监督下按照会议通知规定的方式收取和统计基金份额持有人的书面表决意见，如基金管理人或基金托管人经通知拒不到场监督的，不影响表决效力；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4）本人直接出具书面意见和授权他人代表出具书面意见的基金份额持有人所代表的基金份额占权益登记日基金总份额的50%以上； </w:t>
      </w:r>
    </w:p>
    <w:p>
      <w:pPr>
        <w:pStyle w:val="7"/>
        <w:spacing w:before="0" w:beforeAutospacing="0" w:after="0" w:afterAutospacing="0" w:line="360" w:lineRule="auto"/>
        <w:ind w:firstLine="420"/>
        <w:rPr>
          <w:sz w:val="21"/>
          <w:szCs w:val="21"/>
        </w:rPr>
      </w:pPr>
      <w:r>
        <w:rPr>
          <w:rFonts w:hint="eastAsia"/>
          <w:sz w:val="21"/>
          <w:szCs w:val="21"/>
        </w:rPr>
        <w:t xml:space="preserve">5）直接出具书面意见的基金份额持有人或受托代表他人出具书面意见的代理人提交的持有基金份额的凭证、授权委托书等文件符合法律法规、基金合同和会议通知的规定，并与登记机构记录相符。 </w:t>
      </w:r>
    </w:p>
    <w:p>
      <w:pPr>
        <w:pStyle w:val="7"/>
        <w:spacing w:before="0" w:beforeAutospacing="0" w:after="0" w:afterAutospacing="0" w:line="360" w:lineRule="auto"/>
        <w:ind w:firstLine="420"/>
        <w:rPr>
          <w:sz w:val="21"/>
          <w:szCs w:val="21"/>
        </w:rPr>
      </w:pPr>
      <w:r>
        <w:rPr>
          <w:rFonts w:hint="eastAsia"/>
          <w:sz w:val="21"/>
          <w:szCs w:val="21"/>
        </w:rPr>
        <w:t xml:space="preserve">6）会议通知公布前报中国证监会备案。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如果开会条件达不到上述的条件，则召集人可另行确定并公告重新表决的时间(至少应在25个工作日后)，且确定有权出席会议的基金份额持有人资格的权益登记日不变。 </w:t>
      </w:r>
    </w:p>
    <w:p>
      <w:pPr>
        <w:pStyle w:val="7"/>
        <w:spacing w:before="0" w:beforeAutospacing="0" w:after="0" w:afterAutospacing="0" w:line="360" w:lineRule="auto"/>
        <w:ind w:firstLine="420"/>
        <w:rPr>
          <w:sz w:val="21"/>
          <w:szCs w:val="21"/>
        </w:rPr>
      </w:pPr>
      <w:r>
        <w:rPr>
          <w:rFonts w:hint="eastAsia"/>
          <w:sz w:val="21"/>
          <w:szCs w:val="21"/>
        </w:rPr>
        <w:t xml:space="preserve">（六）议事内容与程序 </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（1）议事内容为本基金合同规定的召开基金份额持有人大会事由所涉及的内容。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单独或合并持有权益登记日本基金总份额10%以上的基金份额持有人可以在大会召集人发出会议通知前就召开事由向大会召集人提交需由基金份额持有人大会审议表决的提案。也可以在会议通知发出后向大会召集人提交临时提案，临时提案应当在大会召开日前30日提交召集人。召集人对于临时提案应当在大会召开日前30日公告。否则，会议的召开日期应当顺延并保证至少与临时提案公告日期有30日的间隔期。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（3）大会召集人应当按照以下原则对提案进行审核： </w:t>
      </w:r>
    </w:p>
    <w:p>
      <w:pPr>
        <w:pStyle w:val="7"/>
        <w:spacing w:before="0" w:beforeAutospacing="0" w:after="0" w:afterAutospacing="0" w:line="360" w:lineRule="auto"/>
        <w:ind w:firstLine="420"/>
        <w:rPr>
          <w:sz w:val="21"/>
          <w:szCs w:val="21"/>
        </w:rPr>
      </w:pPr>
      <w:r>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提案提交大会表决，应当在该次基金份额持有人大会上进行解释和说明。 </w:t>
      </w:r>
    </w:p>
    <w:p>
      <w:pPr>
        <w:pStyle w:val="7"/>
        <w:spacing w:before="0" w:beforeAutospacing="0" w:after="0" w:afterAutospacing="0" w:line="360" w:lineRule="auto"/>
        <w:ind w:firstLine="420"/>
        <w:rPr>
          <w:sz w:val="21"/>
          <w:szCs w:val="21"/>
        </w:rPr>
      </w:pPr>
      <w:r>
        <w:rPr>
          <w:rFonts w:hint="eastAsia"/>
          <w:sz w:val="21"/>
          <w:szCs w:val="21"/>
        </w:rPr>
        <w:t xml:space="preserve">程序性。大会召集人可以对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pPr>
        <w:pStyle w:val="7"/>
        <w:spacing w:before="0" w:beforeAutospacing="0" w:after="0" w:afterAutospacing="0" w:line="360" w:lineRule="auto"/>
        <w:ind w:firstLine="420"/>
        <w:rPr>
          <w:sz w:val="21"/>
          <w:szCs w:val="21"/>
        </w:rPr>
      </w:pPr>
      <w:r>
        <w:rPr>
          <w:rFonts w:hint="eastAsia"/>
          <w:sz w:val="21"/>
          <w:szCs w:val="21"/>
        </w:rPr>
        <w:t xml:space="preserve">（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 </w:t>
      </w:r>
    </w:p>
    <w:p>
      <w:pPr>
        <w:pStyle w:val="7"/>
        <w:spacing w:before="0" w:beforeAutospacing="0" w:after="0" w:afterAutospacing="0" w:line="360" w:lineRule="auto"/>
        <w:ind w:firstLine="420"/>
        <w:rPr>
          <w:sz w:val="21"/>
          <w:szCs w:val="21"/>
        </w:rPr>
      </w:pPr>
      <w:r>
        <w:rPr>
          <w:rFonts w:hint="eastAsia"/>
          <w:sz w:val="21"/>
          <w:szCs w:val="21"/>
        </w:rPr>
        <w:t xml:space="preserve">（5）基金份额持有人大会的召集人发出召开会议的通知后，如果需要对原有提案进行修改，应当在基金份额持有人大会召开前30日及时公告。否则，会议的召开日期应当顺延并保证至少与公告日期有30日的间隔期。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在现场开会的方式下，首先由大会主持人按照规定程序宣布会议议事程序及注意事项，确定和公布监票人，然后由大会主持人宣读提案，经讨论后进行表决，经合法执业的律师见证后形成大会决议。 </w:t>
      </w:r>
    </w:p>
    <w:p>
      <w:pPr>
        <w:pStyle w:val="7"/>
        <w:spacing w:before="0" w:beforeAutospacing="0" w:after="0" w:afterAutospacing="0" w:line="360" w:lineRule="auto"/>
        <w:ind w:firstLine="420"/>
        <w:rPr>
          <w:sz w:val="21"/>
          <w:szCs w:val="21"/>
        </w:rPr>
      </w:pPr>
      <w:r>
        <w:rPr>
          <w:rFonts w:hint="eastAsia"/>
          <w:sz w:val="21"/>
          <w:szCs w:val="21"/>
        </w:rPr>
        <w:t xml:space="preserve">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 </w:t>
      </w:r>
    </w:p>
    <w:p>
      <w:pPr>
        <w:pStyle w:val="7"/>
        <w:spacing w:before="0" w:beforeAutospacing="0" w:after="0" w:afterAutospacing="0" w:line="360" w:lineRule="auto"/>
        <w:ind w:firstLine="420"/>
        <w:rPr>
          <w:sz w:val="21"/>
          <w:szCs w:val="21"/>
        </w:rPr>
      </w:pPr>
      <w:r>
        <w:rPr>
          <w:rFonts w:hint="eastAsia"/>
          <w:sz w:val="21"/>
          <w:szCs w:val="21"/>
        </w:rPr>
        <w:t xml:space="preserve">召集人应当制作出席会议人员的签名册。签名册载明参加会议人员姓名（或单位名称）、身份证号码、持有或代表有表决权的基金份额数量、委托人姓名（或单位名称）等事项。 </w:t>
      </w:r>
    </w:p>
    <w:p>
      <w:pPr>
        <w:pStyle w:val="7"/>
        <w:spacing w:before="0" w:beforeAutospacing="0" w:after="0" w:afterAutospacing="0" w:line="360" w:lineRule="auto"/>
        <w:ind w:firstLine="420"/>
        <w:rPr>
          <w:sz w:val="21"/>
          <w:szCs w:val="21"/>
        </w:rPr>
      </w:pPr>
      <w:r>
        <w:rPr>
          <w:rFonts w:hint="eastAsia"/>
          <w:sz w:val="21"/>
          <w:szCs w:val="21"/>
        </w:rPr>
        <w:t xml:space="preserve">（2）通讯方式开会 </w:t>
      </w:r>
    </w:p>
    <w:p>
      <w:pPr>
        <w:pStyle w:val="7"/>
        <w:spacing w:before="0" w:beforeAutospacing="0" w:after="0" w:afterAutospacing="0" w:line="360" w:lineRule="auto"/>
        <w:ind w:firstLine="420"/>
        <w:rPr>
          <w:sz w:val="21"/>
          <w:szCs w:val="21"/>
        </w:rPr>
      </w:pPr>
      <w:r>
        <w:rPr>
          <w:rFonts w:hint="eastAsia"/>
          <w:sz w:val="21"/>
          <w:szCs w:val="21"/>
        </w:rPr>
        <w:t xml:space="preserve">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 </w:t>
      </w:r>
    </w:p>
    <w:p>
      <w:pPr>
        <w:pStyle w:val="7"/>
        <w:spacing w:before="0" w:beforeAutospacing="0" w:after="0" w:afterAutospacing="0" w:line="360" w:lineRule="auto"/>
        <w:ind w:firstLine="420"/>
        <w:rPr>
          <w:sz w:val="21"/>
          <w:szCs w:val="21"/>
        </w:rPr>
      </w:pPr>
      <w:r>
        <w:rPr>
          <w:rFonts w:hint="eastAsia"/>
          <w:sz w:val="21"/>
          <w:szCs w:val="21"/>
        </w:rPr>
        <w:t xml:space="preserve">3、基金份额持有人大会不得对未事先公告的议事内容进行表决。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（七）决议形成的条件、表决方式、程序 </w:t>
      </w:r>
    </w:p>
    <w:p>
      <w:pPr>
        <w:pStyle w:val="7"/>
        <w:spacing w:before="0" w:beforeAutospacing="0" w:after="0" w:afterAutospacing="0" w:line="360" w:lineRule="auto"/>
        <w:ind w:firstLine="420"/>
        <w:rPr>
          <w:sz w:val="21"/>
          <w:szCs w:val="21"/>
        </w:rPr>
      </w:pPr>
      <w:r>
        <w:rPr>
          <w:rFonts w:hint="eastAsia"/>
          <w:sz w:val="21"/>
          <w:szCs w:val="21"/>
        </w:rPr>
        <w:t xml:space="preserve">1、基金份额持有人所持每一基金份额享有平等的表决权。 </w:t>
      </w:r>
    </w:p>
    <w:p>
      <w:pPr>
        <w:pStyle w:val="7"/>
        <w:spacing w:before="0" w:beforeAutospacing="0" w:after="0" w:afterAutospacing="0" w:line="360" w:lineRule="auto"/>
        <w:ind w:firstLine="420"/>
        <w:rPr>
          <w:sz w:val="21"/>
          <w:szCs w:val="21"/>
        </w:rPr>
      </w:pPr>
      <w:r>
        <w:rPr>
          <w:rFonts w:hint="eastAsia"/>
          <w:sz w:val="21"/>
          <w:szCs w:val="21"/>
        </w:rPr>
        <w:t xml:space="preserve">2、基金份额持有人大会决议分为一般决议和特别决议：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 </w:t>
      </w:r>
    </w:p>
    <w:p>
      <w:pPr>
        <w:pStyle w:val="7"/>
        <w:spacing w:before="0" w:beforeAutospacing="0" w:after="0" w:afterAutospacing="0" w:line="360" w:lineRule="auto"/>
        <w:ind w:firstLine="420"/>
        <w:rPr>
          <w:sz w:val="21"/>
          <w:szCs w:val="21"/>
        </w:rPr>
      </w:pPr>
      <w:r>
        <w:rPr>
          <w:rFonts w:hint="eastAsia"/>
          <w:sz w:val="21"/>
          <w:szCs w:val="21"/>
        </w:rPr>
        <w:t xml:space="preserve">一般决议须经出席会议的基金份额持有人（或其代理人）所持表决权的50%以上通过方为有效，除下列（2）所规定的须以特别决议通过事项以外的其他事项均以一般决议的方式通过；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 </w:t>
      </w:r>
    </w:p>
    <w:p>
      <w:pPr>
        <w:pStyle w:val="7"/>
        <w:spacing w:before="0" w:beforeAutospacing="0" w:after="0" w:afterAutospacing="0" w:line="360" w:lineRule="auto"/>
        <w:ind w:firstLine="420"/>
        <w:rPr>
          <w:sz w:val="21"/>
          <w:szCs w:val="21"/>
        </w:rPr>
      </w:pPr>
      <w:r>
        <w:rPr>
          <w:rFonts w:hint="eastAsia"/>
          <w:sz w:val="21"/>
          <w:szCs w:val="21"/>
        </w:rPr>
        <w:t xml:space="preserve">特别决议须经出席会议的基金份额持有人（或其代理人）所持表决权的三分之二以上（含三分之二）通过方为有效；涉及更换基金管理人、更换基金托管人、转换基金运作方式、终止基金合同必须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3、基金份额持有人大会决定的事项，应当依法报中国证监会核准或者备案，并予以公告。 </w:t>
      </w:r>
    </w:p>
    <w:p>
      <w:pPr>
        <w:pStyle w:val="7"/>
        <w:spacing w:before="0" w:beforeAutospacing="0" w:after="0" w:afterAutospacing="0" w:line="360" w:lineRule="auto"/>
        <w:ind w:firstLine="420"/>
        <w:rPr>
          <w:sz w:val="21"/>
          <w:szCs w:val="21"/>
        </w:rPr>
      </w:pPr>
      <w:r>
        <w:rPr>
          <w:rFonts w:hint="eastAsia"/>
          <w:sz w:val="21"/>
          <w:szCs w:val="21"/>
        </w:rPr>
        <w:t xml:space="preserve">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5、基金份额持有人大会采取记名方式进行投票表决。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6、基金份额持有人大会的各项提案或同一项提案内并列的各项议题应当分开审议、逐项表决。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Fonts w:hint="eastAsia"/>
          <w:sz w:val="21"/>
          <w:szCs w:val="21"/>
        </w:rPr>
        <w:t xml:space="preserve">（八）计票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 </w:t>
      </w:r>
    </w:p>
    <w:p>
      <w:pPr>
        <w:pStyle w:val="7"/>
        <w:spacing w:before="0" w:beforeAutospacing="0" w:after="0" w:afterAutospacing="0" w:line="360" w:lineRule="auto"/>
        <w:ind w:firstLine="420"/>
        <w:rPr>
          <w:sz w:val="21"/>
          <w:szCs w:val="21"/>
        </w:rPr>
      </w:pPr>
      <w:r>
        <w:rPr>
          <w:rFonts w:hint="eastAsia"/>
          <w:sz w:val="21"/>
          <w:szCs w:val="21"/>
        </w:rPr>
        <w:t xml:space="preserve">2、通讯方式开会 </w:t>
      </w:r>
    </w:p>
    <w:p>
      <w:pPr>
        <w:pStyle w:val="7"/>
        <w:spacing w:before="0" w:beforeAutospacing="0" w:after="0" w:afterAutospacing="0" w:line="360" w:lineRule="auto"/>
        <w:ind w:firstLine="420"/>
        <w:rPr>
          <w:sz w:val="21"/>
          <w:szCs w:val="21"/>
        </w:rPr>
      </w:pPr>
      <w:r>
        <w:rPr>
          <w:rFonts w:hint="eastAsia"/>
          <w:sz w:val="21"/>
          <w:szCs w:val="21"/>
        </w:rPr>
        <w:t xml:space="preserve">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 </w:t>
      </w:r>
    </w:p>
    <w:p>
      <w:pPr>
        <w:pStyle w:val="7"/>
        <w:spacing w:before="0" w:beforeAutospacing="0" w:after="0" w:afterAutospacing="0" w:line="360" w:lineRule="auto"/>
        <w:ind w:firstLine="420"/>
        <w:rPr>
          <w:sz w:val="21"/>
          <w:szCs w:val="21"/>
        </w:rPr>
      </w:pPr>
      <w:r>
        <w:rPr>
          <w:rFonts w:hint="eastAsia"/>
          <w:sz w:val="21"/>
          <w:szCs w:val="21"/>
        </w:rPr>
        <w:t xml:space="preserve">（九）基金份额持有人大会决议报中国证监会核准或备案后的公告时间、方式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1、基金份额持有人大会通过的一般决议和特别决议，召集人应当自通过之日起5日内报中国证监会核准或者备案。基金份额持有人大会决定的事项自中国证监会依法核准或者出具无异议意见之日起生效。 </w:t>
      </w:r>
    </w:p>
    <w:p>
      <w:pPr>
        <w:pStyle w:val="7"/>
        <w:spacing w:before="0" w:beforeAutospacing="0" w:after="0" w:afterAutospacing="0" w:line="360" w:lineRule="auto"/>
        <w:ind w:firstLine="420"/>
        <w:rPr>
          <w:sz w:val="21"/>
          <w:szCs w:val="21"/>
        </w:rPr>
      </w:pPr>
      <w:r>
        <w:rPr>
          <w:rFonts w:hint="eastAsia"/>
          <w:sz w:val="21"/>
          <w:szCs w:val="21"/>
        </w:rPr>
        <w:t xml:space="preserve">2、生效的基金份额持有人大会决议对全体基金份额持有人、基金管理人、基金托管人均有约束力。基金管理人、基金托管人和基金份额持有人应当执行生效的基金份额持有人大会决议。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3、基金份额持有人大会决议应自生效之日起2日内在指定媒介公告。如果采用通讯方式进行表决，在公告基金份额持有人大会决议时，必须将公证书全文、公证机构、公证员姓名等一同公告。 </w:t>
      </w:r>
    </w:p>
    <w:p>
      <w:pPr>
        <w:pStyle w:val="7"/>
        <w:spacing w:before="0" w:beforeAutospacing="0" w:after="0" w:afterAutospacing="0" w:line="360" w:lineRule="auto"/>
        <w:ind w:firstLine="420"/>
        <w:rPr>
          <w:sz w:val="21"/>
          <w:szCs w:val="21"/>
        </w:rPr>
      </w:pPr>
      <w:r>
        <w:rPr>
          <w:rFonts w:hint="eastAsia"/>
          <w:sz w:val="21"/>
          <w:szCs w:val="21"/>
        </w:rPr>
        <w:t xml:space="preserve">（十）法律法规或监管部门对基金份额持有人大会另有规定的，从其规定。 </w:t>
      </w:r>
    </w:p>
    <w:p>
      <w:pPr>
        <w:pStyle w:val="7"/>
        <w:spacing w:before="0" w:beforeAutospacing="0" w:after="0" w:afterAutospacing="0" w:line="360" w:lineRule="auto"/>
        <w:ind w:firstLine="420"/>
        <w:rPr>
          <w:sz w:val="21"/>
          <w:szCs w:val="21"/>
        </w:rPr>
      </w:pPr>
      <w:r>
        <w:rPr>
          <w:rStyle w:val="11"/>
          <w:rFonts w:hint="eastAsia"/>
          <w:sz w:val="21"/>
          <w:szCs w:val="21"/>
        </w:rPr>
        <w:t>三、基金合同解除和终止的事由、程序</w:t>
      </w:r>
    </w:p>
    <w:p>
      <w:pPr>
        <w:pStyle w:val="7"/>
        <w:spacing w:before="0" w:beforeAutospacing="0" w:after="0" w:afterAutospacing="0" w:line="360" w:lineRule="auto"/>
        <w:ind w:firstLine="420"/>
        <w:rPr>
          <w:sz w:val="21"/>
          <w:szCs w:val="21"/>
        </w:rPr>
      </w:pPr>
      <w:r>
        <w:rPr>
          <w:rFonts w:hint="eastAsia"/>
          <w:sz w:val="21"/>
          <w:szCs w:val="21"/>
        </w:rPr>
        <w:t xml:space="preserve">（一）基金合同的变更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1、基金合同变更内容对基金合同当事人权利、义务产生重大影响的，应召开基金份额持有人大会，基金合同变更的内容应经基金份额持有人大会决议同意。 </w:t>
      </w:r>
    </w:p>
    <w:p>
      <w:pPr>
        <w:pStyle w:val="7"/>
        <w:spacing w:before="0" w:beforeAutospacing="0" w:after="0" w:afterAutospacing="0" w:line="360" w:lineRule="auto"/>
        <w:ind w:firstLine="420"/>
        <w:rPr>
          <w:sz w:val="21"/>
          <w:szCs w:val="21"/>
        </w:rPr>
      </w:pPr>
      <w:r>
        <w:rPr>
          <w:rFonts w:hint="eastAsia"/>
          <w:sz w:val="21"/>
          <w:szCs w:val="21"/>
        </w:rPr>
        <w:t xml:space="preserve">（1）转换基金运作方式；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（2）变更基金类别； </w:t>
      </w:r>
    </w:p>
    <w:p>
      <w:pPr>
        <w:pStyle w:val="7"/>
        <w:spacing w:before="0" w:beforeAutospacing="0" w:after="0" w:afterAutospacing="0" w:line="360" w:lineRule="auto"/>
        <w:ind w:firstLine="420"/>
        <w:rPr>
          <w:sz w:val="21"/>
          <w:szCs w:val="21"/>
        </w:rPr>
      </w:pPr>
      <w:r>
        <w:rPr>
          <w:rFonts w:hint="eastAsia"/>
          <w:sz w:val="21"/>
          <w:szCs w:val="21"/>
        </w:rPr>
        <w:t xml:space="preserve">（3）变更基金投资目标、投资范围或投资策略； </w:t>
      </w:r>
    </w:p>
    <w:p>
      <w:pPr>
        <w:pStyle w:val="7"/>
        <w:spacing w:before="0" w:beforeAutospacing="0" w:after="0" w:afterAutospacing="0" w:line="360" w:lineRule="auto"/>
        <w:ind w:firstLine="420"/>
        <w:rPr>
          <w:sz w:val="21"/>
          <w:szCs w:val="21"/>
        </w:rPr>
      </w:pPr>
      <w:r>
        <w:rPr>
          <w:rFonts w:hint="eastAsia"/>
          <w:sz w:val="21"/>
          <w:szCs w:val="21"/>
        </w:rPr>
        <w:t xml:space="preserve">（4）变更基金份额持有人大会程序；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（5）更换基金管理人、基金托管人； </w:t>
      </w:r>
    </w:p>
    <w:p>
      <w:pPr>
        <w:pStyle w:val="7"/>
        <w:spacing w:before="0" w:beforeAutospacing="0" w:after="0" w:afterAutospacing="0" w:line="360" w:lineRule="auto"/>
        <w:ind w:firstLine="420"/>
        <w:rPr>
          <w:sz w:val="21"/>
          <w:szCs w:val="21"/>
        </w:rPr>
      </w:pPr>
      <w:r>
        <w:rPr>
          <w:rFonts w:hint="eastAsia"/>
          <w:sz w:val="21"/>
          <w:szCs w:val="21"/>
        </w:rPr>
        <w:t xml:space="preserve">（6）提高基金管理人、基金托管人的报酬标准。但根据适用的相关规定提高该等报酬标准的除外；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（8）对基金合同当事人权利、义务产生重大影响的其他事项；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（9）法律法规、基金合同或中国证监会规定的其他情形。 </w:t>
      </w:r>
    </w:p>
    <w:p>
      <w:pPr>
        <w:pStyle w:val="7"/>
        <w:spacing w:before="0" w:beforeAutospacing="0" w:after="0" w:afterAutospacing="0" w:line="360" w:lineRule="auto"/>
        <w:ind w:firstLine="420"/>
        <w:rPr>
          <w:sz w:val="21"/>
          <w:szCs w:val="21"/>
        </w:rPr>
      </w:pPr>
      <w:r>
        <w:rPr>
          <w:rFonts w:hint="eastAsia"/>
          <w:sz w:val="21"/>
          <w:szCs w:val="21"/>
        </w:rPr>
        <w:t xml:space="preserve">但出现下列情况时，可不经基金份额持有人大会决议，由基金管理人和基金托管人同意变更后公布，并报中国证监会备案：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（1）调低基金管理费、基金托管费和其他应由基金承担的费用； </w:t>
      </w:r>
    </w:p>
    <w:p>
      <w:pPr>
        <w:pStyle w:val="7"/>
        <w:spacing w:before="0" w:beforeAutospacing="0" w:after="0" w:afterAutospacing="0" w:line="360" w:lineRule="auto"/>
        <w:ind w:firstLine="420"/>
        <w:rPr>
          <w:sz w:val="21"/>
          <w:szCs w:val="21"/>
        </w:rPr>
      </w:pPr>
      <w:r>
        <w:rPr>
          <w:rFonts w:hint="eastAsia"/>
          <w:sz w:val="21"/>
          <w:szCs w:val="21"/>
        </w:rPr>
        <w:t xml:space="preserve">（2）在法律法规和本基金合同规定的范围内变更基金的申购费率、调低赎回费率或收费方式；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（3）因相应的法律法规发生变动必须对基金合同进行修改；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（4）对基金合同的修改不涉及本基金合同当事人权利义务关系发生变化； </w:t>
      </w:r>
    </w:p>
    <w:p>
      <w:pPr>
        <w:pStyle w:val="7"/>
        <w:spacing w:before="0" w:beforeAutospacing="0" w:after="0" w:afterAutospacing="0" w:line="360" w:lineRule="auto"/>
        <w:ind w:firstLine="420"/>
        <w:rPr>
          <w:sz w:val="21"/>
          <w:szCs w:val="21"/>
        </w:rPr>
      </w:pPr>
      <w:r>
        <w:rPr>
          <w:rFonts w:hint="eastAsia"/>
          <w:sz w:val="21"/>
          <w:szCs w:val="21"/>
        </w:rPr>
        <w:t xml:space="preserve">（5）基金合同的修改对基金份额持有人利益无实质性不利影响； </w:t>
      </w:r>
    </w:p>
    <w:p>
      <w:pPr>
        <w:pStyle w:val="7"/>
        <w:spacing w:before="0" w:beforeAutospacing="0" w:after="0" w:afterAutospacing="0" w:line="360" w:lineRule="auto"/>
        <w:ind w:firstLine="420"/>
        <w:rPr>
          <w:sz w:val="21"/>
          <w:szCs w:val="21"/>
        </w:rPr>
      </w:pPr>
      <w:r>
        <w:rPr>
          <w:rFonts w:hint="eastAsia"/>
          <w:sz w:val="21"/>
          <w:szCs w:val="21"/>
        </w:rPr>
        <w:t xml:space="preserve">（6）按照法律法规或本基金合同规定不需召开基金份额持有人大会的其他情形。 </w:t>
      </w:r>
    </w:p>
    <w:p>
      <w:pPr>
        <w:pStyle w:val="7"/>
        <w:spacing w:before="0" w:beforeAutospacing="0" w:after="0" w:afterAutospacing="0" w:line="360" w:lineRule="auto"/>
        <w:ind w:firstLine="420"/>
        <w:rPr>
          <w:sz w:val="21"/>
          <w:szCs w:val="21"/>
        </w:rPr>
      </w:pPr>
      <w:r>
        <w:rPr>
          <w:rFonts w:hint="eastAsia"/>
          <w:sz w:val="21"/>
          <w:szCs w:val="21"/>
        </w:rPr>
        <w:t xml:space="preserve">2、关于变更基金合同的基金份额持有人大会决议应报中国证监会核准或备案，并于中国证监会核准或出具无异议意见后生效执行，并自生效之日起2日内在指定媒介公告。 </w:t>
      </w:r>
    </w:p>
    <w:p>
      <w:pPr>
        <w:pStyle w:val="7"/>
        <w:spacing w:before="0" w:beforeAutospacing="0" w:after="0" w:afterAutospacing="0" w:line="360" w:lineRule="auto"/>
        <w:ind w:firstLine="420"/>
        <w:rPr>
          <w:sz w:val="21"/>
          <w:szCs w:val="21"/>
        </w:rPr>
      </w:pPr>
      <w:r>
        <w:rPr>
          <w:rFonts w:hint="eastAsia"/>
          <w:sz w:val="21"/>
          <w:szCs w:val="21"/>
        </w:rPr>
        <w:t xml:space="preserve">（二）基金合同解除和终止的事由、程序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有下列情形之一的，本基金合同经中国证监会核准后将终止：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2、基金管理人因解散、破产、撤销等事由，不能继续担任基金管理人的职务，而在6个月内无其他适当的基金管理公司承接其原有权利义务； </w:t>
      </w:r>
    </w:p>
    <w:p>
      <w:pPr>
        <w:pStyle w:val="7"/>
        <w:spacing w:before="0" w:beforeAutospacing="0" w:after="0" w:afterAutospacing="0" w:line="360" w:lineRule="auto"/>
        <w:ind w:firstLine="420"/>
        <w:rPr>
          <w:sz w:val="21"/>
          <w:szCs w:val="21"/>
        </w:rPr>
      </w:pPr>
      <w:r>
        <w:rPr>
          <w:rFonts w:hint="eastAsia"/>
          <w:sz w:val="21"/>
          <w:szCs w:val="21"/>
        </w:rPr>
        <w:t xml:space="preserve">3、基金托管人因解散、破产、撤销等事由，不能继续担任基金托管人的职务，而在6个月内无其他适当的托管机构承接其原有权利义务； </w:t>
      </w:r>
    </w:p>
    <w:p>
      <w:pPr>
        <w:pStyle w:val="7"/>
        <w:spacing w:before="0" w:beforeAutospacing="0" w:after="0" w:afterAutospacing="0" w:line="360" w:lineRule="auto"/>
        <w:ind w:firstLine="420"/>
        <w:rPr>
          <w:sz w:val="21"/>
          <w:szCs w:val="21"/>
        </w:rPr>
      </w:pPr>
      <w:r>
        <w:rPr>
          <w:rFonts w:hint="eastAsia"/>
          <w:sz w:val="21"/>
          <w:szCs w:val="21"/>
        </w:rPr>
        <w:t xml:space="preserve">4、中国证监会规定的其他情况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1、基金财产清算组 </w:t>
      </w:r>
    </w:p>
    <w:p>
      <w:pPr>
        <w:pStyle w:val="7"/>
        <w:spacing w:before="0" w:beforeAutospacing="0" w:after="0" w:afterAutospacing="0" w:line="360" w:lineRule="auto"/>
        <w:ind w:firstLine="420"/>
        <w:rPr>
          <w:sz w:val="21"/>
          <w:szCs w:val="21"/>
        </w:rPr>
      </w:pPr>
      <w:r>
        <w:rPr>
          <w:rFonts w:hint="eastAsia"/>
          <w:sz w:val="21"/>
          <w:szCs w:val="21"/>
        </w:rPr>
        <w:t xml:space="preserve">（1）基金合同终止时，成立基金财产清算组，基金财产清算组在中国证监会的监督下进行基金清算。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（3）基金财产清算组负责基金财产的保管、清理、估价、变现和分配。基金财产清算组可以依法进行必要的民事活动。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2、基金财产清算程序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基金合同终止，应当按法律法规和本基金合同的有关规定对基金财产进行清算。基金财产清算程序主要包括： </w:t>
      </w:r>
    </w:p>
    <w:p>
      <w:pPr>
        <w:pStyle w:val="7"/>
        <w:spacing w:before="0" w:beforeAutospacing="0" w:after="0" w:afterAutospacing="0" w:line="360" w:lineRule="auto"/>
        <w:ind w:firstLine="420"/>
        <w:rPr>
          <w:sz w:val="21"/>
          <w:szCs w:val="21"/>
        </w:rPr>
      </w:pPr>
      <w:r>
        <w:rPr>
          <w:rFonts w:hint="eastAsia"/>
          <w:sz w:val="21"/>
          <w:szCs w:val="21"/>
        </w:rPr>
        <w:t xml:space="preserve">（1）基金合同终止后，发布基金财产清算公告； </w:t>
      </w:r>
    </w:p>
    <w:p>
      <w:pPr>
        <w:pStyle w:val="7"/>
        <w:spacing w:before="0" w:beforeAutospacing="0" w:after="0" w:afterAutospacing="0" w:line="360" w:lineRule="auto"/>
        <w:ind w:firstLine="420"/>
        <w:rPr>
          <w:sz w:val="21"/>
          <w:szCs w:val="21"/>
        </w:rPr>
      </w:pPr>
      <w:r>
        <w:rPr>
          <w:rFonts w:hint="eastAsia"/>
          <w:sz w:val="21"/>
          <w:szCs w:val="21"/>
        </w:rPr>
        <w:t xml:space="preserve">（2）基金合同终止时，由基金财产清算组统一接管基金财产； </w:t>
      </w:r>
    </w:p>
    <w:p>
      <w:pPr>
        <w:pStyle w:val="7"/>
        <w:spacing w:before="0" w:beforeAutospacing="0" w:after="0" w:afterAutospacing="0" w:line="360" w:lineRule="auto"/>
        <w:ind w:firstLine="420"/>
        <w:rPr>
          <w:sz w:val="21"/>
          <w:szCs w:val="21"/>
        </w:rPr>
      </w:pPr>
      <w:r>
        <w:rPr>
          <w:rFonts w:hint="eastAsia"/>
          <w:sz w:val="21"/>
          <w:szCs w:val="21"/>
        </w:rPr>
        <w:t xml:space="preserve">（3）对基金财产进行清理和确认； </w:t>
      </w:r>
    </w:p>
    <w:p>
      <w:pPr>
        <w:pStyle w:val="7"/>
        <w:spacing w:before="0" w:beforeAutospacing="0" w:after="0" w:afterAutospacing="0" w:line="360" w:lineRule="auto"/>
        <w:ind w:firstLine="420"/>
        <w:rPr>
          <w:sz w:val="21"/>
          <w:szCs w:val="21"/>
        </w:rPr>
      </w:pPr>
      <w:r>
        <w:rPr>
          <w:rFonts w:hint="eastAsia"/>
          <w:sz w:val="21"/>
          <w:szCs w:val="21"/>
        </w:rPr>
        <w:t xml:space="preserve">（4）对基金财产进行估价和变现；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（5）聘请会计师事务所对清算报告进行审计； </w:t>
      </w:r>
    </w:p>
    <w:p>
      <w:pPr>
        <w:pStyle w:val="7"/>
        <w:spacing w:before="0" w:beforeAutospacing="0" w:after="0" w:afterAutospacing="0" w:line="360" w:lineRule="auto"/>
        <w:ind w:firstLine="420"/>
        <w:rPr>
          <w:sz w:val="21"/>
          <w:szCs w:val="21"/>
        </w:rPr>
      </w:pPr>
      <w:r>
        <w:rPr>
          <w:rFonts w:hint="eastAsia"/>
          <w:sz w:val="21"/>
          <w:szCs w:val="21"/>
        </w:rPr>
        <w:t xml:space="preserve">（6）聘请律师事务所出具法律意见书； </w:t>
      </w:r>
    </w:p>
    <w:p>
      <w:pPr>
        <w:pStyle w:val="7"/>
        <w:spacing w:before="0" w:beforeAutospacing="0" w:after="0" w:afterAutospacing="0" w:line="360" w:lineRule="auto"/>
        <w:ind w:firstLine="420"/>
        <w:rPr>
          <w:sz w:val="21"/>
          <w:szCs w:val="21"/>
        </w:rPr>
      </w:pPr>
      <w:r>
        <w:rPr>
          <w:rFonts w:hint="eastAsia"/>
          <w:sz w:val="21"/>
          <w:szCs w:val="21"/>
        </w:rPr>
        <w:t xml:space="preserve">（7）将基金财产清算结果报告中国证监会； </w:t>
      </w:r>
    </w:p>
    <w:p>
      <w:pPr>
        <w:pStyle w:val="7"/>
        <w:spacing w:before="0" w:beforeAutospacing="0" w:after="0" w:afterAutospacing="0" w:line="360" w:lineRule="auto"/>
        <w:ind w:firstLine="420"/>
        <w:rPr>
          <w:sz w:val="21"/>
          <w:szCs w:val="21"/>
        </w:rPr>
      </w:pPr>
      <w:r>
        <w:rPr>
          <w:rFonts w:hint="eastAsia"/>
          <w:sz w:val="21"/>
          <w:szCs w:val="21"/>
        </w:rPr>
        <w:t xml:space="preserve">（8）参加与基金财产有关的民事诉讼； </w:t>
      </w:r>
    </w:p>
    <w:p>
      <w:pPr>
        <w:pStyle w:val="7"/>
        <w:spacing w:before="0" w:beforeAutospacing="0" w:after="0" w:afterAutospacing="0" w:line="360" w:lineRule="auto"/>
        <w:ind w:firstLine="420"/>
        <w:rPr>
          <w:sz w:val="21"/>
          <w:szCs w:val="21"/>
        </w:rPr>
      </w:pPr>
      <w:r>
        <w:rPr>
          <w:rFonts w:hint="eastAsia"/>
          <w:sz w:val="21"/>
          <w:szCs w:val="21"/>
        </w:rPr>
        <w:t xml:space="preserve">（9）公布基金财产清算结果； </w:t>
      </w:r>
    </w:p>
    <w:p>
      <w:pPr>
        <w:pStyle w:val="7"/>
        <w:spacing w:before="0" w:beforeAutospacing="0" w:after="0" w:afterAutospacing="0" w:line="360" w:lineRule="auto"/>
        <w:ind w:firstLine="420"/>
        <w:rPr>
          <w:sz w:val="21"/>
          <w:szCs w:val="21"/>
        </w:rPr>
      </w:pPr>
      <w:r>
        <w:rPr>
          <w:rFonts w:hint="eastAsia"/>
          <w:sz w:val="21"/>
          <w:szCs w:val="21"/>
        </w:rPr>
        <w:t xml:space="preserve">（10）对基金剩余财产进行分配。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3、清算费用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清算费用是指基金财产清算组在进行基金财产清算过程中发生的所有合理费用，清算费用由基金财产清算组优先从基金财产中支付。 </w:t>
      </w:r>
    </w:p>
    <w:p>
      <w:pPr>
        <w:pStyle w:val="7"/>
        <w:spacing w:before="0" w:beforeAutospacing="0" w:after="0" w:afterAutospacing="0" w:line="360" w:lineRule="auto"/>
        <w:ind w:firstLine="420"/>
        <w:rPr>
          <w:sz w:val="21"/>
          <w:szCs w:val="21"/>
        </w:rPr>
      </w:pPr>
      <w:r>
        <w:rPr>
          <w:rFonts w:hint="eastAsia"/>
          <w:sz w:val="21"/>
          <w:szCs w:val="21"/>
        </w:rPr>
        <w:t xml:space="preserve">4、基金财产按下列顺序清偿： </w:t>
      </w:r>
    </w:p>
    <w:p>
      <w:pPr>
        <w:pStyle w:val="7"/>
        <w:spacing w:before="0" w:beforeAutospacing="0" w:after="0" w:afterAutospacing="0" w:line="360" w:lineRule="auto"/>
        <w:ind w:firstLine="420"/>
        <w:rPr>
          <w:sz w:val="21"/>
          <w:szCs w:val="21"/>
        </w:rPr>
      </w:pPr>
      <w:r>
        <w:rPr>
          <w:rFonts w:hint="eastAsia"/>
          <w:sz w:val="21"/>
          <w:szCs w:val="21"/>
        </w:rPr>
        <w:t xml:space="preserve">（1）支付清算费用； </w:t>
      </w:r>
    </w:p>
    <w:p>
      <w:pPr>
        <w:pStyle w:val="7"/>
        <w:spacing w:before="0" w:beforeAutospacing="0" w:after="0" w:afterAutospacing="0" w:line="360" w:lineRule="auto"/>
        <w:ind w:firstLine="420"/>
        <w:rPr>
          <w:sz w:val="21"/>
          <w:szCs w:val="21"/>
        </w:rPr>
      </w:pPr>
      <w:r>
        <w:rPr>
          <w:rFonts w:hint="eastAsia"/>
          <w:sz w:val="21"/>
          <w:szCs w:val="21"/>
        </w:rPr>
        <w:t xml:space="preserve">（2）交纳所欠税款； </w:t>
      </w:r>
    </w:p>
    <w:p>
      <w:pPr>
        <w:pStyle w:val="7"/>
        <w:spacing w:before="0" w:beforeAutospacing="0" w:after="0" w:afterAutospacing="0" w:line="360" w:lineRule="auto"/>
        <w:ind w:firstLine="420"/>
        <w:rPr>
          <w:sz w:val="21"/>
          <w:szCs w:val="21"/>
        </w:rPr>
      </w:pPr>
      <w:r>
        <w:rPr>
          <w:rFonts w:hint="eastAsia"/>
          <w:sz w:val="21"/>
          <w:szCs w:val="21"/>
        </w:rPr>
        <w:t xml:space="preserve">（3）清偿基金债务； </w:t>
      </w:r>
    </w:p>
    <w:p>
      <w:pPr>
        <w:pStyle w:val="7"/>
        <w:spacing w:before="0" w:beforeAutospacing="0" w:after="0" w:afterAutospacing="0" w:line="360" w:lineRule="auto"/>
        <w:ind w:firstLine="420"/>
        <w:rPr>
          <w:sz w:val="21"/>
          <w:szCs w:val="21"/>
        </w:rPr>
      </w:pPr>
      <w:r>
        <w:rPr>
          <w:rFonts w:hint="eastAsia"/>
          <w:sz w:val="21"/>
          <w:szCs w:val="21"/>
        </w:rPr>
        <w:t xml:space="preserve">（4）按基金份额持有人持有的基金份额比例进行分配。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基金财产未按前款（1）－（3）项规定清偿前，不分配给基金份额持有人。 </w:t>
      </w:r>
    </w:p>
    <w:p>
      <w:pPr>
        <w:pStyle w:val="7"/>
        <w:spacing w:before="0" w:beforeAutospacing="0" w:after="0" w:afterAutospacing="0" w:line="360" w:lineRule="auto"/>
        <w:ind w:firstLine="420"/>
        <w:rPr>
          <w:sz w:val="21"/>
          <w:szCs w:val="21"/>
        </w:rPr>
      </w:pPr>
      <w:r>
        <w:rPr>
          <w:rFonts w:hint="eastAsia"/>
          <w:sz w:val="21"/>
          <w:szCs w:val="21"/>
        </w:rPr>
        <w:t xml:space="preserve">5、基金财产清算的公告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6、基金财产清算账册及文件的保存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Style w:val="11"/>
          <w:rFonts w:hint="eastAsia"/>
          <w:sz w:val="21"/>
          <w:szCs w:val="21"/>
        </w:rPr>
        <w:t>四、争议解决方式</w:t>
      </w:r>
    </w:p>
    <w:p>
      <w:pPr>
        <w:pStyle w:val="7"/>
        <w:spacing w:before="0" w:beforeAutospacing="0" w:after="0" w:afterAutospacing="0" w:line="360" w:lineRule="auto"/>
        <w:ind w:firstLine="420"/>
        <w:rPr>
          <w:sz w:val="21"/>
          <w:szCs w:val="21"/>
        </w:rPr>
      </w:pPr>
      <w:r>
        <w:rPr>
          <w:rFonts w:hint="eastAsia"/>
          <w:sz w:val="21"/>
          <w:szCs w:val="21"/>
        </w:rPr>
        <w:t xml:space="preserve">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争议处理期间，基金合同当事人应恪守各自的职责，继续忠实、勤勉、尽责地履行基金合同规定的义务，维护基金份额持有人的合法权益。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本基金合同受中国法律管辖。 </w:t>
      </w:r>
    </w:p>
    <w:p>
      <w:pPr>
        <w:pStyle w:val="7"/>
        <w:spacing w:before="0" w:beforeAutospacing="0" w:after="0" w:afterAutospacing="0" w:line="360" w:lineRule="auto"/>
        <w:ind w:firstLine="420"/>
        <w:rPr>
          <w:sz w:val="21"/>
          <w:szCs w:val="21"/>
        </w:rPr>
      </w:pPr>
      <w:r>
        <w:rPr>
          <w:rStyle w:val="11"/>
          <w:rFonts w:hint="eastAsia"/>
          <w:sz w:val="21"/>
          <w:szCs w:val="21"/>
        </w:rPr>
        <w:t>五、基金合同存放地和投资者取得基金合同的方式</w:t>
      </w:r>
    </w:p>
    <w:p>
      <w:pPr>
        <w:pStyle w:val="7"/>
        <w:spacing w:before="0" w:beforeAutospacing="0" w:after="0" w:afterAutospacing="0" w:line="360" w:lineRule="auto"/>
        <w:ind w:firstLine="420"/>
        <w:rPr>
          <w:sz w:val="21"/>
          <w:szCs w:val="21"/>
        </w:rPr>
      </w:pPr>
      <w:r>
        <w:rPr>
          <w:rFonts w:hint="eastAsia"/>
          <w:sz w:val="21"/>
          <w:szCs w:val="21"/>
        </w:rPr>
        <w:t>本基金合同可印制成册，供投资者在基金管理人、基金托管人、代销机构和登记机构办</w:t>
      </w:r>
      <w:bookmarkStart w:id="191" w:name="chapter_level1_21_71_section_1_end"/>
      <w:bookmarkEnd w:id="191"/>
      <w:r>
        <w:rPr>
          <w:rFonts w:hint="eastAsia"/>
          <w:sz w:val="21"/>
          <w:szCs w:val="21"/>
        </w:rPr>
        <w:t xml:space="preserve">公场所查阅，但其效力应以基金合同正本为准。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2" w:name="chapter_level1_22_72"/>
      <w:bookmarkStart w:id="193" w:name="_Toc113295508"/>
      <w:r>
        <w:rPr>
          <w:rFonts w:hint="eastAsia" w:ascii="宋体" w:hAnsi="宋体" w:eastAsia="宋体"/>
          <w:sz w:val="30"/>
        </w:rPr>
        <w:t>第十九部分  基金托管协议的内容摘要</w:t>
      </w:r>
      <w:bookmarkEnd w:id="192"/>
      <w:bookmarkEnd w:id="193"/>
    </w:p>
    <w:p>
      <w:pPr>
        <w:pStyle w:val="7"/>
        <w:spacing w:before="0" w:beforeAutospacing="0" w:after="0" w:afterAutospacing="0" w:line="360" w:lineRule="auto"/>
        <w:ind w:firstLine="420"/>
        <w:rPr>
          <w:sz w:val="21"/>
          <w:szCs w:val="21"/>
        </w:rPr>
      </w:pPr>
      <w:bookmarkStart w:id="194" w:name="chapter_level1_22_72_section_1"/>
      <w:bookmarkEnd w:id="194"/>
      <w:r>
        <w:rPr>
          <w:rStyle w:val="11"/>
          <w:rFonts w:hint="eastAsia"/>
          <w:sz w:val="21"/>
          <w:szCs w:val="21"/>
        </w:rPr>
        <w:t>一、托管协议当事人</w:t>
      </w:r>
    </w:p>
    <w:p>
      <w:pPr>
        <w:pStyle w:val="7"/>
        <w:spacing w:before="0" w:beforeAutospacing="0" w:after="0" w:afterAutospacing="0" w:line="360" w:lineRule="auto"/>
        <w:ind w:firstLine="420"/>
        <w:rPr>
          <w:sz w:val="21"/>
          <w:szCs w:val="21"/>
        </w:rPr>
      </w:pPr>
      <w:r>
        <w:rPr>
          <w:rFonts w:hint="eastAsia"/>
          <w:sz w:val="21"/>
          <w:szCs w:val="21"/>
        </w:rPr>
        <w:t xml:space="preserve">（一）基金管理人（或简称“管理人”） </w:t>
      </w:r>
    </w:p>
    <w:p>
      <w:pPr>
        <w:pStyle w:val="7"/>
        <w:spacing w:before="0" w:beforeAutospacing="0" w:after="0" w:afterAutospacing="0" w:line="360" w:lineRule="auto"/>
        <w:ind w:firstLine="420"/>
        <w:rPr>
          <w:sz w:val="21"/>
          <w:szCs w:val="21"/>
        </w:rPr>
      </w:pPr>
      <w:r>
        <w:rPr>
          <w:rFonts w:hint="eastAsia"/>
          <w:sz w:val="21"/>
          <w:szCs w:val="21"/>
        </w:rPr>
        <w:t>名称：</w:t>
      </w:r>
      <w:bookmarkStart w:id="195" w:name="field_0_managerorgfullname_6"/>
      <w:r>
        <w:rPr>
          <w:rFonts w:hint="eastAsia"/>
          <w:sz w:val="21"/>
          <w:szCs w:val="21"/>
        </w:rPr>
        <w:t>博时基金管理有限公司</w:t>
      </w:r>
      <w:bookmarkEnd w:id="19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注册地址：深圳市福田区莲花街道福新社区益田路5999号基金大厦21层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办公地址：广东省深圳市福田区益田路5999号基金大厦21层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邮政编码：518040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成立日期：1998年7月13日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经营范围：基金募集；基金销售；资产管理；中国证券监督委员会许可的其他业务。 </w:t>
      </w:r>
    </w:p>
    <w:p>
      <w:pPr>
        <w:pStyle w:val="7"/>
        <w:spacing w:before="0" w:beforeAutospacing="0" w:after="0" w:afterAutospacing="0" w:line="360" w:lineRule="auto"/>
        <w:ind w:firstLine="420"/>
        <w:rPr>
          <w:sz w:val="21"/>
          <w:szCs w:val="21"/>
        </w:rPr>
      </w:pPr>
      <w:r>
        <w:rPr>
          <w:rFonts w:hint="eastAsia"/>
          <w:sz w:val="21"/>
          <w:szCs w:val="21"/>
        </w:rPr>
        <w:t xml:space="preserve">（二）基金托管人 </w:t>
      </w:r>
    </w:p>
    <w:p>
      <w:pPr>
        <w:pStyle w:val="7"/>
        <w:spacing w:before="0" w:beforeAutospacing="0" w:after="0" w:afterAutospacing="0" w:line="360" w:lineRule="auto"/>
        <w:ind w:firstLine="420"/>
        <w:rPr>
          <w:sz w:val="21"/>
          <w:szCs w:val="21"/>
        </w:rPr>
      </w:pPr>
      <w:r>
        <w:rPr>
          <w:rFonts w:hint="eastAsia"/>
          <w:sz w:val="21"/>
          <w:szCs w:val="21"/>
        </w:rPr>
        <w:t>名称：</w:t>
      </w:r>
      <w:bookmarkStart w:id="196" w:name="field_0_trustorgfullname_2"/>
      <w:r>
        <w:rPr>
          <w:rFonts w:hint="eastAsia"/>
          <w:sz w:val="21"/>
          <w:szCs w:val="21"/>
        </w:rPr>
        <w:t>中国建设银行股份有限公司</w:t>
      </w:r>
      <w:bookmarkEnd w:id="196"/>
      <w:r>
        <w:rPr>
          <w:rFonts w:hint="eastAsia"/>
          <w:sz w:val="21"/>
          <w:szCs w:val="21"/>
        </w:rPr>
        <w:t xml:space="preserve">（简称：中国建设银行）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住所：北京市西城区金融大街25号 </w:t>
      </w:r>
    </w:p>
    <w:p>
      <w:pPr>
        <w:pStyle w:val="7"/>
        <w:spacing w:before="0" w:beforeAutospacing="0" w:after="0" w:afterAutospacing="0" w:line="360" w:lineRule="auto"/>
        <w:ind w:firstLine="420"/>
        <w:rPr>
          <w:sz w:val="21"/>
          <w:szCs w:val="21"/>
        </w:rPr>
      </w:pPr>
      <w:r>
        <w:rPr>
          <w:rFonts w:hint="eastAsia"/>
          <w:sz w:val="21"/>
          <w:szCs w:val="21"/>
        </w:rPr>
        <w:t xml:space="preserve">办公地址：北京市西城区闹市口大街1号院1号楼 </w:t>
      </w:r>
    </w:p>
    <w:p>
      <w:pPr>
        <w:pStyle w:val="7"/>
        <w:spacing w:before="0" w:beforeAutospacing="0" w:after="0" w:afterAutospacing="0" w:line="360" w:lineRule="auto"/>
        <w:ind w:firstLine="420"/>
        <w:rPr>
          <w:sz w:val="21"/>
          <w:szCs w:val="21"/>
        </w:rPr>
      </w:pPr>
      <w:r>
        <w:rPr>
          <w:rFonts w:hint="eastAsia"/>
          <w:sz w:val="21"/>
          <w:szCs w:val="21"/>
        </w:rPr>
        <w:t xml:space="preserve">邮政编码：100033 </w:t>
      </w:r>
    </w:p>
    <w:p>
      <w:pPr>
        <w:pStyle w:val="7"/>
        <w:spacing w:before="0" w:beforeAutospacing="0" w:after="0" w:afterAutospacing="0" w:line="360" w:lineRule="auto"/>
        <w:ind w:firstLine="420"/>
        <w:rPr>
          <w:sz w:val="21"/>
          <w:szCs w:val="21"/>
        </w:rPr>
      </w:pPr>
      <w:r>
        <w:rPr>
          <w:rFonts w:hint="eastAsia"/>
          <w:sz w:val="21"/>
          <w:szCs w:val="21"/>
        </w:rPr>
        <w:t xml:space="preserve">法定代表人：田国立 </w:t>
      </w:r>
    </w:p>
    <w:p>
      <w:pPr>
        <w:pStyle w:val="7"/>
        <w:spacing w:before="0" w:beforeAutospacing="0" w:after="0" w:afterAutospacing="0" w:line="360" w:lineRule="auto"/>
        <w:ind w:firstLine="420"/>
        <w:rPr>
          <w:sz w:val="21"/>
          <w:szCs w:val="21"/>
        </w:rPr>
      </w:pPr>
      <w:r>
        <w:rPr>
          <w:rFonts w:hint="eastAsia"/>
          <w:sz w:val="21"/>
          <w:szCs w:val="21"/>
        </w:rPr>
        <w:t xml:space="preserve">成立日期：2004年09月17日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基金托管业务批准文号：中国证监会证监基字[1998]12号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注册资本：贰仟伍佰亿壹仟零玖拾柒万柒仟肆佰捌拾陆元整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 </w:t>
      </w:r>
    </w:p>
    <w:p>
      <w:pPr>
        <w:pStyle w:val="7"/>
        <w:spacing w:before="0" w:beforeAutospacing="0" w:after="0" w:afterAutospacing="0" w:line="360" w:lineRule="auto"/>
        <w:ind w:firstLine="420"/>
        <w:rPr>
          <w:sz w:val="21"/>
          <w:szCs w:val="21"/>
        </w:rPr>
      </w:pPr>
      <w:r>
        <w:rPr>
          <w:rStyle w:val="11"/>
          <w:rFonts w:hint="eastAsia"/>
          <w:sz w:val="21"/>
          <w:szCs w:val="21"/>
        </w:rPr>
        <w:t>二、基金托管人对基金管理人的业务监督和核查</w:t>
      </w:r>
    </w:p>
    <w:p>
      <w:pPr>
        <w:pStyle w:val="7"/>
        <w:spacing w:before="0" w:beforeAutospacing="0" w:after="0" w:afterAutospacing="0" w:line="360" w:lineRule="auto"/>
        <w:ind w:firstLine="420"/>
        <w:rPr>
          <w:sz w:val="21"/>
          <w:szCs w:val="21"/>
        </w:rPr>
      </w:pPr>
      <w:r>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本基金的投资范围为具有良好流动性的金融工具，包括国内依法发行的股票（含存托凭证）、固定收益类证券、回购、权证、股指期货及法律法规或中国证监会允许基金投资的其他金融工具。 </w:t>
      </w:r>
    </w:p>
    <w:p>
      <w:pPr>
        <w:pStyle w:val="7"/>
        <w:spacing w:before="0" w:beforeAutospacing="0" w:after="0" w:afterAutospacing="0" w:line="360" w:lineRule="auto"/>
        <w:ind w:firstLine="420"/>
        <w:rPr>
          <w:sz w:val="21"/>
          <w:szCs w:val="21"/>
        </w:rPr>
      </w:pPr>
      <w:r>
        <w:rPr>
          <w:rFonts w:hint="eastAsia"/>
          <w:sz w:val="21"/>
          <w:szCs w:val="21"/>
        </w:rPr>
        <w:t xml:space="preserve">本基金投资组合中股票（含存托凭证）投资比例为基金资产的60%—95%，权证投资比例不得超过基金资产净值的3%；债券等固定收益类证券投资比例为基金资产的0%—40%，债券等固定收益类证券投资范围主要包括国债、金融债、公司债、中央银行票据、企业债、短期融资券、可转换债券、资产证券化产品等；现金或者到期日在一年以内的政府债券投资比例合计不低于基金资产净值的5%，其中，现金不包括结算备付金、存出保证金、应收申购款等。本基金将不低于80%的股票资产按照行业轮动策略进行投资。 </w:t>
      </w:r>
    </w:p>
    <w:p>
      <w:pPr>
        <w:pStyle w:val="7"/>
        <w:spacing w:before="0" w:beforeAutospacing="0" w:after="0" w:afterAutospacing="0" w:line="360" w:lineRule="auto"/>
        <w:ind w:firstLine="420"/>
        <w:rPr>
          <w:sz w:val="21"/>
          <w:szCs w:val="21"/>
        </w:rPr>
      </w:pPr>
      <w:r>
        <w:rPr>
          <w:rFonts w:hint="eastAsia"/>
          <w:sz w:val="21"/>
          <w:szCs w:val="21"/>
        </w:rPr>
        <w:t xml:space="preserve">如果法律法规或监管机构以后允许基金投资其他品种，本基金管理人在履行适当程序后，可以将其纳入本基金的投资范围。 </w:t>
      </w:r>
    </w:p>
    <w:p>
      <w:pPr>
        <w:pStyle w:val="7"/>
        <w:spacing w:before="0" w:beforeAutospacing="0" w:after="0" w:afterAutospacing="0" w:line="360" w:lineRule="auto"/>
        <w:ind w:firstLine="420"/>
        <w:rPr>
          <w:sz w:val="21"/>
          <w:szCs w:val="21"/>
        </w:rPr>
      </w:pPr>
      <w:r>
        <w:rPr>
          <w:rFonts w:hint="eastAsia"/>
          <w:sz w:val="21"/>
          <w:szCs w:val="21"/>
        </w:rPr>
        <w:t xml:space="preserve">（二）基金托管人根据有关法律法规的规定及基金合同的约定，对基金投资、融资比例进行监督。基金托管人按下述比例和调整期限进行监督： </w:t>
      </w:r>
    </w:p>
    <w:p>
      <w:pPr>
        <w:pStyle w:val="7"/>
        <w:spacing w:before="0" w:beforeAutospacing="0" w:after="0" w:afterAutospacing="0" w:line="360" w:lineRule="auto"/>
        <w:ind w:firstLine="420"/>
        <w:rPr>
          <w:sz w:val="21"/>
          <w:szCs w:val="21"/>
        </w:rPr>
      </w:pPr>
      <w:r>
        <w:rPr>
          <w:rFonts w:hint="eastAsia"/>
          <w:sz w:val="21"/>
          <w:szCs w:val="21"/>
        </w:rPr>
        <w:t xml:space="preserve">1、本基金持有一家上市公司的股票（含存托凭证），其市值不超过基金资产净值的10%；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3、本基金进入全国银行间同业市场进行债券回购的资金余额不得超过基金资产净值的40%； </w:t>
      </w:r>
    </w:p>
    <w:p>
      <w:pPr>
        <w:pStyle w:val="7"/>
        <w:spacing w:before="0" w:beforeAutospacing="0" w:after="0" w:afterAutospacing="0" w:line="360" w:lineRule="auto"/>
        <w:ind w:firstLine="420"/>
        <w:rPr>
          <w:sz w:val="21"/>
          <w:szCs w:val="21"/>
        </w:rPr>
      </w:pPr>
      <w:r>
        <w:rPr>
          <w:rFonts w:hint="eastAsia"/>
          <w:sz w:val="21"/>
          <w:szCs w:val="21"/>
        </w:rPr>
        <w:t xml:space="preserve">4、本基金投资组合中股票（含存托凭证）投资比例为基金资产的60%—95%，债券等固定收益类投资比例为基金资产的0%—40%，本基金将不低于80%的股票资产按照行业轮动策略进行投资； </w:t>
      </w:r>
    </w:p>
    <w:p>
      <w:pPr>
        <w:pStyle w:val="7"/>
        <w:spacing w:before="0" w:beforeAutospacing="0" w:after="0" w:afterAutospacing="0" w:line="360" w:lineRule="auto"/>
        <w:ind w:firstLine="420"/>
        <w:rPr>
          <w:sz w:val="21"/>
          <w:szCs w:val="21"/>
        </w:rPr>
      </w:pPr>
      <w:r>
        <w:rPr>
          <w:rFonts w:hint="eastAsia"/>
          <w:sz w:val="21"/>
          <w:szCs w:val="21"/>
        </w:rPr>
        <w:t xml:space="preserve">5、本基金投资于同一原始权益人的各类资产支持证券的比例，不得超过基金资产净值的10%；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6、本基金持有的全部资产支持证券，其市值不得超过基金资产净值的20%； </w:t>
      </w:r>
    </w:p>
    <w:p>
      <w:pPr>
        <w:pStyle w:val="7"/>
        <w:spacing w:before="0" w:beforeAutospacing="0" w:after="0" w:afterAutospacing="0" w:line="360" w:lineRule="auto"/>
        <w:ind w:firstLine="420"/>
        <w:rPr>
          <w:sz w:val="21"/>
          <w:szCs w:val="21"/>
        </w:rPr>
      </w:pPr>
      <w:r>
        <w:rPr>
          <w:rFonts w:hint="eastAsia"/>
          <w:sz w:val="21"/>
          <w:szCs w:val="21"/>
        </w:rPr>
        <w:t xml:space="preserve">7、本基金持有的同一（指同一信用级别）资产支持证券的比例，不得超过该资产支持证券规模的10%；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8、本基金应投资于信用级别评级为BBB以上（含BBB）的资产支持证券。基金持有资产支持证券期间，如果其信用等级下降、不再符合投资标准，应在评级报告发布之日起3个月内予以全部卖出；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9、基金财产参与股票发行申购，本基金所申报的金额不超过本基金的总资产，本基金所申报的股票数量不超过拟发行股票公司本次发行股票的总量；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10、本基金在任何交易日买入权证的总金额，不得超过上一交易日基金资产净值的0.5%；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11、本基金持有的所有流通受限证券，其公允价值不得超过本基金资产净值的15%；本基金持有的同一流通受限证券，其公允价值不得超过本基金资产净值的10%； </w:t>
      </w:r>
    </w:p>
    <w:p>
      <w:pPr>
        <w:pStyle w:val="7"/>
        <w:spacing w:before="0" w:beforeAutospacing="0" w:after="0" w:afterAutospacing="0" w:line="360" w:lineRule="auto"/>
        <w:ind w:firstLine="420"/>
        <w:rPr>
          <w:sz w:val="21"/>
          <w:szCs w:val="21"/>
        </w:rPr>
      </w:pPr>
      <w:r>
        <w:rPr>
          <w:rFonts w:hint="eastAsia"/>
          <w:sz w:val="21"/>
          <w:szCs w:val="21"/>
        </w:rPr>
        <w:t xml:space="preserve">12、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13、每个交易日日终在扣除股指期货合约需缴纳的交易保证金后，应当保持不低于基金资产净值5%的现金或到期日在一年以内的政府债券。其中，现金不包括结算备付金、存出保证金、应收申购款等；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14、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 %； </w:t>
      </w:r>
    </w:p>
    <w:p>
      <w:pPr>
        <w:pStyle w:val="7"/>
        <w:spacing w:before="0" w:beforeAutospacing="0" w:after="0" w:afterAutospacing="0" w:line="360" w:lineRule="auto"/>
        <w:ind w:firstLine="420"/>
        <w:rPr>
          <w:sz w:val="21"/>
          <w:szCs w:val="21"/>
        </w:rPr>
      </w:pPr>
      <w:r>
        <w:rPr>
          <w:rFonts w:hint="eastAsia"/>
          <w:sz w:val="21"/>
          <w:szCs w:val="21"/>
        </w:rPr>
        <w:t xml:space="preserve">15、本基金主动投资于流动性受限资产的市值合计不得超过本基金资产净值的15% ；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16、本基金与私募类证券资管产品及中国证监会认定的其他主体为交易对手开展逆回购交易的，可接受质押品的资质要求应当与基金合同约定的投资范围保持一致；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如果法律法规对上述投资组合比例限制进行变更的，以变更后的规定为准。法律法规或监管部门取消上述限制，如适用于本基金，则本基金投资不再受相关限制。 </w:t>
      </w:r>
    </w:p>
    <w:p>
      <w:pPr>
        <w:pStyle w:val="7"/>
        <w:spacing w:before="0" w:beforeAutospacing="0" w:after="0" w:afterAutospacing="0" w:line="360" w:lineRule="auto"/>
        <w:ind w:firstLine="420"/>
        <w:rPr>
          <w:sz w:val="21"/>
          <w:szCs w:val="21"/>
        </w:rPr>
      </w:pPr>
      <w:r>
        <w:rPr>
          <w:rFonts w:hint="eastAsia"/>
          <w:sz w:val="21"/>
          <w:szCs w:val="21"/>
        </w:rPr>
        <w:t xml:space="preserve">除上述第8、13、15、16项外，因证券市场波动、上市公司合并、基金规模变动、股权分置改革中支付对价等基金管理人之外的因素致使基金投资比例不符合上述规定投资比例的，基金管理人应当在10个交易日内进行调整。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基金管理人应当自基金合同生效之日起6个月内使基金的投资组合比例符合基金合同的有关约定。基金托管人对基金的投资的监督与检查自本基金合同生效之日起开始。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 </w:t>
      </w:r>
    </w:p>
    <w:p>
      <w:pPr>
        <w:pStyle w:val="7"/>
        <w:spacing w:before="0" w:beforeAutospacing="0" w:after="0" w:afterAutospacing="0" w:line="360" w:lineRule="auto"/>
        <w:ind w:firstLine="420"/>
        <w:rPr>
          <w:sz w:val="21"/>
          <w:szCs w:val="21"/>
        </w:rPr>
      </w:pPr>
      <w:r>
        <w:rPr>
          <w:rFonts w:hint="eastAsia"/>
          <w:sz w:val="21"/>
          <w:szCs w:val="21"/>
        </w:rPr>
        <w:t xml:space="preserve">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pPr>
        <w:pStyle w:val="7"/>
        <w:spacing w:before="0" w:beforeAutospacing="0" w:after="0" w:afterAutospacing="0" w:line="360" w:lineRule="auto"/>
        <w:ind w:firstLine="420"/>
        <w:rPr>
          <w:sz w:val="21"/>
          <w:szCs w:val="21"/>
        </w:rPr>
      </w:pPr>
      <w:r>
        <w:rPr>
          <w:rFonts w:hint="eastAsia"/>
          <w:sz w:val="21"/>
          <w:szCs w:val="21"/>
        </w:rPr>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pPr>
        <w:pStyle w:val="7"/>
        <w:spacing w:before="0" w:beforeAutospacing="0" w:after="0" w:afterAutospacing="0" w:line="360" w:lineRule="auto"/>
        <w:ind w:firstLine="420"/>
        <w:rPr>
          <w:sz w:val="21"/>
          <w:szCs w:val="21"/>
        </w:rPr>
      </w:pPr>
      <w:r>
        <w:rPr>
          <w:rFonts w:hint="eastAsia"/>
          <w:sz w:val="21"/>
          <w:szCs w:val="21"/>
        </w:rPr>
        <w:t xml:space="preserve">（五）基金托管人根据有关法律法规的规定及基金合同的约定，对基金管理人投资流通受限证券进行监督。 </w:t>
      </w:r>
    </w:p>
    <w:p>
      <w:pPr>
        <w:pStyle w:val="7"/>
        <w:spacing w:before="0" w:beforeAutospacing="0" w:after="0" w:afterAutospacing="0" w:line="360" w:lineRule="auto"/>
        <w:ind w:firstLine="420"/>
        <w:rPr>
          <w:sz w:val="21"/>
          <w:szCs w:val="21"/>
        </w:rPr>
      </w:pPr>
      <w:r>
        <w:rPr>
          <w:rFonts w:hint="eastAsia"/>
          <w:sz w:val="21"/>
          <w:szCs w:val="21"/>
        </w:rPr>
        <w:t xml:space="preserve">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pPr>
        <w:pStyle w:val="7"/>
        <w:spacing w:before="0" w:beforeAutospacing="0" w:after="0" w:afterAutospacing="0" w:line="360" w:lineRule="auto"/>
        <w:ind w:firstLine="420"/>
        <w:rPr>
          <w:sz w:val="21"/>
          <w:szCs w:val="21"/>
        </w:rPr>
      </w:pPr>
      <w:r>
        <w:rPr>
          <w:rFonts w:hint="eastAsia"/>
          <w:sz w:val="21"/>
          <w:szCs w:val="21"/>
        </w:rPr>
        <w:t xml:space="preserve">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 </w:t>
      </w:r>
    </w:p>
    <w:p>
      <w:pPr>
        <w:pStyle w:val="7"/>
        <w:spacing w:before="0" w:beforeAutospacing="0" w:after="0" w:afterAutospacing="0" w:line="360" w:lineRule="auto"/>
        <w:ind w:firstLine="420"/>
        <w:rPr>
          <w:sz w:val="21"/>
          <w:szCs w:val="21"/>
        </w:rPr>
      </w:pPr>
      <w:r>
        <w:rPr>
          <w:rFonts w:hint="eastAsia"/>
          <w:sz w:val="21"/>
          <w:szCs w:val="21"/>
        </w:rPr>
        <w:t xml:space="preserve">本基金投资的受限证券限于可由中国证券登记结算有限责任公司或中央国债登记结算有限责任公司负责登记和存管，并可在证券交易所或全国银行间债券市场交易的证券。 </w:t>
      </w:r>
    </w:p>
    <w:p>
      <w:pPr>
        <w:pStyle w:val="7"/>
        <w:spacing w:before="0" w:beforeAutospacing="0" w:after="0" w:afterAutospacing="0" w:line="360" w:lineRule="auto"/>
        <w:ind w:firstLine="420"/>
        <w:rPr>
          <w:sz w:val="21"/>
          <w:szCs w:val="21"/>
        </w:rPr>
      </w:pPr>
      <w:r>
        <w:rPr>
          <w:rFonts w:hint="eastAsia"/>
          <w:sz w:val="21"/>
          <w:szCs w:val="21"/>
        </w:rPr>
        <w:t xml:space="preserve">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 </w:t>
      </w:r>
    </w:p>
    <w:p>
      <w:pPr>
        <w:pStyle w:val="7"/>
        <w:spacing w:before="0" w:beforeAutospacing="0" w:after="0" w:afterAutospacing="0" w:line="360" w:lineRule="auto"/>
        <w:ind w:firstLine="420"/>
        <w:rPr>
          <w:sz w:val="21"/>
          <w:szCs w:val="21"/>
        </w:rPr>
      </w:pPr>
      <w:r>
        <w:rPr>
          <w:rFonts w:hint="eastAsia"/>
          <w:sz w:val="21"/>
          <w:szCs w:val="21"/>
        </w:rPr>
        <w:t xml:space="preserve">本基金投资受限证券，不得预付任何形式的保证金。 </w:t>
      </w:r>
    </w:p>
    <w:p>
      <w:pPr>
        <w:pStyle w:val="7"/>
        <w:spacing w:before="0" w:beforeAutospacing="0" w:after="0" w:afterAutospacing="0" w:line="360" w:lineRule="auto"/>
        <w:ind w:firstLine="420"/>
        <w:rPr>
          <w:sz w:val="21"/>
          <w:szCs w:val="21"/>
        </w:rPr>
      </w:pPr>
      <w:r>
        <w:rPr>
          <w:rFonts w:hint="eastAsia"/>
          <w:sz w:val="21"/>
          <w:szCs w:val="21"/>
        </w:rPr>
        <w:t xml:space="preserve">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 </w:t>
      </w:r>
    </w:p>
    <w:p>
      <w:pPr>
        <w:pStyle w:val="7"/>
        <w:spacing w:before="0" w:beforeAutospacing="0" w:after="0" w:afterAutospacing="0" w:line="360" w:lineRule="auto"/>
        <w:ind w:firstLine="420"/>
        <w:rPr>
          <w:sz w:val="21"/>
          <w:szCs w:val="21"/>
        </w:rPr>
      </w:pPr>
      <w:r>
        <w:rPr>
          <w:rFonts w:hint="eastAsia"/>
          <w:sz w:val="21"/>
          <w:szCs w:val="21"/>
        </w:rPr>
        <w:t xml:space="preserve">基金管理人对本基金投资受限证券的流动性风险负责进行控制，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 </w:t>
      </w:r>
    </w:p>
    <w:p>
      <w:pPr>
        <w:pStyle w:val="7"/>
        <w:spacing w:before="0" w:beforeAutospacing="0" w:after="0" w:afterAutospacing="0" w:line="360" w:lineRule="auto"/>
        <w:ind w:firstLine="420"/>
        <w:rPr>
          <w:sz w:val="21"/>
          <w:szCs w:val="21"/>
        </w:rPr>
      </w:pPr>
      <w:r>
        <w:rPr>
          <w:rFonts w:hint="eastAsia"/>
          <w:sz w:val="21"/>
          <w:szCs w:val="21"/>
        </w:rPr>
        <w:t xml:space="preserve">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 </w:t>
      </w:r>
    </w:p>
    <w:p>
      <w:pPr>
        <w:pStyle w:val="7"/>
        <w:spacing w:before="0" w:beforeAutospacing="0" w:after="0" w:afterAutospacing="0" w:line="360" w:lineRule="auto"/>
        <w:ind w:firstLine="420"/>
        <w:rPr>
          <w:sz w:val="21"/>
          <w:szCs w:val="21"/>
        </w:rPr>
      </w:pPr>
      <w:r>
        <w:rPr>
          <w:rFonts w:hint="eastAsia"/>
          <w:sz w:val="21"/>
          <w:szCs w:val="21"/>
        </w:rPr>
        <w:t xml:space="preserve">（1）中国证监会批准发行非公开发行股票的批准文件。 </w:t>
      </w:r>
    </w:p>
    <w:p>
      <w:pPr>
        <w:pStyle w:val="7"/>
        <w:spacing w:before="0" w:beforeAutospacing="0" w:after="0" w:afterAutospacing="0" w:line="360" w:lineRule="auto"/>
        <w:ind w:firstLine="420"/>
        <w:rPr>
          <w:sz w:val="21"/>
          <w:szCs w:val="21"/>
        </w:rPr>
      </w:pPr>
      <w:r>
        <w:rPr>
          <w:rFonts w:hint="eastAsia"/>
          <w:sz w:val="21"/>
          <w:szCs w:val="21"/>
        </w:rPr>
        <w:t xml:space="preserve">（2）非公开发行股票有关发行数量、发行价格、锁定期等发行资料。 </w:t>
      </w:r>
    </w:p>
    <w:p>
      <w:pPr>
        <w:pStyle w:val="7"/>
        <w:spacing w:before="0" w:beforeAutospacing="0" w:after="0" w:afterAutospacing="0" w:line="360" w:lineRule="auto"/>
        <w:ind w:firstLine="420"/>
        <w:rPr>
          <w:sz w:val="21"/>
          <w:szCs w:val="21"/>
        </w:rPr>
      </w:pPr>
      <w:r>
        <w:rPr>
          <w:rFonts w:hint="eastAsia"/>
          <w:sz w:val="21"/>
          <w:szCs w:val="21"/>
        </w:rPr>
        <w:t xml:space="preserve">（3）非公开发行股票发行人与中国证券登记结算有限责任公司或中央国债登记结算有限责任公司签订的证券登记及服务协议。 </w:t>
      </w:r>
    </w:p>
    <w:p>
      <w:pPr>
        <w:pStyle w:val="7"/>
        <w:spacing w:before="0" w:beforeAutospacing="0" w:after="0" w:afterAutospacing="0" w:line="360" w:lineRule="auto"/>
        <w:ind w:firstLine="420"/>
        <w:rPr>
          <w:sz w:val="21"/>
          <w:szCs w:val="21"/>
        </w:rPr>
      </w:pPr>
      <w:r>
        <w:rPr>
          <w:rFonts w:hint="eastAsia"/>
          <w:sz w:val="21"/>
          <w:szCs w:val="21"/>
        </w:rPr>
        <w:t xml:space="preserve">（4）基金拟认购的数量、价格、总成本、账面价值。 </w:t>
      </w:r>
    </w:p>
    <w:p>
      <w:pPr>
        <w:pStyle w:val="7"/>
        <w:spacing w:before="0" w:beforeAutospacing="0" w:after="0" w:afterAutospacing="0" w:line="360" w:lineRule="auto"/>
        <w:ind w:firstLine="420"/>
        <w:rPr>
          <w:sz w:val="21"/>
          <w:szCs w:val="21"/>
        </w:rPr>
      </w:pPr>
      <w:r>
        <w:rPr>
          <w:rFonts w:hint="eastAsia"/>
          <w:sz w:val="21"/>
          <w:szCs w:val="21"/>
        </w:rPr>
        <w:t xml:space="preserve">4、基金管理人应在本基金投资非公开发行股票后两个交易日内，在中国证监会指定媒介披露所投资非公开发行股票的名称、数量、总成本、账面价值，以及总成本和账面价值占基金资产净值的比例、锁定期等信息。 </w:t>
      </w:r>
    </w:p>
    <w:p>
      <w:pPr>
        <w:pStyle w:val="7"/>
        <w:spacing w:before="0" w:beforeAutospacing="0" w:after="0" w:afterAutospacing="0" w:line="360" w:lineRule="auto"/>
        <w:ind w:firstLine="420"/>
        <w:rPr>
          <w:sz w:val="21"/>
          <w:szCs w:val="21"/>
        </w:rPr>
      </w:pPr>
      <w:r>
        <w:rPr>
          <w:rFonts w:hint="eastAsia"/>
          <w:sz w:val="21"/>
          <w:szCs w:val="21"/>
        </w:rPr>
        <w:t xml:space="preserve">本基金有关投资受限证券比例如违反有关限制规定，在合理期限内未能进行及时调整，基金管理人应按规定编制临时报告书，予以公告。 </w:t>
      </w:r>
    </w:p>
    <w:p>
      <w:pPr>
        <w:pStyle w:val="7"/>
        <w:spacing w:before="0" w:beforeAutospacing="0" w:after="0" w:afterAutospacing="0" w:line="360" w:lineRule="auto"/>
        <w:ind w:firstLine="420"/>
        <w:rPr>
          <w:sz w:val="21"/>
          <w:szCs w:val="21"/>
        </w:rPr>
      </w:pPr>
      <w:r>
        <w:rPr>
          <w:rFonts w:hint="eastAsia"/>
          <w:sz w:val="21"/>
          <w:szCs w:val="21"/>
        </w:rPr>
        <w:t xml:space="preserve">5、基金托管人根据有关规定有权对基金管理人进行以下事项监督： </w:t>
      </w:r>
    </w:p>
    <w:p>
      <w:pPr>
        <w:pStyle w:val="7"/>
        <w:spacing w:before="0" w:beforeAutospacing="0" w:after="0" w:afterAutospacing="0" w:line="360" w:lineRule="auto"/>
        <w:ind w:firstLine="420"/>
        <w:rPr>
          <w:sz w:val="21"/>
          <w:szCs w:val="21"/>
        </w:rPr>
      </w:pPr>
      <w:r>
        <w:rPr>
          <w:rFonts w:hint="eastAsia"/>
          <w:sz w:val="21"/>
          <w:szCs w:val="21"/>
        </w:rPr>
        <w:t xml:space="preserve">（1）本基金投资受限证券时的法律法规遵守情况。 </w:t>
      </w:r>
    </w:p>
    <w:p>
      <w:pPr>
        <w:pStyle w:val="7"/>
        <w:spacing w:before="0" w:beforeAutospacing="0" w:after="0" w:afterAutospacing="0" w:line="360" w:lineRule="auto"/>
        <w:ind w:firstLine="420"/>
        <w:rPr>
          <w:sz w:val="21"/>
          <w:szCs w:val="21"/>
        </w:rPr>
      </w:pPr>
      <w:r>
        <w:rPr>
          <w:rFonts w:hint="eastAsia"/>
          <w:sz w:val="21"/>
          <w:szCs w:val="21"/>
        </w:rPr>
        <w:t xml:space="preserve">（2）在基金投资受限证券管理工作方面有关制度、流动性风险处置预案的建立与完善情况。 </w:t>
      </w:r>
    </w:p>
    <w:p>
      <w:pPr>
        <w:pStyle w:val="7"/>
        <w:spacing w:before="0" w:beforeAutospacing="0" w:after="0" w:afterAutospacing="0" w:line="360" w:lineRule="auto"/>
        <w:ind w:firstLine="420"/>
        <w:rPr>
          <w:sz w:val="21"/>
          <w:szCs w:val="21"/>
        </w:rPr>
      </w:pPr>
      <w:r>
        <w:rPr>
          <w:rFonts w:hint="eastAsia"/>
          <w:sz w:val="21"/>
          <w:szCs w:val="21"/>
        </w:rPr>
        <w:t xml:space="preserve">（3）有关比例限制的执行情况。 </w:t>
      </w:r>
    </w:p>
    <w:p>
      <w:pPr>
        <w:pStyle w:val="7"/>
        <w:spacing w:before="0" w:beforeAutospacing="0" w:after="0" w:afterAutospacing="0" w:line="360" w:lineRule="auto"/>
        <w:ind w:firstLine="420"/>
        <w:rPr>
          <w:sz w:val="21"/>
          <w:szCs w:val="21"/>
        </w:rPr>
      </w:pPr>
      <w:r>
        <w:rPr>
          <w:rFonts w:hint="eastAsia"/>
          <w:sz w:val="21"/>
          <w:szCs w:val="21"/>
        </w:rPr>
        <w:t xml:space="preserve">（4）信息披露情况。 </w:t>
      </w:r>
    </w:p>
    <w:p>
      <w:pPr>
        <w:pStyle w:val="7"/>
        <w:spacing w:before="0" w:beforeAutospacing="0" w:after="0" w:afterAutospacing="0" w:line="360" w:lineRule="auto"/>
        <w:ind w:firstLine="420"/>
        <w:rPr>
          <w:sz w:val="21"/>
          <w:szCs w:val="21"/>
        </w:rPr>
      </w:pPr>
      <w:r>
        <w:rPr>
          <w:rFonts w:hint="eastAsia"/>
          <w:sz w:val="21"/>
          <w:szCs w:val="21"/>
        </w:rPr>
        <w:t xml:space="preserve">6、相关法律法规对基金投资受限证券有新规定的，从其规定。 </w:t>
      </w:r>
    </w:p>
    <w:p>
      <w:pPr>
        <w:pStyle w:val="7"/>
        <w:spacing w:before="0" w:beforeAutospacing="0" w:after="0" w:afterAutospacing="0" w:line="360" w:lineRule="auto"/>
        <w:ind w:firstLine="420"/>
        <w:rPr>
          <w:sz w:val="21"/>
          <w:szCs w:val="21"/>
        </w:rPr>
      </w:pPr>
      <w:r>
        <w:rPr>
          <w:rFonts w:hint="eastAsia"/>
          <w:sz w:val="21"/>
          <w:szCs w:val="21"/>
        </w:rPr>
        <w:t xml:space="preserve">（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pPr>
        <w:pStyle w:val="7"/>
        <w:spacing w:before="0" w:beforeAutospacing="0" w:after="0" w:afterAutospacing="0" w:line="360" w:lineRule="auto"/>
        <w:ind w:firstLine="420"/>
        <w:rPr>
          <w:sz w:val="21"/>
          <w:szCs w:val="21"/>
        </w:rPr>
      </w:pPr>
      <w:r>
        <w:rPr>
          <w:rFonts w:hint="eastAsia"/>
          <w:sz w:val="21"/>
          <w:szCs w:val="21"/>
        </w:rPr>
        <w:t xml:space="preserve">（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pPr>
        <w:pStyle w:val="7"/>
        <w:spacing w:before="0" w:beforeAutospacing="0" w:after="0" w:afterAutospacing="0" w:line="360" w:lineRule="auto"/>
        <w:ind w:firstLine="420"/>
        <w:rPr>
          <w:sz w:val="21"/>
          <w:szCs w:val="21"/>
        </w:rPr>
      </w:pPr>
      <w:r>
        <w:rPr>
          <w:rFonts w:hint="eastAsia"/>
          <w:sz w:val="21"/>
          <w:szCs w:val="21"/>
        </w:rPr>
        <w:t xml:space="preserve">（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pPr>
        <w:pStyle w:val="7"/>
        <w:spacing w:before="0" w:beforeAutospacing="0" w:after="0" w:afterAutospacing="0" w:line="360" w:lineRule="auto"/>
        <w:ind w:firstLine="420"/>
        <w:rPr>
          <w:sz w:val="21"/>
          <w:szCs w:val="21"/>
        </w:rPr>
      </w:pPr>
      <w:r>
        <w:rPr>
          <w:rFonts w:hint="eastAsia"/>
          <w:sz w:val="21"/>
          <w:szCs w:val="21"/>
        </w:rPr>
        <w:t xml:space="preserve">（九）若基金托管人发现基金管理人依据交易程序已经生效的指令违反法律、行政法规和其他有关规定，或者违反基金合同约定的，应当立即通知基金管理人，由此造成的损失由基金管理人承担。 </w:t>
      </w:r>
    </w:p>
    <w:p>
      <w:pPr>
        <w:pStyle w:val="7"/>
        <w:spacing w:before="0" w:beforeAutospacing="0" w:after="0" w:afterAutospacing="0" w:line="360" w:lineRule="auto"/>
        <w:ind w:firstLine="420"/>
        <w:rPr>
          <w:sz w:val="21"/>
          <w:szCs w:val="21"/>
        </w:rPr>
      </w:pPr>
      <w:r>
        <w:rPr>
          <w:rFonts w:hint="eastAsia"/>
          <w:sz w:val="21"/>
          <w:szCs w:val="21"/>
        </w:rPr>
        <w:t xml:space="preserve">（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三、基金管理人对基金托管人的业务核查</w:t>
      </w:r>
    </w:p>
    <w:p>
      <w:pPr>
        <w:pStyle w:val="7"/>
        <w:spacing w:before="0" w:beforeAutospacing="0" w:after="0" w:afterAutospacing="0" w:line="360" w:lineRule="auto"/>
        <w:ind w:firstLine="420"/>
        <w:rPr>
          <w:sz w:val="21"/>
          <w:szCs w:val="21"/>
        </w:rPr>
      </w:pPr>
      <w:r>
        <w:rPr>
          <w:rFonts w:hint="eastAsia"/>
          <w:sz w:val="21"/>
          <w:szCs w:val="21"/>
        </w:rPr>
        <w:t xml:space="preserve">（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pPr>
        <w:pStyle w:val="7"/>
        <w:spacing w:before="0" w:beforeAutospacing="0" w:after="0" w:afterAutospacing="0" w:line="360" w:lineRule="auto"/>
        <w:ind w:firstLine="420"/>
        <w:rPr>
          <w:sz w:val="21"/>
          <w:szCs w:val="21"/>
        </w:rPr>
      </w:pPr>
      <w:r>
        <w:rPr>
          <w:rStyle w:val="11"/>
          <w:rFonts w:hint="eastAsia"/>
          <w:sz w:val="21"/>
          <w:szCs w:val="21"/>
        </w:rPr>
        <w:t>四、基金财产的保管</w:t>
      </w:r>
    </w:p>
    <w:p>
      <w:pPr>
        <w:pStyle w:val="7"/>
        <w:spacing w:before="0" w:beforeAutospacing="0" w:after="0" w:afterAutospacing="0" w:line="360" w:lineRule="auto"/>
        <w:ind w:firstLine="420"/>
        <w:rPr>
          <w:sz w:val="21"/>
          <w:szCs w:val="21"/>
        </w:rPr>
      </w:pPr>
      <w:r>
        <w:rPr>
          <w:rFonts w:hint="eastAsia"/>
          <w:sz w:val="21"/>
          <w:szCs w:val="21"/>
        </w:rPr>
        <w:t xml:space="preserve">（一）基金财产保管的原则 </w:t>
      </w:r>
    </w:p>
    <w:p>
      <w:pPr>
        <w:pStyle w:val="7"/>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2、基金托管人应安全保管基金财产。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3、基金托管人按照规定开设基金财产的资金账户和证券账户。 </w:t>
      </w:r>
    </w:p>
    <w:p>
      <w:pPr>
        <w:pStyle w:val="7"/>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5、基金托管人根据基金管理人的指令，按照基金合同和本协议的约定保管基金财产，如有特殊情况双方可另行协商解决。 </w:t>
      </w:r>
    </w:p>
    <w:p>
      <w:pPr>
        <w:pStyle w:val="7"/>
        <w:spacing w:before="0" w:beforeAutospacing="0" w:after="0" w:afterAutospacing="0" w:line="360" w:lineRule="auto"/>
        <w:ind w:firstLine="420"/>
        <w:rPr>
          <w:sz w:val="21"/>
          <w:szCs w:val="21"/>
        </w:rPr>
      </w:pPr>
      <w:r>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pPr>
        <w:pStyle w:val="7"/>
        <w:spacing w:before="0" w:beforeAutospacing="0" w:after="0" w:afterAutospacing="0" w:line="360" w:lineRule="auto"/>
        <w:ind w:firstLine="420"/>
        <w:rPr>
          <w:sz w:val="21"/>
          <w:szCs w:val="21"/>
        </w:rPr>
      </w:pPr>
      <w:r>
        <w:rPr>
          <w:rFonts w:hint="eastAsia"/>
          <w:sz w:val="21"/>
          <w:szCs w:val="21"/>
        </w:rPr>
        <w:t xml:space="preserve">7、除依据法律法规和基金合同的规定外，基金托管人不得委托第三人托管基金财产。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（二）基金募集期间及募集资金的验资 </w:t>
      </w:r>
    </w:p>
    <w:p>
      <w:pPr>
        <w:pStyle w:val="7"/>
        <w:spacing w:before="0" w:beforeAutospacing="0" w:after="0" w:afterAutospacing="0" w:line="360" w:lineRule="auto"/>
        <w:ind w:firstLine="420"/>
        <w:rPr>
          <w:sz w:val="21"/>
          <w:szCs w:val="21"/>
        </w:rPr>
      </w:pPr>
      <w:r>
        <w:rPr>
          <w:rFonts w:hint="eastAsia"/>
          <w:sz w:val="21"/>
          <w:szCs w:val="21"/>
        </w:rPr>
        <w:t xml:space="preserve">1、基金募集期间募集的资金应存于基金管理人在基金托管人的营业机构开立的“基金募集专户”。该账户由基金管理人开立并管理。 </w:t>
      </w:r>
    </w:p>
    <w:p>
      <w:pPr>
        <w:pStyle w:val="7"/>
        <w:spacing w:before="0" w:beforeAutospacing="0" w:after="0" w:afterAutospacing="0" w:line="360" w:lineRule="auto"/>
        <w:ind w:firstLine="420"/>
        <w:rPr>
          <w:sz w:val="21"/>
          <w:szCs w:val="21"/>
        </w:rPr>
      </w:pPr>
      <w:r>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pPr>
        <w:pStyle w:val="7"/>
        <w:spacing w:before="0" w:beforeAutospacing="0" w:after="0" w:afterAutospacing="0" w:line="360" w:lineRule="auto"/>
        <w:ind w:firstLine="420"/>
        <w:rPr>
          <w:sz w:val="21"/>
          <w:szCs w:val="21"/>
        </w:rPr>
      </w:pPr>
      <w:r>
        <w:rPr>
          <w:rFonts w:hint="eastAsia"/>
          <w:sz w:val="21"/>
          <w:szCs w:val="21"/>
        </w:rPr>
        <w:t xml:space="preserve">3、若基金募集期限届满，未能达到基金合同生效的条件，由基金管理人按规定办理退款等事宜。 </w:t>
      </w:r>
    </w:p>
    <w:p>
      <w:pPr>
        <w:pStyle w:val="7"/>
        <w:spacing w:before="0" w:beforeAutospacing="0" w:after="0" w:afterAutospacing="0" w:line="360" w:lineRule="auto"/>
        <w:ind w:firstLine="420"/>
        <w:rPr>
          <w:sz w:val="21"/>
          <w:szCs w:val="21"/>
        </w:rPr>
      </w:pPr>
      <w:r>
        <w:rPr>
          <w:rFonts w:hint="eastAsia"/>
          <w:sz w:val="21"/>
          <w:szCs w:val="21"/>
        </w:rPr>
        <w:t xml:space="preserve">（三）基金银行账户的开立和管理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1、基金托管人可以基金的名义在其营业机构开立基金的银行账户，并根据基金管理人合法合规的指令办理资金收付。本基金的银行预留印鉴由基金托管人保管和使用。 </w:t>
      </w:r>
    </w:p>
    <w:p>
      <w:pPr>
        <w:pStyle w:val="7"/>
        <w:spacing w:before="0" w:beforeAutospacing="0" w:after="0" w:afterAutospacing="0" w:line="360" w:lineRule="auto"/>
        <w:ind w:firstLine="420"/>
        <w:rPr>
          <w:sz w:val="21"/>
          <w:szCs w:val="21"/>
        </w:rPr>
      </w:pPr>
      <w:r>
        <w:rPr>
          <w:rFonts w:hint="eastAsia"/>
          <w:sz w:val="21"/>
          <w:szCs w:val="21"/>
        </w:rPr>
        <w:t xml:space="preserve">2、基金银行账户的开立和使用，限于满足开展本基金业务的需要。基金托管人和基金管理人不得假借本基金的名义开立任何其他银行账户；亦不得使用基金的任何账户进行本基金业务以外的活动。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3、基金银行账户的开立和管理应符合银行业监督管理机构的有关规定。 </w:t>
      </w:r>
    </w:p>
    <w:p>
      <w:pPr>
        <w:pStyle w:val="7"/>
        <w:spacing w:before="0" w:beforeAutospacing="0" w:after="0" w:afterAutospacing="0" w:line="360" w:lineRule="auto"/>
        <w:ind w:firstLine="420"/>
        <w:rPr>
          <w:sz w:val="21"/>
          <w:szCs w:val="21"/>
        </w:rPr>
      </w:pPr>
      <w:r>
        <w:rPr>
          <w:rFonts w:hint="eastAsia"/>
          <w:sz w:val="21"/>
          <w:szCs w:val="21"/>
        </w:rPr>
        <w:t xml:space="preserve">4、在符合法律法规规定的条件下，基金托管人可以通过基金托管人专用账户办理基金资产的支付。 </w:t>
      </w:r>
    </w:p>
    <w:p>
      <w:pPr>
        <w:pStyle w:val="7"/>
        <w:spacing w:before="0" w:beforeAutospacing="0" w:after="0" w:afterAutospacing="0" w:line="360" w:lineRule="auto"/>
        <w:ind w:firstLine="420"/>
        <w:rPr>
          <w:sz w:val="21"/>
          <w:szCs w:val="21"/>
        </w:rPr>
      </w:pPr>
      <w:r>
        <w:rPr>
          <w:rFonts w:hint="eastAsia"/>
          <w:sz w:val="21"/>
          <w:szCs w:val="21"/>
        </w:rPr>
        <w:t xml:space="preserve">（四）基金证券账户和结算备付金账户的开立和管理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1、基金托管人在中国证券登记结算有限责任公司上海分公司、深圳分公司为基金开立基金托管人与基金联名的证券账户。 </w:t>
      </w:r>
    </w:p>
    <w:p>
      <w:pPr>
        <w:pStyle w:val="7"/>
        <w:spacing w:before="0" w:beforeAutospacing="0" w:after="0" w:afterAutospacing="0" w:line="360" w:lineRule="auto"/>
        <w:ind w:firstLine="420"/>
        <w:rPr>
          <w:sz w:val="21"/>
          <w:szCs w:val="21"/>
        </w:rPr>
      </w:pPr>
      <w:r>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3、基金证券账户的开立和证券账户卡的保管由基金托管人负责，账户资产的管理和运用由基金管理人负责。 </w:t>
      </w:r>
    </w:p>
    <w:p>
      <w:pPr>
        <w:pStyle w:val="7"/>
        <w:spacing w:before="0" w:beforeAutospacing="0" w:after="0" w:afterAutospacing="0" w:line="360" w:lineRule="auto"/>
        <w:ind w:firstLine="420"/>
        <w:rPr>
          <w:sz w:val="21"/>
          <w:szCs w:val="21"/>
        </w:rPr>
      </w:pPr>
      <w:r>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pPr>
        <w:pStyle w:val="7"/>
        <w:spacing w:before="0" w:beforeAutospacing="0" w:after="0" w:afterAutospacing="0" w:line="360" w:lineRule="auto"/>
        <w:ind w:firstLine="420"/>
        <w:rPr>
          <w:sz w:val="21"/>
          <w:szCs w:val="21"/>
        </w:rPr>
      </w:pPr>
      <w:r>
        <w:rPr>
          <w:rFonts w:hint="eastAsia"/>
          <w:sz w:val="21"/>
          <w:szCs w:val="21"/>
        </w:rPr>
        <w:t xml:space="preserve">5、若中国证监会或其他监管机构在本托管协议订立日之后允许基金从事其他投资品种的投资业务，涉及相关账户的开立、使用的，若无相关规定，则基金托管人比照上述关于账户开立、使用的规定执行。 </w:t>
      </w:r>
    </w:p>
    <w:p>
      <w:pPr>
        <w:pStyle w:val="7"/>
        <w:spacing w:before="0" w:beforeAutospacing="0" w:after="0" w:afterAutospacing="0" w:line="360" w:lineRule="auto"/>
        <w:ind w:firstLine="420"/>
        <w:rPr>
          <w:sz w:val="21"/>
          <w:szCs w:val="21"/>
        </w:rPr>
      </w:pPr>
      <w:r>
        <w:rPr>
          <w:rFonts w:hint="eastAsia"/>
          <w:sz w:val="21"/>
          <w:szCs w:val="21"/>
        </w:rPr>
        <w:t xml:space="preserve">（五）债券托管专户的开设和管理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 </w:t>
      </w:r>
    </w:p>
    <w:p>
      <w:pPr>
        <w:pStyle w:val="7"/>
        <w:spacing w:before="0" w:beforeAutospacing="0" w:after="0" w:afterAutospacing="0" w:line="360" w:lineRule="auto"/>
        <w:ind w:firstLine="420"/>
        <w:rPr>
          <w:sz w:val="21"/>
          <w:szCs w:val="21"/>
        </w:rPr>
      </w:pPr>
      <w:r>
        <w:rPr>
          <w:rFonts w:hint="eastAsia"/>
          <w:sz w:val="21"/>
          <w:szCs w:val="21"/>
        </w:rPr>
        <w:t xml:space="preserve">（六）其他账户的开立和管理 </w:t>
      </w:r>
    </w:p>
    <w:p>
      <w:pPr>
        <w:pStyle w:val="7"/>
        <w:spacing w:before="0" w:beforeAutospacing="0" w:after="0" w:afterAutospacing="0" w:line="360" w:lineRule="auto"/>
        <w:ind w:firstLine="420"/>
        <w:rPr>
          <w:sz w:val="21"/>
          <w:szCs w:val="21"/>
        </w:rPr>
      </w:pPr>
      <w:r>
        <w:rPr>
          <w:rFonts w:hint="eastAsia"/>
          <w:sz w:val="21"/>
          <w:szCs w:val="21"/>
        </w:rPr>
        <w:t xml:space="preserve">1、因业务发展需要而开立的其他账户，可以根据法律法规和基金合同的规定，由基金托管人负责开立。新账户按有关规定使用并管理。 </w:t>
      </w:r>
    </w:p>
    <w:p>
      <w:pPr>
        <w:pStyle w:val="7"/>
        <w:spacing w:before="0" w:beforeAutospacing="0" w:after="0" w:afterAutospacing="0" w:line="360" w:lineRule="auto"/>
        <w:ind w:firstLine="420"/>
        <w:rPr>
          <w:sz w:val="21"/>
          <w:szCs w:val="21"/>
        </w:rPr>
      </w:pPr>
      <w:r>
        <w:rPr>
          <w:rFonts w:hint="eastAsia"/>
          <w:sz w:val="21"/>
          <w:szCs w:val="21"/>
        </w:rPr>
        <w:t xml:space="preserve">2、法律法规等有关规定对相关账户的开立和管理另有规定的，从其规定办理。 </w:t>
      </w:r>
    </w:p>
    <w:p>
      <w:pPr>
        <w:pStyle w:val="7"/>
        <w:spacing w:before="0" w:beforeAutospacing="0" w:after="0" w:afterAutospacing="0" w:line="360" w:lineRule="auto"/>
        <w:ind w:firstLine="420"/>
        <w:rPr>
          <w:sz w:val="21"/>
          <w:szCs w:val="21"/>
        </w:rPr>
      </w:pPr>
      <w:r>
        <w:rPr>
          <w:rFonts w:hint="eastAsia"/>
          <w:sz w:val="21"/>
          <w:szCs w:val="21"/>
        </w:rPr>
        <w:t xml:space="preserve">（七）基金财产投资的有关有价凭证等的保管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 </w:t>
      </w:r>
    </w:p>
    <w:p>
      <w:pPr>
        <w:pStyle w:val="7"/>
        <w:spacing w:before="0" w:beforeAutospacing="0" w:after="0" w:afterAutospacing="0" w:line="360" w:lineRule="auto"/>
        <w:ind w:firstLine="420"/>
        <w:rPr>
          <w:sz w:val="21"/>
          <w:szCs w:val="21"/>
        </w:rPr>
      </w:pPr>
      <w:r>
        <w:rPr>
          <w:rFonts w:hint="eastAsia"/>
          <w:sz w:val="21"/>
          <w:szCs w:val="21"/>
        </w:rPr>
        <w:t xml:space="preserve">（八）与基金财产有关的重大合同的保管 </w:t>
      </w:r>
    </w:p>
    <w:p>
      <w:pPr>
        <w:pStyle w:val="7"/>
        <w:spacing w:before="0" w:beforeAutospacing="0" w:after="0" w:afterAutospacing="0" w:line="360" w:lineRule="auto"/>
        <w:ind w:firstLine="420"/>
        <w:rPr>
          <w:sz w:val="21"/>
          <w:szCs w:val="21"/>
        </w:rPr>
      </w:pPr>
      <w:r>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pPr>
        <w:pStyle w:val="7"/>
        <w:spacing w:before="0" w:beforeAutospacing="0" w:after="0" w:afterAutospacing="0" w:line="360" w:lineRule="auto"/>
        <w:ind w:firstLine="420"/>
        <w:rPr>
          <w:sz w:val="21"/>
          <w:szCs w:val="21"/>
        </w:rPr>
      </w:pPr>
      <w:r>
        <w:rPr>
          <w:rStyle w:val="11"/>
          <w:rFonts w:hint="eastAsia"/>
          <w:sz w:val="21"/>
          <w:szCs w:val="21"/>
        </w:rPr>
        <w:t>五、基金资产净值计算与复核</w:t>
      </w:r>
    </w:p>
    <w:p>
      <w:pPr>
        <w:pStyle w:val="7"/>
        <w:spacing w:before="0" w:beforeAutospacing="0" w:after="0" w:afterAutospacing="0" w:line="360" w:lineRule="auto"/>
        <w:ind w:firstLine="420"/>
        <w:rPr>
          <w:sz w:val="21"/>
          <w:szCs w:val="21"/>
        </w:rPr>
      </w:pPr>
      <w:r>
        <w:rPr>
          <w:rFonts w:hint="eastAsia"/>
          <w:sz w:val="21"/>
          <w:szCs w:val="21"/>
        </w:rPr>
        <w:t xml:space="preserve">1、基金资产净值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基金资产净值是指基金资产总值减去负债后的价值。 </w:t>
      </w:r>
    </w:p>
    <w:p>
      <w:pPr>
        <w:pStyle w:val="7"/>
        <w:spacing w:before="0" w:beforeAutospacing="0" w:after="0" w:afterAutospacing="0" w:line="360" w:lineRule="auto"/>
        <w:ind w:firstLine="420"/>
        <w:rPr>
          <w:sz w:val="21"/>
          <w:szCs w:val="21"/>
        </w:rPr>
      </w:pPr>
      <w:r>
        <w:rPr>
          <w:rFonts w:hint="eastAsia"/>
          <w:sz w:val="21"/>
          <w:szCs w:val="21"/>
        </w:rPr>
        <w:t xml:space="preserve">基金份额净值是指基金资产净值除以基金份额总数，基金份额净值的计算，精确到0.001元，小数点后第四位四舍五入，国家另有规定的，从其规定。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基金管理人每个工作日计算基金资产净值及基金份额净值，经基金托管人复核，按规定公告。 </w:t>
      </w:r>
    </w:p>
    <w:p>
      <w:pPr>
        <w:pStyle w:val="7"/>
        <w:spacing w:before="0" w:beforeAutospacing="0" w:after="0" w:afterAutospacing="0" w:line="360" w:lineRule="auto"/>
        <w:ind w:firstLine="420"/>
        <w:rPr>
          <w:sz w:val="21"/>
          <w:szCs w:val="21"/>
        </w:rPr>
      </w:pPr>
      <w:r>
        <w:rPr>
          <w:rFonts w:hint="eastAsia"/>
          <w:sz w:val="21"/>
          <w:szCs w:val="21"/>
        </w:rPr>
        <w:t xml:space="preserve">2、复核程序 </w:t>
      </w:r>
    </w:p>
    <w:p>
      <w:pPr>
        <w:pStyle w:val="7"/>
        <w:spacing w:before="0" w:beforeAutospacing="0" w:after="0" w:afterAutospacing="0" w:line="360" w:lineRule="auto"/>
        <w:ind w:firstLine="420"/>
        <w:rPr>
          <w:sz w:val="21"/>
          <w:szCs w:val="21"/>
        </w:rPr>
      </w:pPr>
      <w:r>
        <w:rPr>
          <w:rFonts w:hint="eastAsia"/>
          <w:sz w:val="21"/>
          <w:szCs w:val="21"/>
        </w:rPr>
        <w:t xml:space="preserve">基金管理人每工作日对基金资产进行估值后，将基金份额净值结果发送基金托管人，经基金托管人复核无误后，由基金管理人对外公布。 </w:t>
      </w:r>
    </w:p>
    <w:p>
      <w:pPr>
        <w:pStyle w:val="7"/>
        <w:spacing w:before="0" w:beforeAutospacing="0" w:after="0" w:afterAutospacing="0" w:line="360" w:lineRule="auto"/>
        <w:ind w:firstLine="420"/>
        <w:rPr>
          <w:sz w:val="21"/>
          <w:szCs w:val="21"/>
        </w:rPr>
      </w:pPr>
      <w:r>
        <w:rPr>
          <w:rStyle w:val="11"/>
          <w:rFonts w:hint="eastAsia"/>
          <w:sz w:val="21"/>
          <w:szCs w:val="21"/>
        </w:rPr>
        <w:t>六、基金份额持有人名册的登记与保管</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 </w:t>
      </w:r>
    </w:p>
    <w:p>
      <w:pPr>
        <w:pStyle w:val="7"/>
        <w:spacing w:before="0" w:beforeAutospacing="0" w:after="0" w:afterAutospacing="0" w:line="360" w:lineRule="auto"/>
        <w:ind w:firstLine="420"/>
        <w:rPr>
          <w:sz w:val="21"/>
          <w:szCs w:val="21"/>
        </w:rPr>
      </w:pPr>
      <w:r>
        <w:rPr>
          <w:rFonts w:hint="eastAsia"/>
          <w:sz w:val="21"/>
          <w:szCs w:val="21"/>
        </w:rPr>
        <w:t xml:space="preserve">在基金托管人要求或编制中期报和年报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pPr>
        <w:pStyle w:val="7"/>
        <w:spacing w:before="0" w:beforeAutospacing="0" w:after="0" w:afterAutospacing="0" w:line="360" w:lineRule="auto"/>
        <w:ind w:firstLine="420"/>
        <w:rPr>
          <w:sz w:val="21"/>
          <w:szCs w:val="21"/>
        </w:rPr>
      </w:pPr>
      <w:r>
        <w:rPr>
          <w:rStyle w:val="11"/>
          <w:rFonts w:hint="eastAsia"/>
          <w:sz w:val="21"/>
          <w:szCs w:val="21"/>
        </w:rPr>
        <w:t>七、争议解决方式</w:t>
      </w:r>
    </w:p>
    <w:p>
      <w:pPr>
        <w:pStyle w:val="7"/>
        <w:spacing w:before="0" w:beforeAutospacing="0" w:after="0" w:afterAutospacing="0" w:line="360" w:lineRule="auto"/>
        <w:ind w:firstLine="420"/>
        <w:rPr>
          <w:sz w:val="21"/>
          <w:szCs w:val="21"/>
        </w:rPr>
      </w:pPr>
      <w:r>
        <w:rPr>
          <w:rFonts w:hint="eastAsia"/>
          <w:sz w:val="21"/>
          <w:szCs w:val="21"/>
        </w:rPr>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本协议受中国法律管辖。 </w:t>
      </w:r>
    </w:p>
    <w:p>
      <w:pPr>
        <w:pStyle w:val="7"/>
        <w:spacing w:before="0" w:beforeAutospacing="0" w:after="0" w:afterAutospacing="0" w:line="360" w:lineRule="auto"/>
        <w:ind w:firstLine="420"/>
        <w:rPr>
          <w:sz w:val="21"/>
          <w:szCs w:val="21"/>
        </w:rPr>
      </w:pPr>
      <w:r>
        <w:rPr>
          <w:rStyle w:val="11"/>
          <w:rFonts w:hint="eastAsia"/>
          <w:sz w:val="21"/>
          <w:szCs w:val="21"/>
        </w:rPr>
        <w:t>八、托管协议的修改与终止</w:t>
      </w:r>
    </w:p>
    <w:p>
      <w:pPr>
        <w:pStyle w:val="7"/>
        <w:spacing w:before="0" w:beforeAutospacing="0" w:after="0" w:afterAutospacing="0" w:line="360" w:lineRule="auto"/>
        <w:ind w:firstLine="420"/>
        <w:rPr>
          <w:sz w:val="21"/>
          <w:szCs w:val="21"/>
        </w:rPr>
      </w:pPr>
      <w:r>
        <w:rPr>
          <w:rFonts w:hint="eastAsia"/>
          <w:sz w:val="21"/>
          <w:szCs w:val="21"/>
        </w:rPr>
        <w:t xml:space="preserve">（一）托管协议的变更程序 </w:t>
      </w:r>
    </w:p>
    <w:p>
      <w:pPr>
        <w:pStyle w:val="7"/>
        <w:spacing w:before="0" w:beforeAutospacing="0" w:after="0" w:afterAutospacing="0" w:line="360" w:lineRule="auto"/>
        <w:ind w:firstLine="420"/>
        <w:rPr>
          <w:sz w:val="21"/>
          <w:szCs w:val="21"/>
        </w:rPr>
      </w:pPr>
      <w:r>
        <w:rPr>
          <w:rFonts w:hint="eastAsia"/>
          <w:sz w:val="21"/>
          <w:szCs w:val="21"/>
        </w:rPr>
        <w:t xml:space="preserve">本协议双方当事人经协商一致，可以对协议进行修改。修改后的新协议，其内容不得与基金合同的规定有任何冲突。基金托管协议的变更报中国证监会核准或备案后生效。 </w:t>
      </w:r>
    </w:p>
    <w:p>
      <w:pPr>
        <w:pStyle w:val="7"/>
        <w:spacing w:before="0" w:beforeAutospacing="0" w:after="0" w:afterAutospacing="0" w:line="360" w:lineRule="auto"/>
        <w:ind w:firstLine="420"/>
        <w:rPr>
          <w:sz w:val="21"/>
          <w:szCs w:val="21"/>
        </w:rPr>
      </w:pPr>
      <w:r>
        <w:rPr>
          <w:rFonts w:hint="eastAsia"/>
          <w:sz w:val="21"/>
          <w:szCs w:val="21"/>
        </w:rPr>
        <w:t xml:space="preserve">（二）基金托管协议终止出现的情形 </w:t>
      </w:r>
    </w:p>
    <w:p>
      <w:pPr>
        <w:pStyle w:val="7"/>
        <w:spacing w:before="0" w:beforeAutospacing="0" w:after="0" w:afterAutospacing="0" w:line="360" w:lineRule="auto"/>
        <w:ind w:firstLine="420"/>
        <w:rPr>
          <w:sz w:val="21"/>
          <w:szCs w:val="21"/>
        </w:rPr>
      </w:pPr>
      <w:r>
        <w:rPr>
          <w:rFonts w:hint="eastAsia"/>
          <w:sz w:val="21"/>
          <w:szCs w:val="21"/>
        </w:rPr>
        <w:t xml:space="preserve">1、基金合同终止； </w:t>
      </w:r>
    </w:p>
    <w:p>
      <w:pPr>
        <w:pStyle w:val="7"/>
        <w:spacing w:before="0" w:beforeAutospacing="0" w:after="0" w:afterAutospacing="0" w:line="360" w:lineRule="auto"/>
        <w:ind w:firstLine="420"/>
        <w:rPr>
          <w:sz w:val="21"/>
          <w:szCs w:val="21"/>
        </w:rPr>
      </w:pPr>
      <w:r>
        <w:rPr>
          <w:rFonts w:hint="eastAsia"/>
          <w:sz w:val="21"/>
          <w:szCs w:val="21"/>
        </w:rPr>
        <w:t xml:space="preserve">2、基金托管人解散、依法被撤销、破产或由其他基金托管人接管基金资产； </w:t>
      </w:r>
    </w:p>
    <w:p>
      <w:pPr>
        <w:pStyle w:val="7"/>
        <w:spacing w:before="0" w:beforeAutospacing="0" w:after="0" w:afterAutospacing="0" w:line="360" w:lineRule="auto"/>
        <w:ind w:firstLine="420"/>
        <w:rPr>
          <w:sz w:val="21"/>
          <w:szCs w:val="21"/>
        </w:rPr>
      </w:pPr>
      <w:r>
        <w:rPr>
          <w:rFonts w:hint="eastAsia"/>
          <w:sz w:val="21"/>
          <w:szCs w:val="21"/>
        </w:rPr>
        <w:t xml:space="preserve">3、基金管理人解散、依法被撤销、破产或由其他基金管理人接管基金管理权； </w:t>
      </w:r>
    </w:p>
    <w:p>
      <w:pPr>
        <w:pStyle w:val="7"/>
        <w:spacing w:before="0" w:beforeAutospacing="0" w:after="0" w:afterAutospacing="0" w:line="360" w:lineRule="auto"/>
        <w:ind w:firstLine="420"/>
        <w:rPr>
          <w:sz w:val="21"/>
          <w:szCs w:val="21"/>
        </w:rPr>
      </w:pPr>
      <w:bookmarkStart w:id="197" w:name="chapter_level1_22_72_section_1_end"/>
      <w:bookmarkEnd w:id="197"/>
      <w:r>
        <w:rPr>
          <w:rFonts w:hint="eastAsia"/>
          <w:sz w:val="21"/>
          <w:szCs w:val="21"/>
        </w:rPr>
        <w:t xml:space="preserve">4、发生法律法规或基金合同规定的终止事项。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8" w:name="_Toc113295509"/>
      <w:bookmarkStart w:id="199" w:name="chapter_level1_23_75"/>
      <w:r>
        <w:rPr>
          <w:rFonts w:hint="eastAsia" w:ascii="宋体" w:hAnsi="宋体" w:eastAsia="宋体"/>
          <w:sz w:val="30"/>
        </w:rPr>
        <w:t>第二十部分  对基金份额持有人的服务</w:t>
      </w:r>
      <w:bookmarkEnd w:id="198"/>
      <w:bookmarkEnd w:id="199"/>
    </w:p>
    <w:p>
      <w:pPr>
        <w:pStyle w:val="7"/>
        <w:spacing w:before="0" w:beforeAutospacing="0" w:after="0" w:afterAutospacing="0" w:line="360" w:lineRule="auto"/>
        <w:ind w:firstLine="420"/>
        <w:rPr>
          <w:sz w:val="21"/>
          <w:szCs w:val="21"/>
        </w:rPr>
      </w:pPr>
      <w:bookmarkStart w:id="200" w:name="chapter_level1_23_75_section_1"/>
      <w:bookmarkEnd w:id="200"/>
      <w:r>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每次交易结束后，投资者可在T+2个工作日后通过销售机构的网点查询和打印确认单。每月结束后，基金管理人向所有订阅电子邮件对账单的投资者发送电子邮件对账单。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投资者可以登录博时公司网站</w:t>
      </w:r>
      <w:r>
        <w:fldChar w:fldCharType="begin"/>
      </w:r>
      <w:r>
        <w:instrText xml:space="preserve"> HYPERLINK "mailto:www.bosera.com" </w:instrText>
      </w:r>
      <w:r>
        <w:fldChar w:fldCharType="separate"/>
      </w:r>
      <w:r>
        <w:rPr>
          <w:rStyle w:val="15"/>
          <w:rFonts w:hint="eastAsia"/>
          <w:sz w:val="21"/>
          <w:szCs w:val="21"/>
        </w:rPr>
        <w:t>www.bosera.com</w:t>
      </w:r>
      <w:r>
        <w:rPr>
          <w:rStyle w:val="15"/>
          <w:rFonts w:hint="eastAsia"/>
          <w:sz w:val="21"/>
          <w:szCs w:val="21"/>
        </w:rPr>
        <w:fldChar w:fldCharType="end"/>
      </w:r>
      <w:r>
        <w:rPr>
          <w:rFonts w:hint="eastAsia"/>
          <w:sz w:val="21"/>
          <w:szCs w:val="21"/>
        </w:rPr>
        <w:t>“博时快e通”系统网上自助订阅；或发送“订阅电子对账单”邮件到客服邮箱</w:t>
      </w:r>
      <w:r>
        <w:fldChar w:fldCharType="begin"/>
      </w:r>
      <w:r>
        <w:instrText xml:space="preserve"> HYPERLINK "mailto:service@bosera.com" </w:instrText>
      </w:r>
      <w:r>
        <w:fldChar w:fldCharType="separate"/>
      </w:r>
      <w:r>
        <w:rPr>
          <w:rStyle w:val="15"/>
          <w:rFonts w:hint="eastAsia"/>
          <w:sz w:val="21"/>
          <w:szCs w:val="21"/>
        </w:rPr>
        <w:t>service@bosera.com</w:t>
      </w:r>
      <w:r>
        <w:rPr>
          <w:rStyle w:val="15"/>
          <w:rFonts w:hint="eastAsia"/>
          <w:sz w:val="21"/>
          <w:szCs w:val="21"/>
        </w:rPr>
        <w:fldChar w:fldCharType="end"/>
      </w:r>
      <w:r>
        <w:rPr>
          <w:rFonts w:hint="eastAsia"/>
          <w:sz w:val="21"/>
          <w:szCs w:val="21"/>
        </w:rPr>
        <w:t xml:space="preserve">；也可直接拨打博时一线通95105568（免长途话费）订阅。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通过本公司网站，投资者可获得如下服务：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投资者使用建设银行、农业银行、工商银行、交通银行、招商银行、兴业银行、浦发银行、邮储银行、民生银行、中信银行、光大银行、平安银行、中国银行、广发银行的借记卡或招商银行i理财账户、汇付天下天天盈账户、支付宝基金专户均可以在基金管理人网站上自助开户并进行网上交易。 </w:t>
      </w:r>
    </w:p>
    <w:p>
      <w:pPr>
        <w:pStyle w:val="7"/>
        <w:spacing w:before="0" w:beforeAutospacing="0" w:after="0" w:afterAutospacing="0" w:line="360" w:lineRule="auto"/>
        <w:ind w:firstLine="420"/>
        <w:rPr>
          <w:sz w:val="21"/>
          <w:szCs w:val="21"/>
        </w:rPr>
      </w:pPr>
      <w:r>
        <w:rPr>
          <w:rFonts w:hint="eastAsia"/>
          <w:sz w:val="21"/>
          <w:szCs w:val="21"/>
        </w:rPr>
        <w:t xml:space="preserve">2、查询服务：投资者可以通过基金管理人网站查询所持有基金的基金份额、交易记录等信息，同时可以修改基金账户信息等基本资料。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3、信息咨询服务：投资者可以利用本公司网站获取基金和基金管理人各类信息，包括基金法律文件、基金管理人最新动态、热点问题等。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4、在线客服：投资者可以点击本公司网站首页“在线客服”，与客服代表进行在线咨询互动。也可以在“您问我答”栏目中，直接提出有关本基金的问题和建议。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bookmarkStart w:id="201" w:name="chapter_level1_23_75_section_1_end"/>
      <w:bookmarkEnd w:id="201"/>
      <w:r>
        <w:rPr>
          <w:rFonts w:hint="eastAsia"/>
          <w:sz w:val="21"/>
          <w:szCs w:val="21"/>
        </w:rPr>
        <w:t xml:space="preserve">基金管理人为投资者提供电子邮件方式的业务咨询、投诉受理、基金份额净值等服务。 </w:t>
      </w:r>
    </w:p>
    <w:p>
      <w:pPr>
        <w:pStyle w:val="7"/>
        <w:spacing w:before="0" w:beforeAutospacing="0" w:after="0" w:afterAutospacing="0" w:line="360" w:lineRule="auto"/>
        <w:ind w:firstLine="420"/>
        <w:rPr>
          <w:sz w:val="21"/>
          <w:szCs w:val="21"/>
        </w:rPr>
      </w:pPr>
      <w:bookmarkStart w:id="202" w:name="chapter_level1_23_75_section_2"/>
      <w:bookmarkEnd w:id="202"/>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投资者可以通过手机登陆博时移动版直销网上交易系统（m.bosera.com）、手机基金交易系统（wap.bosera.com）和博时App版直销网上交易系统，享受基金理财所需的基金交易、理财查询、账户管理、信息服务等功能。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投资者可以通过博时网站博时快e通、客服中心提交信息订制的申请，博时公司将以电子邮件、手机短信的形式定期为投资者发送所订制的信息。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1、自助语音服务：本公司自助语音系统提供7×24小时的全天候服务，投资者可以自助查询账户余额、交易情况、基金净值等信息，也可以进行直销交易、密码修改、传真索取等操作。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Fonts w:hint="eastAsia"/>
          <w:sz w:val="21"/>
          <w:szCs w:val="21"/>
        </w:rPr>
        <w:t xml:space="preserve">基金管理人的互联网地址及电子信箱： </w:t>
      </w:r>
    </w:p>
    <w:p>
      <w:pPr>
        <w:pStyle w:val="7"/>
        <w:spacing w:before="0" w:beforeAutospacing="0" w:after="0" w:afterAutospacing="0" w:line="360" w:lineRule="auto"/>
        <w:ind w:firstLine="420"/>
        <w:rPr>
          <w:sz w:val="21"/>
          <w:szCs w:val="21"/>
        </w:rPr>
      </w:pPr>
      <w:r>
        <w:rPr>
          <w:rFonts w:hint="eastAsia"/>
          <w:sz w:val="21"/>
          <w:szCs w:val="21"/>
        </w:rPr>
        <w:t xml:space="preserve">网址： www.bosera.com </w:t>
      </w:r>
    </w:p>
    <w:p>
      <w:pPr>
        <w:pStyle w:val="7"/>
        <w:spacing w:before="0" w:beforeAutospacing="0" w:after="0" w:afterAutospacing="0" w:line="360" w:lineRule="auto"/>
        <w:ind w:firstLine="420"/>
        <w:rPr>
          <w:sz w:val="21"/>
          <w:szCs w:val="21"/>
        </w:rPr>
      </w:pPr>
      <w:bookmarkStart w:id="203" w:name="chapter_level1_23_75_section_2_end"/>
      <w:bookmarkEnd w:id="203"/>
      <w:r>
        <w:rPr>
          <w:rFonts w:hint="eastAsia"/>
          <w:sz w:val="21"/>
          <w:szCs w:val="21"/>
        </w:rPr>
        <w:t>电子信箱：</w:t>
      </w:r>
      <w:r>
        <w:fldChar w:fldCharType="begin"/>
      </w:r>
      <w:r>
        <w:instrText xml:space="preserve"> HYPERLINK "mailto:service@bosera.com" </w:instrText>
      </w:r>
      <w:r>
        <w:fldChar w:fldCharType="separate"/>
      </w:r>
      <w:r>
        <w:rPr>
          <w:rStyle w:val="15"/>
          <w:rFonts w:hint="eastAsia"/>
          <w:sz w:val="21"/>
          <w:szCs w:val="21"/>
        </w:rPr>
        <w:t>service@bosera.com</w:t>
      </w:r>
      <w:r>
        <w:rPr>
          <w:rStyle w:val="15"/>
          <w:rFonts w:hint="eastAsia"/>
          <w:sz w:val="21"/>
          <w:szCs w:val="21"/>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4" w:name="_Toc113295510"/>
      <w:bookmarkStart w:id="205" w:name="chapter_level1_24_3499"/>
      <w:r>
        <w:rPr>
          <w:rFonts w:hint="eastAsia" w:ascii="宋体" w:hAnsi="宋体" w:eastAsia="宋体"/>
          <w:sz w:val="30"/>
        </w:rPr>
        <w:t>第二十一部分 其他应披露的事项</w:t>
      </w:r>
      <w:bookmarkEnd w:id="204"/>
      <w:bookmarkEnd w:id="205"/>
    </w:p>
    <w:p>
      <w:pPr>
        <w:pStyle w:val="7"/>
        <w:spacing w:before="0" w:beforeAutospacing="0" w:after="0" w:afterAutospacing="0" w:line="360" w:lineRule="auto"/>
        <w:ind w:firstLine="420"/>
        <w:rPr>
          <w:sz w:val="21"/>
          <w:szCs w:val="21"/>
        </w:rPr>
      </w:pPr>
      <w:bookmarkStart w:id="206" w:name="chapter_level1_24_3499_section_1"/>
      <w:bookmarkEnd w:id="206"/>
      <w:bookmarkStart w:id="207" w:name="field_0_bsrevealinfo_1_start"/>
      <w:bookmarkEnd w:id="207"/>
      <w:r>
        <w:rPr>
          <w:rFonts w:hint="eastAsia"/>
          <w:sz w:val="21"/>
          <w:szCs w:val="21"/>
        </w:rPr>
        <w:t xml:space="preserve">（一）、 2022年08月31日，我公司公告了《博时行业轮动混合型证券投资基金2022年中期报告》； </w:t>
      </w:r>
    </w:p>
    <w:p>
      <w:pPr>
        <w:pStyle w:val="7"/>
        <w:spacing w:before="0" w:beforeAutospacing="0" w:after="0" w:afterAutospacing="0" w:line="360" w:lineRule="auto"/>
        <w:ind w:firstLine="420"/>
        <w:rPr>
          <w:sz w:val="21"/>
          <w:szCs w:val="21"/>
        </w:rPr>
      </w:pPr>
      <w:r>
        <w:rPr>
          <w:rFonts w:hint="eastAsia"/>
          <w:sz w:val="21"/>
          <w:szCs w:val="21"/>
        </w:rPr>
        <w:t xml:space="preserve">（二）、 2022年08月29日，我公司公告了《博时基金管理有限公司关于直销网上交易开通广发银行快捷开户和支付服务及费率优惠的公告》； </w:t>
      </w:r>
    </w:p>
    <w:p>
      <w:pPr>
        <w:pStyle w:val="7"/>
        <w:spacing w:before="0" w:beforeAutospacing="0" w:after="0" w:afterAutospacing="0" w:line="360" w:lineRule="auto"/>
        <w:ind w:firstLine="420"/>
        <w:rPr>
          <w:sz w:val="21"/>
          <w:szCs w:val="21"/>
        </w:rPr>
      </w:pPr>
      <w:r>
        <w:rPr>
          <w:rFonts w:hint="eastAsia"/>
          <w:sz w:val="21"/>
          <w:szCs w:val="21"/>
        </w:rPr>
        <w:t xml:space="preserve">（三）、 2022年08月25日，我公司公告了《博时行业轮动混合型证券投资基金基金产品资料概要更新》； </w:t>
      </w:r>
    </w:p>
    <w:p>
      <w:pPr>
        <w:pStyle w:val="7"/>
        <w:spacing w:before="0" w:beforeAutospacing="0" w:after="0" w:afterAutospacing="0" w:line="360" w:lineRule="auto"/>
        <w:ind w:firstLine="420"/>
        <w:rPr>
          <w:sz w:val="21"/>
          <w:szCs w:val="21"/>
        </w:rPr>
      </w:pPr>
      <w:r>
        <w:rPr>
          <w:rFonts w:hint="eastAsia"/>
          <w:sz w:val="21"/>
          <w:szCs w:val="21"/>
        </w:rPr>
        <w:t xml:space="preserve">（四）、 2022年08月22日，我公司公告了《博时基金管理有限公司旗下基金在兴业银行钱大掌柜开展费率优惠活动的公告》； </w:t>
      </w:r>
    </w:p>
    <w:p>
      <w:pPr>
        <w:pStyle w:val="7"/>
        <w:spacing w:before="0" w:beforeAutospacing="0" w:after="0" w:afterAutospacing="0" w:line="360" w:lineRule="auto"/>
        <w:ind w:firstLine="420"/>
        <w:rPr>
          <w:sz w:val="21"/>
          <w:szCs w:val="21"/>
        </w:rPr>
      </w:pPr>
      <w:r>
        <w:rPr>
          <w:rFonts w:hint="eastAsia"/>
          <w:sz w:val="21"/>
          <w:szCs w:val="21"/>
        </w:rPr>
        <w:t xml:space="preserve">（五）、 2022年07月21日，我公司公告了《博时行业轮动混合型证券投资基金2022年第2季度报告》； </w:t>
      </w:r>
    </w:p>
    <w:p>
      <w:pPr>
        <w:pStyle w:val="7"/>
        <w:spacing w:before="0" w:beforeAutospacing="0" w:after="0" w:afterAutospacing="0" w:line="360" w:lineRule="auto"/>
        <w:ind w:firstLine="420"/>
        <w:rPr>
          <w:sz w:val="21"/>
          <w:szCs w:val="21"/>
        </w:rPr>
      </w:pPr>
      <w:r>
        <w:rPr>
          <w:rFonts w:hint="eastAsia"/>
          <w:sz w:val="21"/>
          <w:szCs w:val="21"/>
        </w:rPr>
        <w:t xml:space="preserve">（六）、 2022年07月18日，我公司公告了《博时基金管理有限公司关于旗下所有前端收费模式基金在直销柜台实施费率优惠的公告》； </w:t>
      </w:r>
    </w:p>
    <w:p>
      <w:pPr>
        <w:pStyle w:val="7"/>
        <w:spacing w:before="0" w:beforeAutospacing="0" w:after="0" w:afterAutospacing="0" w:line="360" w:lineRule="auto"/>
        <w:ind w:firstLine="420"/>
        <w:rPr>
          <w:sz w:val="21"/>
          <w:szCs w:val="21"/>
        </w:rPr>
      </w:pPr>
      <w:r>
        <w:rPr>
          <w:rFonts w:hint="eastAsia"/>
          <w:sz w:val="21"/>
          <w:szCs w:val="21"/>
        </w:rPr>
        <w:t xml:space="preserve">（七）、 2022年07月16日，我公司公告了《博时基金管理有限公司关于暂停北京微动利基金销售有限公司办理旗下基金相关销售业务的公告》、《博时基金管理有限公司关于暂停喜鹊财富基金销售有限公司办理旗下基金相关销售业务的公告》； </w:t>
      </w:r>
    </w:p>
    <w:p>
      <w:pPr>
        <w:pStyle w:val="7"/>
        <w:spacing w:before="0" w:beforeAutospacing="0" w:after="0" w:afterAutospacing="0" w:line="360" w:lineRule="auto"/>
        <w:ind w:firstLine="420"/>
        <w:rPr>
          <w:sz w:val="21"/>
          <w:szCs w:val="21"/>
        </w:rPr>
      </w:pPr>
      <w:r>
        <w:rPr>
          <w:rFonts w:hint="eastAsia"/>
          <w:sz w:val="21"/>
          <w:szCs w:val="21"/>
        </w:rPr>
        <w:t xml:space="preserve">（八）、 2022年07月05日，我公司公告了《博时基金管理有限公司关于部分基金在招赢通平台开展费率优惠活动的公告》； </w:t>
      </w:r>
    </w:p>
    <w:p>
      <w:pPr>
        <w:pStyle w:val="7"/>
        <w:spacing w:before="0" w:beforeAutospacing="0" w:after="0" w:afterAutospacing="0" w:line="360" w:lineRule="auto"/>
        <w:ind w:firstLine="420"/>
        <w:rPr>
          <w:sz w:val="21"/>
          <w:szCs w:val="21"/>
        </w:rPr>
      </w:pPr>
      <w:r>
        <w:rPr>
          <w:rFonts w:hint="eastAsia"/>
          <w:sz w:val="21"/>
          <w:szCs w:val="21"/>
        </w:rPr>
        <w:t xml:space="preserve">（九）、 2022年06月18日，我公司公告了《博时基金管理有限公司关于旗下基金投资关联方承销期内承销证券的公告》； </w:t>
      </w:r>
    </w:p>
    <w:p>
      <w:pPr>
        <w:pStyle w:val="7"/>
        <w:spacing w:before="0" w:beforeAutospacing="0" w:after="0" w:afterAutospacing="0" w:line="360" w:lineRule="auto"/>
        <w:ind w:firstLine="420"/>
        <w:rPr>
          <w:sz w:val="21"/>
          <w:szCs w:val="21"/>
        </w:rPr>
      </w:pPr>
      <w:r>
        <w:rPr>
          <w:rFonts w:hint="eastAsia"/>
          <w:sz w:val="21"/>
          <w:szCs w:val="21"/>
        </w:rPr>
        <w:t xml:space="preserve">（十）、 2022年04月30日，我公司公告了《博时基金管理有限公司关于旗下基金持有的长期停牌股票调整估值方法的公告-20220430》； </w:t>
      </w:r>
    </w:p>
    <w:p>
      <w:pPr>
        <w:pStyle w:val="7"/>
        <w:spacing w:before="0" w:beforeAutospacing="0" w:after="0" w:afterAutospacing="0" w:line="360" w:lineRule="auto"/>
        <w:ind w:firstLine="420"/>
        <w:rPr>
          <w:sz w:val="21"/>
          <w:szCs w:val="21"/>
        </w:rPr>
      </w:pPr>
      <w:r>
        <w:rPr>
          <w:rFonts w:hint="eastAsia"/>
          <w:sz w:val="21"/>
          <w:szCs w:val="21"/>
        </w:rPr>
        <w:t xml:space="preserve">（十一）、 2022年04月22日，我公司公告了《博时行业轮动混合型证券投资基金2022年第1季度报告》； </w:t>
      </w:r>
    </w:p>
    <w:p>
      <w:pPr>
        <w:pStyle w:val="7"/>
        <w:spacing w:before="0" w:beforeAutospacing="0" w:after="0" w:afterAutospacing="0" w:line="360" w:lineRule="auto"/>
        <w:ind w:firstLine="420"/>
        <w:rPr>
          <w:sz w:val="21"/>
          <w:szCs w:val="21"/>
        </w:rPr>
      </w:pPr>
      <w:r>
        <w:rPr>
          <w:rFonts w:hint="eastAsia"/>
          <w:sz w:val="21"/>
          <w:szCs w:val="21"/>
        </w:rPr>
        <w:t xml:space="preserve">（十二）、 2022年03月30日，我公司公告了《博时行业轮动混合型证券投资基金2021年年度报告》； </w:t>
      </w:r>
    </w:p>
    <w:p>
      <w:pPr>
        <w:pStyle w:val="7"/>
        <w:spacing w:before="0" w:beforeAutospacing="0" w:after="0" w:afterAutospacing="0" w:line="360" w:lineRule="auto"/>
        <w:ind w:firstLine="420"/>
        <w:rPr>
          <w:sz w:val="21"/>
          <w:szCs w:val="21"/>
        </w:rPr>
      </w:pPr>
      <w:r>
        <w:rPr>
          <w:rFonts w:hint="eastAsia"/>
          <w:sz w:val="21"/>
          <w:szCs w:val="21"/>
        </w:rPr>
        <w:t xml:space="preserve">（十三）、 2022年03月14日，我公司公告了《博时基金管理有限公司关于调整直销网上交易定期投资业务影响部分定期投资计划的公告》； </w:t>
      </w:r>
    </w:p>
    <w:p>
      <w:pPr>
        <w:pStyle w:val="7"/>
        <w:spacing w:before="0" w:beforeAutospacing="0" w:after="0" w:afterAutospacing="0" w:line="360" w:lineRule="auto"/>
        <w:ind w:firstLine="420"/>
        <w:rPr>
          <w:sz w:val="21"/>
          <w:szCs w:val="21"/>
        </w:rPr>
      </w:pPr>
      <w:r>
        <w:rPr>
          <w:rFonts w:hint="eastAsia"/>
          <w:sz w:val="21"/>
          <w:szCs w:val="21"/>
        </w:rPr>
        <w:t xml:space="preserve">（十四）、 2022年02月11日，我公司公告了《博时基金管理有限公司关于部分基金在青岛农商银行直销银行开展费率优惠活动的公告》； </w:t>
      </w:r>
    </w:p>
    <w:p>
      <w:pPr>
        <w:pStyle w:val="7"/>
        <w:spacing w:before="0" w:beforeAutospacing="0" w:after="0" w:afterAutospacing="0" w:line="360" w:lineRule="auto"/>
        <w:ind w:firstLine="420"/>
        <w:rPr>
          <w:sz w:val="21"/>
          <w:szCs w:val="21"/>
        </w:rPr>
      </w:pPr>
      <w:r>
        <w:rPr>
          <w:rFonts w:hint="eastAsia"/>
          <w:sz w:val="21"/>
          <w:szCs w:val="21"/>
        </w:rPr>
        <w:t xml:space="preserve">（十五）、 2022年01月28日，我公司公告了《博时基金管理有限公司关于公司固有资金投资旗下公募基金的公告》； </w:t>
      </w:r>
    </w:p>
    <w:p>
      <w:pPr>
        <w:pStyle w:val="7"/>
        <w:spacing w:before="0" w:beforeAutospacing="0" w:after="0" w:afterAutospacing="0" w:line="360" w:lineRule="auto"/>
        <w:ind w:firstLine="420"/>
        <w:rPr>
          <w:sz w:val="21"/>
          <w:szCs w:val="21"/>
        </w:rPr>
      </w:pPr>
      <w:r>
        <w:rPr>
          <w:rFonts w:hint="eastAsia"/>
          <w:sz w:val="21"/>
          <w:szCs w:val="21"/>
        </w:rPr>
        <w:t xml:space="preserve">（十六）、 2022年01月24日，我公司公告了《博时行业轮动混合型证券投资基金2021年第4季度报告》； </w:t>
      </w:r>
    </w:p>
    <w:p>
      <w:pPr>
        <w:pStyle w:val="7"/>
        <w:spacing w:before="0" w:beforeAutospacing="0" w:after="0" w:afterAutospacing="0" w:line="360" w:lineRule="auto"/>
        <w:ind w:firstLine="420"/>
        <w:rPr>
          <w:sz w:val="21"/>
          <w:szCs w:val="21"/>
        </w:rPr>
      </w:pPr>
      <w:r>
        <w:rPr>
          <w:rFonts w:hint="eastAsia"/>
          <w:sz w:val="21"/>
          <w:szCs w:val="21"/>
        </w:rPr>
        <w:t xml:space="preserve">（十七）、 2022年01月21日，我公司公告了《博时基金管理有限公司关于旗下基金持有的长期停牌股票调整估值方法的公告-20220121》； </w:t>
      </w:r>
    </w:p>
    <w:p>
      <w:pPr>
        <w:pStyle w:val="7"/>
        <w:spacing w:before="0" w:beforeAutospacing="0" w:after="0" w:afterAutospacing="0" w:line="360" w:lineRule="auto"/>
        <w:ind w:firstLine="420"/>
        <w:rPr>
          <w:sz w:val="21"/>
          <w:szCs w:val="21"/>
        </w:rPr>
      </w:pPr>
      <w:r>
        <w:rPr>
          <w:rFonts w:hint="eastAsia"/>
          <w:sz w:val="21"/>
          <w:szCs w:val="21"/>
        </w:rPr>
        <w:t xml:space="preserve">（十八）、 2022年01月20日，我公司公告了《关于成立博时财富基金销售有限公司的公告》； </w:t>
      </w:r>
    </w:p>
    <w:p>
      <w:pPr>
        <w:pStyle w:val="7"/>
        <w:spacing w:before="0" w:beforeAutospacing="0" w:after="0" w:afterAutospacing="0" w:line="360" w:lineRule="auto"/>
        <w:ind w:firstLine="420"/>
        <w:rPr>
          <w:sz w:val="21"/>
          <w:szCs w:val="21"/>
        </w:rPr>
      </w:pPr>
      <w:r>
        <w:rPr>
          <w:rFonts w:hint="eastAsia"/>
          <w:sz w:val="21"/>
          <w:szCs w:val="21"/>
        </w:rPr>
        <w:t xml:space="preserve">（十九）、 2022年01月18日，我公司公告了《博时基金管理有限公司关于旗下基金投资关联方承销期内承销证券的公告》； </w:t>
      </w:r>
    </w:p>
    <w:p>
      <w:pPr>
        <w:pStyle w:val="7"/>
        <w:spacing w:before="0" w:beforeAutospacing="0" w:after="0" w:afterAutospacing="0" w:line="360" w:lineRule="auto"/>
        <w:ind w:firstLine="420"/>
        <w:rPr>
          <w:sz w:val="21"/>
          <w:szCs w:val="21"/>
        </w:rPr>
      </w:pPr>
      <w:r>
        <w:rPr>
          <w:rFonts w:hint="eastAsia"/>
          <w:sz w:val="21"/>
          <w:szCs w:val="21"/>
        </w:rPr>
        <w:t xml:space="preserve">（二十）、 2022年01月06日，我公司公告了《博时基金管理有限公司关于暂停使用交通银行非快捷支付服务办理直销网上交易部分业务的公告》； </w:t>
      </w:r>
    </w:p>
    <w:p>
      <w:pPr>
        <w:pStyle w:val="7"/>
        <w:spacing w:before="0" w:beforeAutospacing="0" w:after="0" w:afterAutospacing="0" w:line="360" w:lineRule="auto"/>
        <w:ind w:firstLine="420"/>
        <w:rPr>
          <w:sz w:val="21"/>
          <w:szCs w:val="21"/>
        </w:rPr>
      </w:pPr>
      <w:r>
        <w:rPr>
          <w:rFonts w:hint="eastAsia"/>
          <w:sz w:val="21"/>
          <w:szCs w:val="21"/>
        </w:rPr>
        <w:t xml:space="preserve">（二十一）、 2022年01月04日，我公司公告了《博时基金管理有限公司关于直销网上交易开通交通银行快捷开户和支付服务及费率优惠的公告》； </w:t>
      </w:r>
    </w:p>
    <w:p>
      <w:pPr>
        <w:pStyle w:val="7"/>
        <w:spacing w:before="0" w:beforeAutospacing="0" w:after="0" w:afterAutospacing="0" w:line="360" w:lineRule="auto"/>
        <w:ind w:firstLine="420"/>
        <w:rPr>
          <w:sz w:val="21"/>
          <w:szCs w:val="21"/>
        </w:rPr>
      </w:pPr>
      <w:r>
        <w:rPr>
          <w:rFonts w:hint="eastAsia"/>
          <w:sz w:val="21"/>
          <w:szCs w:val="21"/>
        </w:rPr>
        <w:t xml:space="preserve">（二十二）、 2022年01月01日，我公司公告了《博时基金管理有限公司关于对投资者在直销网上交易申购、认购及定投基金实施费率优惠的公告》、《博时基金管理有限公司关于旗下公开募集证券投资基金执行新金融工具准则的公告》； </w:t>
      </w:r>
    </w:p>
    <w:p>
      <w:pPr>
        <w:pStyle w:val="7"/>
        <w:spacing w:before="0" w:beforeAutospacing="0" w:after="0" w:afterAutospacing="0" w:line="360" w:lineRule="auto"/>
        <w:ind w:firstLine="420"/>
        <w:rPr>
          <w:sz w:val="21"/>
          <w:szCs w:val="21"/>
        </w:rPr>
      </w:pPr>
      <w:r>
        <w:rPr>
          <w:rFonts w:hint="eastAsia"/>
          <w:sz w:val="21"/>
          <w:szCs w:val="21"/>
        </w:rPr>
        <w:t xml:space="preserve">（二十三）、 2021年11月26日，我公司公告了《博时基金管理有限公司关于旗下部分公开募集证券投资基金可投资北京证券交易所股票的公告》； </w:t>
      </w:r>
    </w:p>
    <w:p>
      <w:pPr>
        <w:pStyle w:val="7"/>
        <w:spacing w:before="0" w:beforeAutospacing="0" w:after="0" w:afterAutospacing="0" w:line="360" w:lineRule="auto"/>
        <w:ind w:firstLine="420"/>
        <w:rPr>
          <w:sz w:val="21"/>
          <w:szCs w:val="21"/>
        </w:rPr>
      </w:pPr>
      <w:r>
        <w:rPr>
          <w:rFonts w:hint="eastAsia"/>
          <w:sz w:val="21"/>
          <w:szCs w:val="21"/>
        </w:rPr>
        <w:t xml:space="preserve">（二十四）、 2021年10月27日，我公司公告了《博时行业轮动混合型证券投资基金2021年第3季度报告》； </w:t>
      </w:r>
    </w:p>
    <w:p>
      <w:pPr>
        <w:pStyle w:val="7"/>
        <w:spacing w:before="0" w:beforeAutospacing="0" w:after="0" w:afterAutospacing="0" w:line="360" w:lineRule="auto"/>
        <w:ind w:firstLine="420"/>
        <w:rPr>
          <w:sz w:val="21"/>
          <w:szCs w:val="21"/>
        </w:rPr>
      </w:pPr>
      <w:r>
        <w:rPr>
          <w:rFonts w:hint="eastAsia"/>
          <w:sz w:val="21"/>
          <w:szCs w:val="21"/>
        </w:rPr>
        <w:t xml:space="preserve">（二十五）、 2021年09月30日，我公司公告了《博时基金管理有限公司关于对投资者在直销网上交易申购、认购及定投基金实施费率优惠的公告》、《博时行业轮动混合型证券投资基金更新招募说明书》； </w:t>
      </w:r>
    </w:p>
    <w:p>
      <w:pPr>
        <w:pStyle w:val="7"/>
        <w:spacing w:before="0" w:beforeAutospacing="0" w:after="0" w:afterAutospacing="0" w:line="360" w:lineRule="auto"/>
        <w:ind w:firstLine="420"/>
        <w:rPr>
          <w:sz w:val="21"/>
          <w:szCs w:val="21"/>
        </w:rPr>
      </w:pPr>
      <w:r>
        <w:rPr>
          <w:rFonts w:hint="eastAsia"/>
          <w:sz w:val="21"/>
          <w:szCs w:val="21"/>
        </w:rPr>
        <w:t xml:space="preserve">（二十六）、 2021年09月28日，我公司公告了《博时基金管理有限公司关于旗下基金持有的长期停牌股票调整估值方法的公告-20210928》； </w:t>
      </w:r>
    </w:p>
    <w:p>
      <w:pPr>
        <w:pStyle w:val="7"/>
        <w:spacing w:before="0" w:beforeAutospacing="0" w:after="0" w:afterAutospacing="0" w:line="360" w:lineRule="auto"/>
        <w:ind w:firstLine="420"/>
        <w:rPr>
          <w:sz w:val="21"/>
          <w:szCs w:val="21"/>
        </w:rPr>
      </w:pPr>
      <w:r>
        <w:rPr>
          <w:rFonts w:hint="eastAsia"/>
          <w:sz w:val="21"/>
          <w:szCs w:val="21"/>
        </w:rPr>
        <w:t>（二十七）、 2021年08月31日，我公司公告了《博时行业轮动混合型证券投资基金2021年中期报告》。</w:t>
      </w:r>
      <w:bookmarkStart w:id="208" w:name="field_0_bsrevealinfo_1_end"/>
      <w:bookmarkEnd w:id="208"/>
      <w:r>
        <w:rPr>
          <w:rFonts w:hint="eastAsia"/>
          <w:sz w:val="21"/>
          <w:szCs w:val="21"/>
        </w:rPr>
        <w:t xml:space="preserve">  </w:t>
      </w:r>
    </w:p>
    <w:p>
      <w:pPr>
        <w:widowControl/>
        <w:jc w:val="left"/>
        <w:rPr>
          <w:rFonts w:ascii="宋体" w:hAnsi="宋体" w:eastAsia="宋体"/>
        </w:rPr>
      </w:pPr>
      <w:bookmarkStart w:id="209" w:name="chapter_level1_24_3499_section_1_end"/>
      <w:bookmarkEnd w:id="209"/>
      <w:r>
        <w:rPr>
          <w:rFonts w:ascii="宋体" w:hAnsi="宋体" w:eastAsia="宋体"/>
        </w:rPr>
        <w:br w:type="page"/>
      </w:r>
    </w:p>
    <w:p>
      <w:pPr>
        <w:pStyle w:val="2"/>
        <w:jc w:val="center"/>
        <w:rPr>
          <w:rFonts w:ascii="宋体" w:hAnsi="宋体" w:eastAsia="宋体"/>
          <w:sz w:val="30"/>
        </w:rPr>
      </w:pPr>
      <w:bookmarkStart w:id="210" w:name="chapter_level1_25_77"/>
      <w:bookmarkStart w:id="211" w:name="_Toc113295511"/>
      <w:r>
        <w:rPr>
          <w:rFonts w:hint="eastAsia" w:ascii="宋体" w:hAnsi="宋体" w:eastAsia="宋体"/>
          <w:sz w:val="30"/>
        </w:rPr>
        <w:t>第二十二部分  招募说明书存放及查阅方式</w:t>
      </w:r>
      <w:bookmarkEnd w:id="210"/>
      <w:bookmarkEnd w:id="211"/>
    </w:p>
    <w:p>
      <w:pPr>
        <w:pStyle w:val="7"/>
        <w:spacing w:before="0" w:beforeAutospacing="0" w:after="0" w:afterAutospacing="0" w:line="360" w:lineRule="auto"/>
        <w:ind w:firstLine="420"/>
        <w:rPr>
          <w:sz w:val="21"/>
          <w:szCs w:val="21"/>
        </w:rPr>
      </w:pPr>
      <w:bookmarkStart w:id="212" w:name="chapter_level1_25_77_section_1"/>
      <w:bookmarkEnd w:id="212"/>
      <w:r>
        <w:rPr>
          <w:rFonts w:hint="eastAsia"/>
          <w:sz w:val="21"/>
          <w:szCs w:val="21"/>
        </w:rPr>
        <w:t xml:space="preserve">依法必须披露的信息发布后，基金管理人、基金托管人应当按照相关法律法规规定将信息置备于公司住所，以供社会公众查阅、复制；投资者在支付工本费后，可在合理时间内取得上述文件复制件或复印件。对投资者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13" w:name="chapter_level1_25_77_section_1_end"/>
      <w:bookmarkEnd w:id="213"/>
      <w:r>
        <w:rPr>
          <w:rFonts w:hint="eastAsia"/>
          <w:sz w:val="21"/>
          <w:szCs w:val="21"/>
        </w:rPr>
        <w:t xml:space="preserve">投资者还可以直接登录基金管理人的网站（www.bosera.com）查阅和下载招募说明书。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4" w:name="chapter_level1_26_332"/>
      <w:bookmarkStart w:id="215" w:name="_Toc113295512"/>
      <w:r>
        <w:rPr>
          <w:rFonts w:hint="eastAsia" w:ascii="宋体" w:hAnsi="宋体" w:eastAsia="宋体"/>
          <w:sz w:val="30"/>
        </w:rPr>
        <w:t>第二十三部分  备查文件</w:t>
      </w:r>
      <w:bookmarkEnd w:id="214"/>
      <w:bookmarkEnd w:id="215"/>
    </w:p>
    <w:p>
      <w:pPr>
        <w:pStyle w:val="7"/>
        <w:spacing w:before="0" w:beforeAutospacing="0" w:after="0" w:afterAutospacing="0" w:line="360" w:lineRule="auto"/>
        <w:ind w:firstLine="420"/>
        <w:rPr>
          <w:sz w:val="21"/>
          <w:szCs w:val="21"/>
        </w:rPr>
      </w:pPr>
      <w:bookmarkStart w:id="216" w:name="chapter_level1_26_332_section_1"/>
      <w:bookmarkEnd w:id="216"/>
      <w:r>
        <w:rPr>
          <w:rFonts w:hint="eastAsia"/>
          <w:sz w:val="21"/>
          <w:szCs w:val="21"/>
        </w:rPr>
        <w:t xml:space="preserve">以下备查文件存放在基金管理人的办公场所，在办公时间可供免费查阅。  </w:t>
      </w:r>
    </w:p>
    <w:p>
      <w:pPr>
        <w:pStyle w:val="7"/>
        <w:spacing w:before="0" w:beforeAutospacing="0" w:after="0" w:afterAutospacing="0" w:line="360" w:lineRule="auto"/>
        <w:ind w:firstLine="420"/>
        <w:rPr>
          <w:sz w:val="21"/>
          <w:szCs w:val="21"/>
        </w:rPr>
      </w:pPr>
      <w:r>
        <w:rPr>
          <w:rFonts w:hint="eastAsia"/>
          <w:sz w:val="21"/>
          <w:szCs w:val="21"/>
        </w:rPr>
        <w:t>（一）中国证监会批准</w:t>
      </w:r>
      <w:bookmarkStart w:id="217" w:name="field_0_productfullname_11"/>
      <w:r>
        <w:rPr>
          <w:rFonts w:hint="eastAsia"/>
          <w:sz w:val="21"/>
          <w:szCs w:val="21"/>
        </w:rPr>
        <w:t>博时行业轮动混合型证券投资基金</w:t>
      </w:r>
      <w:bookmarkEnd w:id="217"/>
      <w:r>
        <w:rPr>
          <w:rFonts w:hint="eastAsia"/>
          <w:sz w:val="21"/>
          <w:szCs w:val="21"/>
        </w:rPr>
        <w:t xml:space="preserve">募集的文件 </w:t>
      </w:r>
    </w:p>
    <w:p>
      <w:pPr>
        <w:pStyle w:val="7"/>
        <w:spacing w:before="0" w:beforeAutospacing="0" w:after="0" w:afterAutospacing="0" w:line="360" w:lineRule="auto"/>
        <w:ind w:firstLine="420"/>
        <w:rPr>
          <w:sz w:val="21"/>
          <w:szCs w:val="21"/>
        </w:rPr>
      </w:pPr>
      <w:r>
        <w:rPr>
          <w:rFonts w:hint="eastAsia"/>
          <w:sz w:val="21"/>
          <w:szCs w:val="21"/>
        </w:rPr>
        <w:t>（二）《</w:t>
      </w:r>
      <w:bookmarkStart w:id="218" w:name="field_0_productfullname_12"/>
      <w:r>
        <w:rPr>
          <w:rFonts w:hint="eastAsia"/>
          <w:sz w:val="21"/>
          <w:szCs w:val="21"/>
        </w:rPr>
        <w:t>博时行业轮动混合型证券投资基金</w:t>
      </w:r>
      <w:bookmarkEnd w:id="218"/>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（三）《</w:t>
      </w:r>
      <w:bookmarkStart w:id="219" w:name="field_0_productfullname_13"/>
      <w:r>
        <w:rPr>
          <w:rFonts w:hint="eastAsia"/>
          <w:sz w:val="21"/>
          <w:szCs w:val="21"/>
        </w:rPr>
        <w:t>博时行业轮动混合型证券投资基金</w:t>
      </w:r>
      <w:bookmarkEnd w:id="219"/>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（四）基金管理人业务资格批件、营业执照和公司章程 </w:t>
      </w:r>
    </w:p>
    <w:p>
      <w:pPr>
        <w:pStyle w:val="7"/>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（六）关于申请募集</w:t>
      </w:r>
      <w:bookmarkStart w:id="220" w:name="field_0_productfullname_14"/>
      <w:r>
        <w:rPr>
          <w:rFonts w:hint="eastAsia"/>
          <w:sz w:val="21"/>
          <w:szCs w:val="21"/>
        </w:rPr>
        <w:t>博时行业轮动混合型证券投资基金</w:t>
      </w:r>
      <w:bookmarkEnd w:id="220"/>
      <w:r>
        <w:rPr>
          <w:rFonts w:hint="eastAsia"/>
          <w:sz w:val="21"/>
          <w:szCs w:val="21"/>
        </w:rPr>
        <w:t xml:space="preserve">之法律意见书 </w:t>
      </w:r>
    </w:p>
    <w:p>
      <w:pPr>
        <w:pStyle w:val="7"/>
        <w:spacing w:before="0" w:beforeAutospacing="0" w:after="0" w:afterAutospacing="0" w:line="360" w:lineRule="auto"/>
        <w:ind w:firstLine="420"/>
        <w:rPr>
          <w:sz w:val="21"/>
          <w:szCs w:val="21"/>
        </w:rPr>
      </w:pPr>
      <w:r>
        <w:rPr>
          <w:rFonts w:hint="eastAsia"/>
          <w:sz w:val="21"/>
          <w:szCs w:val="21"/>
        </w:rPr>
        <w:t xml:space="preserve">（七）中国证监会要求的其他文件 </w:t>
      </w:r>
    </w:p>
    <w:p>
      <w:pPr>
        <w:pStyle w:val="7"/>
        <w:spacing w:before="0" w:beforeAutospacing="0" w:after="0" w:afterAutospacing="0" w:line="360" w:lineRule="auto"/>
        <w:ind w:firstLine="420"/>
        <w:rPr>
          <w:sz w:val="21"/>
          <w:szCs w:val="21"/>
        </w:rPr>
      </w:pPr>
      <w:r>
        <w:rPr>
          <w:rFonts w:hint="eastAsia"/>
          <w:sz w:val="21"/>
          <w:szCs w:val="21"/>
        </w:rPr>
        <w:t xml:space="preserve">存放地点：基金管理人处 </w:t>
      </w:r>
    </w:p>
    <w:p>
      <w:pPr>
        <w:pStyle w:val="7"/>
        <w:spacing w:before="0" w:beforeAutospacing="0" w:after="0" w:afterAutospacing="0" w:line="360" w:lineRule="auto"/>
        <w:ind w:firstLine="420"/>
        <w:rPr>
          <w:sz w:val="21"/>
          <w:szCs w:val="21"/>
        </w:rPr>
      </w:pPr>
      <w:r>
        <w:rPr>
          <w:rFonts w:hint="eastAsia"/>
          <w:sz w:val="21"/>
          <w:szCs w:val="21"/>
        </w:rPr>
        <w:t xml:space="preserve">查阅方式：投资者可在营业时间免费查阅，也可按工本费购买复印件 。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bookmarkStart w:id="225" w:name="_GoBack"/>
      <w:bookmarkEnd w:id="225"/>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21" w:name="field_0_managerorgfullname_7"/>
      <w:r>
        <w:rPr>
          <w:rFonts w:hint="eastAsia"/>
          <w:sz w:val="21"/>
          <w:szCs w:val="21"/>
        </w:rPr>
        <w:t>博时基金管理有限公司</w:t>
      </w:r>
      <w:bookmarkEnd w:id="221"/>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22" w:name="chapter_level1_26_332_section_1_end"/>
      <w:bookmarkEnd w:id="222"/>
      <w:bookmarkStart w:id="223" w:name="field_0_commitmenttime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lang w:val="en-US" w:eastAsia="zh-CN"/>
        </w:rPr>
        <w:t>10</w:t>
      </w:r>
      <w:r>
        <w:rPr>
          <w:sz w:val="21"/>
          <w:szCs w:val="21"/>
        </w:rPr>
        <w:t>日</w:t>
      </w:r>
      <w:bookmarkEnd w:id="223"/>
      <w:r>
        <w:rPr>
          <w:rFonts w:hint="eastAsia"/>
          <w:sz w:val="21"/>
          <w:szCs w:val="21"/>
        </w:rPr>
        <w:t xml:space="preserve">  </w:t>
      </w:r>
    </w:p>
    <w:p>
      <w:pPr>
        <w:rPr>
          <w:rFonts w:ascii="宋体" w:hAnsi="宋体" w:eastAsia="宋体"/>
        </w:rPr>
      </w:pPr>
      <w:bookmarkStart w:id="224" w:name="end"/>
      <w:bookmarkEnd w:id="224"/>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157</w:t>
    </w:r>
    <w:r>
      <w:fldChar w:fldCharType="end"/>
    </w:r>
    <w:r>
      <w:rPr>
        <w:rFonts w:hint="eastAsia"/>
      </w:rPr>
      <w:t>页 共</w:t>
    </w:r>
    <w:r>
      <w:fldChar w:fldCharType="begin"/>
    </w:r>
    <w:r>
      <w:instrText xml:space="preserve"> NumPages \* MERGEFORMAT </w:instrText>
    </w:r>
    <w:r>
      <w:fldChar w:fldCharType="separate"/>
    </w:r>
    <w:r>
      <w:t>157</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博时行业轮动混合型证券投资基金更新招募说明书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8A"/>
    <w:rsid w:val="00237698"/>
    <w:rsid w:val="00335218"/>
    <w:rsid w:val="00343129"/>
    <w:rsid w:val="0050438C"/>
    <w:rsid w:val="00815F1D"/>
    <w:rsid w:val="00834150"/>
    <w:rsid w:val="008D4346"/>
    <w:rsid w:val="00D56E8A"/>
    <w:rsid w:val="0C63428E"/>
    <w:rsid w:val="194470EE"/>
    <w:rsid w:val="26220E04"/>
    <w:rsid w:val="33845C82"/>
    <w:rsid w:val="56A445BE"/>
    <w:rsid w:val="5FD01F5E"/>
    <w:rsid w:val="60166238"/>
    <w:rsid w:val="7D2B59F3"/>
    <w:rsid w:val="7F3A2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2"/>
    <w:semiHidden/>
    <w:unhideWhenUsed/>
    <w:qFormat/>
    <w:uiPriority w:val="99"/>
    <w:rPr>
      <w:sz w:val="18"/>
      <w:szCs w:val="18"/>
    </w:rPr>
  </w:style>
  <w:style w:type="paragraph" w:styleId="4">
    <w:name w:val="footer"/>
    <w:basedOn w:val="1"/>
    <w:link w:val="21"/>
    <w:unhideWhenUsed/>
    <w:qFormat/>
    <w:uiPriority w:val="99"/>
    <w:pPr>
      <w:tabs>
        <w:tab w:val="center" w:pos="4153"/>
        <w:tab w:val="right" w:pos="8306"/>
      </w:tabs>
      <w:snapToGrid w:val="0"/>
      <w:jc w:val="left"/>
    </w:pPr>
    <w:rPr>
      <w:sz w:val="18"/>
      <w:szCs w:val="18"/>
    </w:rPr>
  </w:style>
  <w:style w:type="paragraph" w:styleId="5">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rPr>
      <w:color w:val="D70C19"/>
    </w:rPr>
  </w:style>
  <w:style w:type="character" w:styleId="14">
    <w:name w:val="HTML Definition"/>
    <w:basedOn w:val="10"/>
    <w:semiHidden/>
    <w:unhideWhenUsed/>
    <w:qFormat/>
    <w:uiPriority w:val="99"/>
    <w:rPr>
      <w:i/>
      <w:iCs/>
    </w:rPr>
  </w:style>
  <w:style w:type="character" w:styleId="15">
    <w:name w:val="Hyperlink"/>
    <w:basedOn w:val="10"/>
    <w:unhideWhenUsed/>
    <w:qFormat/>
    <w:uiPriority w:val="99"/>
    <w:rPr>
      <w:color w:val="0000FF"/>
      <w:u w:val="single"/>
    </w:rPr>
  </w:style>
  <w:style w:type="character" w:styleId="16">
    <w:name w:val="HTML Code"/>
    <w:basedOn w:val="10"/>
    <w:semiHidden/>
    <w:unhideWhenUsed/>
    <w:qFormat/>
    <w:uiPriority w:val="99"/>
    <w:rPr>
      <w:rFonts w:ascii="monospace" w:hAnsi="monospace" w:eastAsia="monospace" w:cs="monospace"/>
      <w:sz w:val="21"/>
      <w:szCs w:val="21"/>
    </w:rPr>
  </w:style>
  <w:style w:type="character" w:styleId="17">
    <w:name w:val="HTML Keyboard"/>
    <w:basedOn w:val="10"/>
    <w:semiHidden/>
    <w:unhideWhenUsed/>
    <w:qFormat/>
    <w:uiPriority w:val="99"/>
    <w:rPr>
      <w:rFonts w:hint="default" w:ascii="monospace" w:hAnsi="monospace" w:eastAsia="monospace" w:cs="monospace"/>
      <w:sz w:val="21"/>
      <w:szCs w:val="21"/>
    </w:rPr>
  </w:style>
  <w:style w:type="character" w:styleId="18">
    <w:name w:val="HTML Sample"/>
    <w:basedOn w:val="10"/>
    <w:semiHidden/>
    <w:unhideWhenUsed/>
    <w:qFormat/>
    <w:uiPriority w:val="99"/>
    <w:rPr>
      <w:rFonts w:hint="default" w:ascii="monospace" w:hAnsi="monospace" w:eastAsia="monospace" w:cs="monospace"/>
      <w:sz w:val="21"/>
      <w:szCs w:val="21"/>
    </w:rPr>
  </w:style>
  <w:style w:type="character" w:customStyle="1" w:styleId="19">
    <w:name w:val="标题 2 字符"/>
    <w:basedOn w:val="10"/>
    <w:link w:val="2"/>
    <w:qFormat/>
    <w:uiPriority w:val="9"/>
    <w:rPr>
      <w:rFonts w:asciiTheme="majorHAnsi" w:hAnsiTheme="majorHAnsi" w:eastAsiaTheme="majorEastAsia" w:cstheme="majorBidi"/>
      <w:b/>
      <w:bCs/>
      <w:sz w:val="32"/>
      <w:szCs w:val="32"/>
    </w:rPr>
  </w:style>
  <w:style w:type="character" w:customStyle="1" w:styleId="20">
    <w:name w:val="页眉 字符"/>
    <w:basedOn w:val="10"/>
    <w:link w:val="5"/>
    <w:qFormat/>
    <w:uiPriority w:val="99"/>
    <w:rPr>
      <w:sz w:val="18"/>
      <w:szCs w:val="18"/>
    </w:rPr>
  </w:style>
  <w:style w:type="character" w:customStyle="1" w:styleId="21">
    <w:name w:val="页脚 字符"/>
    <w:basedOn w:val="10"/>
    <w:link w:val="4"/>
    <w:qFormat/>
    <w:uiPriority w:val="99"/>
    <w:rPr>
      <w:sz w:val="18"/>
      <w:szCs w:val="18"/>
    </w:rPr>
  </w:style>
  <w:style w:type="character" w:customStyle="1" w:styleId="22">
    <w:name w:val="批注框文本 字符"/>
    <w:basedOn w:val="10"/>
    <w:link w:val="3"/>
    <w:semiHidden/>
    <w:qFormat/>
    <w:uiPriority w:val="99"/>
    <w:rPr>
      <w:sz w:val="18"/>
      <w:szCs w:val="18"/>
    </w:rPr>
  </w:style>
  <w:style w:type="character" w:customStyle="1" w:styleId="23">
    <w:name w:val="error"/>
    <w:basedOn w:val="10"/>
    <w:qFormat/>
    <w:uiPriority w:val="0"/>
  </w:style>
  <w:style w:type="character" w:customStyle="1" w:styleId="24">
    <w:name w:val="error1"/>
    <w:basedOn w:val="10"/>
    <w:qFormat/>
    <w:uiPriority w:val="0"/>
  </w:style>
  <w:style w:type="character" w:customStyle="1" w:styleId="25">
    <w:name w:val="error2"/>
    <w:basedOn w:val="10"/>
    <w:qFormat/>
    <w:uiPriority w:val="0"/>
    <w:rPr>
      <w:color w:val="D70C19"/>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157</Pages>
  <Words>18457</Words>
  <Characters>105209</Characters>
  <Lines>876</Lines>
  <Paragraphs>246</Paragraphs>
  <TotalTime>2</TotalTime>
  <ScaleCrop>false</ScaleCrop>
  <LinksUpToDate>false</LinksUpToDate>
  <CharactersWithSpaces>123420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2022-09-05T10:37:00Z</dcterms:created>
  <dc:creator>BSKMadminDev</dc:creator>
  <cp:lastModifiedBy>Liwen Xiao</cp:lastModifiedBy>
  <dcterms:modified xsi:type="dcterms:W3CDTF">2023-07-08T14:08:20Z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52D77DEB2DDD4129A0220017121792F6</vt:lpwstr>
  </property>
</Properties>
</file>