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博时特许价值混合型证券投资基金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中国建设银行股份有限公司</w:t>
      </w:r>
      <w:r>
        <w:rPr>
          <w:rFonts w:ascii="宋体" w:hAnsi="宋体" w:eastAsia="宋体"/>
          <w:b/>
          <w:sz w:val="30"/>
        </w:rPr>
        <w:br w:type="page"/>
      </w:r>
    </w:p>
    <w:p>
      <w:pPr>
        <w:pStyle w:val="2"/>
        <w:jc w:val="center"/>
        <w:rPr>
          <w:rFonts w:ascii="宋体" w:hAnsi="宋体" w:eastAsia="宋体"/>
          <w:sz w:val="30"/>
        </w:rPr>
      </w:pPr>
      <w:bookmarkStart w:id="0" w:name="_Toc113564297"/>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本基金经</w:t>
      </w:r>
      <w:bookmarkStart w:id="1" w:name="field_2343_approveddate_1"/>
      <w:r>
        <w:rPr>
          <w:sz w:val="21"/>
          <w:szCs w:val="21"/>
        </w:rPr>
        <w:t>2008年3月28日</w:t>
      </w:r>
      <w:bookmarkEnd w:id="1"/>
      <w:r>
        <w:rPr>
          <w:rFonts w:hint="eastAsia"/>
          <w:sz w:val="21"/>
          <w:szCs w:val="21"/>
        </w:rPr>
        <w:t>中国证券监督管理委员会证监许可</w:t>
      </w:r>
      <w:bookmarkStart w:id="2" w:name="field_2343_lotnumber_1"/>
      <w:r>
        <w:rPr>
          <w:sz w:val="21"/>
          <w:szCs w:val="21"/>
        </w:rPr>
        <w:t>[2008]450</w:t>
      </w:r>
      <w:bookmarkEnd w:id="2"/>
      <w:r>
        <w:rPr>
          <w:rFonts w:hint="eastAsia"/>
          <w:sz w:val="21"/>
          <w:szCs w:val="21"/>
        </w:rPr>
        <w:t xml:space="preserve">号文核准募集。 </w:t>
      </w:r>
    </w:p>
    <w:p>
      <w:pPr>
        <w:pStyle w:val="7"/>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经中国证监会审核同意，但中国证监会对本基金作出的任何决定，均不表明其对本基金的价值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等等。投资有风险，投资人认购（或申购）基金时应认真阅读请仔细阅读本基金的《招募说明书》《基金合同》及基金产品资料概要等信息披露文件。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 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勤勉尽责的原则管理和运用基金财产，但不保证投资本基金一定盈利，也不保证基金份额持有人的最低收益；因基金价格可升可跌，亦不保证基金份额持有人能全数取回其原本投资。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投资有风险，投资人在认购（或申购）本基金前应认真阅读本招募说明书。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过往业绩并不代表将来业绩。基金管理人管理的其他基金的业绩并不构成新基金业绩表现的保证。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3"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3"/>
      <w:r>
        <w:rPr>
          <w:rFonts w:hint="eastAsia"/>
          <w:sz w:val="21"/>
          <w:szCs w:val="21"/>
        </w:rPr>
        <w:t>，有关财务数据和净值表现截止日为</w:t>
      </w:r>
      <w:bookmarkStart w:id="4" w:name="field_2343_financeendday_1"/>
      <w:r>
        <w:rPr>
          <w:sz w:val="21"/>
          <w:szCs w:val="21"/>
        </w:rPr>
        <w:t>2022年6月30日</w:t>
      </w:r>
      <w:bookmarkEnd w:id="4"/>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"_Toc113564297" </w:instrText>
      </w:r>
      <w:r>
        <w:fldChar w:fldCharType="separate"/>
      </w:r>
      <w:r>
        <w:rPr>
          <w:rStyle w:val="15"/>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_Toc113564297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"_Toc113564298" </w:instrText>
      </w:r>
      <w:r>
        <w:fldChar w:fldCharType="separate"/>
      </w:r>
      <w:r>
        <w:rPr>
          <w:rStyle w:val="15"/>
          <w:rFonts w:hint="eastAsia" w:ascii="宋体" w:hAnsi="宋体" w:eastAsia="宋体"/>
          <w:u w:val="none"/>
        </w:rPr>
        <w:t>第一部分</w:t>
      </w:r>
      <w:r>
        <w:rPr>
          <w:rStyle w:val="15"/>
          <w:rFonts w:ascii="宋体" w:hAnsi="宋体" w:eastAsia="宋体"/>
          <w:u w:val="none"/>
        </w:rPr>
        <w:t xml:space="preserve">  </w:t>
      </w:r>
      <w:r>
        <w:rPr>
          <w:rStyle w:val="15"/>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_Toc113564298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"_Toc113564299" </w:instrText>
      </w:r>
      <w:r>
        <w:fldChar w:fldCharType="separate"/>
      </w:r>
      <w:r>
        <w:rPr>
          <w:rStyle w:val="15"/>
          <w:rFonts w:hint="eastAsia" w:ascii="宋体" w:hAnsi="宋体" w:eastAsia="宋体"/>
          <w:u w:val="none"/>
        </w:rPr>
        <w:t>第二部分</w:t>
      </w:r>
      <w:r>
        <w:rPr>
          <w:rStyle w:val="15"/>
          <w:rFonts w:ascii="宋体" w:hAnsi="宋体" w:eastAsia="宋体"/>
          <w:u w:val="none"/>
        </w:rPr>
        <w:t xml:space="preserve">  </w:t>
      </w:r>
      <w:r>
        <w:rPr>
          <w:rStyle w:val="15"/>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_Toc113564299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"_Toc113564300" </w:instrText>
      </w:r>
      <w:r>
        <w:fldChar w:fldCharType="separate"/>
      </w:r>
      <w:r>
        <w:rPr>
          <w:rStyle w:val="15"/>
          <w:rFonts w:hint="eastAsia" w:ascii="宋体" w:hAnsi="宋体" w:eastAsia="宋体"/>
          <w:u w:val="none"/>
        </w:rPr>
        <w:t>第三部分</w:t>
      </w:r>
      <w:r>
        <w:rPr>
          <w:rStyle w:val="15"/>
          <w:rFonts w:ascii="宋体" w:hAnsi="宋体" w:eastAsia="宋体"/>
          <w:u w:val="none"/>
        </w:rPr>
        <w:t xml:space="preserve">  </w:t>
      </w:r>
      <w:r>
        <w:rPr>
          <w:rStyle w:val="15"/>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_Toc113564300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"_Toc113564301" </w:instrText>
      </w:r>
      <w:r>
        <w:fldChar w:fldCharType="separate"/>
      </w:r>
      <w:r>
        <w:rPr>
          <w:rStyle w:val="15"/>
          <w:rFonts w:hint="eastAsia" w:ascii="宋体" w:hAnsi="宋体" w:eastAsia="宋体"/>
          <w:u w:val="none"/>
        </w:rPr>
        <w:t>第四部分</w:t>
      </w:r>
      <w:r>
        <w:rPr>
          <w:rStyle w:val="15"/>
          <w:rFonts w:ascii="宋体" w:hAnsi="宋体" w:eastAsia="宋体"/>
          <w:u w:val="none"/>
        </w:rPr>
        <w:t xml:space="preserve">  </w:t>
      </w:r>
      <w:r>
        <w:rPr>
          <w:rStyle w:val="15"/>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_Toc113564301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"_Toc113564302" </w:instrText>
      </w:r>
      <w:r>
        <w:fldChar w:fldCharType="separate"/>
      </w:r>
      <w:r>
        <w:rPr>
          <w:rStyle w:val="15"/>
          <w:rFonts w:hint="eastAsia" w:ascii="宋体" w:hAnsi="宋体" w:eastAsia="宋体"/>
          <w:u w:val="none"/>
        </w:rPr>
        <w:t>第五部分</w:t>
      </w:r>
      <w:r>
        <w:rPr>
          <w:rStyle w:val="15"/>
          <w:rFonts w:ascii="宋体" w:hAnsi="宋体" w:eastAsia="宋体"/>
          <w:u w:val="none"/>
        </w:rPr>
        <w:t xml:space="preserve">  </w:t>
      </w:r>
      <w:r>
        <w:rPr>
          <w:rStyle w:val="15"/>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_Toc113564302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"_Toc113564303" </w:instrText>
      </w:r>
      <w:r>
        <w:fldChar w:fldCharType="separate"/>
      </w:r>
      <w:r>
        <w:rPr>
          <w:rStyle w:val="15"/>
          <w:rFonts w:hint="eastAsia" w:ascii="宋体" w:hAnsi="宋体" w:eastAsia="宋体"/>
          <w:u w:val="none"/>
        </w:rPr>
        <w:t>第六部分</w:t>
      </w:r>
      <w:r>
        <w:rPr>
          <w:rStyle w:val="15"/>
          <w:rFonts w:ascii="宋体" w:hAnsi="宋体" w:eastAsia="宋体"/>
          <w:u w:val="none"/>
        </w:rPr>
        <w:t xml:space="preserve"> </w:t>
      </w:r>
      <w:r>
        <w:rPr>
          <w:rStyle w:val="15"/>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_Toc113564303 \h </w:instrText>
      </w:r>
      <w:r>
        <w:rPr>
          <w:rFonts w:ascii="宋体" w:hAnsi="宋体" w:eastAsia="宋体"/>
        </w:rPr>
        <w:fldChar w:fldCharType="separate"/>
      </w:r>
      <w:r>
        <w:rPr>
          <w:rFonts w:ascii="宋体" w:hAnsi="宋体" w:eastAsia="宋体"/>
        </w:rPr>
        <w:t>79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"_Toc113564304" </w:instrText>
      </w:r>
      <w:r>
        <w:fldChar w:fldCharType="separate"/>
      </w:r>
      <w:r>
        <w:rPr>
          <w:rStyle w:val="15"/>
          <w:rFonts w:hint="eastAsia" w:ascii="宋体" w:hAnsi="宋体" w:eastAsia="宋体"/>
          <w:u w:val="none"/>
        </w:rPr>
        <w:t>第七部分</w:t>
      </w:r>
      <w:r>
        <w:rPr>
          <w:rStyle w:val="15"/>
          <w:rFonts w:ascii="宋体" w:hAnsi="宋体" w:eastAsia="宋体"/>
          <w:u w:val="none"/>
        </w:rPr>
        <w:t xml:space="preserve">  </w:t>
      </w:r>
      <w:r>
        <w:rPr>
          <w:rStyle w:val="15"/>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_Toc113564304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"_Toc113564305" </w:instrText>
      </w:r>
      <w:r>
        <w:fldChar w:fldCharType="separate"/>
      </w:r>
      <w:r>
        <w:rPr>
          <w:rStyle w:val="15"/>
          <w:rFonts w:hint="eastAsia" w:ascii="宋体" w:hAnsi="宋体" w:eastAsia="宋体"/>
          <w:u w:val="none"/>
        </w:rPr>
        <w:t>第八部分</w:t>
      </w:r>
      <w:r>
        <w:rPr>
          <w:rStyle w:val="15"/>
          <w:rFonts w:ascii="宋体" w:hAnsi="宋体" w:eastAsia="宋体"/>
          <w:u w:val="none"/>
        </w:rPr>
        <w:t xml:space="preserve">  </w:t>
      </w:r>
      <w:r>
        <w:rPr>
          <w:rStyle w:val="15"/>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_Toc113564305 \h </w:instrText>
      </w:r>
      <w:r>
        <w:rPr>
          <w:rFonts w:ascii="宋体" w:hAnsi="宋体" w:eastAsia="宋体"/>
        </w:rPr>
        <w:fldChar w:fldCharType="separate"/>
      </w:r>
      <w:r>
        <w:rPr>
          <w:rFonts w:ascii="宋体" w:hAnsi="宋体" w:eastAsia="宋体"/>
        </w:rPr>
        <w:t>92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"_Toc113564306" </w:instrText>
      </w:r>
      <w:r>
        <w:fldChar w:fldCharType="separate"/>
      </w:r>
      <w:r>
        <w:rPr>
          <w:rStyle w:val="15"/>
          <w:rFonts w:hint="eastAsia" w:ascii="宋体" w:hAnsi="宋体" w:eastAsia="宋体"/>
          <w:u w:val="none"/>
        </w:rPr>
        <w:t>第九部分</w:t>
      </w:r>
      <w:r>
        <w:rPr>
          <w:rStyle w:val="15"/>
          <w:rFonts w:ascii="宋体" w:hAnsi="宋体" w:eastAsia="宋体"/>
          <w:u w:val="none"/>
        </w:rPr>
        <w:t xml:space="preserve"> </w:t>
      </w:r>
      <w:r>
        <w:rPr>
          <w:rStyle w:val="15"/>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_Toc113564306 \h </w:instrText>
      </w:r>
      <w:r>
        <w:rPr>
          <w:rFonts w:ascii="宋体" w:hAnsi="宋体" w:eastAsia="宋体"/>
        </w:rPr>
        <w:fldChar w:fldCharType="separate"/>
      </w:r>
      <w:r>
        <w:rPr>
          <w:rFonts w:ascii="宋体" w:hAnsi="宋体" w:eastAsia="宋体"/>
        </w:rPr>
        <w:t>105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"_Toc113564307" </w:instrText>
      </w:r>
      <w:r>
        <w:fldChar w:fldCharType="separate"/>
      </w:r>
      <w:r>
        <w:rPr>
          <w:rStyle w:val="15"/>
          <w:rFonts w:hint="eastAsia" w:ascii="宋体" w:hAnsi="宋体" w:eastAsia="宋体"/>
          <w:u w:val="none"/>
        </w:rPr>
        <w:t>第十部分</w:t>
      </w:r>
      <w:r>
        <w:rPr>
          <w:rStyle w:val="15"/>
          <w:rFonts w:ascii="宋体" w:hAnsi="宋体" w:eastAsia="宋体"/>
          <w:u w:val="none"/>
        </w:rPr>
        <w:t xml:space="preserve">  </w:t>
      </w:r>
      <w:r>
        <w:rPr>
          <w:rStyle w:val="15"/>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_Toc113564307 \h </w:instrText>
      </w:r>
      <w:r>
        <w:rPr>
          <w:rFonts w:ascii="宋体" w:hAnsi="宋体" w:eastAsia="宋体"/>
        </w:rPr>
        <w:fldChar w:fldCharType="separate"/>
      </w:r>
      <w:r>
        <w:rPr>
          <w:rFonts w:ascii="宋体" w:hAnsi="宋体" w:eastAsia="宋体"/>
        </w:rPr>
        <w:t>107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"_Toc113564308" </w:instrText>
      </w:r>
      <w:r>
        <w:fldChar w:fldCharType="separate"/>
      </w:r>
      <w:r>
        <w:rPr>
          <w:rStyle w:val="15"/>
          <w:rFonts w:hint="eastAsia" w:ascii="宋体" w:hAnsi="宋体" w:eastAsia="宋体"/>
          <w:u w:val="none"/>
        </w:rPr>
        <w:t>第十一部分</w:t>
      </w:r>
      <w:r>
        <w:rPr>
          <w:rStyle w:val="15"/>
          <w:rFonts w:ascii="宋体" w:hAnsi="宋体" w:eastAsia="宋体"/>
          <w:u w:val="none"/>
        </w:rPr>
        <w:t xml:space="preserve">  </w:t>
      </w:r>
      <w:r>
        <w:rPr>
          <w:rStyle w:val="15"/>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_Toc113564308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"_Toc113564309" </w:instrText>
      </w:r>
      <w:r>
        <w:fldChar w:fldCharType="separate"/>
      </w:r>
      <w:r>
        <w:rPr>
          <w:rStyle w:val="15"/>
          <w:rFonts w:hint="eastAsia" w:ascii="宋体" w:hAnsi="宋体" w:eastAsia="宋体"/>
          <w:u w:val="none"/>
        </w:rPr>
        <w:t>第十二部分</w:t>
      </w:r>
      <w:r>
        <w:rPr>
          <w:rStyle w:val="15"/>
          <w:rFonts w:ascii="宋体" w:hAnsi="宋体" w:eastAsia="宋体"/>
          <w:u w:val="none"/>
        </w:rPr>
        <w:t xml:space="preserve">  </w:t>
      </w:r>
      <w:r>
        <w:rPr>
          <w:rStyle w:val="15"/>
          <w:rFonts w:hint="eastAsia" w:ascii="宋体" w:hAnsi="宋体" w:eastAsia="宋体"/>
          <w:u w:val="none"/>
        </w:rPr>
        <w:t>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_Toc113564309 \h </w:instrText>
      </w:r>
      <w:r>
        <w:rPr>
          <w:rFonts w:ascii="宋体" w:hAnsi="宋体" w:eastAsia="宋体"/>
        </w:rPr>
        <w:fldChar w:fldCharType="separate"/>
      </w:r>
      <w:r>
        <w:rPr>
          <w:rFonts w:ascii="宋体" w:hAnsi="宋体" w:eastAsia="宋体"/>
        </w:rPr>
        <w:t>114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"_Toc113564310" </w:instrText>
      </w:r>
      <w:r>
        <w:fldChar w:fldCharType="separate"/>
      </w:r>
      <w:r>
        <w:rPr>
          <w:rStyle w:val="15"/>
          <w:rFonts w:hint="eastAsia" w:ascii="宋体" w:hAnsi="宋体" w:eastAsia="宋体"/>
          <w:u w:val="none"/>
        </w:rPr>
        <w:t>第十三部分</w:t>
      </w:r>
      <w:r>
        <w:rPr>
          <w:rStyle w:val="15"/>
          <w:rFonts w:ascii="宋体" w:hAnsi="宋体" w:eastAsia="宋体"/>
          <w:u w:val="none"/>
        </w:rPr>
        <w:t xml:space="preserve">  </w:t>
      </w:r>
      <w:r>
        <w:rPr>
          <w:rStyle w:val="15"/>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_Toc113564310 \h </w:instrText>
      </w:r>
      <w:r>
        <w:rPr>
          <w:rFonts w:ascii="宋体" w:hAnsi="宋体" w:eastAsia="宋体"/>
        </w:rPr>
        <w:fldChar w:fldCharType="separate"/>
      </w:r>
      <w:r>
        <w:rPr>
          <w:rFonts w:ascii="宋体" w:hAnsi="宋体" w:eastAsia="宋体"/>
        </w:rPr>
        <w:t>116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"_Toc113564311" </w:instrText>
      </w:r>
      <w:r>
        <w:fldChar w:fldCharType="separate"/>
      </w:r>
      <w:r>
        <w:rPr>
          <w:rStyle w:val="15"/>
          <w:rFonts w:hint="eastAsia" w:ascii="宋体" w:hAnsi="宋体" w:eastAsia="宋体"/>
          <w:u w:val="none"/>
        </w:rPr>
        <w:t>第十四部分</w:t>
      </w:r>
      <w:r>
        <w:rPr>
          <w:rStyle w:val="15"/>
          <w:rFonts w:ascii="宋体" w:hAnsi="宋体" w:eastAsia="宋体"/>
          <w:u w:val="none"/>
        </w:rPr>
        <w:t xml:space="preserve">  </w:t>
      </w:r>
      <w:r>
        <w:rPr>
          <w:rStyle w:val="15"/>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_Toc113564311 \h </w:instrText>
      </w:r>
      <w:r>
        <w:rPr>
          <w:rFonts w:ascii="宋体" w:hAnsi="宋体" w:eastAsia="宋体"/>
        </w:rPr>
        <w:fldChar w:fldCharType="separate"/>
      </w:r>
      <w:r>
        <w:rPr>
          <w:rFonts w:ascii="宋体" w:hAnsi="宋体" w:eastAsia="宋体"/>
        </w:rPr>
        <w:t>118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"_Toc113564312" </w:instrText>
      </w:r>
      <w:r>
        <w:fldChar w:fldCharType="separate"/>
      </w:r>
      <w:r>
        <w:rPr>
          <w:rStyle w:val="15"/>
          <w:rFonts w:hint="eastAsia" w:ascii="宋体" w:hAnsi="宋体" w:eastAsia="宋体"/>
          <w:u w:val="none"/>
        </w:rPr>
        <w:t>第十五部分</w:t>
      </w:r>
      <w:r>
        <w:rPr>
          <w:rStyle w:val="15"/>
          <w:rFonts w:ascii="宋体" w:hAnsi="宋体" w:eastAsia="宋体"/>
          <w:u w:val="none"/>
        </w:rPr>
        <w:t xml:space="preserve">  </w:t>
      </w:r>
      <w:r>
        <w:rPr>
          <w:rStyle w:val="15"/>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_Toc113564312 \h </w:instrText>
      </w:r>
      <w:r>
        <w:rPr>
          <w:rFonts w:ascii="宋体" w:hAnsi="宋体" w:eastAsia="宋体"/>
        </w:rPr>
        <w:fldChar w:fldCharType="separate"/>
      </w:r>
      <w:r>
        <w:rPr>
          <w:rFonts w:ascii="宋体" w:hAnsi="宋体" w:eastAsia="宋体"/>
        </w:rPr>
        <w:t>119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"_Toc113564313" </w:instrText>
      </w:r>
      <w:r>
        <w:fldChar w:fldCharType="separate"/>
      </w:r>
      <w:r>
        <w:rPr>
          <w:rStyle w:val="15"/>
          <w:rFonts w:hint="eastAsia" w:ascii="宋体" w:hAnsi="宋体" w:eastAsia="宋体"/>
          <w:u w:val="none"/>
        </w:rPr>
        <w:t>第十六部分</w:t>
      </w:r>
      <w:r>
        <w:rPr>
          <w:rStyle w:val="15"/>
          <w:rFonts w:ascii="宋体" w:hAnsi="宋体" w:eastAsia="宋体"/>
          <w:u w:val="none"/>
        </w:rPr>
        <w:t xml:space="preserve">  </w:t>
      </w:r>
      <w:r>
        <w:rPr>
          <w:rStyle w:val="15"/>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_Toc113564313 \h </w:instrText>
      </w:r>
      <w:r>
        <w:rPr>
          <w:rFonts w:ascii="宋体" w:hAnsi="宋体" w:eastAsia="宋体"/>
        </w:rPr>
        <w:fldChar w:fldCharType="separate"/>
      </w:r>
      <w:r>
        <w:rPr>
          <w:rFonts w:ascii="宋体" w:hAnsi="宋体" w:eastAsia="宋体"/>
        </w:rPr>
        <w:t>124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"_Toc113564314" </w:instrText>
      </w:r>
      <w:r>
        <w:fldChar w:fldCharType="separate"/>
      </w:r>
      <w:r>
        <w:rPr>
          <w:rStyle w:val="15"/>
          <w:rFonts w:hint="eastAsia" w:ascii="宋体" w:hAnsi="宋体" w:eastAsia="宋体"/>
          <w:u w:val="none"/>
        </w:rPr>
        <w:t>第十七部分</w:t>
      </w:r>
      <w:r>
        <w:rPr>
          <w:rStyle w:val="15"/>
          <w:rFonts w:ascii="宋体" w:hAnsi="宋体" w:eastAsia="宋体"/>
          <w:u w:val="none"/>
        </w:rPr>
        <w:t xml:space="preserve">  </w:t>
      </w:r>
      <w:r>
        <w:rPr>
          <w:rStyle w:val="15"/>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_Toc113564314 \h </w:instrText>
      </w:r>
      <w:r>
        <w:rPr>
          <w:rFonts w:ascii="宋体" w:hAnsi="宋体" w:eastAsia="宋体"/>
        </w:rPr>
        <w:fldChar w:fldCharType="separate"/>
      </w:r>
      <w:r>
        <w:rPr>
          <w:rFonts w:ascii="宋体" w:hAnsi="宋体" w:eastAsia="宋体"/>
        </w:rPr>
        <w:t>128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"_Toc113564315" </w:instrText>
      </w:r>
      <w:r>
        <w:fldChar w:fldCharType="separate"/>
      </w:r>
      <w:r>
        <w:rPr>
          <w:rStyle w:val="15"/>
          <w:rFonts w:hint="eastAsia" w:ascii="宋体" w:hAnsi="宋体" w:eastAsia="宋体"/>
          <w:u w:val="none"/>
        </w:rPr>
        <w:t>第十八部分</w:t>
      </w:r>
      <w:r>
        <w:rPr>
          <w:rStyle w:val="15"/>
          <w:rFonts w:ascii="宋体" w:hAnsi="宋体" w:eastAsia="宋体"/>
          <w:u w:val="none"/>
        </w:rPr>
        <w:t xml:space="preserve">  </w:t>
      </w:r>
      <w:r>
        <w:rPr>
          <w:rStyle w:val="15"/>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_Toc113564315 \h </w:instrText>
      </w:r>
      <w:r>
        <w:rPr>
          <w:rFonts w:ascii="宋体" w:hAnsi="宋体" w:eastAsia="宋体"/>
        </w:rPr>
        <w:fldChar w:fldCharType="separate"/>
      </w:r>
      <w:r>
        <w:rPr>
          <w:rFonts w:ascii="宋体" w:hAnsi="宋体" w:eastAsia="宋体"/>
        </w:rPr>
        <w:t>131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"_Toc113564316" </w:instrText>
      </w:r>
      <w:r>
        <w:fldChar w:fldCharType="separate"/>
      </w:r>
      <w:r>
        <w:rPr>
          <w:rStyle w:val="15"/>
          <w:rFonts w:hint="eastAsia" w:ascii="宋体" w:hAnsi="宋体" w:eastAsia="宋体"/>
          <w:u w:val="none"/>
        </w:rPr>
        <w:t>第十九部分</w:t>
      </w:r>
      <w:r>
        <w:rPr>
          <w:rStyle w:val="15"/>
          <w:rFonts w:ascii="宋体" w:hAnsi="宋体" w:eastAsia="宋体"/>
          <w:u w:val="none"/>
        </w:rPr>
        <w:t xml:space="preserve">  </w:t>
      </w:r>
      <w:r>
        <w:rPr>
          <w:rStyle w:val="15"/>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_Toc113564316 \h </w:instrText>
      </w:r>
      <w:r>
        <w:rPr>
          <w:rFonts w:ascii="宋体" w:hAnsi="宋体" w:eastAsia="宋体"/>
        </w:rPr>
        <w:fldChar w:fldCharType="separate"/>
      </w:r>
      <w:r>
        <w:rPr>
          <w:rFonts w:ascii="宋体" w:hAnsi="宋体" w:eastAsia="宋体"/>
        </w:rPr>
        <w:t>146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"_Toc113564317" </w:instrText>
      </w:r>
      <w:r>
        <w:fldChar w:fldCharType="separate"/>
      </w:r>
      <w:r>
        <w:rPr>
          <w:rStyle w:val="15"/>
          <w:rFonts w:hint="eastAsia" w:ascii="宋体" w:hAnsi="宋体" w:eastAsia="宋体"/>
          <w:u w:val="none"/>
        </w:rPr>
        <w:t>第二十部分</w:t>
      </w:r>
      <w:r>
        <w:rPr>
          <w:rStyle w:val="15"/>
          <w:rFonts w:ascii="宋体" w:hAnsi="宋体" w:eastAsia="宋体"/>
          <w:u w:val="none"/>
        </w:rPr>
        <w:t xml:space="preserve">  </w:t>
      </w:r>
      <w:r>
        <w:rPr>
          <w:rStyle w:val="15"/>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_Toc113564317 \h </w:instrText>
      </w:r>
      <w:r>
        <w:rPr>
          <w:rFonts w:ascii="宋体" w:hAnsi="宋体" w:eastAsia="宋体"/>
        </w:rPr>
        <w:fldChar w:fldCharType="separate"/>
      </w:r>
      <w:r>
        <w:rPr>
          <w:rFonts w:ascii="宋体" w:hAnsi="宋体" w:eastAsia="宋体"/>
        </w:rPr>
        <w:t>156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"_Toc113564318" </w:instrText>
      </w:r>
      <w:r>
        <w:fldChar w:fldCharType="separate"/>
      </w:r>
      <w:r>
        <w:rPr>
          <w:rStyle w:val="15"/>
          <w:rFonts w:hint="eastAsia" w:ascii="宋体" w:hAnsi="宋体" w:eastAsia="宋体"/>
          <w:u w:val="none"/>
        </w:rPr>
        <w:t>第二十一部分</w:t>
      </w:r>
      <w:r>
        <w:rPr>
          <w:rStyle w:val="15"/>
          <w:rFonts w:ascii="宋体" w:hAnsi="宋体" w:eastAsia="宋体"/>
          <w:u w:val="none"/>
        </w:rPr>
        <w:t xml:space="preserve"> </w:t>
      </w:r>
      <w:r>
        <w:rPr>
          <w:rStyle w:val="15"/>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_Toc113564318 \h </w:instrText>
      </w:r>
      <w:r>
        <w:rPr>
          <w:rFonts w:ascii="宋体" w:hAnsi="宋体" w:eastAsia="宋体"/>
        </w:rPr>
        <w:fldChar w:fldCharType="separate"/>
      </w:r>
      <w:r>
        <w:rPr>
          <w:rFonts w:ascii="宋体" w:hAnsi="宋体" w:eastAsia="宋体"/>
        </w:rPr>
        <w:t>158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"_Toc113564319" </w:instrText>
      </w:r>
      <w:r>
        <w:fldChar w:fldCharType="separate"/>
      </w:r>
      <w:r>
        <w:rPr>
          <w:rStyle w:val="15"/>
          <w:rFonts w:hint="eastAsia" w:ascii="宋体" w:hAnsi="宋体" w:eastAsia="宋体"/>
          <w:u w:val="none"/>
        </w:rPr>
        <w:t>第二十二部分</w:t>
      </w:r>
      <w:r>
        <w:rPr>
          <w:rStyle w:val="15"/>
          <w:rFonts w:ascii="宋体" w:hAnsi="宋体" w:eastAsia="宋体"/>
          <w:u w:val="none"/>
        </w:rPr>
        <w:t xml:space="preserve">  </w:t>
      </w:r>
      <w:r>
        <w:rPr>
          <w:rStyle w:val="15"/>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_Toc113564319 \h </w:instrText>
      </w:r>
      <w:r>
        <w:rPr>
          <w:rFonts w:ascii="宋体" w:hAnsi="宋体" w:eastAsia="宋体"/>
        </w:rPr>
        <w:fldChar w:fldCharType="separate"/>
      </w:r>
      <w:r>
        <w:rPr>
          <w:rFonts w:ascii="宋体" w:hAnsi="宋体" w:eastAsia="宋体"/>
        </w:rPr>
        <w:t>161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"_Toc113564320" </w:instrText>
      </w:r>
      <w:r>
        <w:fldChar w:fldCharType="separate"/>
      </w:r>
      <w:r>
        <w:rPr>
          <w:rStyle w:val="15"/>
          <w:rFonts w:hint="eastAsia" w:ascii="宋体" w:hAnsi="宋体" w:eastAsia="宋体"/>
          <w:u w:val="none"/>
        </w:rPr>
        <w:t>第二十三部分</w:t>
      </w:r>
      <w:r>
        <w:rPr>
          <w:rStyle w:val="15"/>
          <w:rFonts w:ascii="宋体" w:hAnsi="宋体" w:eastAsia="宋体"/>
          <w:u w:val="none"/>
        </w:rPr>
        <w:t xml:space="preserve">  </w:t>
      </w:r>
      <w:r>
        <w:rPr>
          <w:rStyle w:val="15"/>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_Toc113564320 \h </w:instrText>
      </w:r>
      <w:r>
        <w:rPr>
          <w:rFonts w:ascii="宋体" w:hAnsi="宋体" w:eastAsia="宋体"/>
        </w:rPr>
        <w:fldChar w:fldCharType="separate"/>
      </w:r>
      <w:r>
        <w:rPr>
          <w:rFonts w:ascii="宋体" w:hAnsi="宋体" w:eastAsia="宋体"/>
        </w:rPr>
        <w:t>162</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 w:name="_Toc113564298"/>
      <w:bookmarkStart w:id="6" w:name="chapter_level1_3_2344"/>
      <w:r>
        <w:rPr>
          <w:rFonts w:hint="eastAsia" w:ascii="宋体" w:hAnsi="宋体" w:eastAsia="宋体"/>
          <w:sz w:val="30"/>
        </w:rPr>
        <w:t>第一部分  绪言</w:t>
      </w:r>
      <w:bookmarkEnd w:id="5"/>
      <w:bookmarkEnd w:id="6"/>
    </w:p>
    <w:p>
      <w:pPr>
        <w:pStyle w:val="7"/>
        <w:spacing w:before="0" w:beforeAutospacing="0" w:after="0" w:afterAutospacing="0" w:line="360" w:lineRule="auto"/>
        <w:ind w:firstLine="420"/>
        <w:rPr>
          <w:sz w:val="21"/>
          <w:szCs w:val="21"/>
        </w:rPr>
      </w:pPr>
      <w:bookmarkStart w:id="7" w:name="chapter_level1_3_2344_section_1"/>
      <w:bookmarkEnd w:id="7"/>
      <w:r>
        <w:rPr>
          <w:rFonts w:hint="eastAsia"/>
          <w:sz w:val="21"/>
          <w:szCs w:val="21"/>
        </w:rPr>
        <w:t>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风险管理规定》”）和其他相关法律法规的规定以及《</w:t>
      </w:r>
      <w:bookmarkStart w:id="8" w:name="field_0_productfullname_1"/>
      <w:r>
        <w:rPr>
          <w:rFonts w:hint="eastAsia"/>
          <w:sz w:val="21"/>
          <w:szCs w:val="21"/>
        </w:rPr>
        <w:t>博时特许价值混合型证券投资基金</w:t>
      </w:r>
      <w:bookmarkEnd w:id="8"/>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9" w:name="chapter_level1_3_2344_section_1_end"/>
      <w:bookmarkEnd w:id="9"/>
      <w:r>
        <w:rPr>
          <w:rFonts w:hint="eastAsia"/>
          <w:sz w:val="21"/>
          <w:szCs w:val="21"/>
        </w:rPr>
        <w:t xml:space="preserve">基金份额持有人的权利和义务，应详细查阅基金合同。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 w:name="_Toc113564299"/>
      <w:bookmarkStart w:id="11" w:name="chapter_level1_4_49"/>
      <w:r>
        <w:rPr>
          <w:rFonts w:hint="eastAsia" w:ascii="宋体" w:hAnsi="宋体" w:eastAsia="宋体"/>
          <w:sz w:val="30"/>
        </w:rPr>
        <w:t>第二部分  释义</w:t>
      </w:r>
      <w:bookmarkEnd w:id="10"/>
      <w:bookmarkEnd w:id="11"/>
    </w:p>
    <w:p>
      <w:pPr>
        <w:pStyle w:val="7"/>
        <w:spacing w:before="0" w:beforeAutospacing="0" w:after="0" w:afterAutospacing="0" w:line="360" w:lineRule="auto"/>
        <w:ind w:firstLine="420"/>
        <w:rPr>
          <w:sz w:val="21"/>
          <w:szCs w:val="21"/>
        </w:rPr>
      </w:pPr>
      <w:bookmarkStart w:id="12" w:name="chapter_level1_4_49_section_1"/>
      <w:bookmarkEnd w:id="12"/>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3" w:name="field_0_productfullname_2"/>
      <w:r>
        <w:rPr>
          <w:rFonts w:hint="eastAsia"/>
          <w:sz w:val="21"/>
          <w:szCs w:val="21"/>
        </w:rPr>
        <w:t>博时特许价值混合型证券投资基金</w:t>
      </w:r>
      <w:bookmarkEnd w:id="13"/>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2.基金管理人或本基金管理人：指</w:t>
      </w:r>
      <w:bookmarkStart w:id="14" w:name="field_0_managerorgfullname_1"/>
      <w:r>
        <w:rPr>
          <w:rFonts w:hint="eastAsia"/>
          <w:sz w:val="21"/>
          <w:szCs w:val="21"/>
        </w:rPr>
        <w:t>博时基金管理有限公司</w:t>
      </w:r>
      <w:bookmarkEnd w:id="1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3.基金托管人或本基金托管人：指</w:t>
      </w:r>
      <w:bookmarkStart w:id="15" w:name="field_0_trustorgfullname_1"/>
      <w:r>
        <w:rPr>
          <w:rFonts w:hint="eastAsia"/>
          <w:sz w:val="21"/>
          <w:szCs w:val="21"/>
        </w:rPr>
        <w:t>中国建设银行股份有限公司</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6" w:name="field_0_productfullname_3"/>
      <w:r>
        <w:rPr>
          <w:rFonts w:hint="eastAsia"/>
          <w:sz w:val="21"/>
          <w:szCs w:val="21"/>
        </w:rPr>
        <w:t>博时特许价值混合型证券投资基金</w:t>
      </w:r>
      <w:bookmarkEnd w:id="16"/>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17" w:name="field_0_productfullname_4"/>
      <w:r>
        <w:rPr>
          <w:rFonts w:hint="eastAsia"/>
          <w:sz w:val="21"/>
          <w:szCs w:val="21"/>
        </w:rPr>
        <w:t>博时特许价值混合型证券投资基金</w:t>
      </w:r>
      <w:bookmarkEnd w:id="17"/>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6.招募说明书：指《</w:t>
      </w:r>
      <w:bookmarkStart w:id="18" w:name="field_0_productfullname_5"/>
      <w:r>
        <w:rPr>
          <w:rFonts w:hint="eastAsia"/>
          <w:sz w:val="21"/>
          <w:szCs w:val="21"/>
        </w:rPr>
        <w:t>博时特许价值混合型证券投资基金</w:t>
      </w:r>
      <w:bookmarkEnd w:id="18"/>
      <w:r>
        <w:rPr>
          <w:rFonts w:hint="eastAsia"/>
          <w:sz w:val="21"/>
          <w:szCs w:val="21"/>
        </w:rPr>
        <w:t xml:space="preserve">招募说明书》，招募说明书是基金向社会公开发售时对基金情况进行说明的法律文件及其更新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19" w:name="field_0_productfullname_6"/>
      <w:r>
        <w:rPr>
          <w:rFonts w:hint="eastAsia"/>
          <w:sz w:val="21"/>
          <w:szCs w:val="21"/>
        </w:rPr>
        <w:t>博时特许价值混合型证券投资基金</w:t>
      </w:r>
      <w:bookmarkEnd w:id="19"/>
      <w:r>
        <w:rPr>
          <w:rFonts w:hint="eastAsia"/>
          <w:sz w:val="21"/>
          <w:szCs w:val="21"/>
        </w:rPr>
        <w:t xml:space="preserve">份额发售公告》 </w:t>
      </w:r>
    </w:p>
    <w:p>
      <w:pPr>
        <w:pStyle w:val="7"/>
        <w:spacing w:before="0" w:beforeAutospacing="0" w:after="0" w:afterAutospacing="0" w:line="360" w:lineRule="auto"/>
        <w:ind w:firstLine="420"/>
        <w:rPr>
          <w:sz w:val="21"/>
          <w:szCs w:val="21"/>
        </w:rPr>
      </w:pPr>
      <w:r>
        <w:rPr>
          <w:rFonts w:hint="eastAsia"/>
          <w:sz w:val="21"/>
          <w:szCs w:val="21"/>
        </w:rPr>
        <w:t xml:space="preserve">8.法律法规：指中国现行有效并公布实施的法律、行政法规、司法解释、行政规章以及其他对基金合同当事人有约束力的决定、决议、通知等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9.《基金法》：指2003年10月28日经第十届全国人民代表大会常务委员会第五次会议通过，自2004年6月1日起实施的《中华人民共和国证券投资基金法》及颁布机关对其不时作出的修订 </w:t>
      </w:r>
    </w:p>
    <w:p>
      <w:pPr>
        <w:pStyle w:val="7"/>
        <w:spacing w:before="0" w:beforeAutospacing="0" w:after="0" w:afterAutospacing="0" w:line="360" w:lineRule="auto"/>
        <w:ind w:firstLine="420"/>
        <w:rPr>
          <w:sz w:val="21"/>
          <w:szCs w:val="21"/>
        </w:rPr>
      </w:pPr>
      <w:r>
        <w:rPr>
          <w:rFonts w:hint="eastAsia"/>
          <w:sz w:val="21"/>
          <w:szCs w:val="21"/>
        </w:rPr>
        <w:t xml:space="preserve">10.《销售办法》：指中国证监会2013年3月15日颁布、同年6月1日实施的《证券投资基金销售管理办法》及颁布机关对其不时做出的修订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11.《信息披露办法》：指中国证监会2019年7月26日颁布、同年9月1日实施的《公开募集证券投资基金信息披露管理办法》及颁布机关对其不时作出的修订 </w:t>
      </w:r>
    </w:p>
    <w:p>
      <w:pPr>
        <w:pStyle w:val="7"/>
        <w:spacing w:before="0" w:beforeAutospacing="0" w:after="0" w:afterAutospacing="0" w:line="360" w:lineRule="auto"/>
        <w:ind w:firstLine="420"/>
        <w:rPr>
          <w:sz w:val="21"/>
          <w:szCs w:val="21"/>
        </w:rPr>
      </w:pPr>
      <w:r>
        <w:rPr>
          <w:rFonts w:hint="eastAsia"/>
          <w:sz w:val="21"/>
          <w:szCs w:val="21"/>
        </w:rPr>
        <w:t xml:space="preserve">12.《运作办法》：指中国证监会2014年7月7日颁布、同年8月8日实施的《公开募集证券投资基金运作管理办法》及颁布机关对其不时作出的修订 </w:t>
      </w:r>
    </w:p>
    <w:p>
      <w:pPr>
        <w:pStyle w:val="7"/>
        <w:spacing w:before="0" w:beforeAutospacing="0" w:after="0" w:afterAutospacing="0" w:line="360" w:lineRule="auto"/>
        <w:ind w:firstLine="420"/>
        <w:rPr>
          <w:sz w:val="21"/>
          <w:szCs w:val="21"/>
        </w:rPr>
      </w:pPr>
      <w:r>
        <w:rPr>
          <w:rFonts w:hint="eastAsia"/>
          <w:sz w:val="21"/>
          <w:szCs w:val="21"/>
        </w:rPr>
        <w:t xml:space="preserve">13. 《流动性风险管理规定》：指中国证监会2017年8月31日颁布、同年10月1日实施的《公开募集开放式证券投资基金流动性风险管理规定》及颁布机关对其不时做出的修订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15.银行业监督管理机构：指中国人民银行和/或中国银行业监督管理委员会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16.基金合同当事人：指受基金合同约束，根据基金合同享有权利并承担义务的法律主体，包括基金管理人、基金托管人和基金份额持有人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17.个人投资者：指依据有关法律法规规定或经中国证监会核准可投资于证券投资基金的自然人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19.合格境外机构投资者：指符合《合格境外机构投资者境内证券投资管理办法》规定的条件，经中国证监会批准投资于中国证券市场，并取得国家外汇管理局额度批准的中国境外基金管理机构、保险公司、证券公司以及其他资产管理机构 </w:t>
      </w:r>
    </w:p>
    <w:p>
      <w:pPr>
        <w:pStyle w:val="7"/>
        <w:spacing w:before="0" w:beforeAutospacing="0" w:after="0" w:afterAutospacing="0" w:line="360" w:lineRule="auto"/>
        <w:ind w:firstLine="420"/>
        <w:rPr>
          <w:sz w:val="21"/>
          <w:szCs w:val="21"/>
        </w:rPr>
      </w:pPr>
      <w:r>
        <w:rPr>
          <w:rFonts w:hint="eastAsia"/>
          <w:sz w:val="21"/>
          <w:szCs w:val="21"/>
        </w:rPr>
        <w:t xml:space="preserve">20.投资人：指个人投资者、机构投资者和合格境外机构投资者以及法律法规或中国证监会允许购买证券投资基金的其他投资人的合称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21.基金份额持有人：指依基金合同和招募说明书合法取得基金份额的投资人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22.基金销售业务：指基金的认购、申购、赎回、转换、非交易过户、转托管及定期定额投资等业务 </w:t>
      </w:r>
    </w:p>
    <w:p>
      <w:pPr>
        <w:pStyle w:val="7"/>
        <w:spacing w:before="0" w:beforeAutospacing="0" w:after="0" w:afterAutospacing="0" w:line="360" w:lineRule="auto"/>
        <w:ind w:firstLine="420"/>
        <w:rPr>
          <w:sz w:val="21"/>
          <w:szCs w:val="21"/>
        </w:rPr>
      </w:pPr>
      <w:r>
        <w:rPr>
          <w:rFonts w:hint="eastAsia"/>
          <w:sz w:val="21"/>
          <w:szCs w:val="21"/>
        </w:rPr>
        <w:t xml:space="preserve">23.销售机构：指直销机构和代销机构 </w:t>
      </w:r>
    </w:p>
    <w:p>
      <w:pPr>
        <w:pStyle w:val="7"/>
        <w:spacing w:before="0" w:beforeAutospacing="0" w:after="0" w:afterAutospacing="0" w:line="360" w:lineRule="auto"/>
        <w:ind w:firstLine="420"/>
        <w:rPr>
          <w:sz w:val="21"/>
          <w:szCs w:val="21"/>
        </w:rPr>
      </w:pPr>
      <w:r>
        <w:rPr>
          <w:rFonts w:hint="eastAsia"/>
          <w:sz w:val="21"/>
          <w:szCs w:val="21"/>
        </w:rPr>
        <w:t>24.直销机构：指</w:t>
      </w:r>
      <w:bookmarkStart w:id="20" w:name="field_0_managerorgfullname_2"/>
      <w:r>
        <w:rPr>
          <w:rFonts w:hint="eastAsia"/>
          <w:sz w:val="21"/>
          <w:szCs w:val="21"/>
        </w:rPr>
        <w:t>博时基金管理有限公司</w:t>
      </w:r>
      <w:bookmarkEnd w:id="2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25.代销机构：指符合《销售办法》和中国证监会规定的其他条件，取得基金代销业务</w:t>
      </w:r>
      <w:bookmarkStart w:id="21" w:name="chapter_level1_4_49_section_1_end"/>
      <w:bookmarkEnd w:id="21"/>
      <w:r>
        <w:rPr>
          <w:rFonts w:hint="eastAsia"/>
          <w:sz w:val="21"/>
          <w:szCs w:val="21"/>
        </w:rPr>
        <w:t xml:space="preserve">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bookmarkStart w:id="22" w:name="chapter_level1_4_49_section_2"/>
      <w:bookmarkEnd w:id="22"/>
      <w:r>
        <w:rPr>
          <w:rFonts w:hint="eastAsia"/>
          <w:sz w:val="21"/>
          <w:szCs w:val="21"/>
        </w:rPr>
        <w:t xml:space="preserve">26.基金销售网点：指直销机构的直销中心及代销机构的代销网点   </w:t>
      </w:r>
    </w:p>
    <w:p>
      <w:pPr>
        <w:pStyle w:val="7"/>
        <w:spacing w:before="0" w:beforeAutospacing="0" w:after="0" w:afterAutospacing="0" w:line="360" w:lineRule="auto"/>
        <w:ind w:firstLine="420"/>
        <w:rPr>
          <w:sz w:val="21"/>
          <w:szCs w:val="21"/>
        </w:rPr>
      </w:pPr>
      <w:r>
        <w:rPr>
          <w:rFonts w:hint="eastAsia"/>
          <w:sz w:val="21"/>
          <w:szCs w:val="21"/>
        </w:rPr>
        <w:t xml:space="preserve">27.登记结算业务：指基金登记、存管、过户、清算和结算业务，具体内容包括投资人基金账户的建立和管理、基金份额注册登记、基金销售业务的确认、清算和结算、代理发放红利、建立并保管基金份额持有人名册等 </w:t>
      </w:r>
    </w:p>
    <w:p>
      <w:pPr>
        <w:pStyle w:val="7"/>
        <w:spacing w:before="0" w:beforeAutospacing="0" w:after="0" w:afterAutospacing="0" w:line="360" w:lineRule="auto"/>
        <w:ind w:firstLine="420"/>
        <w:rPr>
          <w:sz w:val="21"/>
          <w:szCs w:val="21"/>
        </w:rPr>
      </w:pPr>
      <w:r>
        <w:rPr>
          <w:rFonts w:hint="eastAsia"/>
          <w:sz w:val="21"/>
          <w:szCs w:val="21"/>
        </w:rPr>
        <w:t>28.登记结算机构：指办理登记结算业务的机构。基金的登记结算机构为</w:t>
      </w:r>
      <w:bookmarkStart w:id="23" w:name="field_0_managerorgfullname_3"/>
      <w:r>
        <w:rPr>
          <w:rFonts w:hint="eastAsia"/>
          <w:sz w:val="21"/>
          <w:szCs w:val="21"/>
        </w:rPr>
        <w:t>博时基金管理有限公司</w:t>
      </w:r>
      <w:bookmarkEnd w:id="23"/>
      <w:r>
        <w:rPr>
          <w:rFonts w:hint="eastAsia"/>
          <w:sz w:val="21"/>
          <w:szCs w:val="21"/>
        </w:rPr>
        <w:t>或接受</w:t>
      </w:r>
      <w:bookmarkStart w:id="24" w:name="field_0_managerorgfullname_4"/>
      <w:r>
        <w:rPr>
          <w:rFonts w:hint="eastAsia"/>
          <w:sz w:val="21"/>
          <w:szCs w:val="21"/>
        </w:rPr>
        <w:t>博时基金管理有限公司</w:t>
      </w:r>
      <w:bookmarkEnd w:id="24"/>
      <w:r>
        <w:rPr>
          <w:rFonts w:hint="eastAsia"/>
          <w:sz w:val="21"/>
          <w:szCs w:val="21"/>
        </w:rPr>
        <w:t xml:space="preserve">委托代为办理登记结算业务的机构 </w:t>
      </w:r>
    </w:p>
    <w:p>
      <w:pPr>
        <w:pStyle w:val="7"/>
        <w:spacing w:before="0" w:beforeAutospacing="0" w:after="0" w:afterAutospacing="0" w:line="360" w:lineRule="auto"/>
        <w:ind w:firstLine="420"/>
        <w:rPr>
          <w:sz w:val="21"/>
          <w:szCs w:val="21"/>
        </w:rPr>
      </w:pPr>
      <w:r>
        <w:rPr>
          <w:rFonts w:hint="eastAsia"/>
          <w:sz w:val="21"/>
          <w:szCs w:val="21"/>
        </w:rPr>
        <w:t xml:space="preserve">29.基金账户：指登记结算机构为投资人开立的、记录其持有的、基金管理人所管理的基金份额余额及其变动情况的账户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30.基金交易账户：指销售机构为投资人开立的、记录投资人通过该销售机构买卖</w:t>
      </w:r>
      <w:bookmarkStart w:id="25" w:name="field_0_productfullname_7"/>
      <w:r>
        <w:rPr>
          <w:rFonts w:hint="eastAsia"/>
          <w:sz w:val="21"/>
          <w:szCs w:val="21"/>
        </w:rPr>
        <w:t>博时特许价值混合型证券投资基金</w:t>
      </w:r>
      <w:bookmarkEnd w:id="25"/>
      <w:r>
        <w:rPr>
          <w:rFonts w:hint="eastAsia"/>
          <w:sz w:val="21"/>
          <w:szCs w:val="21"/>
        </w:rPr>
        <w:t xml:space="preserve">份额的变动及结余情况的账户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32.基金合同终止日：指基金合同规定的基金合同终止事由出现后，基金财产清算完毕，清算结果报中国证监会备案并予以公告的日期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33.基金募集期限：指自基金份额发售之日起至发售结束之日止的期间，最长不得超过3个月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34.存续期：指基金合同生效至终止之间的不定期期限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35.工作日：指上海证券交易所、深圳证券交易所的正常交易日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36.T日：指本基金在规定时间受理投资人申购、赎回或其他业务申请的日期 </w:t>
      </w:r>
    </w:p>
    <w:p>
      <w:pPr>
        <w:pStyle w:val="7"/>
        <w:spacing w:before="0" w:beforeAutospacing="0" w:after="0" w:afterAutospacing="0" w:line="360" w:lineRule="auto"/>
        <w:ind w:firstLine="420"/>
        <w:rPr>
          <w:sz w:val="21"/>
          <w:szCs w:val="21"/>
        </w:rPr>
      </w:pPr>
      <w:r>
        <w:rPr>
          <w:rFonts w:hint="eastAsia"/>
          <w:sz w:val="21"/>
          <w:szCs w:val="21"/>
        </w:rPr>
        <w:t xml:space="preserve">37.T+n日：指自T日起第n个工作日(不包含T日)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38.开放日：指为投资人办理基金份额申购、赎回或其他业务的工作日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39.交易时间：指开放日基金接受申购、赎回或其他交易的时间段，具体时间见基金份额发售公告 </w:t>
      </w:r>
    </w:p>
    <w:p>
      <w:pPr>
        <w:pStyle w:val="7"/>
        <w:spacing w:before="0" w:beforeAutospacing="0" w:after="0" w:afterAutospacing="0" w:line="360" w:lineRule="auto"/>
        <w:ind w:firstLine="420"/>
        <w:rPr>
          <w:sz w:val="21"/>
          <w:szCs w:val="21"/>
        </w:rPr>
      </w:pPr>
      <w:r>
        <w:rPr>
          <w:rFonts w:hint="eastAsia"/>
          <w:sz w:val="21"/>
          <w:szCs w:val="21"/>
        </w:rPr>
        <w:t>40.业务规则：指《</w:t>
      </w:r>
      <w:bookmarkStart w:id="26" w:name="field_0_managerorgfullname_5"/>
      <w:r>
        <w:rPr>
          <w:rFonts w:hint="eastAsia"/>
          <w:sz w:val="21"/>
          <w:szCs w:val="21"/>
        </w:rPr>
        <w:t>博时基金管理有限公司</w:t>
      </w:r>
      <w:bookmarkEnd w:id="26"/>
      <w:r>
        <w:rPr>
          <w:rFonts w:hint="eastAsia"/>
          <w:sz w:val="21"/>
          <w:szCs w:val="21"/>
        </w:rPr>
        <w:t xml:space="preserve">开放式基金业务规则》，是规范基金管理人所管理的开放式证券投资基金登记结算方面的业务规则，由基金管理人和投资人共同遵守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41.认购：指在基金募集期间，投资人申请购买基金份额的行为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42.申购：指基金合同生效后，投资人根据基金合同和招募说明书的规定申请购买基金份额的行为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43.赎回：指基金合同生效后，基金份额持有人按基金合同规定的条件要求基金管理人购回基金份额的行为 </w:t>
      </w:r>
    </w:p>
    <w:p>
      <w:pPr>
        <w:pStyle w:val="7"/>
        <w:spacing w:before="0" w:beforeAutospacing="0" w:after="0" w:afterAutospacing="0" w:line="360" w:lineRule="auto"/>
        <w:ind w:firstLine="420"/>
        <w:rPr>
          <w:sz w:val="21"/>
          <w:szCs w:val="21"/>
        </w:rPr>
      </w:pPr>
      <w:r>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且由同一登记结算机构办理登记结算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45.转托管：指基金份额持有人在同一基金的不同销售机构之间实施的所持基金份额销售机构变更的操作 </w:t>
      </w:r>
    </w:p>
    <w:p>
      <w:pPr>
        <w:pStyle w:val="7"/>
        <w:spacing w:before="0" w:beforeAutospacing="0" w:after="0" w:afterAutospacing="0" w:line="360" w:lineRule="auto"/>
        <w:ind w:firstLine="420"/>
        <w:rPr>
          <w:sz w:val="21"/>
          <w:szCs w:val="21"/>
        </w:rPr>
      </w:pPr>
      <w:r>
        <w:rPr>
          <w:rFonts w:hint="eastAsia"/>
          <w:sz w:val="21"/>
          <w:szCs w:val="21"/>
        </w:rPr>
        <w:t xml:space="preserve">46.巨额赎回：指本基金单个开放日，基金净赎回申请(赎回申请份额总数加上基金转换中转出申请份额总数后扣除申购申请份额总数及基金转换中转入申请份额总数后的余额)超过上一日基金总份额的10% </w:t>
      </w:r>
    </w:p>
    <w:p>
      <w:pPr>
        <w:pStyle w:val="7"/>
        <w:spacing w:before="0" w:beforeAutospacing="0" w:after="0" w:afterAutospacing="0" w:line="360" w:lineRule="auto"/>
        <w:ind w:firstLine="420"/>
        <w:rPr>
          <w:sz w:val="21"/>
          <w:szCs w:val="21"/>
        </w:rPr>
      </w:pPr>
      <w:r>
        <w:rPr>
          <w:rFonts w:hint="eastAsia"/>
          <w:sz w:val="21"/>
          <w:szCs w:val="21"/>
        </w:rPr>
        <w:t xml:space="preserve">47.元：指人民币元 </w:t>
      </w:r>
    </w:p>
    <w:p>
      <w:pPr>
        <w:pStyle w:val="7"/>
        <w:spacing w:before="0" w:beforeAutospacing="0" w:after="0" w:afterAutospacing="0" w:line="360" w:lineRule="auto"/>
        <w:ind w:firstLine="420"/>
        <w:rPr>
          <w:sz w:val="21"/>
          <w:szCs w:val="21"/>
        </w:rPr>
      </w:pPr>
      <w:r>
        <w:rPr>
          <w:rFonts w:hint="eastAsia"/>
          <w:sz w:val="21"/>
          <w:szCs w:val="21"/>
        </w:rPr>
        <w:t xml:space="preserve">48.基金收益：指基金投资所得红利、股息、债券利息、买卖证券价差、银行存款利息、已实现的其他合法收入及因运用基金财产带来的成本和费用的节约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49.基金资产总值：指基金拥有的各类有价证券、银行存款本息、基金应收申购款及其他资产的价值总和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50.基金资产净值：指基金资产总值减去基金负债后的价值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51.基金份额净值：指计算日基金资产净值除以计算日发售在外的基金份额总数 </w:t>
      </w:r>
    </w:p>
    <w:p>
      <w:pPr>
        <w:pStyle w:val="7"/>
        <w:spacing w:before="0" w:beforeAutospacing="0" w:after="0" w:afterAutospacing="0" w:line="360" w:lineRule="auto"/>
        <w:ind w:firstLine="420"/>
        <w:rPr>
          <w:sz w:val="21"/>
          <w:szCs w:val="21"/>
        </w:rPr>
      </w:pPr>
      <w:r>
        <w:rPr>
          <w:rFonts w:hint="eastAsia"/>
          <w:sz w:val="21"/>
          <w:szCs w:val="21"/>
        </w:rPr>
        <w:t xml:space="preserve">52.基金资产估值：指计算评估基金资产和负债的价值，以确定基金资产净值和基金份额净值的过程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53.基金份额类别：本基金根据基金销售市场区域不同，将基金份额分为不同的类别 </w:t>
      </w:r>
    </w:p>
    <w:p>
      <w:pPr>
        <w:pStyle w:val="7"/>
        <w:spacing w:before="0" w:beforeAutospacing="0" w:after="0" w:afterAutospacing="0" w:line="360" w:lineRule="auto"/>
        <w:ind w:firstLine="420"/>
        <w:rPr>
          <w:sz w:val="21"/>
          <w:szCs w:val="21"/>
        </w:rPr>
      </w:pPr>
      <w:r>
        <w:rPr>
          <w:rFonts w:hint="eastAsia"/>
          <w:sz w:val="21"/>
          <w:szCs w:val="21"/>
        </w:rPr>
        <w:t xml:space="preserve">54.A类基金份额：在中国大陆市场销售的基金份额，称为A类基金份额 </w:t>
      </w:r>
    </w:p>
    <w:p>
      <w:pPr>
        <w:pStyle w:val="7"/>
        <w:spacing w:before="0" w:beforeAutospacing="0" w:after="0" w:afterAutospacing="0" w:line="360" w:lineRule="auto"/>
        <w:ind w:firstLine="420"/>
        <w:rPr>
          <w:sz w:val="21"/>
          <w:szCs w:val="21"/>
        </w:rPr>
      </w:pPr>
      <w:r>
        <w:rPr>
          <w:rFonts w:hint="eastAsia"/>
          <w:sz w:val="21"/>
          <w:szCs w:val="21"/>
        </w:rPr>
        <w:t xml:space="preserve">55.R类基金份额：在中国香港市场销售的基金份额，称为R类基金份额 </w:t>
      </w:r>
    </w:p>
    <w:p>
      <w:pPr>
        <w:pStyle w:val="7"/>
        <w:spacing w:before="0" w:beforeAutospacing="0" w:after="0" w:afterAutospacing="0" w:line="360" w:lineRule="auto"/>
        <w:ind w:firstLine="420"/>
        <w:rPr>
          <w:sz w:val="21"/>
          <w:szCs w:val="21"/>
        </w:rPr>
      </w:pPr>
      <w:r>
        <w:rPr>
          <w:rFonts w:hint="eastAsia"/>
          <w:sz w:val="21"/>
          <w:szCs w:val="21"/>
        </w:rPr>
        <w:t xml:space="preserve">56.指定媒介：指中国证监会指定的用以进行信息披露的全国性报刊及指定互联网网站（包括基金管理人网站、基金托管人网站、中国证监会基金电子披露网站）等媒介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57.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 </w:t>
      </w:r>
    </w:p>
    <w:p>
      <w:pPr>
        <w:pStyle w:val="7"/>
        <w:spacing w:before="0" w:beforeAutospacing="0" w:after="0" w:afterAutospacing="0" w:line="360" w:lineRule="auto"/>
        <w:ind w:firstLine="420"/>
        <w:rPr>
          <w:sz w:val="21"/>
          <w:szCs w:val="21"/>
        </w:rPr>
      </w:pPr>
      <w:r>
        <w:rPr>
          <w:rFonts w:hint="eastAsia"/>
          <w:sz w:val="21"/>
          <w:szCs w:val="21"/>
        </w:rPr>
        <w:t xml:space="preserve">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59.基金产品资料概要：指《</w:t>
      </w:r>
      <w:bookmarkStart w:id="27" w:name="chapter_level1_4_49_section_2_end"/>
      <w:bookmarkEnd w:id="27"/>
      <w:bookmarkStart w:id="28" w:name="field_0_productfullname_8"/>
      <w:r>
        <w:rPr>
          <w:rFonts w:hint="eastAsia"/>
          <w:sz w:val="21"/>
          <w:szCs w:val="21"/>
        </w:rPr>
        <w:t>博时特许价值混合型证券投资基金</w:t>
      </w:r>
      <w:bookmarkEnd w:id="28"/>
      <w:r>
        <w:rPr>
          <w:rFonts w:hint="eastAsia"/>
          <w:sz w:val="21"/>
          <w:szCs w:val="21"/>
        </w:rPr>
        <w:t xml:space="preserve">基金产品资料概要》及其更新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9" w:name="_Toc113564300"/>
      <w:bookmarkStart w:id="30" w:name="chapter_level1_5_53"/>
      <w:r>
        <w:rPr>
          <w:rFonts w:hint="eastAsia" w:ascii="宋体" w:hAnsi="宋体" w:eastAsia="宋体"/>
          <w:sz w:val="30"/>
        </w:rPr>
        <w:t>第三部分  基金管理人</w:t>
      </w:r>
      <w:bookmarkEnd w:id="29"/>
      <w:bookmarkEnd w:id="30"/>
    </w:p>
    <w:p>
      <w:pPr>
        <w:pStyle w:val="7"/>
        <w:spacing w:before="0" w:beforeAutospacing="0" w:after="0" w:afterAutospacing="0" w:line="360" w:lineRule="auto"/>
        <w:ind w:firstLine="420"/>
        <w:rPr>
          <w:sz w:val="21"/>
          <w:szCs w:val="21"/>
        </w:rPr>
      </w:pPr>
      <w:bookmarkStart w:id="31" w:name="chapter_level1_5_53_section_1"/>
      <w:bookmarkEnd w:id="31"/>
      <w:r>
        <w:rPr>
          <w:rStyle w:val="11"/>
          <w:rFonts w:hint="eastAsia"/>
          <w:sz w:val="21"/>
          <w:szCs w:val="21"/>
        </w:rPr>
        <w:t>一、基金管理人概况</w:t>
      </w:r>
    </w:p>
    <w:p>
      <w:pPr>
        <w:pStyle w:val="7"/>
        <w:spacing w:before="0" w:beforeAutospacing="0" w:after="0" w:afterAutospacing="0" w:line="360" w:lineRule="auto"/>
        <w:ind w:firstLine="420"/>
        <w:rPr>
          <w:sz w:val="21"/>
          <w:szCs w:val="21"/>
        </w:rPr>
      </w:pPr>
      <w:bookmarkStart w:id="32" w:name="field_0_managercompanyinfo_1_start"/>
      <w:bookmarkEnd w:id="32"/>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pStyle w:val="7"/>
        <w:spacing w:before="0" w:beforeAutospacing="0" w:after="0" w:afterAutospacing="0" w:line="360" w:lineRule="auto"/>
        <w:ind w:firstLine="420"/>
        <w:rPr>
          <w:sz w:val="21"/>
          <w:szCs w:val="21"/>
        </w:rPr>
      </w:pPr>
      <w:r>
        <w:rPr>
          <w:rFonts w:hint="eastAsia"/>
          <w:sz w:val="21"/>
          <w:szCs w:val="21"/>
        </w:rPr>
        <w:t>二、主要成员情况</w:t>
      </w:r>
    </w:p>
    <w:p>
      <w:pPr>
        <w:pStyle w:val="7"/>
        <w:spacing w:before="0" w:beforeAutospacing="0" w:after="0" w:afterAutospacing="0" w:line="360" w:lineRule="auto"/>
        <w:ind w:firstLine="420"/>
        <w:rPr>
          <w:sz w:val="21"/>
          <w:szCs w:val="21"/>
        </w:rPr>
      </w:pPr>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pStyle w:val="7"/>
        <w:spacing w:before="0" w:beforeAutospacing="0" w:after="0" w:afterAutospacing="0" w:line="360" w:lineRule="auto"/>
        <w:ind w:firstLine="420"/>
        <w:rPr>
          <w:sz w:val="21"/>
          <w:szCs w:val="21"/>
        </w:rPr>
      </w:pPr>
      <w:bookmarkStart w:id="33" w:name="chapter_level1_5_53_section_2"/>
      <w:bookmarkEnd w:id="33"/>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34" w:name="field_0_fundmanagerresume_1_start"/>
      <w:bookmarkEnd w:id="34"/>
      <w:r>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博时港股通领先趋势混合型证券投资基金(2021年2月9日-2022年7月9日)基金经理。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灵活配置混合型证券投资基金（LOF）(2019年6月27日—至今)、博时科技创新混合型证券投资基金(2020年4月15日—至今)、博时新兴消费主题混合型证券投资基金(2021年1月20日—至今)、博时沪港深优质企业灵活配置混合型证券投资基金(2021年1月20日—至今)、博时半导体主题混合型证券投资基金(2021年7月20日—至今)、博时消费创新混合型证券投资基金(2021年11月8日—至今)、博时时代领航混合型证券投资基金(2022年1月25日—至今)、博时军工主题股票型证券投资基金(2022年6月29日—至今)的基金经理。</w:t>
      </w:r>
    </w:p>
    <w:p>
      <w:pPr>
        <w:pStyle w:val="7"/>
        <w:spacing w:before="0" w:beforeAutospacing="0" w:after="0" w:afterAutospacing="0" w:line="360" w:lineRule="auto"/>
        <w:ind w:firstLine="420"/>
        <w:rPr>
          <w:sz w:val="21"/>
          <w:szCs w:val="21"/>
        </w:rPr>
      </w:pPr>
      <w:bookmarkStart w:id="35" w:name="field_0_managerpersoninfo2_1_start"/>
      <w:bookmarkEnd w:id="35"/>
      <w:bookmarkStart w:id="36" w:name="chapter_level1_5_53_section_3"/>
      <w:bookmarkEnd w:id="36"/>
      <w:r>
        <w:rPr>
          <w:rFonts w:hint="eastAsia"/>
          <w:sz w:val="21"/>
          <w:szCs w:val="21"/>
        </w:rPr>
        <w:t xml:space="preserve">5、投资决策委员会成员 </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公司总经理高阳先生。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公司首席资产配置官黄健斌先生。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首席基金经理过钧先生。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权益投资三部投资总监蔡滨先生。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公司董事总经理兼年金投资部总经理、投资总监杨帆先生。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指数与量化投资部投资总监赵云阳先生。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行业研究部研究总监兼副总经理金晟哲先生。</w:t>
      </w:r>
    </w:p>
    <w:p>
      <w:pPr>
        <w:pStyle w:val="7"/>
        <w:spacing w:before="0" w:beforeAutospacing="0" w:after="0" w:afterAutospacing="0" w:line="360" w:lineRule="auto"/>
        <w:ind w:firstLine="420"/>
        <w:rPr>
          <w:sz w:val="21"/>
          <w:szCs w:val="21"/>
        </w:rPr>
      </w:pPr>
      <w:bookmarkStart w:id="37" w:name="chapter_level1_5_53_section_3_end"/>
      <w:bookmarkEnd w:id="37"/>
      <w:r>
        <w:rPr>
          <w:rFonts w:hint="eastAsia"/>
          <w:sz w:val="21"/>
          <w:szCs w:val="21"/>
        </w:rPr>
        <w:t xml:space="preserve">6、上述人员之间均不存在近亲属关系。 </w:t>
      </w:r>
      <w:bookmarkStart w:id="38" w:name="field_0_managerpersoninfo2_1_end"/>
      <w:bookmarkEnd w:id="38"/>
      <w:r>
        <w:rPr>
          <w:rFonts w:hint="eastAsia"/>
          <w:sz w:val="21"/>
          <w:szCs w:val="21"/>
        </w:rPr>
        <w:t xml:space="preserve">  </w:t>
      </w:r>
    </w:p>
    <w:p>
      <w:pPr>
        <w:pStyle w:val="7"/>
        <w:spacing w:before="0" w:beforeAutospacing="0" w:after="0" w:afterAutospacing="0" w:line="360" w:lineRule="auto"/>
        <w:ind w:firstLine="420"/>
        <w:rPr>
          <w:sz w:val="21"/>
          <w:szCs w:val="21"/>
        </w:rPr>
      </w:pPr>
      <w:bookmarkStart w:id="39" w:name="chapter_level1_5_53_section_4"/>
      <w:bookmarkEnd w:id="39"/>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1、依法申请并募集基金，办理或者委托经中国证监会认定的其他机构代为办理基金份额的发售、申购、赎回和登记事宜；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7、除依据《基金法》、基金合同及其他有关规定外，不得利用基金财产为自己及任何第三人谋取利益，不得委托第三人运作基金财产；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8、进行基金会计核算并编制基金的财务会计报告； </w:t>
      </w:r>
    </w:p>
    <w:p>
      <w:pPr>
        <w:pStyle w:val="7"/>
        <w:spacing w:before="0" w:beforeAutospacing="0" w:after="0" w:afterAutospacing="0" w:line="360" w:lineRule="auto"/>
        <w:ind w:firstLine="420"/>
        <w:rPr>
          <w:sz w:val="21"/>
          <w:szCs w:val="21"/>
        </w:rPr>
      </w:pPr>
      <w:r>
        <w:rPr>
          <w:rFonts w:hint="eastAsia"/>
          <w:sz w:val="21"/>
          <w:szCs w:val="21"/>
        </w:rPr>
        <w:t xml:space="preserve">9、依法接受基金托管人的监督；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11、采取适当合理的措施使计算开放式基金份额认购、申购、赎回和注销价格的方法符合基金合同等法律文件的规定；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12、计算并公告基金净值信息，确定基金份额申购、赎回价格；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16、保存基金财产管理业务活动的记录、账册、报表、代表基金签订的重大合同及其他相关资料； </w:t>
      </w:r>
    </w:p>
    <w:p>
      <w:pPr>
        <w:pStyle w:val="7"/>
        <w:spacing w:before="0" w:beforeAutospacing="0" w:after="0" w:afterAutospacing="0" w:line="360" w:lineRule="auto"/>
        <w:ind w:firstLine="420"/>
        <w:rPr>
          <w:sz w:val="21"/>
          <w:szCs w:val="21"/>
        </w:rPr>
      </w:pPr>
      <w:r>
        <w:rPr>
          <w:rFonts w:hint="eastAsia"/>
          <w:sz w:val="21"/>
          <w:szCs w:val="21"/>
        </w:rPr>
        <w:t xml:space="preserve">17、依据《基金法》、基金合同及其他有关规定召集基金份额持有人大会或配合基金托管人、基金份额持有人依法召集基金份额持有人大会；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20、因违反基金合同导致基金财产的损失或损害基金份额持有人的合法权益，应承担赔偿责任，其赔偿责任不因其退任而免除；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 基金管理人承诺不从事违反《证券法》的行为，并承诺建立健全内部控制制度，采取有效措施，防止违反《证券法》行为的发生；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 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（5）依照法律、行政法规有关规定，由中国证监会规定禁止的其他行为。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 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 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 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 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 不利用职务之便为自己、受雇人或任何第三者谋取利益； </w:t>
      </w:r>
    </w:p>
    <w:p>
      <w:pPr>
        <w:pStyle w:val="7"/>
        <w:spacing w:before="0" w:beforeAutospacing="0" w:after="0" w:afterAutospacing="0" w:line="360" w:lineRule="auto"/>
        <w:ind w:firstLine="420"/>
        <w:rPr>
          <w:sz w:val="21"/>
          <w:szCs w:val="21"/>
        </w:rPr>
      </w:pPr>
      <w:r>
        <w:rPr>
          <w:rFonts w:hint="eastAsia"/>
          <w:sz w:val="21"/>
          <w:szCs w:val="21"/>
        </w:rPr>
        <w:t xml:space="preserve">3. 不泄露在任职期间知悉的有关证券、基金的商业秘密，尚未依法公开的基金投资内容、基金投资计划等信息； </w:t>
      </w:r>
    </w:p>
    <w:p>
      <w:pPr>
        <w:pStyle w:val="7"/>
        <w:spacing w:before="0" w:beforeAutospacing="0" w:after="0" w:afterAutospacing="0" w:line="360" w:lineRule="auto"/>
        <w:ind w:firstLine="420"/>
        <w:rPr>
          <w:sz w:val="21"/>
          <w:szCs w:val="21"/>
        </w:rPr>
      </w:pPr>
      <w:r>
        <w:rPr>
          <w:rFonts w:hint="eastAsia"/>
          <w:sz w:val="21"/>
          <w:szCs w:val="21"/>
        </w:rPr>
        <w:t xml:space="preserve">4. 不以任何形式为其他组织或个人进行证券交易。 </w:t>
      </w:r>
    </w:p>
    <w:p>
      <w:pPr>
        <w:pStyle w:val="7"/>
        <w:spacing w:before="0" w:beforeAutospacing="0" w:after="0" w:afterAutospacing="0" w:line="360" w:lineRule="auto"/>
        <w:ind w:firstLine="420"/>
        <w:rPr>
          <w:sz w:val="21"/>
          <w:szCs w:val="21"/>
        </w:rPr>
      </w:pPr>
      <w:r>
        <w:rPr>
          <w:rFonts w:hint="eastAsia"/>
          <w:sz w:val="21"/>
          <w:szCs w:val="21"/>
        </w:rPr>
        <w:t xml:space="preserve">（六）基金管理人的内部控制制度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0" w:name="chapter_level1_5_53_section_4_end"/>
      <w:bookmarkEnd w:id="40"/>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1" w:name="_Toc113564301"/>
      <w:bookmarkStart w:id="42" w:name="chapter_level1_6_55"/>
      <w:r>
        <w:rPr>
          <w:rFonts w:hint="eastAsia" w:ascii="宋体" w:hAnsi="宋体" w:eastAsia="宋体"/>
          <w:sz w:val="30"/>
        </w:rPr>
        <w:t>第四部分  基金托管人</w:t>
      </w:r>
      <w:bookmarkEnd w:id="41"/>
      <w:bookmarkEnd w:id="42"/>
    </w:p>
    <w:p>
      <w:pPr>
        <w:pStyle w:val="7"/>
        <w:spacing w:before="0" w:beforeAutospacing="0" w:after="0" w:afterAutospacing="0" w:line="360" w:lineRule="auto"/>
        <w:ind w:firstLine="420"/>
        <w:rPr>
          <w:sz w:val="21"/>
          <w:szCs w:val="21"/>
        </w:rPr>
      </w:pPr>
      <w:bookmarkStart w:id="43" w:name="chapter_level1_6_55_section_1"/>
      <w:bookmarkEnd w:id="43"/>
      <w:bookmarkStart w:id="44" w:name="field_0_trustcompanyinfo_1_start"/>
      <w:bookmarkEnd w:id="44"/>
      <w:r>
        <w:rPr>
          <w:rFonts w:hint="eastAsia"/>
          <w:sz w:val="21"/>
          <w:szCs w:val="21"/>
        </w:rPr>
        <w:t xml:space="preserve">一、基金托管人情况 </w:t>
      </w:r>
    </w:p>
    <w:p>
      <w:pPr>
        <w:pStyle w:val="7"/>
        <w:spacing w:before="0" w:beforeAutospacing="0" w:after="0" w:afterAutospacing="0" w:line="360" w:lineRule="auto"/>
        <w:ind w:firstLine="420"/>
        <w:rPr>
          <w:sz w:val="21"/>
          <w:szCs w:val="21"/>
        </w:rPr>
      </w:pPr>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名称：中国建设银行股份有限公司(简称：中国建设银行)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成立时间：2004年09月17日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联系人：李申 </w:t>
      </w:r>
    </w:p>
    <w:p>
      <w:pPr>
        <w:pStyle w:val="7"/>
        <w:spacing w:before="0" w:beforeAutospacing="0" w:after="0" w:afterAutospacing="0" w:line="360" w:lineRule="auto"/>
        <w:ind w:firstLine="420"/>
        <w:rPr>
          <w:sz w:val="21"/>
          <w:szCs w:val="21"/>
        </w:rPr>
      </w:pPr>
      <w:r>
        <w:rPr>
          <w:rFonts w:hint="eastAsia"/>
          <w:sz w:val="21"/>
          <w:szCs w:val="21"/>
        </w:rPr>
        <w:t xml:space="preserve">联系电话：(021)6063 7102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w:t>
      </w:r>
      <w:bookmarkStart w:id="45" w:name="chapter_level1_6_55_section_1_end"/>
      <w:bookmarkEnd w:id="45"/>
      <w:r>
        <w:rPr>
          <w:rFonts w:hint="eastAsia"/>
          <w:sz w:val="21"/>
          <w:szCs w:val="21"/>
        </w:rPr>
        <w:t xml:space="preserve">银行（大型银行）”以及“中国最佳数字化资产托管银行”奖项。 </w:t>
      </w:r>
      <w:bookmarkStart w:id="46" w:name="field_0_trustcompanyinfo_1_end"/>
      <w:bookmarkEnd w:id="46"/>
      <w:r>
        <w:rPr>
          <w:rFonts w:hint="eastAsia"/>
          <w:sz w:val="21"/>
          <w:szCs w:val="21"/>
        </w:rPr>
        <w:t xml:space="preserve">  </w:t>
      </w:r>
    </w:p>
    <w:p>
      <w:pPr>
        <w:pStyle w:val="7"/>
        <w:spacing w:before="0" w:beforeAutospacing="0" w:after="0" w:afterAutospacing="0" w:line="360" w:lineRule="auto"/>
        <w:ind w:firstLine="420"/>
        <w:rPr>
          <w:sz w:val="21"/>
          <w:szCs w:val="21"/>
        </w:rPr>
      </w:pPr>
      <w:bookmarkStart w:id="47" w:name="chapter_level1_6_55_section_2"/>
      <w:bookmarkEnd w:id="47"/>
      <w:bookmarkStart w:id="48" w:name="field_0_trustcontrollawinfo_1_start"/>
      <w:bookmarkEnd w:id="48"/>
      <w:r>
        <w:rPr>
          <w:rFonts w:hint="eastAsia"/>
          <w:sz w:val="21"/>
          <w:szCs w:val="21"/>
        </w:rPr>
        <w:t xml:space="preserve">二、基金托管人的内部控制制度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（一）内部控制目标 </w:t>
      </w:r>
    </w:p>
    <w:p>
      <w:pPr>
        <w:pStyle w:val="7"/>
        <w:spacing w:before="0" w:beforeAutospacing="0" w:after="0" w:afterAutospacing="0" w:line="360" w:lineRule="auto"/>
        <w:ind w:firstLine="420"/>
        <w:rPr>
          <w:sz w:val="21"/>
          <w:szCs w:val="21"/>
        </w:rPr>
      </w:pPr>
      <w:r>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（二）内部控制组织结构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pPr>
        <w:pStyle w:val="7"/>
        <w:spacing w:before="0" w:beforeAutospacing="0" w:after="0" w:afterAutospacing="0" w:line="360" w:lineRule="auto"/>
        <w:ind w:firstLine="420"/>
        <w:rPr>
          <w:sz w:val="21"/>
          <w:szCs w:val="21"/>
        </w:rPr>
      </w:pPr>
      <w:r>
        <w:rPr>
          <w:rFonts w:hint="eastAsia"/>
          <w:sz w:val="21"/>
          <w:szCs w:val="21"/>
        </w:rPr>
        <w:t xml:space="preserve">（三）内部控制制度及措施 </w:t>
      </w:r>
    </w:p>
    <w:p>
      <w:pPr>
        <w:pStyle w:val="7"/>
        <w:spacing w:before="0" w:beforeAutospacing="0" w:after="0" w:afterAutospacing="0" w:line="360" w:lineRule="auto"/>
        <w:ind w:firstLine="420"/>
        <w:rPr>
          <w:sz w:val="21"/>
          <w:szCs w:val="21"/>
        </w:rPr>
      </w:pPr>
      <w:r>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pPr>
        <w:pStyle w:val="7"/>
        <w:spacing w:before="0" w:beforeAutospacing="0" w:after="0" w:afterAutospacing="0" w:line="360" w:lineRule="auto"/>
        <w:ind w:firstLine="420"/>
        <w:rPr>
          <w:sz w:val="21"/>
          <w:szCs w:val="21"/>
        </w:rPr>
      </w:pPr>
      <w:r>
        <w:rPr>
          <w:rFonts w:hint="eastAsia"/>
          <w:sz w:val="21"/>
          <w:szCs w:val="21"/>
        </w:rPr>
        <w:t xml:space="preserve">三、基金托管人对基金管理人运作基金进行监督的方法和程序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（一）监督方法 </w:t>
      </w:r>
    </w:p>
    <w:p>
      <w:pPr>
        <w:pStyle w:val="7"/>
        <w:spacing w:before="0" w:beforeAutospacing="0" w:after="0" w:afterAutospacing="0" w:line="360" w:lineRule="auto"/>
        <w:ind w:firstLine="420"/>
        <w:rPr>
          <w:sz w:val="21"/>
          <w:szCs w:val="21"/>
        </w:rPr>
      </w:pPr>
      <w:r>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pPr>
        <w:pStyle w:val="7"/>
        <w:spacing w:before="0" w:beforeAutospacing="0" w:after="0" w:afterAutospacing="0" w:line="360" w:lineRule="auto"/>
        <w:ind w:firstLine="420"/>
        <w:rPr>
          <w:sz w:val="21"/>
          <w:szCs w:val="21"/>
        </w:rPr>
      </w:pPr>
      <w:r>
        <w:rPr>
          <w:rFonts w:hint="eastAsia"/>
          <w:sz w:val="21"/>
          <w:szCs w:val="21"/>
        </w:rPr>
        <w:t xml:space="preserve">（二）监督流程 </w:t>
      </w:r>
    </w:p>
    <w:p>
      <w:pPr>
        <w:pStyle w:val="7"/>
        <w:spacing w:before="0" w:beforeAutospacing="0" w:after="0" w:afterAutospacing="0" w:line="360" w:lineRule="auto"/>
        <w:ind w:firstLine="420"/>
        <w:rPr>
          <w:sz w:val="21"/>
          <w:szCs w:val="21"/>
        </w:rPr>
      </w:pPr>
      <w:r>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pPr>
        <w:pStyle w:val="7"/>
        <w:spacing w:before="0" w:beforeAutospacing="0" w:after="0" w:afterAutospacing="0" w:line="360" w:lineRule="auto"/>
        <w:ind w:firstLine="420"/>
        <w:rPr>
          <w:sz w:val="21"/>
          <w:szCs w:val="21"/>
        </w:rPr>
      </w:pPr>
      <w:r>
        <w:rPr>
          <w:rFonts w:hint="eastAsia"/>
          <w:sz w:val="21"/>
          <w:szCs w:val="21"/>
        </w:rPr>
        <w:t xml:space="preserve">2.收到基金管理人的划款指令后，对指令要素等内容进行核查。 </w:t>
      </w:r>
    </w:p>
    <w:p>
      <w:pPr>
        <w:pStyle w:val="7"/>
        <w:spacing w:before="0" w:beforeAutospacing="0" w:after="0" w:afterAutospacing="0" w:line="360" w:lineRule="auto"/>
        <w:ind w:firstLine="420"/>
        <w:rPr>
          <w:sz w:val="21"/>
          <w:szCs w:val="21"/>
        </w:rPr>
      </w:pPr>
      <w:r>
        <w:rPr>
          <w:rFonts w:hint="eastAsia"/>
          <w:sz w:val="21"/>
          <w:szCs w:val="21"/>
        </w:rPr>
        <w:t>3.通过技术或非技术手段发现基金涉嫌违规交易，电话或书面要求基金管理人进行解释</w:t>
      </w:r>
      <w:bookmarkStart w:id="49" w:name="chapter_level1_6_55_section_2_end"/>
      <w:bookmarkEnd w:id="49"/>
      <w:r>
        <w:rPr>
          <w:rFonts w:hint="eastAsia"/>
          <w:sz w:val="21"/>
          <w:szCs w:val="21"/>
        </w:rPr>
        <w:t xml:space="preserve">或举证，如有必要将及时报告中国证监会。 </w:t>
      </w:r>
      <w:bookmarkStart w:id="50" w:name="field_0_trustcontrollawinfo_1_end"/>
      <w:bookmarkEnd w:id="5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1" w:name="chapter_level1_7_56"/>
      <w:bookmarkStart w:id="52" w:name="_Toc113564302"/>
      <w:r>
        <w:rPr>
          <w:rFonts w:hint="eastAsia" w:ascii="宋体" w:hAnsi="宋体" w:eastAsia="宋体"/>
          <w:sz w:val="30"/>
        </w:rPr>
        <w:t>第五部分  相关服务机构</w:t>
      </w:r>
      <w:bookmarkEnd w:id="51"/>
      <w:bookmarkEnd w:id="52"/>
    </w:p>
    <w:p>
      <w:pPr>
        <w:pStyle w:val="7"/>
        <w:spacing w:before="0" w:beforeAutospacing="0" w:after="0" w:afterAutospacing="0" w:line="360" w:lineRule="auto"/>
        <w:ind w:firstLine="420"/>
        <w:rPr>
          <w:sz w:val="21"/>
          <w:szCs w:val="21"/>
        </w:rPr>
      </w:pPr>
      <w:bookmarkStart w:id="53" w:name="chapter_level1_7_56_section_1"/>
      <w:bookmarkEnd w:id="53"/>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4" w:name="field_0_marketcompanyinfo_1_start"/>
      <w:bookmarkEnd w:id="54"/>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55" w:name="chapter_level1_7_56_section_1_end"/>
      <w:bookmarkEnd w:id="55"/>
      <w:r>
        <w:rPr>
          <w:rFonts w:hint="eastAsia"/>
          <w:sz w:val="21"/>
          <w:szCs w:val="21"/>
        </w:rPr>
        <w:t xml:space="preserve">博时一线通：95105568（免长途话费） </w:t>
      </w:r>
      <w:bookmarkStart w:id="56" w:name="field_0_marketcompanyinfo_1_end"/>
      <w:bookmarkEnd w:id="56"/>
      <w:r>
        <w:rPr>
          <w:rFonts w:hint="eastAsia"/>
          <w:sz w:val="21"/>
          <w:szCs w:val="21"/>
        </w:rPr>
        <w:t xml:space="preserve">  </w:t>
      </w:r>
    </w:p>
    <w:p>
      <w:pPr>
        <w:pStyle w:val="7"/>
        <w:spacing w:before="0" w:beforeAutospacing="0" w:after="0" w:afterAutospacing="0" w:line="360" w:lineRule="auto"/>
        <w:ind w:firstLine="420"/>
        <w:rPr>
          <w:sz w:val="21"/>
          <w:szCs w:val="21"/>
        </w:rPr>
      </w:pPr>
      <w:bookmarkStart w:id="57" w:name="chapter_level1_7_56_section_2"/>
      <w:bookmarkEnd w:id="57"/>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58" w:name="field_0_allproxysaletables_1_start"/>
      <w:bookmarkEnd w:id="58"/>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http://www.abchina.com </w:t>
            </w:r>
          </w:p>
        </w:tc>
      </w:tr>
    </w:tbl>
    <w:p>
      <w:pPr>
        <w:pStyle w:val="7"/>
        <w:spacing w:before="0" w:beforeAutospacing="0" w:after="0" w:afterAutospacing="0" w:line="360" w:lineRule="auto"/>
        <w:ind w:firstLine="420"/>
        <w:rPr>
          <w:sz w:val="21"/>
          <w:szCs w:val="21"/>
        </w:rPr>
      </w:pPr>
      <w:r>
        <w:rPr>
          <w:rFonts w:hint="eastAsia"/>
          <w:b/>
          <w:bCs/>
          <w:sz w:val="21"/>
          <w:szCs w:val="21"/>
        </w:rPr>
        <w:t>(3)中国银行股份有限公司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(4)中国建设银行股份有限公司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(5)交通银行股份有限公司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(6)招商银行股份有限公司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(7)中信银行股份有限公司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(8)上海浦东发展银行股份有限公司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(9)中国光大银行股份有限公司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(10)中国民生银行股份有限公司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(11)中国邮政储蓄银行股份有限公司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(12)北京银行股份有限公司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http://www.bankofbeijing.com.cn/ </w:t>
            </w:r>
          </w:p>
        </w:tc>
      </w:tr>
    </w:tbl>
    <w:p>
      <w:pPr>
        <w:pStyle w:val="7"/>
        <w:spacing w:before="0" w:beforeAutospacing="0" w:after="0" w:afterAutospacing="0" w:line="360" w:lineRule="auto"/>
        <w:ind w:firstLine="420"/>
        <w:rPr>
          <w:sz w:val="21"/>
          <w:szCs w:val="21"/>
        </w:rPr>
      </w:pPr>
      <w:r>
        <w:rPr>
          <w:rFonts w:hint="eastAsia"/>
          <w:b/>
          <w:bCs/>
          <w:sz w:val="21"/>
          <w:szCs w:val="21"/>
        </w:rPr>
        <w:t>(13)华夏银行股份有限公司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(14)广发银行股份有限公司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(15)平安银行股份有限公司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(16)宁波银行股份有限公司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(17)上海农村商业银行股份有限公司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(18)北京农村商业银行股份有限公司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(19)青岛银行股份有限公司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(20)徽商银行股份有限公司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王晓昕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叶卓伟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0551-2667635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0551-2667857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4008896588(安徽省外)、96588(安徽省内)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http://www.hsbank.com.cn </w:t>
            </w:r>
          </w:p>
        </w:tc>
      </w:tr>
    </w:tbl>
    <w:p>
      <w:pPr>
        <w:pStyle w:val="7"/>
        <w:spacing w:before="0" w:beforeAutospacing="0" w:after="0" w:afterAutospacing="0" w:line="360" w:lineRule="auto"/>
        <w:ind w:firstLine="420"/>
        <w:rPr>
          <w:sz w:val="21"/>
          <w:szCs w:val="21"/>
        </w:rPr>
      </w:pPr>
      <w:r>
        <w:rPr>
          <w:rFonts w:hint="eastAsia"/>
          <w:b/>
          <w:bCs/>
          <w:sz w:val="21"/>
          <w:szCs w:val="21"/>
        </w:rPr>
        <w:t>(21)浙商银行股份有限公司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(22)东莞银行股份有限公司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(23)杭州银行股份有限公司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(24)南京银行股份有限公司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(25)温州银行股份有限公司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邢增福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0577-88990082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0577-88995217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（0577）96699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http://www.wzbank.cn </w:t>
            </w:r>
          </w:p>
        </w:tc>
      </w:tr>
    </w:tbl>
    <w:p>
      <w:pPr>
        <w:pStyle w:val="7"/>
        <w:spacing w:before="0" w:beforeAutospacing="0" w:after="0" w:afterAutospacing="0" w:line="360" w:lineRule="auto"/>
        <w:ind w:firstLine="420"/>
        <w:rPr>
          <w:sz w:val="21"/>
          <w:szCs w:val="21"/>
        </w:rPr>
      </w:pPr>
      <w:r>
        <w:rPr>
          <w:rFonts w:hint="eastAsia"/>
          <w:b/>
          <w:bCs/>
          <w:sz w:val="21"/>
          <w:szCs w:val="21"/>
        </w:rPr>
        <w:t>(26)汉口银行股份有限公司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陈新民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027-82656704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027-82656236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027-96558（武汉）;4006096558（全国）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http://www.hkbchina.com </w:t>
            </w:r>
          </w:p>
        </w:tc>
      </w:tr>
    </w:tbl>
    <w:p>
      <w:pPr>
        <w:pStyle w:val="7"/>
        <w:spacing w:before="0" w:beforeAutospacing="0" w:after="0" w:afterAutospacing="0" w:line="360" w:lineRule="auto"/>
        <w:ind w:firstLine="420"/>
        <w:rPr>
          <w:sz w:val="21"/>
          <w:szCs w:val="21"/>
        </w:rPr>
      </w:pPr>
      <w:r>
        <w:rPr>
          <w:rFonts w:hint="eastAsia"/>
          <w:b/>
          <w:bCs/>
          <w:sz w:val="21"/>
          <w:szCs w:val="21"/>
        </w:rPr>
        <w:t>(27)渤海银行股份有限公司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(28)江苏张家港农村商业银行股份有限公司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王自忠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0512-96065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http://www.zrcbank.com </w:t>
            </w:r>
          </w:p>
        </w:tc>
      </w:tr>
    </w:tbl>
    <w:p>
      <w:pPr>
        <w:pStyle w:val="7"/>
        <w:spacing w:before="0" w:beforeAutospacing="0" w:after="0" w:afterAutospacing="0" w:line="360" w:lineRule="auto"/>
        <w:ind w:firstLine="420"/>
        <w:rPr>
          <w:sz w:val="21"/>
          <w:szCs w:val="21"/>
        </w:rPr>
      </w:pPr>
      <w:r>
        <w:rPr>
          <w:rFonts w:hint="eastAsia"/>
          <w:b/>
          <w:bCs/>
          <w:sz w:val="21"/>
          <w:szCs w:val="21"/>
        </w:rPr>
        <w:t>(29)深圳农村商业银行股份有限公司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(30)烟台银行股份有限公司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叶文君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王淑华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0535-6699660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0535-6699884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4008-311-777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http://www.yantaibank.net/ </w:t>
            </w:r>
          </w:p>
        </w:tc>
      </w:tr>
    </w:tbl>
    <w:p>
      <w:pPr>
        <w:pStyle w:val="7"/>
        <w:spacing w:before="0" w:beforeAutospacing="0" w:after="0" w:afterAutospacing="0" w:line="360" w:lineRule="auto"/>
        <w:ind w:firstLine="420"/>
        <w:rPr>
          <w:sz w:val="21"/>
          <w:szCs w:val="21"/>
        </w:rPr>
      </w:pPr>
      <w:r>
        <w:rPr>
          <w:rFonts w:hint="eastAsia"/>
          <w:b/>
          <w:bCs/>
          <w:sz w:val="21"/>
          <w:szCs w:val="21"/>
        </w:rPr>
        <w:t>(31)齐商银行股份有限公司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杲传勇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肖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0533-2178888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0533-2180303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0533-96588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http://www.qsbank.cc </w:t>
            </w:r>
          </w:p>
        </w:tc>
      </w:tr>
    </w:tbl>
    <w:p>
      <w:pPr>
        <w:pStyle w:val="7"/>
        <w:spacing w:before="0" w:beforeAutospacing="0" w:after="0" w:afterAutospacing="0" w:line="360" w:lineRule="auto"/>
        <w:ind w:firstLine="420"/>
        <w:rPr>
          <w:sz w:val="21"/>
          <w:szCs w:val="21"/>
        </w:rPr>
      </w:pPr>
      <w:r>
        <w:rPr>
          <w:rFonts w:hint="eastAsia"/>
          <w:b/>
          <w:bCs/>
          <w:sz w:val="21"/>
          <w:szCs w:val="21"/>
        </w:rPr>
        <w:t>(32)大连银行股份有限公司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http://www.bankofdl.com </w:t>
            </w:r>
          </w:p>
        </w:tc>
      </w:tr>
    </w:tbl>
    <w:p>
      <w:pPr>
        <w:pStyle w:val="7"/>
        <w:spacing w:before="0" w:beforeAutospacing="0" w:after="0" w:afterAutospacing="0" w:line="360" w:lineRule="auto"/>
        <w:ind w:firstLine="420"/>
        <w:rPr>
          <w:sz w:val="21"/>
          <w:szCs w:val="21"/>
        </w:rPr>
      </w:pPr>
      <w:r>
        <w:rPr>
          <w:rFonts w:hint="eastAsia"/>
          <w:b/>
          <w:bCs/>
          <w:sz w:val="21"/>
          <w:szCs w:val="21"/>
        </w:rPr>
        <w:t>(33)哈尔滨银行股份有限公司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哈尔滨市道里区尚志大街160号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哈尔滨市道里区上江街888号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郭志文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李至北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0451-87792450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0451-87792682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http://www.hrbb.com.cn </w:t>
            </w:r>
          </w:p>
        </w:tc>
      </w:tr>
    </w:tbl>
    <w:p>
      <w:pPr>
        <w:pStyle w:val="7"/>
        <w:spacing w:before="0" w:beforeAutospacing="0" w:after="0" w:afterAutospacing="0" w:line="360" w:lineRule="auto"/>
        <w:ind w:firstLine="420"/>
        <w:rPr>
          <w:sz w:val="21"/>
          <w:szCs w:val="21"/>
        </w:rPr>
      </w:pPr>
      <w:r>
        <w:rPr>
          <w:rFonts w:hint="eastAsia"/>
          <w:b/>
          <w:bCs/>
          <w:sz w:val="21"/>
          <w:szCs w:val="21"/>
        </w:rPr>
        <w:t>(34)重庆银行股份有限公司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(35)浙江稠州商业银行股份有限公司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金子军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董晓岚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0571-87117617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0571-87117616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4008096527、（0571）96527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http://www.czcb.com.cn </w:t>
            </w:r>
          </w:p>
        </w:tc>
      </w:tr>
    </w:tbl>
    <w:p>
      <w:pPr>
        <w:pStyle w:val="7"/>
        <w:spacing w:before="0" w:beforeAutospacing="0" w:after="0" w:afterAutospacing="0" w:line="360" w:lineRule="auto"/>
        <w:ind w:firstLine="420"/>
        <w:rPr>
          <w:sz w:val="21"/>
          <w:szCs w:val="21"/>
        </w:rPr>
      </w:pPr>
      <w:r>
        <w:rPr>
          <w:rFonts w:hint="eastAsia"/>
          <w:b/>
          <w:bCs/>
          <w:sz w:val="21"/>
          <w:szCs w:val="21"/>
        </w:rPr>
        <w:t>(36)东莞农村商业银行股份有限公司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(37)河北银行股份有限公司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(38)嘉兴银行股份有限公司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(39)广州银行股份有限公司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www.gzcb.com.cn </w:t>
            </w:r>
          </w:p>
        </w:tc>
      </w:tr>
    </w:tbl>
    <w:p>
      <w:pPr>
        <w:pStyle w:val="7"/>
        <w:spacing w:before="0" w:beforeAutospacing="0" w:after="0" w:afterAutospacing="0" w:line="360" w:lineRule="auto"/>
        <w:ind w:firstLine="420"/>
        <w:rPr>
          <w:sz w:val="21"/>
          <w:szCs w:val="21"/>
        </w:rPr>
      </w:pPr>
      <w:r>
        <w:rPr>
          <w:rFonts w:hint="eastAsia"/>
          <w:b/>
          <w:bCs/>
          <w:sz w:val="21"/>
          <w:szCs w:val="21"/>
        </w:rPr>
        <w:t>(40)江苏常熟农村商业银行股份有限公司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(41)广东顺德农村商业银行股份有限公司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(42)江苏苏州农村商业银行股份有限公司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(43)西安银行股份有限公司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(44)金华银行股份有限公司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(45)江苏江南农村商业银行股份有限公司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(46)长沙银行股份有限公司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长沙市开福区芙蓉中路433号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长沙市开福区芙蓉中路433号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朱玉国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0731-89736223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0731-89736223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0731-96511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www.bankofchangsha.com </w:t>
            </w:r>
          </w:p>
        </w:tc>
      </w:tr>
    </w:tbl>
    <w:p>
      <w:pPr>
        <w:pStyle w:val="7"/>
        <w:spacing w:before="0" w:beforeAutospacing="0" w:after="0" w:afterAutospacing="0" w:line="360" w:lineRule="auto"/>
        <w:ind w:firstLine="420"/>
        <w:rPr>
          <w:sz w:val="21"/>
          <w:szCs w:val="21"/>
        </w:rPr>
      </w:pPr>
      <w:r>
        <w:rPr>
          <w:rFonts w:hint="eastAsia"/>
          <w:b/>
          <w:bCs/>
          <w:sz w:val="21"/>
          <w:szCs w:val="21"/>
        </w:rPr>
        <w:t>(47)江苏江阴农村商业银行股份有限公司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李仁法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陆建生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0510-86823403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0510-86805815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0510-96078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http://www.jybank.com.cn/ </w:t>
            </w:r>
          </w:p>
        </w:tc>
      </w:tr>
    </w:tbl>
    <w:p>
      <w:pPr>
        <w:pStyle w:val="7"/>
        <w:spacing w:before="0" w:beforeAutospacing="0" w:after="0" w:afterAutospacing="0" w:line="360" w:lineRule="auto"/>
        <w:ind w:firstLine="420"/>
        <w:rPr>
          <w:sz w:val="21"/>
          <w:szCs w:val="21"/>
        </w:rPr>
      </w:pPr>
      <w:r>
        <w:rPr>
          <w:rFonts w:hint="eastAsia"/>
          <w:b/>
          <w:bCs/>
          <w:sz w:val="21"/>
          <w:szCs w:val="21"/>
        </w:rPr>
        <w:t>(48)郑州银行股份有限公司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王天宇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焦明飞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0371-67009698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0371-67009097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http://www.zzbank.cn </w:t>
            </w:r>
          </w:p>
        </w:tc>
      </w:tr>
    </w:tbl>
    <w:p>
      <w:pPr>
        <w:pStyle w:val="7"/>
        <w:spacing w:before="0" w:beforeAutospacing="0" w:after="0" w:afterAutospacing="0" w:line="360" w:lineRule="auto"/>
        <w:ind w:firstLine="420"/>
        <w:rPr>
          <w:sz w:val="21"/>
          <w:szCs w:val="21"/>
        </w:rPr>
      </w:pPr>
      <w:r>
        <w:rPr>
          <w:rFonts w:hint="eastAsia"/>
          <w:b/>
          <w:bCs/>
          <w:sz w:val="21"/>
          <w:szCs w:val="21"/>
        </w:rPr>
        <w:t>(49)广州农村商业银行股份有限公司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广州市天河区珠江新城华夏路1号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广州市天河区珠江新城华夏路1号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王继康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020-28852675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020-28852675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www.grcbank.com </w:t>
            </w:r>
          </w:p>
        </w:tc>
      </w:tr>
    </w:tbl>
    <w:p>
      <w:pPr>
        <w:pStyle w:val="7"/>
        <w:spacing w:before="0" w:beforeAutospacing="0" w:after="0" w:afterAutospacing="0" w:line="360" w:lineRule="auto"/>
        <w:ind w:firstLine="420"/>
        <w:rPr>
          <w:sz w:val="21"/>
          <w:szCs w:val="21"/>
        </w:rPr>
      </w:pPr>
      <w:r>
        <w:rPr>
          <w:rFonts w:hint="eastAsia"/>
          <w:b/>
          <w:bCs/>
          <w:sz w:val="21"/>
          <w:szCs w:val="21"/>
        </w:rPr>
        <w:t>(50)吉林银行股份有限公司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http://www.jlbank.com.cn </w:t>
            </w:r>
          </w:p>
        </w:tc>
      </w:tr>
    </w:tbl>
    <w:p>
      <w:pPr>
        <w:pStyle w:val="7"/>
        <w:spacing w:before="0" w:beforeAutospacing="0" w:after="0" w:afterAutospacing="0" w:line="360" w:lineRule="auto"/>
        <w:ind w:firstLine="420"/>
        <w:rPr>
          <w:sz w:val="21"/>
          <w:szCs w:val="21"/>
        </w:rPr>
      </w:pPr>
      <w:r>
        <w:rPr>
          <w:rFonts w:hint="eastAsia"/>
          <w:b/>
          <w:bCs/>
          <w:sz w:val="21"/>
          <w:szCs w:val="21"/>
        </w:rPr>
        <w:t>(51)苏州银行股份有限公司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(52)杭州联合农村商业银行股份有限公司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(53)威海市商业银行股份有限公司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威海市宝泉路9号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济南市经十路奥体金融中心d栋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谭先国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0531-68978175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0531-68978176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省内96636、境内4000096636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http://www.whccb.com/ </w:t>
            </w:r>
          </w:p>
        </w:tc>
      </w:tr>
    </w:tbl>
    <w:p>
      <w:pPr>
        <w:pStyle w:val="7"/>
        <w:spacing w:before="0" w:beforeAutospacing="0" w:after="0" w:afterAutospacing="0" w:line="360" w:lineRule="auto"/>
        <w:ind w:firstLine="420"/>
        <w:rPr>
          <w:sz w:val="21"/>
          <w:szCs w:val="21"/>
        </w:rPr>
      </w:pPr>
      <w:r>
        <w:rPr>
          <w:rFonts w:hint="eastAsia"/>
          <w:b/>
          <w:bCs/>
          <w:sz w:val="21"/>
          <w:szCs w:val="21"/>
        </w:rPr>
        <w:t>(54)星展银行(中国)有限公司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上海市浦东新区陆家嘴环路1318号1301、1801单元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上海市浦东新区陆家嘴环路1318号1301、1801单元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葛甘牛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吴欣莹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021-38968359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021-38968995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400-820-8988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http://www.dbs.com.cn </w:t>
            </w:r>
          </w:p>
        </w:tc>
      </w:tr>
    </w:tbl>
    <w:p>
      <w:pPr>
        <w:pStyle w:val="7"/>
        <w:spacing w:before="0" w:beforeAutospacing="0" w:after="0" w:afterAutospacing="0" w:line="360" w:lineRule="auto"/>
        <w:ind w:firstLine="420"/>
        <w:rPr>
          <w:sz w:val="21"/>
          <w:szCs w:val="21"/>
        </w:rPr>
      </w:pPr>
      <w:r>
        <w:rPr>
          <w:rFonts w:hint="eastAsia"/>
          <w:b/>
          <w:bCs/>
          <w:sz w:val="21"/>
          <w:szCs w:val="21"/>
        </w:rPr>
        <w:t>(55)晋商银行股份有限公司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(56)日照银行股份有限公司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(57)恒丰银行股份有限公司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山东省济南市历下区泺源大街8号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上海市黄浦区开平路88号瀛通绿地大厦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孔晓晴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0531-59666666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0531-59666666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www.hfbank.com.cn </w:t>
            </w:r>
          </w:p>
        </w:tc>
      </w:tr>
    </w:tbl>
    <w:p>
      <w:pPr>
        <w:pStyle w:val="7"/>
        <w:spacing w:before="0" w:beforeAutospacing="0" w:after="0" w:afterAutospacing="0" w:line="360" w:lineRule="auto"/>
        <w:ind w:firstLine="420"/>
        <w:rPr>
          <w:sz w:val="21"/>
          <w:szCs w:val="21"/>
        </w:rPr>
      </w:pPr>
      <w:r>
        <w:rPr>
          <w:rFonts w:hint="eastAsia"/>
          <w:b/>
          <w:bCs/>
          <w:sz w:val="21"/>
          <w:szCs w:val="21"/>
        </w:rPr>
        <w:t>(58)天相投资顾问有限公司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http://www.txsec.com </w:t>
            </w:r>
          </w:p>
        </w:tc>
      </w:tr>
    </w:tbl>
    <w:p>
      <w:pPr>
        <w:pStyle w:val="7"/>
        <w:spacing w:before="0" w:beforeAutospacing="0" w:after="0" w:afterAutospacing="0" w:line="360" w:lineRule="auto"/>
        <w:ind w:firstLine="420"/>
        <w:rPr>
          <w:sz w:val="21"/>
          <w:szCs w:val="21"/>
        </w:rPr>
      </w:pPr>
      <w:r>
        <w:rPr>
          <w:rFonts w:hint="eastAsia"/>
          <w:b/>
          <w:bCs/>
          <w:sz w:val="21"/>
          <w:szCs w:val="21"/>
        </w:rPr>
        <w:t>(59)鼎信汇金（北京）投资管理有限公司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齐凌峰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010-84489488-8702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010-82086110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400-158-5050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www.9ifund.com </w:t>
            </w:r>
          </w:p>
        </w:tc>
      </w:tr>
    </w:tbl>
    <w:p>
      <w:pPr>
        <w:pStyle w:val="7"/>
        <w:spacing w:before="0" w:beforeAutospacing="0" w:after="0" w:afterAutospacing="0" w:line="360" w:lineRule="auto"/>
        <w:ind w:firstLine="420"/>
        <w:rPr>
          <w:sz w:val="21"/>
          <w:szCs w:val="21"/>
        </w:rPr>
      </w:pPr>
      <w:r>
        <w:rPr>
          <w:rFonts w:hint="eastAsia"/>
          <w:b/>
          <w:bCs/>
          <w:sz w:val="21"/>
          <w:szCs w:val="21"/>
        </w:rPr>
        <w:t>(60)深圳市新兰德证券投资咨询有限公司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(61)和讯信息科技有限公司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(62)厦门市鑫鼎盛控股有限公司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(63)江苏天鼎证券投资咨询有限公司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(64)上海挖财基金销售有限公司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(65)大河财富基金销售有限公司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(66)众惠基金销售有限公司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贵州省贵阳市观山湖区长岭北路贵阳国际金融中心二期商务区第C4栋30层1号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贵州省贵阳市观山湖区长岭北路贵阳国际金融中心二期商务区第C4栋30层1号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李春蓉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许木根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0851-82209888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0851-86909950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400-839-1818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www.hyzhfund.com </w:t>
            </w:r>
          </w:p>
        </w:tc>
      </w:tr>
    </w:tbl>
    <w:p>
      <w:pPr>
        <w:pStyle w:val="7"/>
        <w:spacing w:before="0" w:beforeAutospacing="0" w:after="0" w:afterAutospacing="0" w:line="360" w:lineRule="auto"/>
        <w:ind w:firstLine="420"/>
        <w:rPr>
          <w:sz w:val="21"/>
          <w:szCs w:val="21"/>
        </w:rPr>
      </w:pPr>
      <w:r>
        <w:rPr>
          <w:rFonts w:hint="eastAsia"/>
          <w:b/>
          <w:bCs/>
          <w:sz w:val="21"/>
          <w:szCs w:val="21"/>
        </w:rPr>
        <w:t>(67)腾安基金销售（深圳）有限公司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(68)民商基金销售（上海）有限公司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(69)北京度小满基金销售有限公司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(70)博时财富基金销售有限公司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(71)诺亚正行基金销售有限公司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(72)深圳众禄基金销售股份有限公司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(73)上海天天基金销售有限公司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(74)上海好买基金销售有限公司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(75)蚂蚁（杭州）基金销售有限公司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(76)上海长量基金销售有限公司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(77)浙江同花顺基金销售有限公司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(78)北京展恒基金销售股份有限公司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(79)上海利得基金销售有限公司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(80)北京中期时代基金销售有限公司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田宏莉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朱剑林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010-65807159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http://www.cifcofund.com/ </w:t>
            </w:r>
          </w:p>
        </w:tc>
      </w:tr>
    </w:tbl>
    <w:p>
      <w:pPr>
        <w:pStyle w:val="7"/>
        <w:spacing w:before="0" w:beforeAutospacing="0" w:after="0" w:afterAutospacing="0" w:line="360" w:lineRule="auto"/>
        <w:ind w:firstLine="420"/>
        <w:rPr>
          <w:sz w:val="21"/>
          <w:szCs w:val="21"/>
        </w:rPr>
      </w:pPr>
      <w:r>
        <w:rPr>
          <w:rFonts w:hint="eastAsia"/>
          <w:b/>
          <w:bCs/>
          <w:sz w:val="21"/>
          <w:szCs w:val="21"/>
        </w:rPr>
        <w:t>(81)嘉实财富管理有限公司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(82)乾道金融信息服务（北京）有限公司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(83)北京创金启富基金销售有限公司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(84)泛华普益基金销售有限公司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(85)宜信普泽（北京）基金销售有限公司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(86)南京苏宁基金销售有限公司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(87)浦领基金销售有限公司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(88)北京增财基金销售有限公司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http://www.zcvc.com.cn </w:t>
            </w:r>
          </w:p>
        </w:tc>
      </w:tr>
    </w:tbl>
    <w:p>
      <w:pPr>
        <w:pStyle w:val="7"/>
        <w:spacing w:before="0" w:beforeAutospacing="0" w:after="0" w:afterAutospacing="0" w:line="360" w:lineRule="auto"/>
        <w:ind w:firstLine="420"/>
        <w:rPr>
          <w:sz w:val="21"/>
          <w:szCs w:val="21"/>
        </w:rPr>
      </w:pPr>
      <w:r>
        <w:rPr>
          <w:rFonts w:hint="eastAsia"/>
          <w:b/>
          <w:bCs/>
          <w:sz w:val="21"/>
          <w:szCs w:val="21"/>
        </w:rPr>
        <w:t>(89)深圳腾元基金销售有限公司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(90)通华财富（上海）基金销售有限公司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https://www.tonghuafund.com </w:t>
            </w:r>
          </w:p>
        </w:tc>
      </w:tr>
    </w:tbl>
    <w:p>
      <w:pPr>
        <w:pStyle w:val="7"/>
        <w:spacing w:before="0" w:beforeAutospacing="0" w:after="0" w:afterAutospacing="0" w:line="360" w:lineRule="auto"/>
        <w:ind w:firstLine="420"/>
        <w:rPr>
          <w:sz w:val="21"/>
          <w:szCs w:val="21"/>
        </w:rPr>
      </w:pPr>
      <w:r>
        <w:rPr>
          <w:rFonts w:hint="eastAsia"/>
          <w:b/>
          <w:bCs/>
          <w:sz w:val="21"/>
          <w:szCs w:val="21"/>
        </w:rPr>
        <w:t>(91)北京中植基金销售有限公司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(92)北京汇成基金销售有限公司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(93)一路财富（北京）基金销售股份有限公司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(94)北京钱景基金销售有限公司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(95)海银基金销售有限公司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(96)北京广源达信投资管理有限公司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(97)天津国美基金销售有限公司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(98)北京新浪仓石基金销售有限公司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(99)北京加和基金销售有限公司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www.bzfunds.com </w:t>
            </w:r>
          </w:p>
        </w:tc>
      </w:tr>
    </w:tbl>
    <w:p>
      <w:pPr>
        <w:pStyle w:val="7"/>
        <w:spacing w:before="0" w:beforeAutospacing="0" w:after="0" w:afterAutospacing="0" w:line="360" w:lineRule="auto"/>
        <w:ind w:firstLine="420"/>
        <w:rPr>
          <w:sz w:val="21"/>
          <w:szCs w:val="21"/>
        </w:rPr>
      </w:pPr>
      <w:r>
        <w:rPr>
          <w:rFonts w:hint="eastAsia"/>
          <w:b/>
          <w:bCs/>
          <w:sz w:val="21"/>
          <w:szCs w:val="21"/>
        </w:rPr>
        <w:t>(100)北京辉腾汇富基金销售有限公司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北京市东城区建国门内大街18号15层办公楼一座1502室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北京市东城区朝阳门北大街8号富华大厦F座12层B室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65181028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65174782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http://www.htfund.com </w:t>
            </w:r>
          </w:p>
        </w:tc>
      </w:tr>
    </w:tbl>
    <w:p>
      <w:pPr>
        <w:pStyle w:val="7"/>
        <w:spacing w:before="0" w:beforeAutospacing="0" w:after="0" w:afterAutospacing="0" w:line="360" w:lineRule="auto"/>
        <w:ind w:firstLine="420"/>
        <w:rPr>
          <w:sz w:val="21"/>
          <w:szCs w:val="21"/>
        </w:rPr>
      </w:pPr>
      <w:r>
        <w:rPr>
          <w:rFonts w:hint="eastAsia"/>
          <w:b/>
          <w:bCs/>
          <w:sz w:val="21"/>
          <w:szCs w:val="21"/>
        </w:rPr>
        <w:t>(101)上海万得基金销售有限公司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(102)凤凰金信（海口）基金销售有限公司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(103)上海联泰基金销售有限公司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(104)深圳市金海九州基金销售有限公司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(105)上海汇付金融服务有限公司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fund.bundtrade.com </w:t>
            </w:r>
          </w:p>
        </w:tc>
      </w:tr>
    </w:tbl>
    <w:p>
      <w:pPr>
        <w:pStyle w:val="7"/>
        <w:spacing w:before="0" w:beforeAutospacing="0" w:after="0" w:afterAutospacing="0" w:line="360" w:lineRule="auto"/>
        <w:ind w:firstLine="420"/>
        <w:rPr>
          <w:sz w:val="21"/>
          <w:szCs w:val="21"/>
        </w:rPr>
      </w:pPr>
      <w:r>
        <w:rPr>
          <w:rFonts w:hint="eastAsia"/>
          <w:b/>
          <w:bCs/>
          <w:sz w:val="21"/>
          <w:szCs w:val="21"/>
        </w:rPr>
        <w:t>(106)北京坤元基金销售有限公司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(107)江西正融基金销售有限公司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(108)上海基煜基金销售有限公司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(109)上海凯石财富基金销售有限公司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www.lingxianfund.com </w:t>
            </w:r>
          </w:p>
        </w:tc>
      </w:tr>
    </w:tbl>
    <w:p>
      <w:pPr>
        <w:pStyle w:val="7"/>
        <w:spacing w:before="0" w:beforeAutospacing="0" w:after="0" w:afterAutospacing="0" w:line="360" w:lineRule="auto"/>
        <w:ind w:firstLine="420"/>
        <w:rPr>
          <w:sz w:val="21"/>
          <w:szCs w:val="21"/>
        </w:rPr>
      </w:pPr>
      <w:r>
        <w:rPr>
          <w:rFonts w:hint="eastAsia"/>
          <w:b/>
          <w:bCs/>
          <w:sz w:val="21"/>
          <w:szCs w:val="21"/>
        </w:rPr>
        <w:t>(110)上海中正达广基金销售有限公司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(111)北京虹点基金销售有限公司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(112)深圳新华信通基金销售有限公司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(113)深圳富济基金销售有限公司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(114)上海陆金所基金销售有限公司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(115)珠海盈米基金销售有限公司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(116)和耕传承基金销售有限公司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(117)南京途牛基金销售有限公司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(118)奕丰基金销售有限公司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www.ifastps.com.cn </w:t>
            </w:r>
          </w:p>
        </w:tc>
      </w:tr>
    </w:tbl>
    <w:p>
      <w:pPr>
        <w:pStyle w:val="7"/>
        <w:spacing w:before="0" w:beforeAutospacing="0" w:after="0" w:afterAutospacing="0" w:line="360" w:lineRule="auto"/>
        <w:ind w:firstLine="420"/>
        <w:rPr>
          <w:sz w:val="21"/>
          <w:szCs w:val="21"/>
        </w:rPr>
      </w:pPr>
      <w:r>
        <w:rPr>
          <w:rFonts w:hint="eastAsia"/>
          <w:b/>
          <w:bCs/>
          <w:sz w:val="21"/>
          <w:szCs w:val="21"/>
        </w:rPr>
        <w:t>(119)中证金牛（北京）基金销售有限公司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(120)北京懒猫基金销售有限公司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www.lanmao.com </w:t>
            </w:r>
          </w:p>
        </w:tc>
      </w:tr>
    </w:tbl>
    <w:p>
      <w:pPr>
        <w:pStyle w:val="7"/>
        <w:spacing w:before="0" w:beforeAutospacing="0" w:after="0" w:afterAutospacing="0" w:line="360" w:lineRule="auto"/>
        <w:ind w:firstLine="420"/>
        <w:rPr>
          <w:sz w:val="21"/>
          <w:szCs w:val="21"/>
        </w:rPr>
      </w:pPr>
      <w:r>
        <w:rPr>
          <w:rFonts w:hint="eastAsia"/>
          <w:b/>
          <w:bCs/>
          <w:sz w:val="21"/>
          <w:szCs w:val="21"/>
        </w:rPr>
        <w:t>(121)京东肯特瑞基金销售有限公司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(122)大连网金基金销售有限公司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(123)深圳市金斧子基金销售有限公司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(124)北京雪球基金销售有限公司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(125)深圳前海欧中联合基金销售有限公司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http://www.ecpefund.com/ </w:t>
            </w:r>
          </w:p>
        </w:tc>
      </w:tr>
    </w:tbl>
    <w:p>
      <w:pPr>
        <w:pStyle w:val="7"/>
        <w:spacing w:before="0" w:beforeAutospacing="0" w:after="0" w:afterAutospacing="0" w:line="360" w:lineRule="auto"/>
        <w:ind w:firstLine="420"/>
        <w:rPr>
          <w:sz w:val="21"/>
          <w:szCs w:val="21"/>
        </w:rPr>
      </w:pPr>
      <w:r>
        <w:rPr>
          <w:rFonts w:hint="eastAsia"/>
          <w:b/>
          <w:bCs/>
          <w:sz w:val="21"/>
          <w:szCs w:val="21"/>
        </w:rPr>
        <w:t>(126)深圳前海财厚基金销售有限公司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(127)万家财富基金销售（天津）有限公司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(128)上海华夏财富投资管理有限公司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(129)洪泰财富（青岛）基金销售有限责任公司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(130)中国国际期货股份有限公司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http://www.cifco.net </w:t>
            </w:r>
          </w:p>
        </w:tc>
      </w:tr>
    </w:tbl>
    <w:p>
      <w:pPr>
        <w:pStyle w:val="7"/>
        <w:spacing w:before="0" w:beforeAutospacing="0" w:after="0" w:afterAutospacing="0" w:line="360" w:lineRule="auto"/>
        <w:ind w:firstLine="420"/>
        <w:rPr>
          <w:sz w:val="21"/>
          <w:szCs w:val="21"/>
        </w:rPr>
      </w:pPr>
      <w:r>
        <w:rPr>
          <w:rFonts w:hint="eastAsia"/>
          <w:b/>
          <w:bCs/>
          <w:sz w:val="21"/>
          <w:szCs w:val="21"/>
        </w:rPr>
        <w:t>(131)中信建投期货有限公司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www.cfc108.com </w:t>
            </w:r>
          </w:p>
        </w:tc>
      </w:tr>
    </w:tbl>
    <w:p>
      <w:pPr>
        <w:pStyle w:val="7"/>
        <w:spacing w:before="0" w:beforeAutospacing="0" w:after="0" w:afterAutospacing="0" w:line="360" w:lineRule="auto"/>
        <w:ind w:firstLine="420"/>
        <w:rPr>
          <w:sz w:val="21"/>
          <w:szCs w:val="21"/>
        </w:rPr>
      </w:pPr>
      <w:r>
        <w:rPr>
          <w:rFonts w:hint="eastAsia"/>
          <w:b/>
          <w:bCs/>
          <w:sz w:val="21"/>
          <w:szCs w:val="21"/>
        </w:rPr>
        <w:t>(132)中信期货有限公司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(133)徽商期货有限责任公司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www.hsqh.net </w:t>
            </w:r>
          </w:p>
        </w:tc>
      </w:tr>
    </w:tbl>
    <w:p>
      <w:pPr>
        <w:pStyle w:val="7"/>
        <w:spacing w:before="0" w:beforeAutospacing="0" w:after="0" w:afterAutospacing="0" w:line="360" w:lineRule="auto"/>
        <w:ind w:firstLine="420"/>
        <w:rPr>
          <w:sz w:val="21"/>
          <w:szCs w:val="21"/>
        </w:rPr>
      </w:pPr>
      <w:r>
        <w:rPr>
          <w:rFonts w:hint="eastAsia"/>
          <w:b/>
          <w:bCs/>
          <w:sz w:val="21"/>
          <w:szCs w:val="21"/>
        </w:rPr>
        <w:t>(134)东海期货有限责任公司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李天雨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www.qh168.com.cn </w:t>
            </w:r>
          </w:p>
        </w:tc>
      </w:tr>
    </w:tbl>
    <w:p>
      <w:pPr>
        <w:pStyle w:val="7"/>
        <w:spacing w:before="0" w:beforeAutospacing="0" w:after="0" w:afterAutospacing="0" w:line="360" w:lineRule="auto"/>
        <w:ind w:firstLine="420"/>
        <w:rPr>
          <w:sz w:val="21"/>
          <w:szCs w:val="21"/>
        </w:rPr>
      </w:pPr>
      <w:r>
        <w:rPr>
          <w:rFonts w:hint="eastAsia"/>
          <w:b/>
          <w:bCs/>
          <w:sz w:val="21"/>
          <w:szCs w:val="21"/>
        </w:rPr>
        <w:t>(135)弘业期货股份有限公司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(136)大有期货有限公司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(137)和合期货有限公司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(138)方正中期期货有限公司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北京市石景山区金府路32号院3号楼5层512室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北京市朝阳区东三环北路38号院1号泰康金融大厦22层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姜志军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温泉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010-85881295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010-85881394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4008802277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https://www.founderfu.com/ </w:t>
            </w:r>
          </w:p>
        </w:tc>
      </w:tr>
    </w:tbl>
    <w:p>
      <w:pPr>
        <w:pStyle w:val="7"/>
        <w:spacing w:before="0" w:beforeAutospacing="0" w:after="0" w:afterAutospacing="0" w:line="360" w:lineRule="auto"/>
        <w:ind w:firstLine="420"/>
        <w:rPr>
          <w:sz w:val="21"/>
          <w:szCs w:val="21"/>
        </w:rPr>
      </w:pPr>
      <w:r>
        <w:rPr>
          <w:rFonts w:hint="eastAsia"/>
          <w:b/>
          <w:bCs/>
          <w:sz w:val="21"/>
          <w:szCs w:val="21"/>
        </w:rPr>
        <w:t>(139)国泰君安证券股份有限公司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(140)中信建投证券股份有限公司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(141)国信证券股份有限公司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(142)招商证券股份有限公司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(143)广发证券股份有限公司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(144)中信证券股份有限公司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(145)中国银河证券股份有限公司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(146)海通证券股份有限公司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(147)申万宏源证券有限公司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(148)兴业证券股份有限公司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(149)长江证券股份有限公司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(150)安信证券股份有限公司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(151)西南证券股份有限公司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(152)湘财证券股份有限公司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(153)万联证券股份有限公司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(154)国元证券股份有限公司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(155)渤海证券股份有限公司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(156)华泰证券股份有限公司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(157)山西证券股份有限公司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(158)中信证券（山东）有限责任公司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(159)东兴证券股份有限公司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(160)东吴证券股份有限公司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(161)信达证券股份有限公司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(162)东方证券股份有限公司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(163)方正证券股份有限公司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(164)长城证券股份有限公司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(165)光大证券股份有限公司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(166)中信证券华南股份有限公司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(167)东北证券股份有限公司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(168)南京证券股份有限公司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(169)上海证券有限责任公司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(170)诚通证券股份有限公司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(171)大同证券有限责任公司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(172)国联证券股份有限公司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(173)浙商证券股份有限公司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(174)平安证券股份有限公司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(175)华安证券股份有限公司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(176)国海证券股份有限公司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(177)财信证券有限责任公司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http://www.cfzq.com/ </w:t>
            </w:r>
          </w:p>
        </w:tc>
      </w:tr>
    </w:tbl>
    <w:p>
      <w:pPr>
        <w:pStyle w:val="7"/>
        <w:spacing w:before="0" w:beforeAutospacing="0" w:after="0" w:afterAutospacing="0" w:line="360" w:lineRule="auto"/>
        <w:ind w:firstLine="420"/>
        <w:rPr>
          <w:sz w:val="21"/>
          <w:szCs w:val="21"/>
        </w:rPr>
      </w:pPr>
      <w:r>
        <w:rPr>
          <w:rFonts w:hint="eastAsia"/>
          <w:b/>
          <w:bCs/>
          <w:sz w:val="21"/>
          <w:szCs w:val="21"/>
        </w:rPr>
        <w:t>(178)东莞证券有限责任公司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(179)中原证券股份有限公司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(180)东海证券股份有限公司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(181)中银国际证券股份有限公司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(182)恒泰证券股份有限公司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(183)国盛证券有限责任公司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(184)华西证券股份有限公司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(185)申万宏源西部证券有限公司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(186)中泰证券股份有限公司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(187)世纪证券有限责任公司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(188)第一创业证券股份有限公司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(189)中航证券有限公司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http://www.avicsec.com/ </w:t>
            </w:r>
          </w:p>
        </w:tc>
      </w:tr>
    </w:tbl>
    <w:p>
      <w:pPr>
        <w:pStyle w:val="7"/>
        <w:spacing w:before="0" w:beforeAutospacing="0" w:after="0" w:afterAutospacing="0" w:line="360" w:lineRule="auto"/>
        <w:ind w:firstLine="420"/>
        <w:rPr>
          <w:sz w:val="21"/>
          <w:szCs w:val="21"/>
        </w:rPr>
      </w:pPr>
      <w:r>
        <w:rPr>
          <w:rFonts w:hint="eastAsia"/>
          <w:b/>
          <w:bCs/>
          <w:sz w:val="21"/>
          <w:szCs w:val="21"/>
        </w:rPr>
        <w:t>(190)华林证券股份有限公司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(191)德邦证券股份有限公司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(192)西部证券股份有限公司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(193)华福证券有限责任公司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(194)华龙证券股份有限公司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(195)中国国际金融股份有限公司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(196)财通证券股份有限公司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(197)五矿证券有限公司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(198)华鑫证券有限责任公司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(199)中国中金财富证券有限公司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(200)中山证券有限责任公司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(201)东方财富证券股份有限公司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(202)国融证券股份有限公司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陈韦杉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+86 10 83991888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+86 10 88086637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http://www.grzq.com/ </w:t>
            </w:r>
          </w:p>
        </w:tc>
      </w:tr>
    </w:tbl>
    <w:p>
      <w:pPr>
        <w:pStyle w:val="7"/>
        <w:spacing w:before="0" w:beforeAutospacing="0" w:after="0" w:afterAutospacing="0" w:line="360" w:lineRule="auto"/>
        <w:ind w:firstLine="420"/>
        <w:rPr>
          <w:sz w:val="21"/>
          <w:szCs w:val="21"/>
        </w:rPr>
      </w:pPr>
      <w:r>
        <w:rPr>
          <w:rFonts w:hint="eastAsia"/>
          <w:b/>
          <w:bCs/>
          <w:sz w:val="21"/>
          <w:szCs w:val="21"/>
        </w:rPr>
        <w:t>(203)粤开证券股份有限公司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(204)江海证券有限公司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(205)九州证券股份有限公司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(206)国金证券股份有限公司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(207)华宝证券股份有限公司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(208)长城国瑞证券有限公司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(209)爱建证券有限责任公司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(210)英大证券有限责任公司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(211)财达证券股份有限公司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(212)大通证券股份有限公司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http://www.daton.com.cn </w:t>
            </w:r>
          </w:p>
        </w:tc>
      </w:tr>
    </w:tbl>
    <w:p>
      <w:pPr>
        <w:pStyle w:val="7"/>
        <w:spacing w:before="0" w:beforeAutospacing="0" w:after="0" w:afterAutospacing="0" w:line="360" w:lineRule="auto"/>
        <w:ind w:firstLine="420"/>
        <w:rPr>
          <w:sz w:val="21"/>
          <w:szCs w:val="21"/>
        </w:rPr>
      </w:pPr>
      <w:r>
        <w:rPr>
          <w:rFonts w:hint="eastAsia"/>
          <w:b/>
          <w:bCs/>
          <w:sz w:val="21"/>
          <w:szCs w:val="21"/>
        </w:rPr>
        <w:t>(213)首创证券股份有限公司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(214)太平洋证券股份有限公司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(215)联储证券有限责任公司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(216)华瑞保险销售有限公司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(217)玄元保险代理有限公司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(218)阳光人寿保险股份有限公司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(219)中国人寿保险股份有限公司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(220)泉州银行股份有限公司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(221)长城华西银行股份有限公司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四川省德阳市蒙山街14号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四川省德阳市蒙山街14号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谭运财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鄢露林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0838-6821177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0838-2371812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0838-96836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www.gwbank.com.cn </w:t>
            </w:r>
          </w:p>
        </w:tc>
      </w:tr>
    </w:tbl>
    <w:p>
      <w:pPr>
        <w:pStyle w:val="7"/>
        <w:spacing w:before="0" w:beforeAutospacing="0" w:after="0" w:afterAutospacing="0" w:line="360" w:lineRule="auto"/>
        <w:ind w:firstLine="420"/>
        <w:rPr>
          <w:sz w:val="21"/>
          <w:szCs w:val="21"/>
        </w:rPr>
      </w:pPr>
      <w:r>
        <w:rPr>
          <w:rFonts w:hint="eastAsia"/>
          <w:b/>
          <w:bCs/>
          <w:sz w:val="21"/>
          <w:szCs w:val="21"/>
        </w:rPr>
        <w:t>(222)龙江银行股份有限公司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(223)浙江乐清农村商业银行股份有限公司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高剑飞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金晓娇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0577-61566028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0577-61566063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(224)桂林银行股份有限公司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(225)德州银行股份有限公司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www.dzbchina.com </w:t>
            </w:r>
          </w:p>
        </w:tc>
      </w:tr>
    </w:tbl>
    <w:p>
      <w:pPr>
        <w:pStyle w:val="7"/>
        <w:spacing w:before="0" w:beforeAutospacing="0" w:after="0" w:afterAutospacing="0" w:line="360" w:lineRule="auto"/>
        <w:ind w:firstLine="420"/>
        <w:rPr>
          <w:sz w:val="21"/>
          <w:szCs w:val="21"/>
        </w:rPr>
      </w:pPr>
      <w:r>
        <w:rPr>
          <w:rFonts w:hint="eastAsia"/>
          <w:b/>
          <w:bCs/>
          <w:sz w:val="21"/>
          <w:szCs w:val="21"/>
        </w:rPr>
        <w:t>(226)浙江德清农村商业银行股份有限公司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浙江省德清县武康街道沈长圩街50号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浙江省德清县武康街道沈长圩街50号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陈春仿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车杰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0572-8063963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0572-8068673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https://www.deqingbank.com/ </w:t>
            </w:r>
          </w:p>
        </w:tc>
      </w:tr>
    </w:tbl>
    <w:p>
      <w:pPr>
        <w:pStyle w:val="7"/>
        <w:spacing w:before="0" w:beforeAutospacing="0" w:after="0" w:afterAutospacing="0" w:line="360" w:lineRule="auto"/>
        <w:ind w:firstLine="420"/>
        <w:rPr>
          <w:sz w:val="21"/>
          <w:szCs w:val="21"/>
        </w:rPr>
      </w:pPr>
      <w:r>
        <w:rPr>
          <w:rFonts w:hint="eastAsia"/>
          <w:b/>
          <w:bCs/>
          <w:sz w:val="21"/>
          <w:szCs w:val="21"/>
        </w:rPr>
        <w:t>(227)云南红塔银行股份有限公司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云南省玉溪市东风南路2号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云南省昆明市盘龙区世博路低碳中心A座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0871-65236624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0871-65236614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0877-96522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www.ynhtbank.com </w:t>
            </w:r>
          </w:p>
        </w:tc>
      </w:tr>
    </w:tbl>
    <w:p>
      <w:pPr>
        <w:pStyle w:val="7"/>
        <w:spacing w:before="0" w:beforeAutospacing="0" w:after="0" w:afterAutospacing="0" w:line="360" w:lineRule="auto"/>
        <w:ind w:firstLine="420"/>
        <w:rPr>
          <w:sz w:val="21"/>
          <w:szCs w:val="21"/>
        </w:rPr>
      </w:pPr>
      <w:r>
        <w:rPr>
          <w:rFonts w:hint="eastAsia"/>
          <w:b/>
          <w:bCs/>
          <w:sz w:val="21"/>
          <w:szCs w:val="21"/>
        </w:rPr>
        <w:t>(228)兰州银行股份有限公司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(229)厦门国际银行股份有限公司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(230)贵州银行股份有限公司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(231)中信百信银行股份有限公司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59" w:name="field_0_allproxysaletables_1_end"/>
      <w:bookmarkEnd w:id="59"/>
      <w:r>
        <w:rPr>
          <w:rFonts w:ascii="宋体" w:hAnsi="宋体" w:eastAsia="宋体"/>
        </w:rPr>
        <w:t xml:space="preserve">  </w:t>
      </w:r>
    </w:p>
    <w:p>
      <w:pPr>
        <w:pStyle w:val="7"/>
        <w:spacing w:before="0" w:beforeAutospacing="0" w:after="0" w:afterAutospacing="0" w:line="360" w:lineRule="auto"/>
        <w:ind w:firstLine="420"/>
        <w:rPr>
          <w:sz w:val="21"/>
          <w:szCs w:val="21"/>
        </w:rPr>
      </w:pPr>
      <w:bookmarkStart w:id="60" w:name="chapter_level1_7_56_section_2_end"/>
      <w:bookmarkEnd w:id="60"/>
    </w:p>
    <w:p>
      <w:pPr>
        <w:pStyle w:val="7"/>
        <w:spacing w:before="0" w:beforeAutospacing="0" w:after="0" w:afterAutospacing="0" w:line="360" w:lineRule="auto"/>
        <w:ind w:firstLine="420"/>
        <w:rPr>
          <w:sz w:val="21"/>
          <w:szCs w:val="21"/>
        </w:rPr>
      </w:pPr>
      <w:bookmarkStart w:id="61" w:name="chapter_level1_7_56_section_3"/>
      <w:bookmarkEnd w:id="61"/>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62" w:name="field_0_registercompanyinfo_1_start"/>
      <w:bookmarkEnd w:id="62"/>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3" w:name="field_0_registercompanyinfo_1_end"/>
      <w:bookmarkEnd w:id="6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电话：021-31358666 </w:t>
      </w:r>
    </w:p>
    <w:p>
      <w:pPr>
        <w:pStyle w:val="7"/>
        <w:spacing w:before="0" w:beforeAutospacing="0" w:after="0" w:afterAutospacing="0" w:line="360" w:lineRule="auto"/>
        <w:ind w:firstLine="420"/>
        <w:rPr>
          <w:sz w:val="21"/>
          <w:szCs w:val="21"/>
        </w:rPr>
      </w:pPr>
      <w:r>
        <w:rPr>
          <w:rFonts w:hint="eastAsia"/>
          <w:sz w:val="21"/>
          <w:szCs w:val="21"/>
        </w:rPr>
        <w:t xml:space="preserve">传真：021-31358600 </w:t>
      </w:r>
    </w:p>
    <w:p>
      <w:pPr>
        <w:pStyle w:val="7"/>
        <w:spacing w:before="0" w:beforeAutospacing="0" w:after="0" w:afterAutospacing="0" w:line="360" w:lineRule="auto"/>
        <w:ind w:firstLine="420"/>
        <w:rPr>
          <w:sz w:val="21"/>
          <w:szCs w:val="21"/>
        </w:rPr>
      </w:pPr>
      <w:r>
        <w:rPr>
          <w:rFonts w:hint="eastAsia"/>
          <w:sz w:val="21"/>
          <w:szCs w:val="21"/>
        </w:rPr>
        <w:t xml:space="preserve">负责人：俞卫锋 </w:t>
      </w:r>
    </w:p>
    <w:p>
      <w:pPr>
        <w:pStyle w:val="7"/>
        <w:spacing w:before="0" w:beforeAutospacing="0" w:after="0" w:afterAutospacing="0" w:line="360" w:lineRule="auto"/>
        <w:ind w:firstLine="420"/>
        <w:rPr>
          <w:sz w:val="21"/>
          <w:szCs w:val="21"/>
        </w:rPr>
      </w:pPr>
      <w:r>
        <w:rPr>
          <w:rFonts w:hint="eastAsia"/>
          <w:sz w:val="21"/>
          <w:szCs w:val="21"/>
        </w:rPr>
        <w:t xml:space="preserve">联系人：安冬 </w:t>
      </w:r>
    </w:p>
    <w:p>
      <w:pPr>
        <w:pStyle w:val="7"/>
        <w:spacing w:before="0" w:beforeAutospacing="0" w:after="0" w:afterAutospacing="0" w:line="360" w:lineRule="auto"/>
        <w:ind w:firstLine="420"/>
        <w:rPr>
          <w:sz w:val="21"/>
          <w:szCs w:val="21"/>
        </w:rPr>
      </w:pPr>
      <w:r>
        <w:rPr>
          <w:rFonts w:hint="eastAsia"/>
          <w:sz w:val="21"/>
          <w:szCs w:val="21"/>
        </w:rPr>
        <w:t xml:space="preserve">经办律师：安冬、孙睿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64" w:name="field_0_accountingcompanyinfo_1_start"/>
      <w:bookmarkEnd w:id="64"/>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65" w:name="chapter_level1_7_56_section_3_end"/>
      <w:bookmarkEnd w:id="65"/>
      <w:r>
        <w:rPr>
          <w:rFonts w:hint="eastAsia"/>
          <w:sz w:val="21"/>
          <w:szCs w:val="21"/>
        </w:rPr>
        <w:t xml:space="preserve">经办注册会计师：薛竞、沈兆杰 </w:t>
      </w:r>
      <w:bookmarkStart w:id="66" w:name="field_0_accountingcompanyinfo_1_end"/>
      <w:bookmarkEnd w:id="66"/>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7" w:name="_Toc113564303"/>
      <w:bookmarkStart w:id="68" w:name="chapter_level1_9_58"/>
      <w:r>
        <w:rPr>
          <w:rFonts w:hint="eastAsia" w:ascii="宋体" w:hAnsi="宋体" w:eastAsia="宋体"/>
          <w:sz w:val="30"/>
        </w:rPr>
        <w:t>第六部分 基金的募集与基金合同的生效</w:t>
      </w:r>
      <w:bookmarkEnd w:id="67"/>
      <w:bookmarkEnd w:id="68"/>
    </w:p>
    <w:p>
      <w:pPr>
        <w:pStyle w:val="7"/>
        <w:spacing w:before="0" w:beforeAutospacing="0" w:after="0" w:afterAutospacing="0" w:line="360" w:lineRule="auto"/>
        <w:ind w:firstLine="420"/>
        <w:rPr>
          <w:sz w:val="21"/>
          <w:szCs w:val="21"/>
        </w:rPr>
      </w:pPr>
      <w:bookmarkStart w:id="69" w:name="chapter_level1_9_58_section_1"/>
      <w:bookmarkEnd w:id="69"/>
      <w:r>
        <w:rPr>
          <w:rStyle w:val="11"/>
          <w:rFonts w:hint="eastAsia"/>
          <w:sz w:val="21"/>
          <w:szCs w:val="21"/>
        </w:rPr>
        <w:t>一、基金募集的依据</w:t>
      </w:r>
    </w:p>
    <w:p>
      <w:pPr>
        <w:pStyle w:val="7"/>
        <w:spacing w:before="0" w:beforeAutospacing="0" w:after="0" w:afterAutospacing="0" w:line="360" w:lineRule="auto"/>
        <w:ind w:firstLine="420"/>
        <w:rPr>
          <w:sz w:val="21"/>
          <w:szCs w:val="21"/>
        </w:rPr>
      </w:pPr>
      <w:r>
        <w:rPr>
          <w:rFonts w:hint="eastAsia"/>
          <w:sz w:val="21"/>
          <w:szCs w:val="21"/>
        </w:rPr>
        <w:t>本基金由基金管理人依照《基金法》、《运作办法》、《销售办法》、基金合同及其他有关规定，并于</w:t>
      </w:r>
      <w:bookmarkStart w:id="70" w:name="field_2343_approveddate_2"/>
      <w:r>
        <w:rPr>
          <w:sz w:val="21"/>
          <w:szCs w:val="21"/>
        </w:rPr>
        <w:t>2008年3月28日</w:t>
      </w:r>
      <w:bookmarkEnd w:id="70"/>
      <w:r>
        <w:rPr>
          <w:rFonts w:hint="eastAsia"/>
          <w:sz w:val="21"/>
          <w:szCs w:val="21"/>
        </w:rPr>
        <w:t>经中国证监会证监许可</w:t>
      </w:r>
      <w:bookmarkStart w:id="71" w:name="field_2343_lotnumber_2"/>
      <w:r>
        <w:rPr>
          <w:sz w:val="21"/>
          <w:szCs w:val="21"/>
        </w:rPr>
        <w:t>[2008]450</w:t>
      </w:r>
      <w:bookmarkEnd w:id="71"/>
      <w:r>
        <w:rPr>
          <w:rFonts w:hint="eastAsia"/>
          <w:sz w:val="21"/>
          <w:szCs w:val="21"/>
        </w:rPr>
        <w:t>号文核准募集发售。设立募集期从</w:t>
      </w:r>
      <w:bookmarkStart w:id="72" w:name="field_58_raisebegindate_1"/>
      <w:r>
        <w:rPr>
          <w:sz w:val="21"/>
          <w:szCs w:val="21"/>
        </w:rPr>
        <w:t>2008年4月22日</w:t>
      </w:r>
      <w:bookmarkEnd w:id="72"/>
      <w:r>
        <w:rPr>
          <w:rFonts w:hint="eastAsia"/>
          <w:sz w:val="21"/>
          <w:szCs w:val="21"/>
        </w:rPr>
        <w:t>至</w:t>
      </w:r>
      <w:bookmarkStart w:id="73" w:name="field_58_raiseenddate_1"/>
      <w:r>
        <w:rPr>
          <w:sz w:val="21"/>
          <w:szCs w:val="21"/>
        </w:rPr>
        <w:t>2008年5月23日</w:t>
      </w:r>
      <w:bookmarkEnd w:id="73"/>
      <w:r>
        <w:rPr>
          <w:rFonts w:hint="eastAsia"/>
          <w:sz w:val="21"/>
          <w:szCs w:val="21"/>
        </w:rPr>
        <w:t>止，共募集</w:t>
      </w:r>
      <w:bookmarkStart w:id="74" w:name="field_58_raisetotal_1"/>
      <w:r>
        <w:rPr>
          <w:sz w:val="21"/>
          <w:szCs w:val="21"/>
        </w:rPr>
        <w:t>477,192,344.12</w:t>
      </w:r>
      <w:bookmarkEnd w:id="74"/>
      <w:r>
        <w:rPr>
          <w:rFonts w:hint="eastAsia"/>
          <w:sz w:val="21"/>
          <w:szCs w:val="21"/>
        </w:rPr>
        <w:t>份基金份额，有效认购户数为</w:t>
      </w:r>
      <w:bookmarkStart w:id="75" w:name="field_58_effectivetotal_1"/>
      <w:r>
        <w:rPr>
          <w:sz w:val="21"/>
          <w:szCs w:val="21"/>
        </w:rPr>
        <w:t>7,668</w:t>
      </w:r>
      <w:bookmarkEnd w:id="75"/>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76" w:name="field_58_operation_1"/>
      <w:r>
        <w:rPr>
          <w:rFonts w:hint="eastAsia"/>
          <w:sz w:val="21"/>
          <w:szCs w:val="21"/>
        </w:rPr>
        <w:t>契约型开放式</w:t>
      </w:r>
      <w:bookmarkEnd w:id="76"/>
      <w:r>
        <w:rPr>
          <w:rFonts w:hint="eastAsia"/>
          <w:sz w:val="21"/>
          <w:szCs w:val="21"/>
        </w:rPr>
        <w:t>，存续期间为</w:t>
      </w:r>
      <w:bookmarkStart w:id="77" w:name="field_58_duration_1"/>
      <w:r>
        <w:rPr>
          <w:rFonts w:hint="eastAsia"/>
          <w:sz w:val="21"/>
          <w:szCs w:val="21"/>
        </w:rPr>
        <w:t>不定期</w:t>
      </w:r>
      <w:bookmarkEnd w:id="77"/>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78" w:name="chapter_level1_9_58_section_1_end"/>
      <w:bookmarkEnd w:id="78"/>
      <w:r>
        <w:rPr>
          <w:rFonts w:hint="eastAsia"/>
          <w:sz w:val="21"/>
          <w:szCs w:val="21"/>
        </w:rPr>
        <w:t>本基金的基金合同已于</w:t>
      </w:r>
      <w:bookmarkStart w:id="79" w:name="field_0_foundday_1"/>
      <w:r>
        <w:rPr>
          <w:sz w:val="21"/>
          <w:szCs w:val="21"/>
        </w:rPr>
        <w:t>2008年5月28日</w:t>
      </w:r>
      <w:bookmarkEnd w:id="79"/>
      <w:r>
        <w:rPr>
          <w:rFonts w:hint="eastAsia"/>
          <w:sz w:val="21"/>
          <w:szCs w:val="21"/>
        </w:rPr>
        <w:t xml:space="preserve">正式生效。 </w:t>
      </w:r>
    </w:p>
    <w:p>
      <w:pPr>
        <w:rPr>
          <w:rFonts w:ascii="宋体" w:hAnsi="宋体" w:eastAsia="宋体"/>
        </w:rPr>
      </w:pPr>
      <w:bookmarkStart w:id="80" w:name="chapter_level1_9_58_section_2"/>
      <w:bookmarkEnd w:id="80"/>
      <w:bookmarkStart w:id="81" w:name="chapter_level1_9_58_section_2_end"/>
      <w:bookmarkEnd w:id="81"/>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2" w:name="chapter_level1_10_59"/>
      <w:bookmarkStart w:id="83" w:name="_Toc113564304"/>
      <w:r>
        <w:rPr>
          <w:rFonts w:hint="eastAsia" w:ascii="宋体" w:hAnsi="宋体" w:eastAsia="宋体"/>
          <w:sz w:val="30"/>
        </w:rPr>
        <w:t>第七部分  基金份额的申购与赎回</w:t>
      </w:r>
      <w:bookmarkEnd w:id="82"/>
      <w:bookmarkEnd w:id="83"/>
    </w:p>
    <w:p>
      <w:pPr>
        <w:pStyle w:val="7"/>
        <w:spacing w:before="0" w:beforeAutospacing="0" w:after="0" w:afterAutospacing="0" w:line="360" w:lineRule="auto"/>
        <w:ind w:firstLine="420"/>
        <w:rPr>
          <w:sz w:val="21"/>
          <w:szCs w:val="21"/>
        </w:rPr>
      </w:pPr>
      <w:bookmarkStart w:id="84" w:name="chapter_level1_10_59_section_1"/>
      <w:bookmarkEnd w:id="84"/>
      <w:r>
        <w:rPr>
          <w:rFonts w:hint="eastAsia"/>
          <w:sz w:val="21"/>
          <w:szCs w:val="21"/>
        </w:rPr>
        <w:t xml:space="preserve">两类份额的申购、赎回业务均适用基金合同和本招募说明书的规定，但基金管理人为销售R类基金份额而编制的招募说明书补充文件（香港说明文件）或相关公告可对R类基金份额在香港地区销售的规则另作规定。  </w:t>
      </w:r>
    </w:p>
    <w:p>
      <w:pPr>
        <w:pStyle w:val="7"/>
        <w:spacing w:before="0" w:beforeAutospacing="0" w:after="0" w:afterAutospacing="0" w:line="360" w:lineRule="auto"/>
        <w:ind w:firstLine="420"/>
        <w:rPr>
          <w:sz w:val="21"/>
          <w:szCs w:val="21"/>
        </w:rPr>
      </w:pPr>
      <w:r>
        <w:rPr>
          <w:rStyle w:val="11"/>
          <w:rFonts w:hint="eastAsia"/>
          <w:sz w:val="21"/>
          <w:szCs w:val="21"/>
        </w:rPr>
        <w:t>一、基金份额类别设置</w:t>
      </w:r>
    </w:p>
    <w:p>
      <w:pPr>
        <w:pStyle w:val="7"/>
        <w:spacing w:before="0" w:beforeAutospacing="0" w:after="0" w:afterAutospacing="0" w:line="360" w:lineRule="auto"/>
        <w:ind w:firstLine="420"/>
        <w:rPr>
          <w:sz w:val="21"/>
          <w:szCs w:val="21"/>
        </w:rPr>
      </w:pPr>
      <w:r>
        <w:rPr>
          <w:rFonts w:hint="eastAsia"/>
          <w:sz w:val="21"/>
          <w:szCs w:val="21"/>
        </w:rPr>
        <w:t xml:space="preserve">本基金根据销售市场区域不同划分为A类、R类两类基金份额类别。两类基金份额单独设置基金代码，分别计算和公告两类基金份额净值和两类基金份额累计净值。 </w:t>
      </w:r>
    </w:p>
    <w:p>
      <w:pPr>
        <w:pStyle w:val="7"/>
        <w:spacing w:before="0" w:beforeAutospacing="0" w:after="0" w:afterAutospacing="0" w:line="360" w:lineRule="auto"/>
        <w:ind w:firstLine="420"/>
        <w:rPr>
          <w:sz w:val="21"/>
          <w:szCs w:val="21"/>
        </w:rPr>
      </w:pPr>
      <w:r>
        <w:rPr>
          <w:rStyle w:val="11"/>
          <w:rFonts w:hint="eastAsia"/>
          <w:sz w:val="21"/>
          <w:szCs w:val="21"/>
        </w:rPr>
        <w:t>二、投资人的范围</w:t>
      </w:r>
    </w:p>
    <w:p>
      <w:pPr>
        <w:pStyle w:val="7"/>
        <w:spacing w:before="0" w:beforeAutospacing="0" w:after="0" w:afterAutospacing="0" w:line="360" w:lineRule="auto"/>
        <w:ind w:firstLine="420"/>
        <w:rPr>
          <w:sz w:val="21"/>
          <w:szCs w:val="21"/>
        </w:rPr>
      </w:pPr>
      <w:r>
        <w:rPr>
          <w:rFonts w:hint="eastAsia"/>
          <w:sz w:val="21"/>
          <w:szCs w:val="21"/>
        </w:rPr>
        <w:t xml:space="preserve">中华人民共和国境内的个人投资者、机构投资者（法律、法规和有关规定禁止购买者除外）、合格境外机构投资者。 </w:t>
      </w:r>
    </w:p>
    <w:p>
      <w:pPr>
        <w:pStyle w:val="7"/>
        <w:spacing w:before="0" w:beforeAutospacing="0" w:after="0" w:afterAutospacing="0" w:line="360" w:lineRule="auto"/>
        <w:ind w:firstLine="420"/>
        <w:rPr>
          <w:sz w:val="21"/>
          <w:szCs w:val="21"/>
        </w:rPr>
      </w:pPr>
      <w:r>
        <w:rPr>
          <w:rStyle w:val="11"/>
          <w:rFonts w:hint="eastAsia"/>
          <w:sz w:val="21"/>
          <w:szCs w:val="21"/>
        </w:rPr>
        <w:t>三、申购和赎回的场所</w:t>
      </w:r>
    </w:p>
    <w:p>
      <w:pPr>
        <w:pStyle w:val="7"/>
        <w:spacing w:before="0" w:beforeAutospacing="0" w:after="0" w:afterAutospacing="0" w:line="360" w:lineRule="auto"/>
        <w:ind w:firstLine="420"/>
        <w:rPr>
          <w:sz w:val="21"/>
          <w:szCs w:val="21"/>
        </w:rPr>
      </w:pPr>
      <w:r>
        <w:rPr>
          <w:rFonts w:hint="eastAsia"/>
          <w:sz w:val="21"/>
          <w:szCs w:val="21"/>
        </w:rPr>
        <w:t xml:space="preserve">申购与赎回应当在本基金的销售机构办理。本基金的销售机构包括基金管理人和基金管理人委托或授权的销售代理人。基金管理人可根据实际情况变更或增减基金销售代理人，并在基金管理人网站公示。 </w:t>
      </w:r>
    </w:p>
    <w:p>
      <w:pPr>
        <w:pStyle w:val="7"/>
        <w:spacing w:before="0" w:beforeAutospacing="0" w:after="0" w:afterAutospacing="0" w:line="360" w:lineRule="auto"/>
        <w:ind w:firstLine="420"/>
        <w:rPr>
          <w:sz w:val="21"/>
          <w:szCs w:val="21"/>
        </w:rPr>
      </w:pPr>
      <w:r>
        <w:rPr>
          <w:rFonts w:hint="eastAsia"/>
          <w:sz w:val="21"/>
          <w:szCs w:val="21"/>
        </w:rPr>
        <w:t>投资人应该在销售机构指定的营业场所按照指定的方式和程序办理申购赎回等业务。销售机构也可以提供电话委托、传真交易或者网上交易等非现场方式，为投资人办理申购、赎</w:t>
      </w:r>
      <w:bookmarkStart w:id="85" w:name="chapter_level1_10_59_section_1_end"/>
      <w:bookmarkEnd w:id="85"/>
      <w:r>
        <w:rPr>
          <w:rFonts w:hint="eastAsia"/>
          <w:sz w:val="21"/>
          <w:szCs w:val="21"/>
        </w:rPr>
        <w:t xml:space="preserve">回等业务。 </w:t>
      </w:r>
    </w:p>
    <w:p>
      <w:pPr>
        <w:pStyle w:val="7"/>
        <w:spacing w:before="0" w:beforeAutospacing="0" w:after="0" w:afterAutospacing="0" w:line="360" w:lineRule="auto"/>
        <w:ind w:firstLine="420"/>
        <w:rPr>
          <w:sz w:val="21"/>
          <w:szCs w:val="21"/>
        </w:rPr>
      </w:pPr>
      <w:bookmarkStart w:id="86" w:name="chapter_level1_10_59_section_2"/>
      <w:bookmarkEnd w:id="86"/>
      <w:r>
        <w:rPr>
          <w:rStyle w:val="11"/>
          <w:rFonts w:hint="eastAsia"/>
          <w:sz w:val="21"/>
          <w:szCs w:val="21"/>
        </w:rPr>
        <w:t>四、申购和赎回和转换业务的办理时间</w:t>
      </w:r>
    </w:p>
    <w:p>
      <w:pPr>
        <w:pStyle w:val="7"/>
        <w:spacing w:before="0" w:beforeAutospacing="0" w:after="0" w:afterAutospacing="0" w:line="360" w:lineRule="auto"/>
        <w:ind w:firstLine="420"/>
        <w:rPr>
          <w:sz w:val="21"/>
          <w:szCs w:val="21"/>
        </w:rPr>
      </w:pPr>
      <w:r>
        <w:rPr>
          <w:rFonts w:hint="eastAsia"/>
          <w:sz w:val="21"/>
          <w:szCs w:val="21"/>
        </w:rPr>
        <w:t xml:space="preserve">1、投资人在开放日办理基金份额的申购和赎回，A类份额的开放日为上海证券交易所、深圳证券交易所的正常交易日的交易时间，R类份额的开放日为上海证券交易所、深圳证券交易所和香港证券交易所的共同交易日。本基金不同类别份额的业务时间可能有所差异。 </w:t>
      </w:r>
    </w:p>
    <w:p>
      <w:pPr>
        <w:pStyle w:val="7"/>
        <w:spacing w:before="0" w:beforeAutospacing="0" w:after="0" w:afterAutospacing="0" w:line="360" w:lineRule="auto"/>
        <w:ind w:firstLine="420"/>
        <w:rPr>
          <w:sz w:val="21"/>
          <w:szCs w:val="21"/>
        </w:rPr>
      </w:pPr>
      <w:r>
        <w:rPr>
          <w:rFonts w:hint="eastAsia"/>
          <w:sz w:val="21"/>
          <w:szCs w:val="21"/>
        </w:rPr>
        <w:t xml:space="preserve">2、投资人在基金合同约定之外的日期和时间提出申购、赎回或者转换申请的，其基金份 额申购、赎回价格为下次办理基金份额申购、赎回时间所在开放日的价格。 </w:t>
      </w:r>
    </w:p>
    <w:p>
      <w:pPr>
        <w:pStyle w:val="7"/>
        <w:spacing w:before="0" w:beforeAutospacing="0" w:after="0" w:afterAutospacing="0" w:line="360" w:lineRule="auto"/>
        <w:ind w:firstLine="420"/>
        <w:rPr>
          <w:sz w:val="21"/>
          <w:szCs w:val="21"/>
        </w:rPr>
      </w:pPr>
      <w:r>
        <w:rPr>
          <w:rFonts w:hint="eastAsia"/>
          <w:sz w:val="21"/>
          <w:szCs w:val="21"/>
        </w:rPr>
        <w:t xml:space="preserve">3、若出现新的证券交易市场、证券交易所交易时间变更或其他特殊情况，基金管理人将视情况对前述开放日进行相应的调整并公告。 </w:t>
      </w:r>
    </w:p>
    <w:p>
      <w:pPr>
        <w:pStyle w:val="7"/>
        <w:spacing w:before="0" w:beforeAutospacing="0" w:after="0" w:afterAutospacing="0" w:line="360" w:lineRule="auto"/>
        <w:ind w:firstLine="420"/>
        <w:rPr>
          <w:sz w:val="21"/>
          <w:szCs w:val="21"/>
        </w:rPr>
      </w:pPr>
      <w:r>
        <w:rPr>
          <w:rFonts w:hint="eastAsia"/>
          <w:sz w:val="21"/>
          <w:szCs w:val="21"/>
        </w:rPr>
        <w:t>4、本基金A类基金份额自2008年6月16日起开始办理申购业务；自2008年6月30日起开始办理赎回业务，并自2008年6月30日起开始办理基金转换业务。R类基金份额开</w:t>
      </w:r>
      <w:bookmarkStart w:id="87" w:name="chapter_level1_10_59_section_2_end"/>
      <w:bookmarkEnd w:id="87"/>
      <w:r>
        <w:rPr>
          <w:rFonts w:hint="eastAsia"/>
          <w:sz w:val="21"/>
          <w:szCs w:val="21"/>
        </w:rPr>
        <w:t xml:space="preserve">始办理申购、赎回及转换业务的具体时间见基金管理人发布的公告。 </w:t>
      </w:r>
    </w:p>
    <w:p>
      <w:pPr>
        <w:pStyle w:val="7"/>
        <w:spacing w:before="0" w:beforeAutospacing="0" w:after="0" w:afterAutospacing="0" w:line="360" w:lineRule="auto"/>
        <w:ind w:firstLine="420"/>
        <w:rPr>
          <w:sz w:val="21"/>
          <w:szCs w:val="21"/>
        </w:rPr>
      </w:pPr>
      <w:bookmarkStart w:id="88" w:name="chapter_level1_10_59_section_3"/>
      <w:bookmarkEnd w:id="88"/>
      <w:r>
        <w:rPr>
          <w:rStyle w:val="11"/>
          <w:rFonts w:hint="eastAsia"/>
          <w:sz w:val="21"/>
          <w:szCs w:val="21"/>
        </w:rPr>
        <w:t>五、申购和赎回的原则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3．赎回遵循“先进先出”原则，即按照投资人申（认）购的先后次序进行顺序赎回；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5、本基金两类份额申购、赎回的币种为人民币，基金管理人可以在不违反法律法规规定并与托管人协商一致的情况下，接受其他币种的申购、赎回。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基金管理人可根据基金运作的实际情况并在不影响基金份额持有人实质利益的前提下调整上述原则。基金管理人必须在新规则开始实施前依照《信息披露办法》的有关规定在中国证监会指定媒介上公告。 </w:t>
      </w:r>
    </w:p>
    <w:p>
      <w:pPr>
        <w:pStyle w:val="7"/>
        <w:spacing w:before="0" w:beforeAutospacing="0" w:after="0" w:afterAutospacing="0" w:line="360" w:lineRule="auto"/>
        <w:ind w:firstLine="420"/>
        <w:rPr>
          <w:sz w:val="21"/>
          <w:szCs w:val="21"/>
        </w:rPr>
      </w:pPr>
      <w:r>
        <w:rPr>
          <w:rStyle w:val="11"/>
          <w:rFonts w:hint="eastAsia"/>
          <w:sz w:val="21"/>
          <w:szCs w:val="21"/>
        </w:rPr>
        <w:t>六、申购和赎回的数额限定</w:t>
      </w:r>
    </w:p>
    <w:p>
      <w:pPr>
        <w:pStyle w:val="7"/>
        <w:spacing w:before="0" w:beforeAutospacing="0" w:after="0" w:afterAutospacing="0" w:line="360" w:lineRule="auto"/>
        <w:ind w:firstLine="420"/>
        <w:rPr>
          <w:sz w:val="21"/>
          <w:szCs w:val="21"/>
        </w:rPr>
      </w:pPr>
      <w:r>
        <w:rPr>
          <w:rFonts w:hint="eastAsia"/>
          <w:sz w:val="21"/>
          <w:szCs w:val="21"/>
        </w:rPr>
        <w:t xml:space="preserve">1．通过代销机构购买本基金A类份额的，首次单笔最低购买金额不低于1.00元，追加购买最低金额为1.00元，详情请见当地销售机构公告。通过直销机构购买本基金A类份额的，首次单笔最低购买金额不低于1.00元，追加购买最低金额为1.00元 </w:t>
      </w:r>
    </w:p>
    <w:p>
      <w:pPr>
        <w:pStyle w:val="7"/>
        <w:spacing w:before="0" w:beforeAutospacing="0" w:after="0" w:afterAutospacing="0" w:line="360" w:lineRule="auto"/>
        <w:ind w:firstLine="420"/>
        <w:rPr>
          <w:sz w:val="21"/>
          <w:szCs w:val="21"/>
        </w:rPr>
      </w:pPr>
      <w:r>
        <w:rPr>
          <w:rFonts w:hint="eastAsia"/>
          <w:sz w:val="21"/>
          <w:szCs w:val="21"/>
        </w:rPr>
        <w:t xml:space="preserve">2．每个交易账户最低持有A类基金份额余额为1份，若某笔赎回导致单个交易账户的基金份额余额少于1份时，余额部分A类基金份额必须一同赎回；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 本基金R类份额的申购与赎回的数额限制以招募说明书补充文件（香港说明文件）为准。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5．单个投资者累计持有份额需符合法律法规、监管机构的规定或基金合同的约定。 </w:t>
      </w:r>
    </w:p>
    <w:p>
      <w:pPr>
        <w:pStyle w:val="7"/>
        <w:spacing w:before="0" w:beforeAutospacing="0" w:after="0" w:afterAutospacing="0" w:line="360" w:lineRule="auto"/>
        <w:ind w:firstLine="420"/>
        <w:rPr>
          <w:sz w:val="21"/>
          <w:szCs w:val="21"/>
        </w:rPr>
      </w:pPr>
      <w:r>
        <w:rPr>
          <w:rFonts w:hint="eastAsia"/>
          <w:sz w:val="21"/>
          <w:szCs w:val="21"/>
        </w:rPr>
        <w:t xml:space="preserve">6、基金管理人可根据有关法律规定和市场情况，调整申购金额、赎回份额和账户最低持有余额的数量限制，基金管理人必须最迟在调整前依照《信息披露办法》的有关规定在指定媒介上公告。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七、申购和赎回的程序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pPr>
        <w:pStyle w:val="7"/>
        <w:spacing w:before="0" w:beforeAutospacing="0" w:after="0" w:afterAutospacing="0" w:line="360" w:lineRule="auto"/>
        <w:ind w:firstLine="420"/>
        <w:rPr>
          <w:sz w:val="21"/>
          <w:szCs w:val="21"/>
        </w:rPr>
      </w:pPr>
      <w:r>
        <w:rPr>
          <w:rFonts w:hint="eastAsia"/>
          <w:sz w:val="21"/>
          <w:szCs w:val="21"/>
        </w:rPr>
        <w:t xml:space="preserve">2.申购和赎回申请的确认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申购和赎回申请的当天作为申购或赎回申请日(T日)，并在T+1日内对该交易的有效性进行确认。T日提交的有效申请，投资人可在T+2日到销售网点柜台或以销售机构规定的其他方式查询申请的确认情况。R类份额申购和赎回申请的确认情况请咨询当地销售机构。 </w:t>
      </w:r>
    </w:p>
    <w:p>
      <w:pPr>
        <w:pStyle w:val="7"/>
        <w:spacing w:before="0" w:beforeAutospacing="0" w:after="0" w:afterAutospacing="0" w:line="360" w:lineRule="auto"/>
        <w:ind w:firstLine="420"/>
        <w:rPr>
          <w:sz w:val="21"/>
          <w:szCs w:val="21"/>
        </w:rPr>
      </w:pPr>
      <w:r>
        <w:rPr>
          <w:rFonts w:hint="eastAsia"/>
          <w:sz w:val="21"/>
          <w:szCs w:val="21"/>
        </w:rPr>
        <w:t xml:space="preserve">3.申购和赎回的款项支付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申购采用销售机构规定的全额缴款方式，若申购不成功或无效，基金管理人或基金管理人指定的代销机构将投资人已缴付的申购款项本金退还给投资人。 </w:t>
      </w:r>
    </w:p>
    <w:p>
      <w:pPr>
        <w:pStyle w:val="7"/>
        <w:spacing w:before="0" w:beforeAutospacing="0" w:after="0" w:afterAutospacing="0" w:line="360" w:lineRule="auto"/>
        <w:ind w:firstLine="420"/>
        <w:rPr>
          <w:sz w:val="21"/>
          <w:szCs w:val="21"/>
        </w:rPr>
      </w:pPr>
      <w:r>
        <w:rPr>
          <w:rFonts w:hint="eastAsia"/>
          <w:sz w:val="21"/>
          <w:szCs w:val="21"/>
        </w:rPr>
        <w:t xml:space="preserve">投资人赎回申请成功后，基金管理人将在T＋7日(包括该日)内支付赎回款项。在发生巨额赎回时，款项的支付办法参照基金合同有关条款处理。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Style w:val="11"/>
          <w:rFonts w:hint="eastAsia"/>
          <w:sz w:val="21"/>
          <w:szCs w:val="21"/>
        </w:rPr>
        <w:t>八、申购和赎回的数额和价格</w:t>
      </w:r>
    </w:p>
    <w:p>
      <w:pPr>
        <w:pStyle w:val="7"/>
        <w:spacing w:before="0" w:beforeAutospacing="0" w:after="0" w:afterAutospacing="0" w:line="360" w:lineRule="auto"/>
        <w:ind w:firstLine="420"/>
        <w:rPr>
          <w:sz w:val="21"/>
          <w:szCs w:val="21"/>
        </w:rPr>
      </w:pPr>
      <w:r>
        <w:rPr>
          <w:rFonts w:hint="eastAsia"/>
          <w:sz w:val="21"/>
          <w:szCs w:val="21"/>
        </w:rPr>
        <w:t xml:space="preserve">1．A类基金份额的申购和赎回费率 </w:t>
      </w:r>
    </w:p>
    <w:p>
      <w:pPr>
        <w:pStyle w:val="7"/>
        <w:spacing w:before="0" w:beforeAutospacing="0" w:after="0" w:afterAutospacing="0" w:line="360" w:lineRule="auto"/>
        <w:ind w:firstLine="420"/>
        <w:rPr>
          <w:sz w:val="21"/>
          <w:szCs w:val="21"/>
        </w:rPr>
      </w:pPr>
      <w:r>
        <w:rPr>
          <w:rFonts w:hint="eastAsia"/>
          <w:sz w:val="21"/>
          <w:szCs w:val="21"/>
        </w:rPr>
        <w:t xml:space="preserve">（1）前端申购费率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6"/>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前端申购费率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&lt; 50万元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50万元≤ M＜100万元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M＜500万元 </w:t>
            </w:r>
          </w:p>
        </w:tc>
        <w:tc>
          <w:tcPr>
            <w:tcW w:w="0" w:type="auto"/>
            <w:shd w:val="clear" w:color="auto" w:fill="auto"/>
          </w:tcPr>
          <w:p>
            <w:pPr>
              <w:pStyle w:val="7"/>
            </w:pPr>
            <w:r>
              <w:rPr>
                <w:rFonts w:hint="eastAsia"/>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 500万元 </w:t>
            </w:r>
          </w:p>
        </w:tc>
        <w:tc>
          <w:tcPr>
            <w:tcW w:w="0" w:type="auto"/>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（2）后端申购费率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持有基金时间（Y） </w:t>
            </w:r>
          </w:p>
        </w:tc>
        <w:tc>
          <w:tcPr>
            <w:tcW w:w="0" w:type="auto"/>
            <w:shd w:val="clear" w:color="auto" w:fill="auto"/>
          </w:tcPr>
          <w:p>
            <w:pPr>
              <w:pStyle w:val="7"/>
            </w:pPr>
            <w:r>
              <w:rPr>
                <w:rFonts w:hint="eastAsia"/>
              </w:rPr>
              <w:t xml:space="preserve">后端申购费率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Y&lt;1年 </w:t>
            </w:r>
          </w:p>
        </w:tc>
        <w:tc>
          <w:tcPr>
            <w:tcW w:w="0" w:type="auto"/>
            <w:shd w:val="clear" w:color="auto" w:fill="auto"/>
          </w:tcPr>
          <w:p>
            <w:pPr>
              <w:pStyle w:val="7"/>
            </w:pPr>
            <w:r>
              <w:rPr>
                <w:rFonts w:hint="eastAsia"/>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1年≤Y&lt;2年 </w:t>
            </w:r>
          </w:p>
        </w:tc>
        <w:tc>
          <w:tcPr>
            <w:tcW w:w="0" w:type="auto"/>
            <w:shd w:val="clear" w:color="auto" w:fill="auto"/>
          </w:tcPr>
          <w:p>
            <w:pPr>
              <w:pStyle w:val="7"/>
            </w:pPr>
            <w:r>
              <w:rPr>
                <w:rFonts w:hint="eastAsia"/>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2年≤Y&lt;3年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3年≤Y&lt;4年 </w:t>
            </w:r>
          </w:p>
        </w:tc>
        <w:tc>
          <w:tcPr>
            <w:tcW w:w="0" w:type="auto"/>
            <w:shd w:val="clear" w:color="auto" w:fill="auto"/>
          </w:tcPr>
          <w:p>
            <w:pPr>
              <w:pStyle w:val="7"/>
            </w:pPr>
            <w:r>
              <w:rPr>
                <w:rFonts w:hint="eastAsia"/>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4年≤Y&lt;5年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Y≥5年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（3）赎回费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3"/>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持有基金时间(Y)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Y&lt;7日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7日≤Y&lt;2年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2年≤M&lt;3年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Y≥3年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注：1年=365日 </w:t>
      </w:r>
    </w:p>
    <w:p>
      <w:pPr>
        <w:pStyle w:val="7"/>
        <w:spacing w:before="0" w:beforeAutospacing="0" w:after="0" w:afterAutospacing="0" w:line="360" w:lineRule="auto"/>
        <w:ind w:firstLine="420"/>
        <w:rPr>
          <w:sz w:val="21"/>
          <w:szCs w:val="21"/>
        </w:rPr>
      </w:pPr>
      <w:r>
        <w:rPr>
          <w:rFonts w:hint="eastAsia"/>
          <w:sz w:val="21"/>
          <w:szCs w:val="21"/>
        </w:rPr>
        <w:t xml:space="preserve">对持续持有期少于7日的A类基金份额投资者收取不低于1.5%的赎回费，并将上述赎回费全额计入基金财产。将对A类基金份额收取的其他赎回费按不低于A类基金份额赎回费总额的25%计入基金财产，其余用于支付登记结算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2、R类基金份额的申购和赎回费率 </w:t>
      </w:r>
    </w:p>
    <w:p>
      <w:pPr>
        <w:pStyle w:val="7"/>
        <w:spacing w:before="0" w:beforeAutospacing="0" w:after="0" w:afterAutospacing="0" w:line="360" w:lineRule="auto"/>
        <w:ind w:firstLine="420"/>
        <w:rPr>
          <w:sz w:val="21"/>
          <w:szCs w:val="21"/>
        </w:rPr>
      </w:pPr>
      <w:r>
        <w:rPr>
          <w:rFonts w:hint="eastAsia"/>
          <w:sz w:val="21"/>
          <w:szCs w:val="21"/>
        </w:rPr>
        <w:t xml:space="preserve">R类基金份额的申购费率最高不超过5%，申购费率具体申购费率可咨询由香港当地销售机构规定为准。 </w:t>
      </w:r>
    </w:p>
    <w:p>
      <w:pPr>
        <w:pStyle w:val="7"/>
        <w:spacing w:before="0" w:beforeAutospacing="0" w:after="0" w:afterAutospacing="0" w:line="360" w:lineRule="auto"/>
        <w:ind w:firstLine="420"/>
        <w:rPr>
          <w:sz w:val="21"/>
          <w:szCs w:val="21"/>
        </w:rPr>
      </w:pPr>
      <w:r>
        <w:rPr>
          <w:rFonts w:hint="eastAsia"/>
          <w:sz w:val="21"/>
          <w:szCs w:val="21"/>
        </w:rPr>
        <w:t xml:space="preserve">R类基金份额的赎回费率为固定值0.125%，赎回费用全部归入基金资产。 </w:t>
      </w:r>
    </w:p>
    <w:p>
      <w:pPr>
        <w:pStyle w:val="7"/>
        <w:spacing w:before="0" w:beforeAutospacing="0" w:after="0" w:afterAutospacing="0" w:line="360" w:lineRule="auto"/>
        <w:ind w:firstLine="420"/>
        <w:rPr>
          <w:sz w:val="21"/>
          <w:szCs w:val="21"/>
        </w:rPr>
      </w:pPr>
      <w:r>
        <w:rPr>
          <w:rFonts w:hint="eastAsia"/>
          <w:sz w:val="21"/>
          <w:szCs w:val="21"/>
        </w:rPr>
        <w:t xml:space="preserve">3．本基金的申购费用由投资人承担，不列入基金资产，申购费主要用于本基金的市场推广和销售、注册登记等各项费用。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4．本基金的赎回费用在投资人赎回本基金份额时收取，对持续持有期少于7日的A类基金份额投资者收取不低于1.5%的赎回费，并将上述赎回费全额计入基金财产。将对A类基金份额收取的其他赎回费按不低于A类基金份额赎回费总额的25%的部分归入基金财产，其余部分用于支付注册登记费等各项费用。R类基金份额的赎回费全部归入计入基金财产。 </w:t>
      </w:r>
    </w:p>
    <w:p>
      <w:pPr>
        <w:pStyle w:val="7"/>
        <w:spacing w:before="0" w:beforeAutospacing="0" w:after="0" w:afterAutospacing="0" w:line="360" w:lineRule="auto"/>
        <w:ind w:firstLine="420"/>
        <w:rPr>
          <w:sz w:val="21"/>
          <w:szCs w:val="21"/>
        </w:rPr>
      </w:pPr>
      <w:r>
        <w:rPr>
          <w:rFonts w:hint="eastAsia"/>
          <w:sz w:val="21"/>
          <w:szCs w:val="21"/>
        </w:rPr>
        <w:t xml:space="preserve">5．对于A类基金份额，基金管理人可以根据情况调整申购费率，但最高不超过3.0％。基金管理人决定对不同持有期限的A类基金份额等实行差别化的赎回费率，并予公告，而无须召开基金份额持有人大会。赎回费率模式需公告并公平地对待同类投资人。基金管理人应于新的费率或收费方式实施日前依照《信息披露办法》的有关规定在中国证监会指定媒介上公告。 </w:t>
      </w:r>
    </w:p>
    <w:p>
      <w:pPr>
        <w:pStyle w:val="7"/>
        <w:spacing w:before="0" w:beforeAutospacing="0" w:after="0" w:afterAutospacing="0" w:line="360" w:lineRule="auto"/>
        <w:ind w:firstLine="420"/>
        <w:rPr>
          <w:sz w:val="21"/>
          <w:szCs w:val="21"/>
        </w:rPr>
      </w:pPr>
      <w:r>
        <w:rPr>
          <w:rFonts w:hint="eastAsia"/>
          <w:sz w:val="21"/>
          <w:szCs w:val="21"/>
        </w:rPr>
        <w:t xml:space="preserve">6、对于R类基金份额，其申购和赎回费率调整需遵守香港的法律、法规等规则。 </w:t>
      </w:r>
    </w:p>
    <w:p>
      <w:pPr>
        <w:pStyle w:val="7"/>
        <w:spacing w:before="0" w:beforeAutospacing="0" w:after="0" w:afterAutospacing="0" w:line="360" w:lineRule="auto"/>
        <w:ind w:firstLine="420"/>
        <w:rPr>
          <w:sz w:val="21"/>
          <w:szCs w:val="21"/>
        </w:rPr>
      </w:pPr>
      <w:r>
        <w:rPr>
          <w:rStyle w:val="11"/>
          <w:rFonts w:hint="eastAsia"/>
          <w:sz w:val="21"/>
          <w:szCs w:val="21"/>
        </w:rPr>
        <w:t>九、申购与赎回的计算方式</w:t>
      </w:r>
    </w:p>
    <w:p>
      <w:pPr>
        <w:pStyle w:val="7"/>
        <w:spacing w:before="0" w:beforeAutospacing="0" w:after="0" w:afterAutospacing="0" w:line="360" w:lineRule="auto"/>
        <w:ind w:firstLine="420"/>
        <w:rPr>
          <w:sz w:val="21"/>
          <w:szCs w:val="21"/>
        </w:rPr>
      </w:pPr>
      <w:r>
        <w:rPr>
          <w:rFonts w:hint="eastAsia"/>
          <w:sz w:val="21"/>
          <w:szCs w:val="21"/>
        </w:rPr>
        <w:t xml:space="preserve">1．A类基金申购份额的计算 </w:t>
      </w:r>
    </w:p>
    <w:p>
      <w:pPr>
        <w:pStyle w:val="7"/>
        <w:spacing w:before="0" w:beforeAutospacing="0" w:after="0" w:afterAutospacing="0" w:line="360" w:lineRule="auto"/>
        <w:ind w:firstLine="420"/>
        <w:rPr>
          <w:sz w:val="21"/>
          <w:szCs w:val="21"/>
        </w:rPr>
      </w:pPr>
      <w:r>
        <w:rPr>
          <w:rFonts w:hint="eastAsia"/>
          <w:sz w:val="21"/>
          <w:szCs w:val="21"/>
        </w:rPr>
        <w:t xml:space="preserve">（1）前端收费模式下基金申购份额的计算 </w:t>
      </w:r>
    </w:p>
    <w:p>
      <w:pPr>
        <w:pStyle w:val="7"/>
        <w:spacing w:before="0" w:beforeAutospacing="0" w:after="0" w:afterAutospacing="0" w:line="360" w:lineRule="auto"/>
        <w:ind w:firstLine="420"/>
        <w:rPr>
          <w:sz w:val="21"/>
          <w:szCs w:val="21"/>
        </w:rPr>
      </w:pPr>
      <w:r>
        <w:rPr>
          <w:rFonts w:hint="eastAsia"/>
          <w:sz w:val="21"/>
          <w:szCs w:val="21"/>
        </w:rPr>
        <w:t xml:space="preserve">基金份额申购价格＝基金份额净值×（1＋申购费率）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申购份额=申购金额/基金份额申购价格 </w:t>
      </w:r>
    </w:p>
    <w:p>
      <w:pPr>
        <w:pStyle w:val="7"/>
        <w:spacing w:before="0" w:beforeAutospacing="0" w:after="0" w:afterAutospacing="0" w:line="360" w:lineRule="auto"/>
        <w:ind w:firstLine="420"/>
        <w:rPr>
          <w:sz w:val="21"/>
          <w:szCs w:val="21"/>
        </w:rPr>
      </w:pPr>
      <w:r>
        <w:rPr>
          <w:rFonts w:hint="eastAsia"/>
          <w:sz w:val="21"/>
          <w:szCs w:val="21"/>
        </w:rPr>
        <w:t xml:space="preserve">例1：假定T日基金份额净值为1.056元，某投资人本次申购本基金50万元，对应的本次申购费率为1.0％，该投资人可得到的基金份额为：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申购价格＝1.056×（1+1.0%）=1.06656元 </w:t>
      </w:r>
    </w:p>
    <w:p>
      <w:pPr>
        <w:pStyle w:val="7"/>
        <w:spacing w:before="0" w:beforeAutospacing="0" w:after="0" w:afterAutospacing="0" w:line="360" w:lineRule="auto"/>
        <w:ind w:firstLine="420"/>
        <w:rPr>
          <w:sz w:val="21"/>
          <w:szCs w:val="21"/>
        </w:rPr>
      </w:pPr>
      <w:r>
        <w:rPr>
          <w:rFonts w:hint="eastAsia"/>
          <w:sz w:val="21"/>
          <w:szCs w:val="21"/>
        </w:rPr>
        <w:t xml:space="preserve">申购份额=500000/1.06656＝468796.88份 </w:t>
      </w:r>
    </w:p>
    <w:p>
      <w:pPr>
        <w:pStyle w:val="7"/>
        <w:spacing w:before="0" w:beforeAutospacing="0" w:after="0" w:afterAutospacing="0" w:line="360" w:lineRule="auto"/>
        <w:ind w:firstLine="420"/>
        <w:rPr>
          <w:sz w:val="21"/>
          <w:szCs w:val="21"/>
        </w:rPr>
      </w:pPr>
      <w:r>
        <w:rPr>
          <w:rFonts w:hint="eastAsia"/>
          <w:sz w:val="21"/>
          <w:szCs w:val="21"/>
        </w:rPr>
        <w:t xml:space="preserve">即：投资人投资50万元申购本基金，假定申购当日基金份额净值为1.056元，可得到468796.88份基金份额。 </w:t>
      </w:r>
    </w:p>
    <w:p>
      <w:pPr>
        <w:pStyle w:val="7"/>
        <w:spacing w:before="0" w:beforeAutospacing="0" w:after="0" w:afterAutospacing="0" w:line="360" w:lineRule="auto"/>
        <w:ind w:firstLine="420"/>
        <w:rPr>
          <w:sz w:val="21"/>
          <w:szCs w:val="21"/>
        </w:rPr>
      </w:pPr>
      <w:r>
        <w:rPr>
          <w:rFonts w:hint="eastAsia"/>
          <w:sz w:val="21"/>
          <w:szCs w:val="21"/>
        </w:rPr>
        <w:t xml:space="preserve">（2）后端收费模式下基金申购份额的计算 </w:t>
      </w:r>
    </w:p>
    <w:p>
      <w:pPr>
        <w:pStyle w:val="7"/>
        <w:spacing w:before="0" w:beforeAutospacing="0" w:after="0" w:afterAutospacing="0" w:line="360" w:lineRule="auto"/>
        <w:ind w:firstLine="420"/>
        <w:rPr>
          <w:sz w:val="21"/>
          <w:szCs w:val="21"/>
        </w:rPr>
      </w:pPr>
      <w:r>
        <w:rPr>
          <w:rFonts w:hint="eastAsia"/>
          <w:sz w:val="21"/>
          <w:szCs w:val="21"/>
        </w:rPr>
        <w:t xml:space="preserve">如果投资人选择缴纳后端申购费用，则申购份数的计算方法如下：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申购份额=申购金额/基金份额净值 </w:t>
      </w:r>
    </w:p>
    <w:p>
      <w:pPr>
        <w:pStyle w:val="7"/>
        <w:spacing w:before="0" w:beforeAutospacing="0" w:after="0" w:afterAutospacing="0" w:line="360" w:lineRule="auto"/>
        <w:ind w:firstLine="420"/>
        <w:rPr>
          <w:sz w:val="21"/>
          <w:szCs w:val="21"/>
        </w:rPr>
      </w:pPr>
      <w:r>
        <w:rPr>
          <w:rFonts w:hint="eastAsia"/>
          <w:sz w:val="21"/>
          <w:szCs w:val="21"/>
        </w:rPr>
        <w:t xml:space="preserve">例2：假定T日基金份额净值为1.056元，某投资人申购本基金50万元，采用后端收费方式，则可申购基金份额为： </w:t>
      </w:r>
    </w:p>
    <w:p>
      <w:pPr>
        <w:pStyle w:val="7"/>
        <w:spacing w:before="0" w:beforeAutospacing="0" w:after="0" w:afterAutospacing="0" w:line="360" w:lineRule="auto"/>
        <w:ind w:firstLine="420"/>
        <w:rPr>
          <w:sz w:val="21"/>
          <w:szCs w:val="21"/>
        </w:rPr>
      </w:pPr>
      <w:r>
        <w:rPr>
          <w:rFonts w:hint="eastAsia"/>
          <w:sz w:val="21"/>
          <w:szCs w:val="21"/>
        </w:rPr>
        <w:t xml:space="preserve">申购份额＝500000/1.056＝473484.85份 </w:t>
      </w:r>
    </w:p>
    <w:p>
      <w:pPr>
        <w:pStyle w:val="7"/>
        <w:spacing w:before="0" w:beforeAutospacing="0" w:after="0" w:afterAutospacing="0" w:line="360" w:lineRule="auto"/>
        <w:ind w:firstLine="420"/>
        <w:rPr>
          <w:sz w:val="21"/>
          <w:szCs w:val="21"/>
        </w:rPr>
      </w:pPr>
      <w:r>
        <w:rPr>
          <w:rFonts w:hint="eastAsia"/>
          <w:sz w:val="21"/>
          <w:szCs w:val="21"/>
        </w:rPr>
        <w:t xml:space="preserve">即：投资人投资50万元申购本基金，采用后端收费方式，假定申购当日基金份额净值为1.056元，可得到473484.85份基金份额。 </w:t>
      </w:r>
    </w:p>
    <w:p>
      <w:pPr>
        <w:pStyle w:val="7"/>
        <w:spacing w:before="0" w:beforeAutospacing="0" w:after="0" w:afterAutospacing="0" w:line="360" w:lineRule="auto"/>
        <w:ind w:firstLine="420"/>
        <w:rPr>
          <w:sz w:val="21"/>
          <w:szCs w:val="21"/>
        </w:rPr>
      </w:pPr>
      <w:r>
        <w:rPr>
          <w:rFonts w:hint="eastAsia"/>
          <w:sz w:val="21"/>
          <w:szCs w:val="21"/>
        </w:rPr>
        <w:t xml:space="preserve">2．A类基金赎回金额的计算 </w:t>
      </w:r>
    </w:p>
    <w:p>
      <w:pPr>
        <w:pStyle w:val="7"/>
        <w:spacing w:before="0" w:beforeAutospacing="0" w:after="0" w:afterAutospacing="0" w:line="360" w:lineRule="auto"/>
        <w:ind w:firstLine="420"/>
        <w:rPr>
          <w:sz w:val="21"/>
          <w:szCs w:val="21"/>
        </w:rPr>
      </w:pPr>
      <w:r>
        <w:rPr>
          <w:rFonts w:hint="eastAsia"/>
          <w:sz w:val="21"/>
          <w:szCs w:val="21"/>
        </w:rPr>
        <w:t xml:space="preserve">（1）   前端收费模式下基金赎回金额的计算 </w:t>
      </w:r>
    </w:p>
    <w:p>
      <w:pPr>
        <w:pStyle w:val="7"/>
        <w:spacing w:before="0" w:beforeAutospacing="0" w:after="0" w:afterAutospacing="0" w:line="360" w:lineRule="auto"/>
        <w:ind w:firstLine="420"/>
        <w:rPr>
          <w:sz w:val="21"/>
          <w:szCs w:val="21"/>
        </w:rPr>
      </w:pPr>
      <w:r>
        <w:rPr>
          <w:rFonts w:hint="eastAsia"/>
          <w:sz w:val="21"/>
          <w:szCs w:val="21"/>
        </w:rPr>
        <w:t xml:space="preserve">赎回费用＝基金份额净值×赎回费率×赎回份额 </w:t>
      </w:r>
    </w:p>
    <w:p>
      <w:pPr>
        <w:pStyle w:val="7"/>
        <w:spacing w:before="0" w:beforeAutospacing="0" w:after="0" w:afterAutospacing="0" w:line="360" w:lineRule="auto"/>
        <w:ind w:firstLine="420"/>
        <w:rPr>
          <w:sz w:val="21"/>
          <w:szCs w:val="21"/>
        </w:rPr>
      </w:pPr>
      <w:r>
        <w:rPr>
          <w:rFonts w:hint="eastAsia"/>
          <w:sz w:val="21"/>
          <w:szCs w:val="21"/>
        </w:rPr>
        <w:t xml:space="preserve">赎回金额＝基金份额净值×赎回份额－赎回费用 </w:t>
      </w:r>
    </w:p>
    <w:p>
      <w:pPr>
        <w:pStyle w:val="7"/>
        <w:spacing w:before="0" w:beforeAutospacing="0" w:after="0" w:afterAutospacing="0" w:line="360" w:lineRule="auto"/>
        <w:ind w:firstLine="420"/>
        <w:rPr>
          <w:sz w:val="21"/>
          <w:szCs w:val="21"/>
        </w:rPr>
      </w:pPr>
      <w:r>
        <w:rPr>
          <w:rFonts w:hint="eastAsia"/>
          <w:sz w:val="21"/>
          <w:szCs w:val="21"/>
        </w:rPr>
        <w:t xml:space="preserve">例3：前端收费模式下基金赎回金额的计算举例 </w:t>
      </w:r>
    </w:p>
    <w:p>
      <w:pPr>
        <w:pStyle w:val="7"/>
        <w:spacing w:before="0" w:beforeAutospacing="0" w:after="0" w:afterAutospacing="0" w:line="360" w:lineRule="auto"/>
        <w:ind w:firstLine="420"/>
        <w:rPr>
          <w:sz w:val="21"/>
          <w:szCs w:val="21"/>
        </w:rPr>
      </w:pPr>
      <w:r>
        <w:rPr>
          <w:rFonts w:hint="eastAsia"/>
          <w:sz w:val="21"/>
          <w:szCs w:val="21"/>
        </w:rPr>
        <w:t xml:space="preserve">某投资人赎回本基金30万份基金份额，持有时间为一年两个月，对应的赎回费率为0.5%，假设赎回当日基金份额净值是1.106元，则其可得到的赎回金额计算过程为： </w:t>
      </w:r>
    </w:p>
    <w:p>
      <w:pPr>
        <w:pStyle w:val="7"/>
        <w:spacing w:before="0" w:beforeAutospacing="0" w:after="0" w:afterAutospacing="0" w:line="360" w:lineRule="auto"/>
        <w:ind w:firstLine="420"/>
        <w:rPr>
          <w:sz w:val="21"/>
          <w:szCs w:val="21"/>
        </w:rPr>
      </w:pPr>
      <w:r>
        <w:rPr>
          <w:rFonts w:hint="eastAsia"/>
          <w:sz w:val="21"/>
          <w:szCs w:val="21"/>
        </w:rPr>
        <w:t xml:space="preserve">赎回费用＝1.106×0.5%×300000=1659.00元 </w:t>
      </w:r>
    </w:p>
    <w:p>
      <w:pPr>
        <w:pStyle w:val="7"/>
        <w:spacing w:before="0" w:beforeAutospacing="0" w:after="0" w:afterAutospacing="0" w:line="360" w:lineRule="auto"/>
        <w:ind w:firstLine="420"/>
        <w:rPr>
          <w:sz w:val="21"/>
          <w:szCs w:val="21"/>
        </w:rPr>
      </w:pPr>
      <w:r>
        <w:rPr>
          <w:rFonts w:hint="eastAsia"/>
          <w:sz w:val="21"/>
          <w:szCs w:val="21"/>
        </w:rPr>
        <w:t xml:space="preserve">赎回金额＝1.106×300000-1659.00=330141.00元 </w:t>
      </w:r>
    </w:p>
    <w:p>
      <w:pPr>
        <w:pStyle w:val="7"/>
        <w:spacing w:before="0" w:beforeAutospacing="0" w:after="0" w:afterAutospacing="0" w:line="360" w:lineRule="auto"/>
        <w:ind w:firstLine="420"/>
        <w:rPr>
          <w:sz w:val="21"/>
          <w:szCs w:val="21"/>
        </w:rPr>
      </w:pPr>
      <w:r>
        <w:rPr>
          <w:rFonts w:hint="eastAsia"/>
          <w:sz w:val="21"/>
          <w:szCs w:val="21"/>
        </w:rPr>
        <w:t xml:space="preserve">即：投资人赎回本基金30万份基金份额，假设赎回当日基金份额净值是1.106元，持有期所对应的赎回费率为0.5%，则其可得到的赎回金额为330141.00元。 </w:t>
      </w:r>
    </w:p>
    <w:p>
      <w:pPr>
        <w:pStyle w:val="7"/>
        <w:spacing w:before="0" w:beforeAutospacing="0" w:after="0" w:afterAutospacing="0" w:line="360" w:lineRule="auto"/>
        <w:ind w:firstLine="420"/>
        <w:rPr>
          <w:sz w:val="21"/>
          <w:szCs w:val="21"/>
        </w:rPr>
      </w:pPr>
      <w:r>
        <w:rPr>
          <w:rFonts w:hint="eastAsia"/>
          <w:sz w:val="21"/>
          <w:szCs w:val="21"/>
        </w:rPr>
        <w:t xml:space="preserve">（2）后端收费模式下基金赎回金额的计算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赎回总金额=赎回份额×赎回日基金份额净值 </w:t>
      </w:r>
    </w:p>
    <w:p>
      <w:pPr>
        <w:pStyle w:val="7"/>
        <w:spacing w:before="0" w:beforeAutospacing="0" w:after="0" w:afterAutospacing="0" w:line="360" w:lineRule="auto"/>
        <w:ind w:firstLine="420"/>
        <w:rPr>
          <w:sz w:val="21"/>
          <w:szCs w:val="21"/>
        </w:rPr>
      </w:pPr>
      <w:r>
        <w:rPr>
          <w:rFonts w:hint="eastAsia"/>
          <w:sz w:val="21"/>
          <w:szCs w:val="21"/>
        </w:rPr>
        <w:t xml:space="preserve">后端申购费=赎回份额×申购日基金份额净值×适用的后端申购费率 </w:t>
      </w:r>
    </w:p>
    <w:p>
      <w:pPr>
        <w:pStyle w:val="7"/>
        <w:spacing w:before="0" w:beforeAutospacing="0" w:after="0" w:afterAutospacing="0" w:line="360" w:lineRule="auto"/>
        <w:ind w:firstLine="420"/>
        <w:rPr>
          <w:sz w:val="21"/>
          <w:szCs w:val="21"/>
        </w:rPr>
      </w:pPr>
      <w:r>
        <w:rPr>
          <w:rFonts w:hint="eastAsia"/>
          <w:sz w:val="21"/>
          <w:szCs w:val="21"/>
        </w:rPr>
        <w:t xml:space="preserve">赎回费=赎回总金额×适用的赎回费率 </w:t>
      </w:r>
    </w:p>
    <w:p>
      <w:pPr>
        <w:pStyle w:val="7"/>
        <w:spacing w:before="0" w:beforeAutospacing="0" w:after="0" w:afterAutospacing="0" w:line="360" w:lineRule="auto"/>
        <w:ind w:firstLine="420"/>
        <w:rPr>
          <w:sz w:val="21"/>
          <w:szCs w:val="21"/>
        </w:rPr>
      </w:pPr>
      <w:r>
        <w:rPr>
          <w:rFonts w:hint="eastAsia"/>
          <w:sz w:val="21"/>
          <w:szCs w:val="21"/>
        </w:rPr>
        <w:t xml:space="preserve">赎回金额=赎回总金额-后端申购费-赎回费 </w:t>
      </w:r>
    </w:p>
    <w:p>
      <w:pPr>
        <w:pStyle w:val="7"/>
        <w:spacing w:before="0" w:beforeAutospacing="0" w:after="0" w:afterAutospacing="0" w:line="360" w:lineRule="auto"/>
        <w:ind w:firstLine="420"/>
        <w:rPr>
          <w:sz w:val="21"/>
          <w:szCs w:val="21"/>
        </w:rPr>
      </w:pPr>
      <w:r>
        <w:rPr>
          <w:rFonts w:hint="eastAsia"/>
          <w:sz w:val="21"/>
          <w:szCs w:val="21"/>
        </w:rPr>
        <w:t xml:space="preserve">上述计算公式中，后端申购费的计算基数为本次要赎回的基金份额在当初购买时所需的申购金额，具体表达为：当初购买本次赎回份额的申购资金总额×该部分份额所对应的费率。 </w:t>
      </w:r>
    </w:p>
    <w:p>
      <w:pPr>
        <w:pStyle w:val="7"/>
        <w:spacing w:before="0" w:beforeAutospacing="0" w:after="0" w:afterAutospacing="0" w:line="360" w:lineRule="auto"/>
        <w:ind w:firstLine="420"/>
        <w:rPr>
          <w:sz w:val="21"/>
          <w:szCs w:val="21"/>
        </w:rPr>
      </w:pPr>
      <w:r>
        <w:rPr>
          <w:rFonts w:hint="eastAsia"/>
          <w:sz w:val="21"/>
          <w:szCs w:val="21"/>
        </w:rPr>
        <w:t xml:space="preserve">例4：后端收费模式下基金赎回金额的计算举例 </w:t>
      </w:r>
    </w:p>
    <w:p>
      <w:pPr>
        <w:pStyle w:val="7"/>
        <w:spacing w:before="0" w:beforeAutospacing="0" w:after="0" w:afterAutospacing="0" w:line="360" w:lineRule="auto"/>
        <w:ind w:firstLine="420"/>
        <w:rPr>
          <w:sz w:val="21"/>
          <w:szCs w:val="21"/>
        </w:rPr>
      </w:pPr>
      <w:r>
        <w:rPr>
          <w:rFonts w:hint="eastAsia"/>
          <w:sz w:val="21"/>
          <w:szCs w:val="21"/>
        </w:rPr>
        <w:t xml:space="preserve">假定某投资人申购本基金份额当日的基金份额净值为1.056元，该投资人选择后端收费模式，在两年零两个月后赎回300,000份，赎回当日的基金份额净值为1.106元，对应的后端申购费率为1.0%，赎回费率为0.25%，扣除的后端申购费用和获得的赎回金额计算如下： </w:t>
      </w:r>
    </w:p>
    <w:p>
      <w:pPr>
        <w:pStyle w:val="7"/>
        <w:spacing w:before="0" w:beforeAutospacing="0" w:after="0" w:afterAutospacing="0" w:line="360" w:lineRule="auto"/>
        <w:ind w:firstLine="420"/>
        <w:rPr>
          <w:sz w:val="21"/>
          <w:szCs w:val="21"/>
        </w:rPr>
      </w:pPr>
      <w:r>
        <w:rPr>
          <w:rFonts w:hint="eastAsia"/>
          <w:sz w:val="21"/>
          <w:szCs w:val="21"/>
        </w:rPr>
        <w:t xml:space="preserve">赎回总金额＝300000×1.106＝331800元 </w:t>
      </w:r>
    </w:p>
    <w:p>
      <w:pPr>
        <w:pStyle w:val="7"/>
        <w:spacing w:before="0" w:beforeAutospacing="0" w:after="0" w:afterAutospacing="0" w:line="360" w:lineRule="auto"/>
        <w:ind w:firstLine="420"/>
        <w:rPr>
          <w:sz w:val="21"/>
          <w:szCs w:val="21"/>
        </w:rPr>
      </w:pPr>
      <w:r>
        <w:rPr>
          <w:rFonts w:hint="eastAsia"/>
          <w:sz w:val="21"/>
          <w:szCs w:val="21"/>
        </w:rPr>
        <w:t xml:space="preserve">后端申购费＝300000×1.056×1.0％＝3168.00元 </w:t>
      </w:r>
    </w:p>
    <w:p>
      <w:pPr>
        <w:pStyle w:val="7"/>
        <w:spacing w:before="0" w:beforeAutospacing="0" w:after="0" w:afterAutospacing="0" w:line="360" w:lineRule="auto"/>
        <w:ind w:firstLine="420"/>
        <w:rPr>
          <w:sz w:val="21"/>
          <w:szCs w:val="21"/>
        </w:rPr>
      </w:pPr>
      <w:r>
        <w:rPr>
          <w:rFonts w:hint="eastAsia"/>
          <w:sz w:val="21"/>
          <w:szCs w:val="21"/>
        </w:rPr>
        <w:t xml:space="preserve">赎回费＝331800×0.25％＝829.50元 </w:t>
      </w:r>
    </w:p>
    <w:p>
      <w:pPr>
        <w:pStyle w:val="7"/>
        <w:spacing w:before="0" w:beforeAutospacing="0" w:after="0" w:afterAutospacing="0" w:line="360" w:lineRule="auto"/>
        <w:ind w:firstLine="420"/>
        <w:rPr>
          <w:sz w:val="21"/>
          <w:szCs w:val="21"/>
        </w:rPr>
      </w:pPr>
      <w:r>
        <w:rPr>
          <w:rFonts w:hint="eastAsia"/>
          <w:sz w:val="21"/>
          <w:szCs w:val="21"/>
        </w:rPr>
        <w:t xml:space="preserve">赎回金额＝331800－3168.00－829.50＝327802.50元 </w:t>
      </w:r>
    </w:p>
    <w:p>
      <w:pPr>
        <w:pStyle w:val="7"/>
        <w:spacing w:before="0" w:beforeAutospacing="0" w:after="0" w:afterAutospacing="0" w:line="360" w:lineRule="auto"/>
        <w:ind w:firstLine="420"/>
        <w:rPr>
          <w:sz w:val="21"/>
          <w:szCs w:val="21"/>
        </w:rPr>
      </w:pPr>
      <w:r>
        <w:rPr>
          <w:rFonts w:hint="eastAsia"/>
          <w:sz w:val="21"/>
          <w:szCs w:val="21"/>
        </w:rPr>
        <w:t xml:space="preserve">即：投资人赎回本基金30万份基金份额，假设赎回当日基金份额净值是1.106元，持有期所对应的赎回费率为0.25%，后端申购费为1.0％，则其可得到的赎回金额为327802.50元。 </w:t>
      </w:r>
    </w:p>
    <w:p>
      <w:pPr>
        <w:pStyle w:val="7"/>
        <w:spacing w:before="0" w:beforeAutospacing="0" w:after="0" w:afterAutospacing="0" w:line="360" w:lineRule="auto"/>
        <w:ind w:firstLine="420"/>
        <w:rPr>
          <w:sz w:val="21"/>
          <w:szCs w:val="21"/>
        </w:rPr>
      </w:pPr>
      <w:r>
        <w:rPr>
          <w:rFonts w:hint="eastAsia"/>
          <w:sz w:val="21"/>
          <w:szCs w:val="21"/>
        </w:rPr>
        <w:t xml:space="preserve">3. 本基金A类基金份额和R类基金份额分别设置代码，分别计算和公告两类基金份额净值和两类基金份额累计净值。本基金两类基金份额净值的计算，保留到小数点后3位，小数点后第4位四舍五入，由此产生的误差在基金财产中列支。T日的基金份额净值在当天收市后计算，并按照基金合同约定进行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6.本基金R类份额的申购与赎回份额计算方式以香港销售机构的具体规定为准。 </w:t>
      </w:r>
    </w:p>
    <w:p>
      <w:pPr>
        <w:pStyle w:val="7"/>
        <w:spacing w:before="0" w:beforeAutospacing="0" w:after="0" w:afterAutospacing="0" w:line="360" w:lineRule="auto"/>
        <w:ind w:firstLine="420"/>
        <w:rPr>
          <w:sz w:val="21"/>
          <w:szCs w:val="21"/>
        </w:rPr>
      </w:pPr>
      <w:r>
        <w:rPr>
          <w:rStyle w:val="11"/>
          <w:rFonts w:hint="eastAsia"/>
          <w:sz w:val="21"/>
          <w:szCs w:val="21"/>
        </w:rPr>
        <w:t>十、拒绝或暂停申购的情形</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4.基金管理人认为接受某笔或某些申购申请可能会影响或损害其他基金份额持有人利益或对存量基金份额持有人利益构成潜在重大不利影响时。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5.基金资产规模过大，使基金管理人无法找到合适的投资品种，或其他可能对基金业绩产生负面影响，从而损害现有基金份额持有人利益的情形。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6基金互认额度不足或本基金在香港地区销售份额超过法规规定的比例导致投资人无法申购R类份额的情形。 </w:t>
      </w:r>
    </w:p>
    <w:p>
      <w:pPr>
        <w:pStyle w:val="7"/>
        <w:spacing w:before="0" w:beforeAutospacing="0" w:after="0" w:afterAutospacing="0" w:line="360" w:lineRule="auto"/>
        <w:ind w:firstLine="420"/>
        <w:rPr>
          <w:sz w:val="21"/>
          <w:szCs w:val="21"/>
        </w:rPr>
      </w:pPr>
      <w:r>
        <w:rPr>
          <w:rFonts w:hint="eastAsia"/>
          <w:sz w:val="21"/>
          <w:szCs w:val="21"/>
        </w:rPr>
        <w:t xml:space="preserve">7. 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时，基金管理人应当根据有关规定在中国证监会指定媒介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十一、暂停赎回或延缓支付赎回款项的情形</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3.连续两个开放日发生巨额赎回。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4.发生基金合同规定的暂停基金资产估值情况。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5. 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时，基金管理人应按规定报中国证监会备案，已接受的赎回申请，基金管理人应足额支付；如暂时不能足额支付，未支付部分可延期支付，延期支付最长不得超过正常支付时间20个工作日，并在指定媒介上公告。投资人在申请赎回时可事先选择将当日可能未获受理部分予以撤销。在暂停赎回的情况消除时，基金管理人应及时恢复赎回业务的办理并予以公告。 </w:t>
      </w:r>
    </w:p>
    <w:p>
      <w:pPr>
        <w:pStyle w:val="7"/>
        <w:spacing w:before="0" w:beforeAutospacing="0" w:after="0" w:afterAutospacing="0" w:line="360" w:lineRule="auto"/>
        <w:ind w:firstLine="420"/>
        <w:rPr>
          <w:sz w:val="21"/>
          <w:szCs w:val="21"/>
        </w:rPr>
      </w:pPr>
      <w:r>
        <w:rPr>
          <w:rStyle w:val="11"/>
          <w:rFonts w:hint="eastAsia"/>
          <w:sz w:val="21"/>
          <w:szCs w:val="21"/>
        </w:rPr>
        <w:t>十二、巨额赎回的情形及处理方式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当基金出现巨额赎回时，基金管理人可以根据基金当时的资产组合状况决定全额赎回或部分顺延赎回。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 xml:space="preserve">(2)部分顺延赎回：当基金管理人认为支付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 xml:space="preserve">(3) 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部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日以上(含本次)发生巨额赎回，如基金管理人认为有必要，可暂停接受基金的赎回申请；已经接受的赎回申请可以延缓支付赎回款项，但不得超过正常支付时间20个工作日，并应当按规定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当发生上述延期赎回时，基金管理人应当通过邮寄、传真或者招募说明书规定的其他方式在3个交易日内通知基金份额持有人，说明有关处理方法，并在2日内在指定媒介上刊登</w:t>
      </w:r>
      <w:bookmarkStart w:id="89" w:name="chapter_level1_10_59_section_3_end"/>
      <w:bookmarkEnd w:id="89"/>
      <w:r>
        <w:rPr>
          <w:rFonts w:hint="eastAsia"/>
          <w:sz w:val="21"/>
          <w:szCs w:val="21"/>
        </w:rPr>
        <w:t xml:space="preserve">公告。 </w:t>
      </w:r>
    </w:p>
    <w:p>
      <w:pPr>
        <w:pStyle w:val="7"/>
        <w:spacing w:before="0" w:beforeAutospacing="0" w:after="0" w:afterAutospacing="0" w:line="360" w:lineRule="auto"/>
        <w:ind w:firstLine="420"/>
        <w:rPr>
          <w:sz w:val="21"/>
          <w:szCs w:val="21"/>
        </w:rPr>
      </w:pPr>
      <w:bookmarkStart w:id="90" w:name="chapter_level1_10_59_section_4"/>
      <w:bookmarkEnd w:id="90"/>
      <w:r>
        <w:rPr>
          <w:rStyle w:val="11"/>
          <w:rFonts w:hint="eastAsia"/>
          <w:sz w:val="21"/>
          <w:szCs w:val="21"/>
        </w:rPr>
        <w:t>十三、暂停申购或赎回的公告和重新开放申购或赎回的公告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2、如发生暂停的时间为1日，基金管理人应于重新开放日，在指定媒介上刊登基金重新开放申购或赎回公告，并公布最近1个工作日的基金份额净值。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3、如发生暂停的时间超过1日但少于2周，暂停结束，基金重新开放申购或赎回时，基金管理人应依照《信息披露办法》的有关规定，在指定媒介刊登基金重新开放申购或赎回公告，并公告最近1 个工作日的基金份额净值。 </w:t>
      </w:r>
    </w:p>
    <w:p>
      <w:pPr>
        <w:pStyle w:val="7"/>
        <w:spacing w:before="0" w:beforeAutospacing="0" w:after="0" w:afterAutospacing="0" w:line="360" w:lineRule="auto"/>
        <w:ind w:firstLine="420"/>
        <w:rPr>
          <w:sz w:val="21"/>
          <w:szCs w:val="21"/>
        </w:rPr>
      </w:pPr>
      <w:r>
        <w:rPr>
          <w:rFonts w:hint="eastAsia"/>
          <w:sz w:val="21"/>
          <w:szCs w:val="21"/>
        </w:rPr>
        <w:t>4、如发生暂停的时间超过2周（包括2周），暂停期间，基金管理人应每2周至少刊登暂停公告1次。暂停结束，基金重新开放申购或赎回时，基金管理人应依照《信息披露办法》的有关规定，在指定媒介刊登基金重新开放申购或赎回公告，并公告最近1个工作日的</w:t>
      </w:r>
      <w:bookmarkStart w:id="91" w:name="chapter_level1_10_59_section_4_end"/>
      <w:bookmarkEnd w:id="91"/>
      <w:r>
        <w:rPr>
          <w:rFonts w:hint="eastAsia"/>
          <w:sz w:val="21"/>
          <w:szCs w:val="21"/>
        </w:rPr>
        <w:t xml:space="preserve">基金份额净值。  </w:t>
      </w:r>
    </w:p>
    <w:p>
      <w:pPr>
        <w:pStyle w:val="7"/>
        <w:spacing w:before="0" w:beforeAutospacing="0" w:after="0" w:afterAutospacing="0" w:line="360" w:lineRule="auto"/>
        <w:ind w:firstLine="420"/>
        <w:rPr>
          <w:sz w:val="21"/>
          <w:szCs w:val="21"/>
        </w:rPr>
      </w:pPr>
      <w:bookmarkStart w:id="92" w:name="chapter_level1_10_59_section_5"/>
      <w:bookmarkEnd w:id="92"/>
      <w:r>
        <w:rPr>
          <w:rStyle w:val="11"/>
          <w:rFonts w:hint="eastAsia"/>
          <w:sz w:val="21"/>
          <w:szCs w:val="21"/>
        </w:rPr>
        <w:t>十四、基金转换</w:t>
      </w:r>
    </w:p>
    <w:p>
      <w:pPr>
        <w:pStyle w:val="7"/>
        <w:spacing w:before="0" w:beforeAutospacing="0" w:after="0" w:afterAutospacing="0" w:line="360" w:lineRule="auto"/>
        <w:ind w:firstLine="420"/>
        <w:rPr>
          <w:sz w:val="21"/>
          <w:szCs w:val="21"/>
        </w:rPr>
      </w:pPr>
      <w:r>
        <w:rPr>
          <w:rFonts w:hint="eastAsia"/>
          <w:sz w:val="21"/>
          <w:szCs w:val="21"/>
        </w:rPr>
        <w:t xml:space="preserve">自2008年6月30日起，本基金管理人和销售机构共同推出本基金A类基金份额的基金转换业务。 </w:t>
      </w:r>
    </w:p>
    <w:p>
      <w:pPr>
        <w:pStyle w:val="7"/>
        <w:spacing w:before="0" w:beforeAutospacing="0" w:after="0" w:afterAutospacing="0" w:line="360" w:lineRule="auto"/>
        <w:ind w:firstLine="420"/>
        <w:rPr>
          <w:sz w:val="21"/>
          <w:szCs w:val="21"/>
        </w:rPr>
      </w:pPr>
      <w:r>
        <w:rPr>
          <w:rFonts w:hint="eastAsia"/>
          <w:sz w:val="21"/>
          <w:szCs w:val="21"/>
        </w:rPr>
        <w:t xml:space="preserve">本基金R类份额暂不开通基金转换业务，若条件成熟，基金管理人可以根据规定开通R类份额的基金转换业务，无需召开持有人大会 </w:t>
      </w:r>
    </w:p>
    <w:p>
      <w:pPr>
        <w:pStyle w:val="7"/>
        <w:spacing w:before="0" w:beforeAutospacing="0" w:after="0" w:afterAutospacing="0" w:line="360" w:lineRule="auto"/>
        <w:ind w:firstLine="420"/>
        <w:rPr>
          <w:sz w:val="21"/>
          <w:szCs w:val="21"/>
        </w:rPr>
      </w:pPr>
      <w:r>
        <w:rPr>
          <w:rFonts w:hint="eastAsia"/>
          <w:sz w:val="21"/>
          <w:szCs w:val="21"/>
        </w:rPr>
        <w:t xml:space="preserve">1.   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pPr>
        <w:pStyle w:val="7"/>
        <w:spacing w:before="0" w:beforeAutospacing="0" w:after="0" w:afterAutospacing="0" w:line="360" w:lineRule="auto"/>
        <w:ind w:firstLine="420"/>
        <w:rPr>
          <w:sz w:val="21"/>
          <w:szCs w:val="21"/>
        </w:rPr>
      </w:pPr>
      <w:r>
        <w:rPr>
          <w:rFonts w:hint="eastAsia"/>
          <w:sz w:val="21"/>
          <w:szCs w:val="21"/>
        </w:rPr>
        <w:t xml:space="preserve">2.   业务规则 </w:t>
      </w:r>
    </w:p>
    <w:p>
      <w:pPr>
        <w:pStyle w:val="7"/>
        <w:spacing w:before="0" w:beforeAutospacing="0" w:after="0" w:afterAutospacing="0" w:line="360" w:lineRule="auto"/>
        <w:ind w:firstLine="420"/>
        <w:rPr>
          <w:sz w:val="21"/>
          <w:szCs w:val="21"/>
        </w:rPr>
      </w:pPr>
      <w:r>
        <w:rPr>
          <w:rFonts w:hint="eastAsia"/>
          <w:sz w:val="21"/>
          <w:szCs w:val="21"/>
        </w:rPr>
        <w:t xml:space="preserve">（1） 基金转换只能在同一销售机构进行。转换的两只基金必须都是该销售机构代理的同一基金管理人管理的、在同一登记机构处注册登记的基金。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 前端收费模式的开放式基金只能转换到前端收费模式的其它基金（申购费为零的基金视同为前端收费模式），后端收费模式的基金可以转换到前端或后端收费模式的其它基金；非QDII基金不能与QDII基金互转。 </w:t>
      </w:r>
    </w:p>
    <w:p>
      <w:pPr>
        <w:pStyle w:val="7"/>
        <w:spacing w:before="0" w:beforeAutospacing="0" w:after="0" w:afterAutospacing="0" w:line="360" w:lineRule="auto"/>
        <w:ind w:firstLine="420"/>
        <w:rPr>
          <w:sz w:val="21"/>
          <w:szCs w:val="21"/>
        </w:rPr>
      </w:pPr>
      <w:r>
        <w:rPr>
          <w:rFonts w:hint="eastAsia"/>
          <w:sz w:val="21"/>
          <w:szCs w:val="21"/>
        </w:rPr>
        <w:t xml:space="preserve">（3） 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 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 基金转换以申请当日基金份额净值为基础计算。投资人采用“份额转换”的原则提交申请。转出基金份额必须是可用份额，并遵循“先进先出”的原则。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3.   暂停基金转换的情形和处理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 本基金转换业务适用于可以销售包括本基金在内的两只以上（含两只），且基金登记机构为同一机构的博时旗下基金的销售机构。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（2） 转换业务的收费计算公式及举例参见2010年3月16日刊登于本公司网站的《</w:t>
      </w:r>
      <w:bookmarkStart w:id="93" w:name="field_0_managerorgfullname_6"/>
      <w:r>
        <w:rPr>
          <w:rFonts w:hint="eastAsia"/>
          <w:sz w:val="21"/>
          <w:szCs w:val="21"/>
        </w:rPr>
        <w:t>博时基金管理有限公司</w:t>
      </w:r>
      <w:bookmarkEnd w:id="93"/>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94" w:name="chapter_level1_10_59_section_5_end"/>
      <w:bookmarkEnd w:id="94"/>
      <w:r>
        <w:rPr>
          <w:rFonts w:hint="eastAsia"/>
          <w:sz w:val="21"/>
          <w:szCs w:val="21"/>
        </w:rPr>
        <w:t xml:space="preserve">（3） 本公司管理基金的转换业务的解释权归本公司。 </w:t>
      </w:r>
    </w:p>
    <w:p>
      <w:pPr>
        <w:pStyle w:val="7"/>
        <w:spacing w:before="0" w:beforeAutospacing="0" w:after="0" w:afterAutospacing="0" w:line="360" w:lineRule="auto"/>
        <w:ind w:firstLine="420"/>
        <w:rPr>
          <w:sz w:val="21"/>
          <w:szCs w:val="21"/>
        </w:rPr>
      </w:pPr>
      <w:bookmarkStart w:id="95" w:name="chapter_level1_10_59_section_6"/>
      <w:bookmarkEnd w:id="95"/>
      <w:r>
        <w:rPr>
          <w:rStyle w:val="11"/>
          <w:rFonts w:hint="eastAsia"/>
          <w:sz w:val="21"/>
          <w:szCs w:val="21"/>
        </w:rPr>
        <w:t>十五、定期定额投资计划</w:t>
      </w:r>
    </w:p>
    <w:p>
      <w:pPr>
        <w:pStyle w:val="7"/>
        <w:spacing w:before="0" w:beforeAutospacing="0" w:after="0" w:afterAutospacing="0" w:line="360" w:lineRule="auto"/>
        <w:ind w:firstLine="420"/>
        <w:rPr>
          <w:sz w:val="21"/>
          <w:szCs w:val="21"/>
        </w:rPr>
      </w:pPr>
      <w:r>
        <w:rPr>
          <w:rFonts w:hint="eastAsia"/>
          <w:sz w:val="21"/>
          <w:szCs w:val="21"/>
        </w:rPr>
        <w:t xml:space="preserve">自2008年6月16日起，本基金管理人和销售机构共同推出本基金的定期定额计划投资业务。 </w:t>
      </w:r>
    </w:p>
    <w:p>
      <w:pPr>
        <w:pStyle w:val="7"/>
        <w:spacing w:before="0" w:beforeAutospacing="0" w:after="0" w:afterAutospacing="0" w:line="360" w:lineRule="auto"/>
        <w:ind w:firstLine="420"/>
        <w:rPr>
          <w:sz w:val="21"/>
          <w:szCs w:val="21"/>
        </w:rPr>
      </w:pPr>
      <w:r>
        <w:rPr>
          <w:rFonts w:hint="eastAsia"/>
          <w:sz w:val="21"/>
          <w:szCs w:val="21"/>
        </w:rPr>
        <w:t xml:space="preserve">1.   本基金R类份额暂不开通基金定期定额投资业务，若条件成熟，基金管理人可以根据规定开通R类份额的基金转换业务，无需召开持有人大会适用投资人范围 </w:t>
      </w:r>
    </w:p>
    <w:p>
      <w:pPr>
        <w:pStyle w:val="7"/>
        <w:spacing w:before="0" w:beforeAutospacing="0" w:after="0" w:afterAutospacing="0" w:line="360" w:lineRule="auto"/>
        <w:ind w:firstLine="420"/>
        <w:rPr>
          <w:sz w:val="21"/>
          <w:szCs w:val="21"/>
        </w:rPr>
      </w:pPr>
      <w:r>
        <w:rPr>
          <w:rFonts w:hint="eastAsia"/>
          <w:sz w:val="21"/>
          <w:szCs w:val="21"/>
        </w:rPr>
        <w:t xml:space="preserve">依法可以投资证券投资基金的个人投资者、机构投资者及合格境外机构投资者。 </w:t>
      </w:r>
    </w:p>
    <w:p>
      <w:pPr>
        <w:pStyle w:val="7"/>
        <w:spacing w:before="0" w:beforeAutospacing="0" w:after="0" w:afterAutospacing="0" w:line="360" w:lineRule="auto"/>
        <w:ind w:firstLine="420"/>
        <w:rPr>
          <w:sz w:val="21"/>
          <w:szCs w:val="21"/>
        </w:rPr>
      </w:pPr>
      <w:r>
        <w:rPr>
          <w:rFonts w:hint="eastAsia"/>
          <w:sz w:val="21"/>
          <w:szCs w:val="21"/>
        </w:rPr>
        <w:t xml:space="preserve">2.   A类基金份额申购费率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前端申购费率： </w:t>
      </w:r>
    </w:p>
    <w:tbl>
      <w:tblPr>
        <w:tblStyle w:val="9"/>
        <w:tblW w:w="7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3"/>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M＜50万元 </w:t>
            </w:r>
          </w:p>
        </w:tc>
        <w:tc>
          <w:tcPr>
            <w:tcW w:w="0" w:type="auto"/>
            <w:shd w:val="clear" w:color="auto" w:fill="auto"/>
          </w:tcPr>
          <w:p>
            <w:pPr>
              <w:pStyle w:val="7"/>
            </w:pPr>
            <w:r>
              <w:rPr>
                <w:rFonts w:hint="eastAsia"/>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50万元≤ M＜100万元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M＜500万元 </w:t>
            </w:r>
          </w:p>
        </w:tc>
        <w:tc>
          <w:tcPr>
            <w:tcW w:w="0" w:type="auto"/>
            <w:shd w:val="clear" w:color="auto" w:fill="auto"/>
          </w:tcPr>
          <w:p>
            <w:pPr>
              <w:pStyle w:val="7"/>
            </w:pPr>
            <w:r>
              <w:rPr>
                <w:rFonts w:hint="eastAsia"/>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 500万元 </w:t>
            </w:r>
          </w:p>
        </w:tc>
        <w:tc>
          <w:tcPr>
            <w:tcW w:w="0" w:type="auto"/>
            <w:shd w:val="clear" w:color="auto" w:fill="auto"/>
          </w:tcPr>
          <w:p>
            <w:pPr>
              <w:pStyle w:val="7"/>
            </w:pPr>
            <w:r>
              <w:rPr>
                <w:rFonts w:hint="eastAsia"/>
              </w:rPr>
              <w:t xml:space="preserve">1000元 </w:t>
            </w:r>
          </w:p>
        </w:tc>
      </w:tr>
    </w:tbl>
    <w:p>
      <w:pPr>
        <w:pStyle w:val="7"/>
        <w:spacing w:before="0" w:beforeAutospacing="0" w:after="0" w:afterAutospacing="0" w:line="360" w:lineRule="auto"/>
        <w:ind w:firstLine="420"/>
        <w:rPr>
          <w:sz w:val="21"/>
          <w:szCs w:val="21"/>
        </w:rPr>
      </w:pPr>
      <w:r>
        <w:rPr>
          <w:rFonts w:hint="eastAsia"/>
          <w:sz w:val="21"/>
          <w:szCs w:val="21"/>
        </w:rPr>
        <w:t xml:space="preserve">后端申购费率： </w:t>
      </w:r>
    </w:p>
    <w:tbl>
      <w:tblPr>
        <w:tblStyle w:val="9"/>
        <w:tblW w:w="7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持有基金时间（Y）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&lt; 1年 </w:t>
            </w:r>
          </w:p>
        </w:tc>
        <w:tc>
          <w:tcPr>
            <w:tcW w:w="0" w:type="auto"/>
            <w:shd w:val="clear" w:color="auto" w:fill="auto"/>
          </w:tcPr>
          <w:p>
            <w:pPr>
              <w:pStyle w:val="7"/>
            </w:pPr>
            <w:r>
              <w:rPr>
                <w:rFonts w:hint="eastAsia"/>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7"/>
            </w:pPr>
            <w:r>
              <w:rPr>
                <w:rFonts w:hint="eastAsia"/>
              </w:rPr>
              <w:t xml:space="preserve">1年≤ Y &lt; 2年 </w:t>
            </w:r>
          </w:p>
        </w:tc>
        <w:tc>
          <w:tcPr>
            <w:tcW w:w="0" w:type="auto"/>
            <w:shd w:val="clear" w:color="auto" w:fill="auto"/>
          </w:tcPr>
          <w:p>
            <w:pPr>
              <w:pStyle w:val="7"/>
            </w:pPr>
            <w:r>
              <w:rPr>
                <w:rFonts w:hint="eastAsia"/>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2年≤ Y &lt; 3年 </w:t>
            </w:r>
          </w:p>
        </w:tc>
        <w:tc>
          <w:tcPr>
            <w:tcW w:w="0" w:type="auto"/>
            <w:shd w:val="clear" w:color="auto" w:fill="auto"/>
          </w:tcPr>
          <w:p>
            <w:pPr>
              <w:pStyle w:val="7"/>
            </w:pPr>
            <w:r>
              <w:rPr>
                <w:rFonts w:hint="eastAsia"/>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3年≤ Y &lt; 4年 </w:t>
            </w:r>
          </w:p>
        </w:tc>
        <w:tc>
          <w:tcPr>
            <w:tcW w:w="0" w:type="auto"/>
            <w:shd w:val="clear" w:color="auto" w:fill="auto"/>
          </w:tcPr>
          <w:p>
            <w:pPr>
              <w:pStyle w:val="7"/>
            </w:pPr>
            <w:r>
              <w:rPr>
                <w:rFonts w:hint="eastAsia"/>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4年≤ Y &lt; 5年 </w:t>
            </w:r>
          </w:p>
        </w:tc>
        <w:tc>
          <w:tcPr>
            <w:tcW w:w="0" w:type="auto"/>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7"/>
            </w:pPr>
            <w:r>
              <w:rPr>
                <w:rFonts w:hint="eastAsia"/>
              </w:rPr>
              <w:t xml:space="preserve">Y ≥ 5年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3.   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投资人须遵循各销售机构有关扣款日期的规定，并与销售机构约定每月扣款金额,但最低每次不少于人民币1.00元(含1.00元)。 </w:t>
      </w:r>
    </w:p>
    <w:p>
      <w:pPr>
        <w:pStyle w:val="7"/>
        <w:spacing w:before="0" w:beforeAutospacing="0" w:after="0" w:afterAutospacing="0" w:line="360" w:lineRule="auto"/>
        <w:ind w:firstLine="420"/>
        <w:rPr>
          <w:sz w:val="21"/>
          <w:szCs w:val="21"/>
        </w:rPr>
      </w:pPr>
      <w:r>
        <w:rPr>
          <w:rFonts w:hint="eastAsia"/>
          <w:sz w:val="21"/>
          <w:szCs w:val="21"/>
        </w:rPr>
        <w:t xml:space="preserve">4.   重要提示 </w:t>
      </w:r>
    </w:p>
    <w:p>
      <w:pPr>
        <w:pStyle w:val="7"/>
        <w:spacing w:before="0" w:beforeAutospacing="0" w:after="0" w:afterAutospacing="0" w:line="360" w:lineRule="auto"/>
        <w:ind w:firstLine="420"/>
        <w:rPr>
          <w:sz w:val="21"/>
          <w:szCs w:val="21"/>
        </w:rPr>
      </w:pPr>
      <w:r>
        <w:rPr>
          <w:rFonts w:hint="eastAsia"/>
          <w:sz w:val="21"/>
          <w:szCs w:val="21"/>
        </w:rPr>
        <w:t xml:space="preserve">（1） 凡申请办理本基金“定期定额投资计划”的投资人须首先开立本公司开放式基金基金账户。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 xml:space="preserve">（2） 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人的基金账户。 </w:t>
      </w:r>
    </w:p>
    <w:p>
      <w:pPr>
        <w:pStyle w:val="7"/>
        <w:spacing w:before="0" w:beforeAutospacing="0" w:after="0" w:afterAutospacing="0" w:line="360" w:lineRule="auto"/>
        <w:ind w:firstLine="420"/>
        <w:rPr>
          <w:sz w:val="21"/>
          <w:szCs w:val="21"/>
        </w:rPr>
      </w:pPr>
      <w:r>
        <w:rPr>
          <w:rFonts w:hint="eastAsia"/>
          <w:sz w:val="21"/>
          <w:szCs w:val="21"/>
        </w:rPr>
        <w:t xml:space="preserve">（3） 各机构办理业务情况见本公司发布的相关公告。 </w:t>
      </w:r>
    </w:p>
    <w:p>
      <w:pPr>
        <w:pStyle w:val="7"/>
        <w:spacing w:before="0" w:beforeAutospacing="0" w:after="0" w:afterAutospacing="0" w:line="360" w:lineRule="auto"/>
        <w:ind w:firstLine="420"/>
        <w:rPr>
          <w:sz w:val="21"/>
          <w:szCs w:val="21"/>
        </w:rPr>
      </w:pPr>
      <w:r>
        <w:rPr>
          <w:rFonts w:hint="eastAsia"/>
          <w:sz w:val="21"/>
          <w:szCs w:val="21"/>
        </w:rPr>
        <w:t>本公司网上直销交易已开通本基金的定期投资业务，详情可登录本公司网站www.bosera.com参阅《</w:t>
      </w:r>
      <w:bookmarkStart w:id="96" w:name="field_0_managerorgfullname_7"/>
      <w:r>
        <w:rPr>
          <w:rFonts w:hint="eastAsia"/>
          <w:sz w:val="21"/>
          <w:szCs w:val="21"/>
        </w:rPr>
        <w:t>博时基金管理有限公司</w:t>
      </w:r>
      <w:bookmarkEnd w:id="96"/>
      <w:r>
        <w:rPr>
          <w:rFonts w:hint="eastAsia"/>
          <w:sz w:val="21"/>
          <w:szCs w:val="21"/>
        </w:rPr>
        <w:t>直销定期投资业务</w:t>
      </w:r>
      <w:bookmarkStart w:id="97" w:name="chapter_level1_10_59_section_6_end"/>
      <w:bookmarkEnd w:id="97"/>
      <w:r>
        <w:rPr>
          <w:rFonts w:hint="eastAsia"/>
          <w:sz w:val="21"/>
          <w:szCs w:val="21"/>
        </w:rPr>
        <w:t xml:space="preserve">规则》，也可拨打客户服务电话：95105568（免长途费）了解或咨询相关情况。 </w:t>
      </w:r>
    </w:p>
    <w:p>
      <w:pPr>
        <w:pStyle w:val="7"/>
        <w:spacing w:before="0" w:beforeAutospacing="0" w:after="0" w:afterAutospacing="0" w:line="360" w:lineRule="auto"/>
        <w:ind w:firstLine="420"/>
        <w:rPr>
          <w:sz w:val="21"/>
          <w:szCs w:val="21"/>
        </w:rPr>
      </w:pPr>
      <w:bookmarkStart w:id="98" w:name="chapter_level1_10_59_section_7"/>
      <w:bookmarkEnd w:id="98"/>
      <w:r>
        <w:rPr>
          <w:rStyle w:val="11"/>
          <w:rFonts w:hint="eastAsia"/>
          <w:sz w:val="21"/>
          <w:szCs w:val="21"/>
        </w:rPr>
        <w:t>十六、基金的非交易过户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基金的非交易过户是指基金登记机构受理继承、捐赠和司法强制执行而产生的非交易过户。无论在上述何种情况下，接受划转的主体必须是合格的投资人。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自申请受理日起2个月内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十七、基金的转托管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可办理已持有基金份额在不同销售机构之间的转托管，基金销售机构可以按照规定的标准收取转托管费。本基金R类份额暂不开通转托管业务，若条件成熟，基金管理人可以根据规定开通R类份额的转托管业务，无需召开持有人大会。 </w:t>
      </w:r>
    </w:p>
    <w:p>
      <w:pPr>
        <w:pStyle w:val="7"/>
        <w:spacing w:before="0" w:beforeAutospacing="0" w:after="0" w:afterAutospacing="0" w:line="360" w:lineRule="auto"/>
        <w:ind w:firstLine="420"/>
        <w:rPr>
          <w:sz w:val="21"/>
          <w:szCs w:val="21"/>
        </w:rPr>
      </w:pPr>
      <w:r>
        <w:rPr>
          <w:rStyle w:val="11"/>
          <w:rFonts w:hint="eastAsia"/>
          <w:sz w:val="21"/>
          <w:szCs w:val="21"/>
        </w:rPr>
        <w:t>十八、基金份额的冻结、解冻及质押</w:t>
      </w:r>
    </w:p>
    <w:p>
      <w:pPr>
        <w:pStyle w:val="7"/>
        <w:spacing w:before="0" w:beforeAutospacing="0" w:after="0" w:afterAutospacing="0" w:line="360" w:lineRule="auto"/>
        <w:ind w:firstLine="420"/>
        <w:rPr>
          <w:sz w:val="21"/>
          <w:szCs w:val="21"/>
        </w:rPr>
      </w:pPr>
      <w:r>
        <w:rPr>
          <w:rFonts w:hint="eastAsia"/>
          <w:sz w:val="21"/>
          <w:szCs w:val="21"/>
        </w:rPr>
        <w:t xml:space="preserve">1.   基金登记机构只受理国家有权机关依法要求的基金份额的冻结与解冻以及登记机构认可的其他情况下的冻结与解冻。基金份额被冻结的，被冻结部分产生的权益（包括现金分红和红利再投资）一并冻结，被冻结部分份额仍然参与收益分配与支付。 </w:t>
      </w:r>
    </w:p>
    <w:p>
      <w:pPr>
        <w:pStyle w:val="7"/>
        <w:spacing w:before="0" w:beforeAutospacing="0" w:after="0" w:afterAutospacing="0" w:line="360" w:lineRule="auto"/>
        <w:ind w:firstLine="420"/>
        <w:rPr>
          <w:sz w:val="21"/>
          <w:szCs w:val="21"/>
        </w:rPr>
      </w:pPr>
      <w:r>
        <w:rPr>
          <w:rFonts w:hint="eastAsia"/>
          <w:sz w:val="21"/>
          <w:szCs w:val="21"/>
        </w:rPr>
        <w:t>2.   在不违反届时有效的法律法规的条件下，基金登记机构将可以办理基金份额的</w:t>
      </w:r>
      <w:bookmarkStart w:id="99" w:name="chapter_level1_10_59_section_7_end"/>
      <w:bookmarkEnd w:id="99"/>
      <w:r>
        <w:rPr>
          <w:rFonts w:hint="eastAsia"/>
          <w:sz w:val="21"/>
          <w:szCs w:val="21"/>
        </w:rPr>
        <w:t xml:space="preserve">质押业务或其他业务，公布并实施相应的业务规则。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0" w:name="_Toc113564305"/>
      <w:bookmarkStart w:id="101" w:name="chapter_level1_11_60"/>
      <w:r>
        <w:rPr>
          <w:rFonts w:hint="eastAsia" w:ascii="宋体" w:hAnsi="宋体" w:eastAsia="宋体"/>
          <w:sz w:val="30"/>
        </w:rPr>
        <w:t>第八部分  基金的投资</w:t>
      </w:r>
      <w:bookmarkEnd w:id="100"/>
      <w:bookmarkEnd w:id="101"/>
    </w:p>
    <w:p>
      <w:pPr>
        <w:pStyle w:val="7"/>
        <w:spacing w:before="0" w:beforeAutospacing="0" w:after="0" w:afterAutospacing="0" w:line="360" w:lineRule="auto"/>
        <w:ind w:firstLine="420"/>
        <w:rPr>
          <w:sz w:val="21"/>
          <w:szCs w:val="21"/>
        </w:rPr>
      </w:pPr>
      <w:bookmarkStart w:id="102" w:name="chapter_level1_11_60_section_1"/>
      <w:bookmarkEnd w:id="102"/>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03" w:name="field_60_investmenttarget_1_start"/>
      <w:bookmarkEnd w:id="103"/>
      <w:r>
        <w:rPr>
          <w:rFonts w:hint="eastAsia"/>
          <w:sz w:val="21"/>
          <w:szCs w:val="21"/>
        </w:rPr>
        <w:t xml:space="preserve">本基金的投资目标在于分享中国经济高速发展过程中那些具有政府壁垒优势、技术壁垒优势、市场与品牌壁垒优势的企业所带来的持续投资收益，为基金持有人获取长期持续稳定的投资回报。 </w:t>
      </w:r>
      <w:bookmarkStart w:id="104" w:name="field_60_investmenttarget_1_end"/>
      <w:bookmarkEnd w:id="10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05" w:name="field_60_investmentrange_1_start"/>
      <w:bookmarkEnd w:id="105"/>
      <w:r>
        <w:rPr>
          <w:rFonts w:hint="eastAsia"/>
          <w:sz w:val="21"/>
          <w:szCs w:val="21"/>
        </w:rPr>
        <w:t xml:space="preserve">本基金主要投资于具有良好流动性的金融工具，包括国内依法公开发行上市的股票（含存托凭证）、债券以及法律法规允许基金投资的其他金融工具或金融衍生工具。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60-95%，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如法律法规或监管机构以后允许基金投资的其他品种，基金管理人在履行适当程序后，可以将其纳入投资范围。   因基金规模或市场变化等因素导致本基金投资组合不符合上述规定的，基金管理人将在合理期限内做出调整以符合上述规定。法律、法规另有规定的，从其规定。</w:t>
      </w:r>
      <w:bookmarkStart w:id="106" w:name="field_60_investmentrange_1_end"/>
      <w:bookmarkEnd w:id="106"/>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07" w:name="field_60_investmentstrategy_1_start"/>
      <w:bookmarkEnd w:id="107"/>
    </w:p>
    <w:p>
      <w:pPr>
        <w:pStyle w:val="7"/>
        <w:spacing w:before="0" w:beforeAutospacing="0" w:after="0" w:afterAutospacing="0" w:line="360" w:lineRule="auto"/>
        <w:ind w:firstLine="420"/>
        <w:rPr>
          <w:sz w:val="21"/>
          <w:szCs w:val="21"/>
        </w:rPr>
      </w:pPr>
      <w:r>
        <w:rPr>
          <w:rFonts w:hint="eastAsia"/>
          <w:sz w:val="21"/>
          <w:szCs w:val="21"/>
        </w:rPr>
        <w:t xml:space="preserve">1.  投资理念   </w:t>
      </w:r>
    </w:p>
    <w:p>
      <w:pPr>
        <w:pStyle w:val="7"/>
        <w:spacing w:before="0" w:beforeAutospacing="0" w:after="0" w:afterAutospacing="0" w:line="360" w:lineRule="auto"/>
        <w:ind w:firstLine="420"/>
        <w:rPr>
          <w:sz w:val="21"/>
          <w:szCs w:val="21"/>
        </w:rPr>
      </w:pPr>
      <w:r>
        <w:rPr>
          <w:rFonts w:hint="eastAsia"/>
          <w:sz w:val="21"/>
          <w:szCs w:val="21"/>
        </w:rPr>
        <w:t xml:space="preserve">行业研究的工作重点是寻找普遍具有特许价值的子行业，并对其市场竞争状况进行分析研究，以便对各子行业进行配置。重点公司的研究，则是对超额获利能力突出、财务基础稳固、治理结构完善且未来增长明确的公司进行深入研究和跟踪。   </w:t>
      </w:r>
    </w:p>
    <w:p>
      <w:pPr>
        <w:pStyle w:val="7"/>
        <w:spacing w:before="0" w:beforeAutospacing="0" w:after="0" w:afterAutospacing="0" w:line="360" w:lineRule="auto"/>
        <w:ind w:firstLine="420"/>
        <w:rPr>
          <w:sz w:val="21"/>
          <w:szCs w:val="21"/>
        </w:rPr>
      </w:pPr>
      <w:r>
        <w:rPr>
          <w:rFonts w:hint="eastAsia"/>
          <w:sz w:val="21"/>
          <w:szCs w:val="21"/>
        </w:rPr>
        <w:t xml:space="preserve">上市公司的持续现金收益和盈利的稳定增长前景是股价上涨的长期内在推动力。具有政府壁垒优势、技术壁垒优势、市场与品牌壁垒优势的成长性能够非常有效地增加上市公司的内在价值。本基金用产业投资眼光，采用长期投资策略，辅以金融工程技术，将中国经济长期增长的潜力最大程度地转化为投资人的长期稳定收益。   </w:t>
      </w:r>
    </w:p>
    <w:p>
      <w:pPr>
        <w:pStyle w:val="7"/>
        <w:spacing w:before="0" w:beforeAutospacing="0" w:after="0" w:afterAutospacing="0" w:line="360" w:lineRule="auto"/>
        <w:ind w:firstLine="420"/>
        <w:rPr>
          <w:sz w:val="21"/>
          <w:szCs w:val="21"/>
        </w:rPr>
      </w:pPr>
      <w:r>
        <w:rPr>
          <w:rFonts w:hint="eastAsia"/>
          <w:sz w:val="21"/>
          <w:szCs w:val="21"/>
        </w:rPr>
        <w:t xml:space="preserve">因此，对价值投资更深入的认识是：在政府壁垒优势、技术壁垒优势、市场与品牌壁垒优势下的成长性必然能非常有效地增加公司的内在价值。   </w:t>
      </w:r>
    </w:p>
    <w:p>
      <w:pPr>
        <w:pStyle w:val="7"/>
        <w:spacing w:before="0" w:beforeAutospacing="0" w:after="0" w:afterAutospacing="0" w:line="360" w:lineRule="auto"/>
        <w:ind w:firstLine="420"/>
        <w:rPr>
          <w:sz w:val="21"/>
          <w:szCs w:val="21"/>
        </w:rPr>
      </w:pPr>
      <w:r>
        <w:rPr>
          <w:rFonts w:hint="eastAsia"/>
          <w:sz w:val="21"/>
          <w:szCs w:val="21"/>
        </w:rPr>
        <w:t xml:space="preserve">本基金秉承博时价值投资、主动投资的基本理念，集中投资于具有政府壁垒优势、技术壁垒优势、市场与品牌壁垒优势的行业或企业中具有持续竞争力、财务稳健的上市公司，通过中长期投资，来获得长期、稳定的预期回报。   </w:t>
      </w:r>
    </w:p>
    <w:p>
      <w:pPr>
        <w:pStyle w:val="7"/>
        <w:spacing w:before="0" w:beforeAutospacing="0" w:after="0" w:afterAutospacing="0" w:line="360" w:lineRule="auto"/>
        <w:ind w:firstLine="420"/>
        <w:rPr>
          <w:sz w:val="21"/>
          <w:szCs w:val="21"/>
        </w:rPr>
      </w:pPr>
      <w:r>
        <w:rPr>
          <w:rFonts w:hint="eastAsia"/>
          <w:sz w:val="21"/>
          <w:szCs w:val="21"/>
        </w:rPr>
        <w:t xml:space="preserve">2.投资策略   </w:t>
      </w:r>
    </w:p>
    <w:p>
      <w:pPr>
        <w:pStyle w:val="7"/>
        <w:spacing w:before="0" w:beforeAutospacing="0" w:after="0" w:afterAutospacing="0" w:line="360" w:lineRule="auto"/>
        <w:ind w:firstLine="420"/>
        <w:rPr>
          <w:sz w:val="21"/>
          <w:szCs w:val="21"/>
        </w:rPr>
      </w:pPr>
      <w:r>
        <w:rPr>
          <w:rFonts w:hint="eastAsia"/>
          <w:sz w:val="21"/>
          <w:szCs w:val="21"/>
        </w:rPr>
        <w:t xml:space="preserve">本基金实行风险管理下的主动型价值投资策略，即采用以精选个股为核心的多层次复合投资策略。在战略上，强调自上而下的组合管理；在战术上，强调自下而上的精选个股。具体投资策略为：在资产配置和组合管理方面，利用金融工程手段和投资组合管理技术，保持组合流动性；在选股层面，按照价值投资原则，利用研究人员的专业研究能力和金融工程的财务数据处理能力，从品质过滤和价值精选两个阶段来精选个股，选择价值被低估且具有政府壁垒优势、技术壁垒优势、市场壁垒优势或者品牌壁垒优势等持续增长潜力的股票，作为构建股票组合的基础。本基金的投资策略具有三层结构，即自上而下的资产配置、自上而下的行业选择和自下而上的选股或选债策略。   </w:t>
      </w:r>
    </w:p>
    <w:p>
      <w:pPr>
        <w:pStyle w:val="7"/>
        <w:spacing w:before="0" w:beforeAutospacing="0" w:after="0" w:afterAutospacing="0" w:line="360" w:lineRule="auto"/>
        <w:ind w:firstLine="420"/>
        <w:rPr>
          <w:sz w:val="21"/>
          <w:szCs w:val="21"/>
        </w:rPr>
      </w:pPr>
      <w:r>
        <w:rPr>
          <w:rFonts w:hint="eastAsia"/>
          <w:sz w:val="21"/>
          <w:szCs w:val="21"/>
        </w:rPr>
        <w:t xml:space="preserve">3.资产配置策略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本基金具体投资策略分几个层次：资产配置、股票和债券投资策略。第一层次为资产配置。   </w:t>
      </w:r>
    </w:p>
    <w:p>
      <w:pPr>
        <w:pStyle w:val="7"/>
        <w:spacing w:before="0" w:beforeAutospacing="0" w:after="0" w:afterAutospacing="0" w:line="360" w:lineRule="auto"/>
        <w:ind w:firstLine="420"/>
        <w:rPr>
          <w:sz w:val="21"/>
          <w:szCs w:val="21"/>
        </w:rPr>
      </w:pPr>
      <w:r>
        <w:rPr>
          <w:rFonts w:hint="eastAsia"/>
          <w:sz w:val="21"/>
          <w:szCs w:val="21"/>
        </w:rPr>
        <w:t xml:space="preserve">（1）配置策略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本基金通过自上而下和自下而上相结合、定性分析和定量分析相补充的方法，在股票、债券和现金等资产类之间进行相对稳定的适度配置。   </w:t>
      </w:r>
    </w:p>
    <w:p>
      <w:pPr>
        <w:pStyle w:val="7"/>
        <w:spacing w:before="0" w:beforeAutospacing="0" w:after="0" w:afterAutospacing="0" w:line="360" w:lineRule="auto"/>
        <w:ind w:firstLine="420"/>
        <w:rPr>
          <w:sz w:val="21"/>
          <w:szCs w:val="21"/>
        </w:rPr>
      </w:pPr>
      <w:r>
        <w:rPr>
          <w:rFonts w:hint="eastAsia"/>
          <w:sz w:val="21"/>
          <w:szCs w:val="21"/>
        </w:rPr>
        <w:t xml:space="preserve">资产配置策略的关键在于自上而下的宏观分析与自下而上的市场趋势分析的有机结合。一方面，本基金将分析和预测众多的宏观经济变量（包括GDP增长率、CPI走势、M2的绝对水平和增长率、利率水平与走势等），并关注国家财政、税收、货币、汇率以及股权分置改革政策和其它证券市场政策等。另一方面，本基金将对股票市场整体市盈率水平、ROE水平，债券市场整体收益率曲线变化等综合指标进行定量分析，从而得出对市场走势和波动特征的判断。基于上述研究结果，我们将决定股票、固定收益证券和现金等大类资产在给定区间内的动态配置。   </w:t>
      </w:r>
    </w:p>
    <w:p>
      <w:pPr>
        <w:pStyle w:val="7"/>
        <w:spacing w:before="0" w:beforeAutospacing="0" w:after="0" w:afterAutospacing="0" w:line="360" w:lineRule="auto"/>
        <w:ind w:firstLine="420"/>
        <w:rPr>
          <w:sz w:val="21"/>
          <w:szCs w:val="21"/>
        </w:rPr>
      </w:pPr>
      <w:r>
        <w:rPr>
          <w:rFonts w:hint="eastAsia"/>
          <w:sz w:val="21"/>
          <w:szCs w:val="21"/>
        </w:rPr>
        <w:t xml:space="preserve">（2）大类资产配置的分析流程   </w:t>
      </w:r>
    </w:p>
    <w:p>
      <w:pPr>
        <w:pStyle w:val="7"/>
        <w:spacing w:before="0" w:beforeAutospacing="0" w:after="0" w:afterAutospacing="0" w:line="360" w:lineRule="auto"/>
        <w:ind w:firstLine="420"/>
        <w:rPr>
          <w:sz w:val="21"/>
          <w:szCs w:val="21"/>
        </w:rPr>
      </w:pPr>
      <w:r>
        <w:rPr>
          <w:rFonts w:hint="eastAsia"/>
          <w:sz w:val="21"/>
          <w:szCs w:val="21"/>
        </w:rPr>
        <w:t xml:space="preserve">a)  判断经济周期阶段   </w:t>
      </w:r>
    </w:p>
    <w:p>
      <w:pPr>
        <w:pStyle w:val="7"/>
        <w:spacing w:before="0" w:beforeAutospacing="0" w:after="0" w:afterAutospacing="0" w:line="360" w:lineRule="auto"/>
        <w:ind w:firstLine="420"/>
        <w:rPr>
          <w:sz w:val="21"/>
          <w:szCs w:val="21"/>
        </w:rPr>
      </w:pPr>
      <w:r>
        <w:rPr>
          <w:rFonts w:hint="eastAsia"/>
          <w:sz w:val="21"/>
          <w:szCs w:val="21"/>
        </w:rPr>
        <w:t xml:space="preserve">我们将根据主要的经济信号指标对国内外经济形势进行分析，判断经济所处的经济周期阶段、景气循环状况和未来运行趋势。   </w:t>
      </w:r>
    </w:p>
    <w:p>
      <w:pPr>
        <w:pStyle w:val="7"/>
        <w:spacing w:before="0" w:beforeAutospacing="0" w:after="0" w:afterAutospacing="0" w:line="360" w:lineRule="auto"/>
        <w:ind w:firstLine="420"/>
        <w:rPr>
          <w:sz w:val="21"/>
          <w:szCs w:val="21"/>
        </w:rPr>
      </w:pPr>
      <w:r>
        <w:rPr>
          <w:rFonts w:hint="eastAsia"/>
          <w:sz w:val="21"/>
          <w:szCs w:val="21"/>
        </w:rPr>
        <w:t xml:space="preserve">b)  分析不同阶段企业盈利与股票市场关系   </w:t>
      </w:r>
    </w:p>
    <w:p>
      <w:pPr>
        <w:pStyle w:val="7"/>
        <w:spacing w:before="0" w:beforeAutospacing="0" w:after="0" w:afterAutospacing="0" w:line="360" w:lineRule="auto"/>
        <w:ind w:firstLine="420"/>
        <w:rPr>
          <w:sz w:val="21"/>
          <w:szCs w:val="21"/>
        </w:rPr>
      </w:pPr>
      <w:r>
        <w:rPr>
          <w:rFonts w:hint="eastAsia"/>
          <w:sz w:val="21"/>
          <w:szCs w:val="21"/>
        </w:rPr>
        <w:t xml:space="preserve">并在此基础上进一步分析经济周期、企业盈利与股票市场的关系。   </w:t>
      </w:r>
    </w:p>
    <w:p>
      <w:pPr>
        <w:pStyle w:val="7"/>
        <w:spacing w:before="0" w:beforeAutospacing="0" w:after="0" w:afterAutospacing="0" w:line="360" w:lineRule="auto"/>
        <w:ind w:firstLine="420"/>
        <w:rPr>
          <w:sz w:val="21"/>
          <w:szCs w:val="21"/>
        </w:rPr>
      </w:pPr>
      <w:r>
        <w:rPr>
          <w:rFonts w:hint="eastAsia"/>
          <w:sz w:val="21"/>
          <w:szCs w:val="21"/>
        </w:rPr>
        <w:t xml:space="preserve">c)  分析市场的风险溢价水平   </w:t>
      </w:r>
    </w:p>
    <w:p>
      <w:pPr>
        <w:pStyle w:val="7"/>
        <w:spacing w:before="0" w:beforeAutospacing="0" w:after="0" w:afterAutospacing="0" w:line="360" w:lineRule="auto"/>
        <w:ind w:firstLine="420"/>
        <w:rPr>
          <w:sz w:val="21"/>
          <w:szCs w:val="21"/>
        </w:rPr>
      </w:pPr>
      <w:r>
        <w:rPr>
          <w:rFonts w:hint="eastAsia"/>
          <w:sz w:val="21"/>
          <w:szCs w:val="21"/>
        </w:rPr>
        <w:t xml:space="preserve">基于统计分析，对国内资本市场的风险溢价水平进行纵向（与历史比）和横向（与国外比）比较，判断国内资本市场的估值水平是否合理。   </w:t>
      </w:r>
    </w:p>
    <w:p>
      <w:pPr>
        <w:pStyle w:val="7"/>
        <w:spacing w:before="0" w:beforeAutospacing="0" w:after="0" w:afterAutospacing="0" w:line="360" w:lineRule="auto"/>
        <w:ind w:firstLine="420"/>
        <w:rPr>
          <w:sz w:val="21"/>
          <w:szCs w:val="21"/>
        </w:rPr>
      </w:pPr>
      <w:r>
        <w:rPr>
          <w:rFonts w:hint="eastAsia"/>
          <w:sz w:val="21"/>
          <w:szCs w:val="21"/>
        </w:rPr>
        <w:t xml:space="preserve">d)  计算股票和债券的波动性与收益预期   </w:t>
      </w:r>
    </w:p>
    <w:p>
      <w:pPr>
        <w:pStyle w:val="7"/>
        <w:spacing w:before="0" w:beforeAutospacing="0" w:after="0" w:afterAutospacing="0" w:line="360" w:lineRule="auto"/>
        <w:ind w:firstLine="420"/>
        <w:rPr>
          <w:sz w:val="21"/>
          <w:szCs w:val="21"/>
        </w:rPr>
      </w:pPr>
      <w:r>
        <w:rPr>
          <w:rFonts w:hint="eastAsia"/>
          <w:sz w:val="21"/>
          <w:szCs w:val="21"/>
        </w:rPr>
        <w:t xml:space="preserve">在上述分析的基础上，给出股票资产和债券资产的波动性和收益预期。   </w:t>
      </w:r>
    </w:p>
    <w:p>
      <w:pPr>
        <w:pStyle w:val="7"/>
        <w:spacing w:before="0" w:beforeAutospacing="0" w:after="0" w:afterAutospacing="0" w:line="360" w:lineRule="auto"/>
        <w:ind w:firstLine="420"/>
        <w:rPr>
          <w:sz w:val="21"/>
          <w:szCs w:val="21"/>
        </w:rPr>
      </w:pPr>
      <w:r>
        <w:rPr>
          <w:rFonts w:hint="eastAsia"/>
          <w:sz w:val="21"/>
          <w:szCs w:val="21"/>
        </w:rPr>
        <w:t xml:space="preserve">e)  由此得出资产配置预案   </w:t>
      </w:r>
    </w:p>
    <w:p>
      <w:pPr>
        <w:pStyle w:val="7"/>
        <w:spacing w:before="0" w:beforeAutospacing="0" w:after="0" w:afterAutospacing="0" w:line="360" w:lineRule="auto"/>
        <w:ind w:firstLine="420"/>
        <w:rPr>
          <w:sz w:val="21"/>
          <w:szCs w:val="21"/>
        </w:rPr>
      </w:pPr>
      <w:r>
        <w:rPr>
          <w:rFonts w:hint="eastAsia"/>
          <w:sz w:val="21"/>
          <w:szCs w:val="21"/>
        </w:rPr>
        <w:t xml:space="preserve">依据以上分析结果，针对各种经济情景，给出资产配置预案。   </w:t>
      </w:r>
    </w:p>
    <w:p>
      <w:pPr>
        <w:pStyle w:val="7"/>
        <w:spacing w:before="0" w:beforeAutospacing="0" w:after="0" w:afterAutospacing="0" w:line="360" w:lineRule="auto"/>
        <w:ind w:firstLine="420"/>
        <w:rPr>
          <w:sz w:val="21"/>
          <w:szCs w:val="21"/>
        </w:rPr>
      </w:pPr>
      <w:r>
        <w:rPr>
          <w:rFonts w:hint="eastAsia"/>
          <w:sz w:val="21"/>
          <w:szCs w:val="21"/>
        </w:rPr>
        <w:t xml:space="preserve">f)  组合优化修正   </w:t>
      </w:r>
    </w:p>
    <w:p>
      <w:pPr>
        <w:pStyle w:val="7"/>
        <w:spacing w:before="0" w:beforeAutospacing="0" w:after="0" w:afterAutospacing="0" w:line="360" w:lineRule="auto"/>
        <w:ind w:firstLine="420"/>
        <w:rPr>
          <w:sz w:val="21"/>
          <w:szCs w:val="21"/>
        </w:rPr>
      </w:pPr>
      <w:r>
        <w:rPr>
          <w:rFonts w:hint="eastAsia"/>
          <w:sz w:val="21"/>
          <w:szCs w:val="21"/>
        </w:rPr>
        <w:t xml:space="preserve">利用博时投资决策系统资产配置管理功能对股票和债券的配置比例进行优化，以确定给定约束条件下组合中股票、债券和现金的最佳配置比例。   </w:t>
      </w:r>
    </w:p>
    <w:p>
      <w:pPr>
        <w:pStyle w:val="7"/>
        <w:spacing w:before="0" w:beforeAutospacing="0" w:after="0" w:afterAutospacing="0" w:line="360" w:lineRule="auto"/>
        <w:ind w:firstLine="420"/>
        <w:rPr>
          <w:sz w:val="21"/>
          <w:szCs w:val="21"/>
        </w:rPr>
      </w:pPr>
      <w:r>
        <w:rPr>
          <w:rFonts w:hint="eastAsia"/>
          <w:sz w:val="21"/>
          <w:szCs w:val="21"/>
        </w:rPr>
        <w:t xml:space="preserve">g)  最终配置方案   </w:t>
      </w:r>
    </w:p>
    <w:p>
      <w:pPr>
        <w:pStyle w:val="7"/>
        <w:spacing w:before="0" w:beforeAutospacing="0" w:after="0" w:afterAutospacing="0" w:line="360" w:lineRule="auto"/>
        <w:ind w:firstLine="420"/>
        <w:rPr>
          <w:sz w:val="21"/>
          <w:szCs w:val="21"/>
        </w:rPr>
      </w:pPr>
      <w:r>
        <w:rPr>
          <w:rFonts w:hint="eastAsia"/>
          <w:sz w:val="21"/>
          <w:szCs w:val="21"/>
        </w:rPr>
        <w:t xml:space="preserve">结合资产配置预案和组合优化修正的结果，确定资产配置的最终方案。   </w:t>
      </w:r>
    </w:p>
    <w:p>
      <w:pPr>
        <w:pStyle w:val="7"/>
        <w:spacing w:before="0" w:beforeAutospacing="0" w:after="0" w:afterAutospacing="0" w:line="360" w:lineRule="auto"/>
        <w:ind w:firstLine="420"/>
        <w:rPr>
          <w:sz w:val="21"/>
          <w:szCs w:val="21"/>
        </w:rPr>
      </w:pPr>
      <w:r>
        <w:rPr>
          <w:rFonts w:hint="eastAsia"/>
          <w:sz w:val="21"/>
          <w:szCs w:val="21"/>
        </w:rPr>
        <w:t xml:space="preserve">4.股票投资策略   </w:t>
      </w:r>
    </w:p>
    <w:p>
      <w:pPr>
        <w:pStyle w:val="7"/>
        <w:spacing w:before="0" w:beforeAutospacing="0" w:after="0" w:afterAutospacing="0" w:line="360" w:lineRule="auto"/>
        <w:ind w:firstLine="420"/>
        <w:rPr>
          <w:sz w:val="21"/>
          <w:szCs w:val="21"/>
        </w:rPr>
      </w:pPr>
      <w:r>
        <w:rPr>
          <w:rFonts w:hint="eastAsia"/>
          <w:sz w:val="21"/>
          <w:szCs w:val="21"/>
        </w:rPr>
        <w:t xml:space="preserve">（1）投资策略   </w:t>
      </w:r>
    </w:p>
    <w:p>
      <w:pPr>
        <w:pStyle w:val="7"/>
        <w:spacing w:before="0" w:beforeAutospacing="0" w:after="0" w:afterAutospacing="0" w:line="360" w:lineRule="auto"/>
        <w:ind w:firstLine="420"/>
        <w:rPr>
          <w:sz w:val="21"/>
          <w:szCs w:val="21"/>
        </w:rPr>
      </w:pPr>
      <w:r>
        <w:rPr>
          <w:rFonts w:hint="eastAsia"/>
          <w:sz w:val="21"/>
          <w:szCs w:val="21"/>
        </w:rPr>
        <w:t xml:space="preserve">a)    行业选择   </w:t>
      </w:r>
    </w:p>
    <w:p>
      <w:pPr>
        <w:pStyle w:val="7"/>
        <w:spacing w:before="0" w:beforeAutospacing="0" w:after="0" w:afterAutospacing="0" w:line="360" w:lineRule="auto"/>
        <w:ind w:firstLine="420"/>
        <w:rPr>
          <w:sz w:val="21"/>
          <w:szCs w:val="21"/>
        </w:rPr>
      </w:pPr>
      <w:r>
        <w:rPr>
          <w:rFonts w:hint="eastAsia"/>
          <w:sz w:val="21"/>
          <w:szCs w:val="21"/>
        </w:rPr>
        <w:t xml:space="preserve">我们首先判断具有政府壁垒和市场壁垒而形成一定特许价值的行业特征，将符合条件的行业作为基本的可投资范围。   </w:t>
      </w:r>
    </w:p>
    <w:p>
      <w:pPr>
        <w:pStyle w:val="7"/>
        <w:spacing w:before="0" w:beforeAutospacing="0" w:after="0" w:afterAutospacing="0" w:line="360" w:lineRule="auto"/>
        <w:ind w:firstLine="420"/>
        <w:rPr>
          <w:sz w:val="21"/>
          <w:szCs w:val="21"/>
        </w:rPr>
      </w:pPr>
      <w:r>
        <w:rPr>
          <w:rFonts w:hint="eastAsia"/>
          <w:sz w:val="21"/>
          <w:szCs w:val="21"/>
        </w:rPr>
        <w:t xml:space="preserve">b)    盈利指标筛选   </w:t>
      </w:r>
    </w:p>
    <w:p>
      <w:pPr>
        <w:pStyle w:val="7"/>
        <w:spacing w:before="0" w:beforeAutospacing="0" w:after="0" w:afterAutospacing="0" w:line="360" w:lineRule="auto"/>
        <w:ind w:firstLine="420"/>
        <w:rPr>
          <w:sz w:val="21"/>
          <w:szCs w:val="21"/>
        </w:rPr>
      </w:pPr>
      <w:r>
        <w:rPr>
          <w:rFonts w:hint="eastAsia"/>
          <w:sz w:val="21"/>
          <w:szCs w:val="21"/>
        </w:rPr>
        <w:t xml:space="preserve">在这些基本行业选择的基础上，我们还通过对上市公司盈利指标的分析进一步确定具有特别盈利能力的企业（如高ROE）。为了构造现实的股票组合，本基金通过财务指标进行品质过滤进一步筛选股票。   </w:t>
      </w:r>
    </w:p>
    <w:p>
      <w:pPr>
        <w:pStyle w:val="7"/>
        <w:spacing w:before="0" w:beforeAutospacing="0" w:after="0" w:afterAutospacing="0" w:line="360" w:lineRule="auto"/>
        <w:ind w:firstLine="420"/>
        <w:rPr>
          <w:sz w:val="21"/>
          <w:szCs w:val="21"/>
        </w:rPr>
      </w:pPr>
      <w:r>
        <w:rPr>
          <w:rFonts w:hint="eastAsia"/>
          <w:sz w:val="21"/>
          <w:szCs w:val="21"/>
        </w:rPr>
        <w:t xml:space="preserve">c)    现金流指标筛选   </w:t>
      </w:r>
    </w:p>
    <w:p>
      <w:pPr>
        <w:pStyle w:val="7"/>
        <w:spacing w:before="0" w:beforeAutospacing="0" w:after="0" w:afterAutospacing="0" w:line="360" w:lineRule="auto"/>
        <w:ind w:firstLine="420"/>
        <w:rPr>
          <w:sz w:val="21"/>
          <w:szCs w:val="21"/>
        </w:rPr>
      </w:pPr>
      <w:r>
        <w:rPr>
          <w:rFonts w:hint="eastAsia"/>
          <w:sz w:val="21"/>
          <w:szCs w:val="21"/>
        </w:rPr>
        <w:t xml:space="preserve">本基金将根据一系列现金流质量及其他财务指标进一步筛选财务品质较高的股票。   </w:t>
      </w:r>
    </w:p>
    <w:p>
      <w:pPr>
        <w:pStyle w:val="7"/>
        <w:spacing w:before="0" w:beforeAutospacing="0" w:after="0" w:afterAutospacing="0" w:line="360" w:lineRule="auto"/>
        <w:ind w:firstLine="420"/>
        <w:rPr>
          <w:sz w:val="21"/>
          <w:szCs w:val="21"/>
        </w:rPr>
      </w:pPr>
      <w:r>
        <w:rPr>
          <w:rFonts w:hint="eastAsia"/>
          <w:sz w:val="21"/>
          <w:szCs w:val="21"/>
        </w:rPr>
        <w:t xml:space="preserve">对上市公司盈利质量、成长性检测指根据上市公司及其所处行业过去的投资回报率、现金流量等指标选择盈利能力较强且稳定的公司。   </w:t>
      </w:r>
    </w:p>
    <w:p>
      <w:pPr>
        <w:pStyle w:val="7"/>
        <w:spacing w:before="0" w:beforeAutospacing="0" w:after="0" w:afterAutospacing="0" w:line="360" w:lineRule="auto"/>
        <w:ind w:firstLine="420"/>
        <w:rPr>
          <w:sz w:val="21"/>
          <w:szCs w:val="21"/>
        </w:rPr>
      </w:pPr>
      <w:r>
        <w:rPr>
          <w:rFonts w:hint="eastAsia"/>
          <w:sz w:val="21"/>
          <w:szCs w:val="21"/>
        </w:rPr>
        <w:t xml:space="preserve">d)    个股精选   </w:t>
      </w:r>
    </w:p>
    <w:p>
      <w:pPr>
        <w:pStyle w:val="7"/>
        <w:spacing w:before="0" w:beforeAutospacing="0" w:after="0" w:afterAutospacing="0" w:line="360" w:lineRule="auto"/>
        <w:ind w:firstLine="420"/>
        <w:rPr>
          <w:sz w:val="21"/>
          <w:szCs w:val="21"/>
        </w:rPr>
      </w:pPr>
      <w:r>
        <w:rPr>
          <w:rFonts w:hint="eastAsia"/>
          <w:sz w:val="21"/>
          <w:szCs w:val="21"/>
        </w:rPr>
        <w:t xml:space="preserve">符合以上行业特征和财务指标特征的公司构成本基金的基本股票池。   </w:t>
      </w:r>
    </w:p>
    <w:p>
      <w:pPr>
        <w:pStyle w:val="7"/>
        <w:spacing w:before="0" w:beforeAutospacing="0" w:after="0" w:afterAutospacing="0" w:line="360" w:lineRule="auto"/>
        <w:ind w:firstLine="420"/>
        <w:rPr>
          <w:sz w:val="21"/>
          <w:szCs w:val="21"/>
        </w:rPr>
      </w:pPr>
      <w:r>
        <w:rPr>
          <w:rFonts w:hint="eastAsia"/>
          <w:sz w:val="21"/>
          <w:szCs w:val="21"/>
        </w:rPr>
        <w:t xml:space="preserve">在此基础上，基金管理人将充分利用内部、外部各种研究资源，进行细分行业和重点公司两个层次的研究，建立精选股票池，并以此作为基金构建投资组合的依据。   </w:t>
      </w:r>
    </w:p>
    <w:p>
      <w:pPr>
        <w:pStyle w:val="7"/>
        <w:spacing w:before="0" w:beforeAutospacing="0" w:after="0" w:afterAutospacing="0" w:line="360" w:lineRule="auto"/>
        <w:ind w:firstLine="420"/>
        <w:rPr>
          <w:sz w:val="21"/>
          <w:szCs w:val="21"/>
        </w:rPr>
      </w:pPr>
      <w:r>
        <w:rPr>
          <w:rFonts w:hint="eastAsia"/>
          <w:sz w:val="21"/>
          <w:szCs w:val="21"/>
        </w:rPr>
        <w:t xml:space="preserve">细分行业研究的工作重点是寻找普遍具有特许价值的子行业并对其市场竞争状况进行分析研究，以便对各子行业进行配置。而重点公司的研究则是对超额获利能力突出、财务基础稳固、治理结构完善且未来增长明确的公司进行深入研究和跟踪。   </w:t>
      </w:r>
    </w:p>
    <w:p>
      <w:pPr>
        <w:pStyle w:val="7"/>
        <w:spacing w:before="0" w:beforeAutospacing="0" w:after="0" w:afterAutospacing="0" w:line="360" w:lineRule="auto"/>
        <w:ind w:firstLine="420"/>
        <w:rPr>
          <w:sz w:val="21"/>
          <w:szCs w:val="21"/>
        </w:rPr>
      </w:pPr>
      <w:r>
        <w:rPr>
          <w:rFonts w:hint="eastAsia"/>
          <w:sz w:val="21"/>
          <w:szCs w:val="21"/>
        </w:rPr>
        <w:t xml:space="preserve">（2）投资流程   </w:t>
      </w:r>
    </w:p>
    <w:p>
      <w:pPr>
        <w:pStyle w:val="7"/>
        <w:spacing w:before="0" w:beforeAutospacing="0" w:after="0" w:afterAutospacing="0" w:line="360" w:lineRule="auto"/>
        <w:ind w:firstLine="420"/>
        <w:rPr>
          <w:sz w:val="21"/>
          <w:szCs w:val="21"/>
        </w:rPr>
      </w:pPr>
      <w:r>
        <w:rPr>
          <w:rFonts w:hint="eastAsia"/>
          <w:sz w:val="21"/>
          <w:szCs w:val="21"/>
        </w:rPr>
        <w:t xml:space="preserve">本基金采用组合管理与精选股票相结合的方法构建投资组合。包括以下几个步骤：   </w:t>
      </w:r>
    </w:p>
    <w:p>
      <w:pPr>
        <w:pStyle w:val="7"/>
        <w:spacing w:before="0" w:beforeAutospacing="0" w:after="0" w:afterAutospacing="0" w:line="360" w:lineRule="auto"/>
        <w:ind w:firstLine="420"/>
        <w:rPr>
          <w:sz w:val="21"/>
          <w:szCs w:val="21"/>
        </w:rPr>
      </w:pPr>
      <w:r>
        <w:rPr>
          <w:rFonts w:hint="eastAsia"/>
          <w:sz w:val="21"/>
          <w:szCs w:val="21"/>
        </w:rPr>
        <w:t xml:space="preserve">第一步：重点行业筛选——初筛样本股阶段。具有政府壁垒优势、技术壁垒优势、市场与品牌壁垒优势特征的企业多具有共同的行业特征，比如金融、保险、电信等限制进入而形成弱式特许经营权的行业，由于具有一定的定价能力而可以使企业赚取比市场平均投资报酬率更多的利润。   </w:t>
      </w:r>
    </w:p>
    <w:p>
      <w:pPr>
        <w:pStyle w:val="7"/>
        <w:spacing w:before="0" w:beforeAutospacing="0" w:after="0" w:afterAutospacing="0" w:line="360" w:lineRule="auto"/>
        <w:ind w:firstLine="420"/>
        <w:rPr>
          <w:sz w:val="21"/>
          <w:szCs w:val="21"/>
        </w:rPr>
      </w:pPr>
      <w:r>
        <w:rPr>
          <w:rFonts w:hint="eastAsia"/>
          <w:sz w:val="21"/>
          <w:szCs w:val="21"/>
        </w:rPr>
        <w:t xml:space="preserve">第二步：品质过滤阶段。本基金的主要投资于具有政府壁垒优势、技术壁垒优势或者市场、品牌壁垒优势的公司，实际上其中既包含了具有准入限制、形成某种程度“垄断”的行业，也包含了在充分竞争中形成具有版权、专利、商标、商业秘密或者成本超低等竞争优势的公司,这些公司并不像具有政府壁垒优势的公司一样具有较明显的行业特征，而是散布在各行业中，形成该行业的竞争领袖。因此，在考虑投资限制的基础上，基于上市公司的财务信息和股票的价格信息等，我们按照既定的品质评估模型对上市公司的财务品质进行过滤，对比市场价格，从重点行业中筛选出具有上述三个“壁垒”优势、高投资回报率、可持续成长能力、合理的价格、低边际成本的样本股票，建立备选股票池；   </w:t>
      </w:r>
    </w:p>
    <w:p>
      <w:pPr>
        <w:pStyle w:val="7"/>
        <w:spacing w:before="0" w:beforeAutospacing="0" w:after="0" w:afterAutospacing="0" w:line="360" w:lineRule="auto"/>
        <w:ind w:firstLine="420"/>
        <w:rPr>
          <w:sz w:val="21"/>
          <w:szCs w:val="21"/>
        </w:rPr>
      </w:pPr>
      <w:r>
        <w:rPr>
          <w:rFonts w:hint="eastAsia"/>
          <w:sz w:val="21"/>
          <w:szCs w:val="21"/>
        </w:rPr>
        <w:t xml:space="preserve">第三步：价值精选阶段。在初筛基础上，对公司的财务真实性、完整性和一致性等进行诊断，剔除信息严重失真公司，再根据对宏观经济政策、行业及上市公司的深入研究与分析，采用定量与定性相结合的方法，对上市公司进行财务诊断、竞争力分析、盈利能力分析和成长性分析，并运用最合适的价值评估手段进行估值，精选出与市价比较最有投资机会的公司，建立精选股票池。   </w:t>
      </w:r>
    </w:p>
    <w:p>
      <w:pPr>
        <w:pStyle w:val="7"/>
        <w:spacing w:before="0" w:beforeAutospacing="0" w:after="0" w:afterAutospacing="0" w:line="360" w:lineRule="auto"/>
        <w:ind w:firstLine="420"/>
        <w:rPr>
          <w:sz w:val="21"/>
          <w:szCs w:val="21"/>
        </w:rPr>
      </w:pPr>
      <w:r>
        <w:rPr>
          <w:rFonts w:hint="eastAsia"/>
          <w:sz w:val="21"/>
          <w:szCs w:val="21"/>
        </w:rPr>
        <w:t xml:space="preserve">第四步：构建目标投资组合阶段。遵循组合投资与价值投资的理念，运用价值评估模型对公司价值进行精确定价，通过目标价格与实际交易价格的比较，进一步确定真正低于公司内在价值的股票，构建投资组合。定期分析标的指数、跟踪误差、超额收益等，并据此调整组合，将跟踪误差控制在一定范围内，以期在保证不承担过多风险暴露的情况下获得较高的、稳定的投资收益。  </w:t>
      </w:r>
    </w:p>
    <w:p>
      <w:pPr>
        <w:pStyle w:val="7"/>
        <w:spacing w:before="0" w:beforeAutospacing="0" w:after="0" w:afterAutospacing="0" w:line="360" w:lineRule="auto"/>
        <w:ind w:firstLine="420"/>
        <w:rPr>
          <w:sz w:val="21"/>
          <w:szCs w:val="21"/>
        </w:rPr>
      </w:pPr>
      <w:r>
        <w:rPr>
          <w:rFonts w:hint="eastAsia"/>
          <w:sz w:val="21"/>
          <w:szCs w:val="21"/>
        </w:rPr>
        <w:t xml:space="preserve">（3）存托凭证投资策略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5.债券投资策略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本基金的固定收益证券投资组合以高票息债券作为主要投资对象，并通过信用、久期和凸性等的灵活配置，进行相对积极主动的操作，力争获取超越于所对应的债券基准的收益。   </w:t>
      </w:r>
    </w:p>
    <w:p>
      <w:pPr>
        <w:pStyle w:val="7"/>
        <w:spacing w:before="0" w:beforeAutospacing="0" w:after="0" w:afterAutospacing="0" w:line="360" w:lineRule="auto"/>
        <w:ind w:firstLine="420"/>
        <w:rPr>
          <w:sz w:val="21"/>
          <w:szCs w:val="21"/>
        </w:rPr>
      </w:pPr>
      <w:r>
        <w:rPr>
          <w:rFonts w:hint="eastAsia"/>
          <w:sz w:val="21"/>
          <w:szCs w:val="21"/>
        </w:rPr>
        <w:t xml:space="preserve">（1）自上而下的分析   </w:t>
      </w:r>
    </w:p>
    <w:p>
      <w:pPr>
        <w:pStyle w:val="7"/>
        <w:spacing w:before="0" w:beforeAutospacing="0" w:after="0" w:afterAutospacing="0" w:line="360" w:lineRule="auto"/>
        <w:ind w:firstLine="420"/>
        <w:rPr>
          <w:sz w:val="21"/>
          <w:szCs w:val="21"/>
        </w:rPr>
      </w:pPr>
      <w:r>
        <w:rPr>
          <w:rFonts w:hint="eastAsia"/>
          <w:sz w:val="21"/>
          <w:szCs w:val="21"/>
        </w:rPr>
        <w:t xml:space="preserve">根据各种宏观经济指标及金融数据，对未来的财政政策及货币政策做出判断或预测。   </w:t>
      </w:r>
    </w:p>
    <w:p>
      <w:pPr>
        <w:pStyle w:val="7"/>
        <w:spacing w:before="0" w:beforeAutospacing="0" w:after="0" w:afterAutospacing="0" w:line="360" w:lineRule="auto"/>
        <w:ind w:firstLine="420"/>
        <w:rPr>
          <w:sz w:val="21"/>
          <w:szCs w:val="21"/>
        </w:rPr>
      </w:pPr>
      <w:r>
        <w:rPr>
          <w:rFonts w:hint="eastAsia"/>
          <w:sz w:val="21"/>
          <w:szCs w:val="21"/>
        </w:rPr>
        <w:t xml:space="preserve">根据货币市场运行状况及央行票据发行到期情况，对债券市场短期利率走势进行判断。   </w:t>
      </w:r>
    </w:p>
    <w:p>
      <w:pPr>
        <w:pStyle w:val="7"/>
        <w:spacing w:before="0" w:beforeAutospacing="0" w:after="0" w:afterAutospacing="0" w:line="360" w:lineRule="auto"/>
        <w:ind w:firstLine="420"/>
        <w:rPr>
          <w:sz w:val="21"/>
          <w:szCs w:val="21"/>
        </w:rPr>
      </w:pPr>
      <w:r>
        <w:rPr>
          <w:rFonts w:hint="eastAsia"/>
          <w:sz w:val="21"/>
          <w:szCs w:val="21"/>
        </w:rPr>
        <w:t xml:space="preserve">根据近期债券市场的发行状况及各交易主体的资金需求特点，对债券的发行利率进行判断，进而对债券市场的走势进行分析。   </w:t>
      </w:r>
    </w:p>
    <w:p>
      <w:pPr>
        <w:pStyle w:val="7"/>
        <w:spacing w:before="0" w:beforeAutospacing="0" w:after="0" w:afterAutospacing="0" w:line="360" w:lineRule="auto"/>
        <w:ind w:firstLine="420"/>
        <w:rPr>
          <w:sz w:val="21"/>
          <w:szCs w:val="21"/>
        </w:rPr>
      </w:pPr>
      <w:r>
        <w:rPr>
          <w:rFonts w:hint="eastAsia"/>
          <w:sz w:val="21"/>
          <w:szCs w:val="21"/>
        </w:rPr>
        <w:t xml:space="preserve">根据近期的资金供需状况，对债券市场的回购利率进行分析。   </w:t>
      </w:r>
    </w:p>
    <w:p>
      <w:pPr>
        <w:pStyle w:val="7"/>
        <w:spacing w:before="0" w:beforeAutospacing="0" w:after="0" w:afterAutospacing="0" w:line="360" w:lineRule="auto"/>
        <w:ind w:firstLine="420"/>
        <w:rPr>
          <w:sz w:val="21"/>
          <w:szCs w:val="21"/>
        </w:rPr>
      </w:pPr>
      <w:r>
        <w:rPr>
          <w:rFonts w:hint="eastAsia"/>
          <w:sz w:val="21"/>
          <w:szCs w:val="21"/>
        </w:rPr>
        <w:t xml:space="preserve">（2）自下而上的分析   </w:t>
      </w:r>
    </w:p>
    <w:p>
      <w:pPr>
        <w:pStyle w:val="7"/>
        <w:spacing w:before="0" w:beforeAutospacing="0" w:after="0" w:afterAutospacing="0" w:line="360" w:lineRule="auto"/>
        <w:ind w:firstLine="420"/>
        <w:rPr>
          <w:sz w:val="21"/>
          <w:szCs w:val="21"/>
        </w:rPr>
      </w:pPr>
      <w:r>
        <w:rPr>
          <w:rFonts w:hint="eastAsia"/>
          <w:sz w:val="21"/>
          <w:szCs w:val="21"/>
        </w:rPr>
        <w:t xml:space="preserve">根据债券市场的当前交易数据，估计出债券市场当前的期限结构，并对隐含远期利率、当期利差水平等进行分析，进而对未来的期限结构变动做出判断。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根据债券市场的历史交易数据，估计出债券市场的历史期限结构，并对历史利率水平、历史利差水平等进行分析，进而对未来的期限结构变动做出判断。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a)    资产配置   </w:t>
      </w:r>
    </w:p>
    <w:p>
      <w:pPr>
        <w:pStyle w:val="7"/>
        <w:spacing w:before="0" w:beforeAutospacing="0" w:after="0" w:afterAutospacing="0" w:line="360" w:lineRule="auto"/>
        <w:ind w:firstLine="420"/>
        <w:rPr>
          <w:sz w:val="21"/>
          <w:szCs w:val="21"/>
        </w:rPr>
      </w:pPr>
      <w:r>
        <w:rPr>
          <w:rFonts w:hint="eastAsia"/>
          <w:sz w:val="21"/>
          <w:szCs w:val="21"/>
        </w:rPr>
        <w:t xml:space="preserve">综合上述各种分析及对股票市场走势的判断，确定整体资产配置，即债券、股票及现金的比例。   </w:t>
      </w:r>
    </w:p>
    <w:p>
      <w:pPr>
        <w:pStyle w:val="7"/>
        <w:spacing w:before="0" w:beforeAutospacing="0" w:after="0" w:afterAutospacing="0" w:line="360" w:lineRule="auto"/>
        <w:ind w:firstLine="420"/>
        <w:rPr>
          <w:sz w:val="21"/>
          <w:szCs w:val="21"/>
        </w:rPr>
      </w:pPr>
      <w:r>
        <w:rPr>
          <w:rFonts w:hint="eastAsia"/>
          <w:sz w:val="21"/>
          <w:szCs w:val="21"/>
        </w:rPr>
        <w:t xml:space="preserve">b)    券种配置   </w:t>
      </w:r>
    </w:p>
    <w:p>
      <w:pPr>
        <w:pStyle w:val="7"/>
        <w:spacing w:before="0" w:beforeAutospacing="0" w:after="0" w:afterAutospacing="0" w:line="360" w:lineRule="auto"/>
        <w:ind w:firstLine="420"/>
        <w:rPr>
          <w:sz w:val="21"/>
          <w:szCs w:val="21"/>
        </w:rPr>
      </w:pPr>
      <w:r>
        <w:rPr>
          <w:rFonts w:hint="eastAsia"/>
          <w:sz w:val="21"/>
          <w:szCs w:val="21"/>
        </w:rPr>
        <w:t xml:space="preserve">通常情况下，国债具有国家信用，其流动性比较好；金融债具有类国家信用，但流动性比国债差；而企业债则为企业信用，其流动性次于国债和金融债，但收益率一般比前两者要高，此间收益率的差异体现为市场对信用风险的溢价补偿。一般而言，当经济处于上升周期时，市场的风险溢价会相应降低，从而体现在企业债的收益率曲线与国债收益率曲线之间的利差缩小；而当经济处于下降周期时，市场的风险溢价会相应提高，从而体现在企业债的收益率曲线与国债收益率曲线之间的利差扩大。因此，我们会基于对宏观经济指标的判断，对不同信用等级债券的利差走势进行预测，进而在各券种之间进行配置。   </w:t>
      </w:r>
    </w:p>
    <w:p>
      <w:pPr>
        <w:pStyle w:val="7"/>
        <w:spacing w:before="0" w:beforeAutospacing="0" w:after="0" w:afterAutospacing="0" w:line="360" w:lineRule="auto"/>
        <w:ind w:firstLine="420"/>
        <w:rPr>
          <w:sz w:val="21"/>
          <w:szCs w:val="21"/>
        </w:rPr>
      </w:pPr>
      <w:r>
        <w:rPr>
          <w:rFonts w:hint="eastAsia"/>
          <w:sz w:val="21"/>
          <w:szCs w:val="21"/>
        </w:rPr>
        <w:t xml:space="preserve">c)    久期选择   </w:t>
      </w:r>
    </w:p>
    <w:p>
      <w:pPr>
        <w:pStyle w:val="7"/>
        <w:spacing w:before="0" w:beforeAutospacing="0" w:after="0" w:afterAutospacing="0" w:line="360" w:lineRule="auto"/>
        <w:ind w:firstLine="420"/>
        <w:rPr>
          <w:sz w:val="21"/>
          <w:szCs w:val="21"/>
        </w:rPr>
      </w:pPr>
      <w:r>
        <w:rPr>
          <w:rFonts w:hint="eastAsia"/>
          <w:sz w:val="21"/>
          <w:szCs w:val="21"/>
        </w:rPr>
        <w:t xml:space="preserve">基于未来期限结构形变进行久期选择。   </w:t>
      </w:r>
    </w:p>
    <w:p>
      <w:pPr>
        <w:pStyle w:val="7"/>
        <w:spacing w:before="0" w:beforeAutospacing="0" w:after="0" w:afterAutospacing="0" w:line="360" w:lineRule="auto"/>
        <w:ind w:firstLine="420"/>
        <w:rPr>
          <w:sz w:val="21"/>
          <w:szCs w:val="21"/>
        </w:rPr>
      </w:pPr>
      <w:r>
        <w:rPr>
          <w:rFonts w:hint="eastAsia"/>
          <w:sz w:val="21"/>
          <w:szCs w:val="21"/>
        </w:rPr>
        <w:t xml:space="preserve">当预期收益率曲线下移时，可以适当提高组合久期，以分享债券市场上涨的收益；当预期收益率曲线上移时，可以适当降低组合久期，以规避债券市场下跌的风险。   </w:t>
      </w:r>
    </w:p>
    <w:p>
      <w:pPr>
        <w:pStyle w:val="7"/>
        <w:spacing w:before="0" w:beforeAutospacing="0" w:after="0" w:afterAutospacing="0" w:line="360" w:lineRule="auto"/>
        <w:ind w:firstLine="420"/>
        <w:rPr>
          <w:sz w:val="21"/>
          <w:szCs w:val="21"/>
        </w:rPr>
      </w:pPr>
      <w:r>
        <w:rPr>
          <w:rFonts w:hint="eastAsia"/>
          <w:sz w:val="21"/>
          <w:szCs w:val="21"/>
        </w:rPr>
        <w:t xml:space="preserve">d)    凸性管理   </w:t>
      </w:r>
    </w:p>
    <w:p>
      <w:pPr>
        <w:pStyle w:val="7"/>
        <w:spacing w:before="0" w:beforeAutospacing="0" w:after="0" w:afterAutospacing="0" w:line="360" w:lineRule="auto"/>
        <w:ind w:firstLine="420"/>
        <w:rPr>
          <w:sz w:val="21"/>
          <w:szCs w:val="21"/>
        </w:rPr>
      </w:pPr>
      <w:r>
        <w:rPr>
          <w:rFonts w:hint="eastAsia"/>
          <w:sz w:val="21"/>
          <w:szCs w:val="21"/>
        </w:rPr>
        <w:t xml:space="preserve">当预期收益率曲线变平时，可以提高组合凸性，以便从收益率曲线变平的交易中获利，如可以构造哑铃型组合；当预期收益率曲线变陡时，可以降低组合凸性，以便从收益率曲线变陡的交易中获利，如可以构造子弹型组合。   </w:t>
      </w:r>
    </w:p>
    <w:p>
      <w:pPr>
        <w:pStyle w:val="7"/>
        <w:spacing w:before="0" w:beforeAutospacing="0" w:after="0" w:afterAutospacing="0" w:line="360" w:lineRule="auto"/>
        <w:ind w:firstLine="420"/>
        <w:rPr>
          <w:sz w:val="21"/>
          <w:szCs w:val="21"/>
        </w:rPr>
      </w:pPr>
      <w:r>
        <w:rPr>
          <w:rFonts w:hint="eastAsia"/>
          <w:sz w:val="21"/>
          <w:szCs w:val="21"/>
        </w:rPr>
        <w:t xml:space="preserve">影响收益率曲线非平行移动的因素有多种，既有宏观经济与金融的因素，也有市场微观结构的因素。因此，在对组合构建中究竟是采取哑铃型组合还是子弹型组合，需要综合以上各种因素进行分析。   </w:t>
      </w:r>
    </w:p>
    <w:p>
      <w:pPr>
        <w:pStyle w:val="7"/>
        <w:spacing w:before="0" w:beforeAutospacing="0" w:after="0" w:afterAutospacing="0" w:line="360" w:lineRule="auto"/>
        <w:ind w:firstLine="420"/>
        <w:rPr>
          <w:sz w:val="21"/>
          <w:szCs w:val="21"/>
        </w:rPr>
      </w:pPr>
      <w:r>
        <w:rPr>
          <w:rFonts w:hint="eastAsia"/>
          <w:sz w:val="21"/>
          <w:szCs w:val="21"/>
        </w:rPr>
        <w:t xml:space="preserve">e)    个券选择   </w:t>
      </w:r>
    </w:p>
    <w:p>
      <w:pPr>
        <w:pStyle w:val="7"/>
        <w:spacing w:before="0" w:beforeAutospacing="0" w:after="0" w:afterAutospacing="0" w:line="360" w:lineRule="auto"/>
        <w:ind w:firstLine="420"/>
        <w:rPr>
          <w:sz w:val="21"/>
          <w:szCs w:val="21"/>
        </w:rPr>
      </w:pPr>
      <w:r>
        <w:rPr>
          <w:rFonts w:hint="eastAsia"/>
          <w:sz w:val="21"/>
          <w:szCs w:val="21"/>
        </w:rPr>
        <w:t xml:space="preserve">通过对个券相对于收益率曲线被低估（或高估）的程度分析，结合个券的信用等级、交易市场、流动性、息票率、税赋特点等，充分挖掘价值相对被低估的个券，以把握市场失效所带来的投资机会。   </w:t>
      </w:r>
    </w:p>
    <w:p>
      <w:pPr>
        <w:pStyle w:val="7"/>
        <w:spacing w:before="0" w:beforeAutospacing="0" w:after="0" w:afterAutospacing="0" w:line="360" w:lineRule="auto"/>
        <w:ind w:firstLine="420"/>
        <w:rPr>
          <w:sz w:val="21"/>
          <w:szCs w:val="21"/>
        </w:rPr>
      </w:pPr>
      <w:r>
        <w:rPr>
          <w:rFonts w:hint="eastAsia"/>
          <w:sz w:val="21"/>
          <w:szCs w:val="21"/>
        </w:rPr>
        <w:t xml:space="preserve">f)    组合构建与调整   </w:t>
      </w:r>
    </w:p>
    <w:p>
      <w:pPr>
        <w:pStyle w:val="7"/>
        <w:spacing w:before="0" w:beforeAutospacing="0" w:after="0" w:afterAutospacing="0" w:line="360" w:lineRule="auto"/>
        <w:ind w:firstLine="420"/>
        <w:rPr>
          <w:sz w:val="21"/>
          <w:szCs w:val="21"/>
        </w:rPr>
      </w:pPr>
      <w:r>
        <w:rPr>
          <w:rFonts w:hint="eastAsia"/>
          <w:sz w:val="21"/>
          <w:szCs w:val="21"/>
        </w:rPr>
        <w:t xml:space="preserve">基于基金的投资风格，在组合构建时需要遵循以下原则：债券组合信用等级维持在投资级以上水平；债券组合的流动性维持在适当的水平。   </w:t>
      </w:r>
    </w:p>
    <w:p>
      <w:pPr>
        <w:rPr>
          <w:rFonts w:ascii="宋体" w:hAnsi="宋体" w:eastAsia="宋体"/>
          <w:sz w:val="24"/>
          <w:szCs w:val="24"/>
        </w:rPr>
      </w:pPr>
      <w:r>
        <w:rPr>
          <w:rFonts w:ascii="宋体" w:hAnsi="宋体" w:eastAsia="宋体"/>
        </w:rPr>
        <w:t xml:space="preserve">在投资过程中，需要随时根据宏观经济、市场变化，以及基于流动性和风险管理的要求，对构建组合进行调整。 </w:t>
      </w:r>
    </w:p>
    <w:p>
      <w:pPr>
        <w:pStyle w:val="7"/>
        <w:spacing w:before="0" w:beforeAutospacing="0" w:after="0" w:afterAutospacing="0" w:line="360" w:lineRule="auto"/>
        <w:ind w:firstLine="420"/>
        <w:rPr>
          <w:sz w:val="21"/>
          <w:szCs w:val="21"/>
        </w:rPr>
      </w:pPr>
      <w:bookmarkStart w:id="108" w:name="chapter_level1_11_60_section_1_end"/>
      <w:bookmarkEnd w:id="108"/>
      <w:bookmarkStart w:id="109" w:name="field_60_investmentstrategy_1_end"/>
      <w:bookmarkEnd w:id="109"/>
      <w:r>
        <w:rPr>
          <w:rFonts w:hint="eastAsia"/>
          <w:sz w:val="21"/>
          <w:szCs w:val="21"/>
        </w:rPr>
        <w:t xml:space="preserve">  </w:t>
      </w:r>
    </w:p>
    <w:p>
      <w:pPr>
        <w:pStyle w:val="7"/>
        <w:spacing w:before="0" w:beforeAutospacing="0" w:after="0" w:afterAutospacing="0" w:line="360" w:lineRule="auto"/>
        <w:ind w:firstLine="420"/>
        <w:rPr>
          <w:sz w:val="21"/>
          <w:szCs w:val="21"/>
        </w:rPr>
      </w:pPr>
      <w:bookmarkStart w:id="110" w:name="chapter_level1_11_60_section_2"/>
      <w:bookmarkEnd w:id="110"/>
      <w:r>
        <w:rPr>
          <w:rStyle w:val="11"/>
          <w:rFonts w:hint="eastAsia"/>
          <w:sz w:val="21"/>
          <w:szCs w:val="21"/>
        </w:rPr>
        <w:t>四、投资决策依据和投资决策程序</w:t>
      </w:r>
    </w:p>
    <w:p>
      <w:pPr>
        <w:pStyle w:val="7"/>
        <w:spacing w:before="0" w:beforeAutospacing="0" w:after="0" w:afterAutospacing="0" w:line="360" w:lineRule="auto"/>
        <w:ind w:firstLine="420"/>
        <w:rPr>
          <w:sz w:val="21"/>
          <w:szCs w:val="21"/>
        </w:rPr>
      </w:pPr>
      <w:r>
        <w:rPr>
          <w:rFonts w:hint="eastAsia"/>
          <w:sz w:val="21"/>
          <w:szCs w:val="21"/>
        </w:rPr>
        <w:t xml:space="preserve">1、投资决策依据 </w:t>
      </w:r>
    </w:p>
    <w:p>
      <w:pPr>
        <w:pStyle w:val="7"/>
        <w:spacing w:before="0" w:beforeAutospacing="0" w:after="0" w:afterAutospacing="0" w:line="360" w:lineRule="auto"/>
        <w:ind w:firstLine="420"/>
        <w:rPr>
          <w:sz w:val="21"/>
          <w:szCs w:val="21"/>
        </w:rPr>
      </w:pPr>
      <w:r>
        <w:rPr>
          <w:rFonts w:hint="eastAsia"/>
          <w:sz w:val="21"/>
          <w:szCs w:val="21"/>
        </w:rPr>
        <w:t xml:space="preserve">（1）国家有关法律、法规和基金合同的有关规定。 </w:t>
      </w:r>
    </w:p>
    <w:p>
      <w:pPr>
        <w:pStyle w:val="7"/>
        <w:spacing w:before="0" w:beforeAutospacing="0" w:after="0" w:afterAutospacing="0" w:line="360" w:lineRule="auto"/>
        <w:ind w:firstLine="420"/>
        <w:rPr>
          <w:sz w:val="21"/>
          <w:szCs w:val="21"/>
        </w:rPr>
      </w:pPr>
      <w:r>
        <w:rPr>
          <w:rFonts w:hint="eastAsia"/>
          <w:sz w:val="21"/>
          <w:szCs w:val="21"/>
        </w:rPr>
        <w:t xml:space="preserve">（2）宏观经济发展环境、微观企业经济运行态势和证券市场走势。 </w:t>
      </w:r>
    </w:p>
    <w:p>
      <w:pPr>
        <w:pStyle w:val="7"/>
        <w:spacing w:before="0" w:beforeAutospacing="0" w:after="0" w:afterAutospacing="0" w:line="360" w:lineRule="auto"/>
        <w:ind w:firstLine="420"/>
        <w:rPr>
          <w:sz w:val="21"/>
          <w:szCs w:val="21"/>
        </w:rPr>
      </w:pPr>
      <w:r>
        <w:rPr>
          <w:rFonts w:hint="eastAsia"/>
          <w:sz w:val="21"/>
          <w:szCs w:val="21"/>
        </w:rPr>
        <w:t xml:space="preserve">2、投资决策机制 </w:t>
      </w:r>
    </w:p>
    <w:p>
      <w:pPr>
        <w:pStyle w:val="7"/>
        <w:spacing w:before="0" w:beforeAutospacing="0" w:after="0" w:afterAutospacing="0" w:line="360" w:lineRule="auto"/>
        <w:ind w:firstLine="420"/>
        <w:rPr>
          <w:sz w:val="21"/>
          <w:szCs w:val="21"/>
        </w:rPr>
      </w:pPr>
      <w:r>
        <w:rPr>
          <w:rFonts w:hint="eastAsia"/>
          <w:sz w:val="21"/>
          <w:szCs w:val="21"/>
        </w:rPr>
        <w:t xml:space="preserve">本基金的投资决策机制为投资决策委员会领导下的基金经理负责制。 </w:t>
      </w:r>
    </w:p>
    <w:p>
      <w:pPr>
        <w:pStyle w:val="7"/>
        <w:spacing w:before="0" w:beforeAutospacing="0" w:after="0" w:afterAutospacing="0" w:line="360" w:lineRule="auto"/>
        <w:ind w:firstLine="420"/>
        <w:rPr>
          <w:sz w:val="21"/>
          <w:szCs w:val="21"/>
        </w:rPr>
      </w:pPr>
      <w:r>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pPr>
        <w:pStyle w:val="7"/>
        <w:spacing w:before="0" w:beforeAutospacing="0" w:after="0" w:afterAutospacing="0" w:line="360" w:lineRule="auto"/>
        <w:ind w:firstLine="420"/>
        <w:rPr>
          <w:sz w:val="21"/>
          <w:szCs w:val="21"/>
        </w:rPr>
      </w:pPr>
      <w:r>
        <w:rPr>
          <w:rFonts w:hint="eastAsia"/>
          <w:sz w:val="21"/>
          <w:szCs w:val="21"/>
        </w:rPr>
        <w:t xml:space="preserve">（2）基金经理根据相关报告负责资产配置、个股/个债配置、投资组合的构建和日常管理。 </w:t>
      </w:r>
    </w:p>
    <w:p>
      <w:pPr>
        <w:pStyle w:val="7"/>
        <w:spacing w:before="0" w:beforeAutospacing="0" w:after="0" w:afterAutospacing="0" w:line="360" w:lineRule="auto"/>
        <w:ind w:firstLine="420"/>
        <w:rPr>
          <w:sz w:val="21"/>
          <w:szCs w:val="21"/>
        </w:rPr>
      </w:pPr>
      <w:r>
        <w:rPr>
          <w:rFonts w:hint="eastAsia"/>
          <w:sz w:val="21"/>
          <w:szCs w:val="21"/>
        </w:rPr>
        <w:t xml:space="preserve">3、投资决策程序 </w:t>
      </w:r>
    </w:p>
    <w:p>
      <w:pPr>
        <w:pStyle w:val="7"/>
        <w:spacing w:before="0" w:beforeAutospacing="0" w:after="0" w:afterAutospacing="0" w:line="360" w:lineRule="auto"/>
        <w:ind w:firstLine="420"/>
        <w:rPr>
          <w:sz w:val="21"/>
          <w:szCs w:val="21"/>
        </w:rPr>
      </w:pPr>
      <w:r>
        <w:rPr>
          <w:rFonts w:hint="eastAsia"/>
          <w:sz w:val="21"/>
          <w:szCs w:val="21"/>
        </w:rPr>
        <w:t xml:space="preserve">（1）研究部、股票投资部数量化组和交易部通过自身研究及借助外部研究机构形成有关上市公司分析、行业分析、宏观分析、市场分析以及数据模拟的各类报告，为本基金的投资管理提供决策依据。 </w:t>
      </w:r>
    </w:p>
    <w:p>
      <w:pPr>
        <w:pStyle w:val="7"/>
        <w:spacing w:before="0" w:beforeAutospacing="0" w:after="0" w:afterAutospacing="0" w:line="360" w:lineRule="auto"/>
        <w:ind w:firstLine="420"/>
        <w:rPr>
          <w:sz w:val="21"/>
          <w:szCs w:val="21"/>
        </w:rPr>
      </w:pPr>
      <w:r>
        <w:rPr>
          <w:rFonts w:hint="eastAsia"/>
          <w:sz w:val="21"/>
          <w:szCs w:val="21"/>
        </w:rPr>
        <w:t xml:space="preserve">（2）投资决策委员会依据上述报告对基金的投资方向、资产配置比例等提出指导性意见。 </w:t>
      </w:r>
    </w:p>
    <w:p>
      <w:pPr>
        <w:pStyle w:val="7"/>
        <w:spacing w:before="0" w:beforeAutospacing="0" w:after="0" w:afterAutospacing="0" w:line="360" w:lineRule="auto"/>
        <w:ind w:firstLine="420"/>
        <w:rPr>
          <w:sz w:val="21"/>
          <w:szCs w:val="21"/>
        </w:rPr>
      </w:pPr>
      <w:r>
        <w:rPr>
          <w:rFonts w:hint="eastAsia"/>
          <w:sz w:val="21"/>
          <w:szCs w:val="21"/>
        </w:rPr>
        <w:t xml:space="preserve">（3）基金经理根据投资决策委员会的决议，参考上述报告，并结合自身对证券市场和上市公司的分析判断，形成基金投资计划。 </w:t>
      </w:r>
    </w:p>
    <w:p>
      <w:pPr>
        <w:pStyle w:val="7"/>
        <w:spacing w:before="0" w:beforeAutospacing="0" w:after="0" w:afterAutospacing="0" w:line="360" w:lineRule="auto"/>
        <w:ind w:firstLine="420"/>
        <w:rPr>
          <w:sz w:val="21"/>
          <w:szCs w:val="21"/>
        </w:rPr>
      </w:pPr>
      <w:r>
        <w:rPr>
          <w:rFonts w:hint="eastAsia"/>
          <w:sz w:val="21"/>
          <w:szCs w:val="21"/>
        </w:rPr>
        <w:t xml:space="preserve">（4）交易部依据基金经理小组的指令，制定交易策略，统一执行证券投资组合计划，进行具体品种的交易。 </w:t>
      </w:r>
    </w:p>
    <w:p>
      <w:pPr>
        <w:pStyle w:val="7"/>
        <w:spacing w:before="0" w:beforeAutospacing="0" w:after="0" w:afterAutospacing="0" w:line="360" w:lineRule="auto"/>
        <w:ind w:firstLine="420"/>
        <w:rPr>
          <w:sz w:val="21"/>
          <w:szCs w:val="21"/>
        </w:rPr>
      </w:pPr>
      <w:r>
        <w:rPr>
          <w:rFonts w:hint="eastAsia"/>
          <w:sz w:val="21"/>
          <w:szCs w:val="21"/>
        </w:rPr>
        <w:t xml:space="preserve">（5）监察法律部对投资组合计划的执行过程进行监控。 </w:t>
      </w:r>
    </w:p>
    <w:p>
      <w:pPr>
        <w:pStyle w:val="7"/>
        <w:spacing w:before="0" w:beforeAutospacing="0" w:after="0" w:afterAutospacing="0" w:line="360" w:lineRule="auto"/>
        <w:ind w:firstLine="420"/>
        <w:rPr>
          <w:sz w:val="21"/>
          <w:szCs w:val="21"/>
        </w:rPr>
      </w:pPr>
      <w:r>
        <w:rPr>
          <w:rFonts w:hint="eastAsia"/>
          <w:sz w:val="21"/>
          <w:szCs w:val="21"/>
        </w:rPr>
        <w:t xml:space="preserve">（6）基金管理人在确保基金份额持有人利益的前提下有权根据环境变化和实际需要对上述投资程序做出调整。 </w:t>
      </w:r>
    </w:p>
    <w:p>
      <w:pPr>
        <w:pStyle w:val="7"/>
        <w:spacing w:before="0" w:beforeAutospacing="0" w:after="0" w:afterAutospacing="0" w:line="360" w:lineRule="auto"/>
        <w:ind w:firstLine="420"/>
        <w:rPr>
          <w:sz w:val="21"/>
          <w:szCs w:val="21"/>
        </w:rPr>
      </w:pPr>
      <w:bookmarkStart w:id="111" w:name="chapter_level1_11_60_section_2_end"/>
      <w:bookmarkEnd w:id="111"/>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12" w:name="chapter_level1_11_60_section_3"/>
      <w:bookmarkEnd w:id="112"/>
      <w:r>
        <w:rPr>
          <w:rFonts w:hint="eastAsia"/>
          <w:sz w:val="21"/>
          <w:szCs w:val="21"/>
        </w:rPr>
        <w:t>本基金的业绩比较基准为：</w:t>
      </w:r>
      <w:bookmarkStart w:id="113" w:name="field_60_benchmark_1_start"/>
      <w:bookmarkEnd w:id="113"/>
      <w:r>
        <w:rPr>
          <w:rFonts w:hint="eastAsia"/>
          <w:sz w:val="21"/>
          <w:szCs w:val="21"/>
        </w:rPr>
        <w:t xml:space="preserve">80%×沪深300指数收益率＋20%×中国债券总指数收益率。  </w:t>
      </w:r>
      <w:bookmarkStart w:id="114" w:name="field_60_benchmark_1_end"/>
      <w:bookmarkEnd w:id="11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pPr>
        <w:pStyle w:val="7"/>
        <w:spacing w:before="0" w:beforeAutospacing="0" w:after="0" w:afterAutospacing="0" w:line="360" w:lineRule="auto"/>
        <w:ind w:firstLine="420"/>
        <w:rPr>
          <w:sz w:val="21"/>
          <w:szCs w:val="21"/>
        </w:rPr>
      </w:pPr>
      <w:r>
        <w:rPr>
          <w:rFonts w:hint="eastAsia"/>
          <w:sz w:val="21"/>
          <w:szCs w:val="21"/>
        </w:rPr>
        <w:t xml:space="preserve">本基金的股票投资比例区间为60%-95%，取中位数80％为基准指数中股票投资所代表的权重，其余20%为基准指数中债券投资所对应的权重。因此，本基金的投资基准确定为“80%×沪深300指数收益率＋20%×中国债券总指数收益率”。 </w:t>
      </w:r>
    </w:p>
    <w:p>
      <w:pPr>
        <w:pStyle w:val="7"/>
        <w:spacing w:before="0" w:beforeAutospacing="0" w:after="0" w:afterAutospacing="0" w:line="360" w:lineRule="auto"/>
        <w:ind w:firstLine="420"/>
        <w:rPr>
          <w:sz w:val="21"/>
          <w:szCs w:val="21"/>
        </w:rPr>
      </w:pPr>
      <w:r>
        <w:rPr>
          <w:rFonts w:hint="eastAsia"/>
          <w:sz w:val="21"/>
          <w:szCs w:val="21"/>
        </w:rPr>
        <w:t>如果今后市场出现更具代表性的投资基准，或更科学的复合指数权重比例，在与基金托</w:t>
      </w:r>
      <w:bookmarkStart w:id="115" w:name="chapter_level1_11_60_section_3_end"/>
      <w:bookmarkEnd w:id="115"/>
      <w:r>
        <w:rPr>
          <w:rFonts w:hint="eastAsia"/>
          <w:sz w:val="21"/>
          <w:szCs w:val="21"/>
        </w:rPr>
        <w:t xml:space="preserve">管人协商一致后，本基金管理人可调整或变更投资基准。 </w:t>
      </w:r>
    </w:p>
    <w:p>
      <w:pPr>
        <w:pStyle w:val="7"/>
        <w:spacing w:before="0" w:beforeAutospacing="0" w:after="0" w:afterAutospacing="0" w:line="360" w:lineRule="auto"/>
        <w:ind w:firstLine="420"/>
        <w:rPr>
          <w:sz w:val="21"/>
          <w:szCs w:val="21"/>
        </w:rPr>
      </w:pPr>
      <w:bookmarkStart w:id="116" w:name="chapter_level1_11_60_section_4"/>
      <w:bookmarkEnd w:id="116"/>
      <w:r>
        <w:rPr>
          <w:rStyle w:val="11"/>
          <w:rFonts w:hint="eastAsia"/>
          <w:sz w:val="21"/>
          <w:szCs w:val="21"/>
        </w:rPr>
        <w:t>六、 风险收益特征</w:t>
      </w:r>
    </w:p>
    <w:p>
      <w:pPr>
        <w:pStyle w:val="7"/>
        <w:spacing w:before="0" w:beforeAutospacing="0" w:after="0" w:afterAutospacing="0" w:line="360" w:lineRule="auto"/>
        <w:ind w:firstLine="420"/>
        <w:rPr>
          <w:sz w:val="21"/>
          <w:szCs w:val="21"/>
        </w:rPr>
      </w:pPr>
      <w:bookmarkStart w:id="117" w:name="field_60_riskyield_1_start"/>
      <w:bookmarkEnd w:id="117"/>
      <w:r>
        <w:rPr>
          <w:rFonts w:hint="eastAsia"/>
          <w:sz w:val="21"/>
          <w:szCs w:val="21"/>
        </w:rPr>
        <w:t xml:space="preserve">本基金的预期风险低于股票基金，预期收益高于债券基金。本基金属于证券投资基金中的中等风险、中等收益品种。 </w:t>
      </w:r>
      <w:bookmarkStart w:id="118" w:name="field_60_riskyield_1_end"/>
      <w:bookmarkEnd w:id="11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(3)本基金管理人管理的全部基金持有一家公司发行的证券（含存托凭证），不超过该证券的10％；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(5)本基金进入全国银行间同业市场进行债券回购的资金余额不得超过基金资产净值的40％；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(6)股票（含存托凭证）投资比例为基金资产的60-95%，债券投资比例为基金资产的0-35%； </w:t>
      </w:r>
    </w:p>
    <w:p>
      <w:pPr>
        <w:pStyle w:val="7"/>
        <w:spacing w:before="0" w:beforeAutospacing="0" w:after="0" w:afterAutospacing="0" w:line="360" w:lineRule="auto"/>
        <w:ind w:firstLine="420"/>
        <w:rPr>
          <w:sz w:val="21"/>
          <w:szCs w:val="21"/>
        </w:rPr>
      </w:pPr>
      <w:r>
        <w:rPr>
          <w:rFonts w:hint="eastAsia"/>
          <w:sz w:val="21"/>
          <w:szCs w:val="21"/>
        </w:rPr>
        <w:t xml:space="preserve">（7）现金以及到期日在一年以内的政府债券投资比例合计不低于基金资产净值的5%，其中，现金不包括结算备付金、存出保证金、应收申购款等。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(13)本基金在任何交易日买入权证的总金额，不得超过上一交易日基金资产净值的0.5％；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（15）本基金主动投资于流动性受限资产的市值合计不得超过本基金资产净值的15%；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(17)法律法规或监管部门取消上述限制，如适用于本基金，则本基金投资不再受相关限制。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除上述第（7）、（15）、（16）条外，因证券市场波动、上市公司合并、基金规模变动、股权分置改革中支付对价等基金管理人之外的因素致使基金投资比例不符合上述规定投资比例的，基金管理人应当在10个交易日内进行调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(4)买卖其他基金份额，但是国务院另有规定的除外；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(5)向其基金管理人、基金托管人出资或者买卖其基金管理人、基金托管人发行的股票或者债券； </w:t>
      </w:r>
    </w:p>
    <w:p>
      <w:pPr>
        <w:pStyle w:val="7"/>
        <w:spacing w:before="0" w:beforeAutospacing="0" w:after="0" w:afterAutospacing="0" w:line="360" w:lineRule="auto"/>
        <w:ind w:firstLine="420"/>
        <w:rPr>
          <w:sz w:val="21"/>
          <w:szCs w:val="21"/>
        </w:rPr>
      </w:pPr>
      <w:r>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pPr>
        <w:pStyle w:val="7"/>
        <w:spacing w:before="0" w:beforeAutospacing="0" w:after="0" w:afterAutospacing="0" w:line="360" w:lineRule="auto"/>
        <w:ind w:firstLine="420"/>
        <w:rPr>
          <w:sz w:val="21"/>
          <w:szCs w:val="21"/>
        </w:rPr>
      </w:pPr>
      <w:r>
        <w:rPr>
          <w:rFonts w:hint="eastAsia"/>
          <w:sz w:val="21"/>
          <w:szCs w:val="21"/>
        </w:rPr>
        <w:t xml:space="preserve">(7)从事内幕交易、操纵证券交易价格及其他不正当的证券交易活动；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(8)依照法律法规有关规定，由国务院证券监督管理机构规定禁止的其他活动。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如法律法规有关规定发生变更，上述禁止行为应相应变更。 </w:t>
      </w:r>
    </w:p>
    <w:p>
      <w:pPr>
        <w:pStyle w:val="7"/>
        <w:spacing w:before="0" w:beforeAutospacing="0" w:after="0" w:afterAutospacing="0" w:line="360" w:lineRule="auto"/>
        <w:ind w:firstLine="420"/>
        <w:rPr>
          <w:sz w:val="21"/>
          <w:szCs w:val="21"/>
        </w:rPr>
      </w:pPr>
      <w:r>
        <w:rPr>
          <w:rStyle w:val="11"/>
          <w:rFonts w:hint="eastAsia"/>
          <w:sz w:val="21"/>
          <w:szCs w:val="21"/>
        </w:rPr>
        <w:t>八、基金的融资、融券</w:t>
      </w:r>
    </w:p>
    <w:p>
      <w:pPr>
        <w:pStyle w:val="7"/>
        <w:spacing w:before="0" w:beforeAutospacing="0" w:after="0" w:afterAutospacing="0" w:line="360" w:lineRule="auto"/>
        <w:ind w:firstLine="420"/>
        <w:rPr>
          <w:sz w:val="21"/>
          <w:szCs w:val="21"/>
        </w:rPr>
      </w:pPr>
      <w:bookmarkStart w:id="119" w:name="chapter_level1_11_60_section_4_end"/>
      <w:bookmarkEnd w:id="119"/>
      <w:r>
        <w:rPr>
          <w:rFonts w:hint="eastAsia"/>
          <w:sz w:val="21"/>
          <w:szCs w:val="21"/>
        </w:rPr>
        <w:t xml:space="preserve">本基金可以按照国家的有关规定进行融资、融券。 </w:t>
      </w:r>
    </w:p>
    <w:p>
      <w:pPr>
        <w:pStyle w:val="7"/>
        <w:spacing w:before="0" w:beforeAutospacing="0" w:after="0" w:afterAutospacing="0" w:line="360" w:lineRule="auto"/>
        <w:ind w:firstLine="420"/>
        <w:rPr>
          <w:sz w:val="21"/>
          <w:szCs w:val="21"/>
        </w:rPr>
      </w:pPr>
      <w:bookmarkStart w:id="120" w:name="chapter_level1_11_60_section_5_end"/>
      <w:bookmarkEnd w:id="120"/>
      <w:bookmarkStart w:id="121" w:name="chapter_level1_11_60_section_5"/>
      <w:bookmarkEnd w:id="121"/>
      <w:r>
        <w:rPr>
          <w:rStyle w:val="11"/>
          <w:rFonts w:hint="eastAsia"/>
          <w:sz w:val="21"/>
          <w:szCs w:val="21"/>
        </w:rPr>
        <w:t>九、基金投资组合报告</w:t>
      </w:r>
    </w:p>
    <w:p>
      <w:pPr>
        <w:pStyle w:val="7"/>
        <w:spacing w:before="0" w:beforeAutospacing="0" w:after="0" w:afterAutospacing="0" w:line="360" w:lineRule="auto"/>
        <w:ind w:firstLine="420"/>
        <w:rPr>
          <w:sz w:val="21"/>
          <w:szCs w:val="21"/>
        </w:rPr>
      </w:pPr>
      <w:bookmarkStart w:id="122" w:name="chapter_level1_11_60_section_6"/>
      <w:bookmarkEnd w:id="122"/>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23" w:name="field_2343_financeendday_2"/>
      <w:r>
        <w:rPr>
          <w:sz w:val="21"/>
          <w:szCs w:val="21"/>
        </w:rPr>
        <w:t>2022年6月30日</w:t>
      </w:r>
      <w:bookmarkEnd w:id="123"/>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b/>
          <w:bCs/>
          <w:sz w:val="21"/>
          <w:szCs w:val="21"/>
        </w:rPr>
        <w:t>1报告期末基金资产组合情况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172"/>
        <w:gridCol w:w="2452"/>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3945" w:type="dxa"/>
            <w:shd w:val="clear" w:color="auto" w:fill="auto"/>
          </w:tcPr>
          <w:p>
            <w:pPr>
              <w:pStyle w:val="7"/>
              <w:jc w:val="center"/>
            </w:pPr>
            <w:r>
              <w:rPr>
                <w:rFonts w:hint="eastAsia"/>
              </w:rPr>
              <w:t xml:space="preserve">项目 </w:t>
            </w:r>
          </w:p>
        </w:tc>
        <w:tc>
          <w:tcPr>
            <w:tcW w:w="2625" w:type="dxa"/>
            <w:shd w:val="clear" w:color="auto" w:fill="auto"/>
          </w:tcPr>
          <w:p>
            <w:pPr>
              <w:pStyle w:val="7"/>
              <w:jc w:val="center"/>
            </w:pPr>
            <w:r>
              <w:rPr>
                <w:rFonts w:hint="eastAsia"/>
              </w:rPr>
              <w:t xml:space="preserve">金额(元) </w:t>
            </w:r>
          </w:p>
        </w:tc>
        <w:tc>
          <w:tcPr>
            <w:tcW w:w="2595"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pStyle w:val="7"/>
              <w:jc w:val="center"/>
            </w:pPr>
            <w:r>
              <w:rPr>
                <w:rFonts w:hint="eastAsia"/>
              </w:rPr>
              <w:t xml:space="preserve">1 </w:t>
            </w:r>
          </w:p>
        </w:tc>
        <w:tc>
          <w:tcPr>
            <w:tcW w:w="3945" w:type="dxa"/>
            <w:shd w:val="clear" w:color="auto" w:fill="auto"/>
          </w:tcPr>
          <w:p>
            <w:pPr>
              <w:pStyle w:val="7"/>
            </w:pPr>
            <w:r>
              <w:rPr>
                <w:rFonts w:hint="eastAsia"/>
              </w:rPr>
              <w:t xml:space="preserve">权益投资 </w:t>
            </w:r>
          </w:p>
        </w:tc>
        <w:tc>
          <w:tcPr>
            <w:tcW w:w="2625" w:type="dxa"/>
            <w:shd w:val="clear" w:color="auto" w:fill="auto"/>
          </w:tcPr>
          <w:p>
            <w:pPr>
              <w:pStyle w:val="7"/>
              <w:jc w:val="right"/>
            </w:pPr>
            <w:r>
              <w:rPr>
                <w:rFonts w:hint="eastAsia"/>
              </w:rPr>
              <w:t xml:space="preserve">693,731,861.21 </w:t>
            </w:r>
          </w:p>
        </w:tc>
        <w:tc>
          <w:tcPr>
            <w:tcW w:w="2595" w:type="dxa"/>
            <w:shd w:val="clear" w:color="auto" w:fill="auto"/>
          </w:tcPr>
          <w:p>
            <w:pPr>
              <w:pStyle w:val="7"/>
              <w:jc w:val="right"/>
            </w:pPr>
            <w:r>
              <w:rPr>
                <w:rFonts w:hint="eastAsia"/>
              </w:rPr>
              <w:t xml:space="preserve">90.38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其中：股票 </w:t>
            </w:r>
          </w:p>
        </w:tc>
        <w:tc>
          <w:tcPr>
            <w:tcW w:w="2625" w:type="dxa"/>
            <w:shd w:val="clear" w:color="auto" w:fill="auto"/>
          </w:tcPr>
          <w:p>
            <w:pPr>
              <w:pStyle w:val="7"/>
              <w:jc w:val="right"/>
            </w:pPr>
            <w:r>
              <w:rPr>
                <w:rFonts w:hint="eastAsia"/>
              </w:rPr>
              <w:t xml:space="preserve">693,731,861.21 </w:t>
            </w:r>
          </w:p>
        </w:tc>
        <w:tc>
          <w:tcPr>
            <w:tcW w:w="2595" w:type="dxa"/>
            <w:shd w:val="clear" w:color="auto" w:fill="auto"/>
          </w:tcPr>
          <w:p>
            <w:pPr>
              <w:pStyle w:val="7"/>
              <w:jc w:val="right"/>
            </w:pPr>
            <w:r>
              <w:rPr>
                <w:rFonts w:hint="eastAsia"/>
              </w:rPr>
              <w:t xml:space="preserve">90.38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3945" w:type="dxa"/>
            <w:shd w:val="clear" w:color="auto" w:fill="auto"/>
          </w:tcPr>
          <w:p>
            <w:pPr>
              <w:pStyle w:val="7"/>
            </w:pPr>
            <w:r>
              <w:rPr>
                <w:rFonts w:hint="eastAsia"/>
              </w:rPr>
              <w:t xml:space="preserve">基金投资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3 </w:t>
            </w:r>
          </w:p>
        </w:tc>
        <w:tc>
          <w:tcPr>
            <w:tcW w:w="3945" w:type="dxa"/>
            <w:shd w:val="clear" w:color="auto" w:fill="auto"/>
          </w:tcPr>
          <w:p>
            <w:pPr>
              <w:pStyle w:val="7"/>
            </w:pPr>
            <w:r>
              <w:rPr>
                <w:rFonts w:hint="eastAsia"/>
              </w:rPr>
              <w:t xml:space="preserve">固定收益投资 </w:t>
            </w:r>
          </w:p>
        </w:tc>
        <w:tc>
          <w:tcPr>
            <w:tcW w:w="2625" w:type="dxa"/>
            <w:shd w:val="clear" w:color="auto" w:fill="auto"/>
          </w:tcPr>
          <w:p>
            <w:pPr>
              <w:pStyle w:val="7"/>
              <w:jc w:val="right"/>
            </w:pPr>
            <w:r>
              <w:rPr>
                <w:rFonts w:hint="eastAsia"/>
              </w:rPr>
              <w:t xml:space="preserve">4,297,948.78 </w:t>
            </w:r>
          </w:p>
        </w:tc>
        <w:tc>
          <w:tcPr>
            <w:tcW w:w="2595" w:type="dxa"/>
            <w:shd w:val="clear" w:color="auto" w:fill="auto"/>
          </w:tcPr>
          <w:p>
            <w:pPr>
              <w:pStyle w:val="7"/>
              <w:jc w:val="right"/>
            </w:pPr>
            <w:r>
              <w:rPr>
                <w:rFonts w:hint="eastAsia"/>
              </w:rPr>
              <w:t xml:space="preserve">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其中：债券 </w:t>
            </w:r>
          </w:p>
        </w:tc>
        <w:tc>
          <w:tcPr>
            <w:tcW w:w="2625" w:type="dxa"/>
            <w:shd w:val="clear" w:color="auto" w:fill="auto"/>
          </w:tcPr>
          <w:p>
            <w:pPr>
              <w:pStyle w:val="7"/>
              <w:jc w:val="right"/>
            </w:pPr>
            <w:r>
              <w:rPr>
                <w:rFonts w:hint="eastAsia"/>
              </w:rPr>
              <w:t xml:space="preserve">4,297,948.78 </w:t>
            </w:r>
          </w:p>
        </w:tc>
        <w:tc>
          <w:tcPr>
            <w:tcW w:w="2595" w:type="dxa"/>
            <w:shd w:val="clear" w:color="auto" w:fill="auto"/>
          </w:tcPr>
          <w:p>
            <w:pPr>
              <w:pStyle w:val="7"/>
              <w:jc w:val="right"/>
            </w:pPr>
            <w:r>
              <w:rPr>
                <w:rFonts w:hint="eastAsia"/>
              </w:rPr>
              <w:t xml:space="preserve">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资产支持证券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pStyle w:val="7"/>
              <w:jc w:val="center"/>
            </w:pPr>
            <w:r>
              <w:rPr>
                <w:rFonts w:hint="eastAsia"/>
              </w:rPr>
              <w:t xml:space="preserve">4 </w:t>
            </w:r>
          </w:p>
        </w:tc>
        <w:tc>
          <w:tcPr>
            <w:tcW w:w="3945" w:type="dxa"/>
            <w:shd w:val="clear" w:color="auto" w:fill="auto"/>
          </w:tcPr>
          <w:p>
            <w:pPr>
              <w:pStyle w:val="7"/>
            </w:pPr>
            <w:r>
              <w:rPr>
                <w:rFonts w:hint="eastAsia"/>
              </w:rPr>
              <w:t xml:space="preserve">贵金属投资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5 </w:t>
            </w:r>
          </w:p>
        </w:tc>
        <w:tc>
          <w:tcPr>
            <w:tcW w:w="3945" w:type="dxa"/>
            <w:shd w:val="clear" w:color="auto" w:fill="auto"/>
          </w:tcPr>
          <w:p>
            <w:pPr>
              <w:pStyle w:val="7"/>
            </w:pPr>
            <w:r>
              <w:rPr>
                <w:rFonts w:hint="eastAsia"/>
              </w:rPr>
              <w:t xml:space="preserve">金融衍生品投资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pStyle w:val="7"/>
              <w:jc w:val="center"/>
            </w:pPr>
            <w:r>
              <w:rPr>
                <w:rFonts w:hint="eastAsia"/>
              </w:rPr>
              <w:t xml:space="preserve">6 </w:t>
            </w:r>
          </w:p>
        </w:tc>
        <w:tc>
          <w:tcPr>
            <w:tcW w:w="3945" w:type="dxa"/>
            <w:shd w:val="clear" w:color="auto" w:fill="auto"/>
          </w:tcPr>
          <w:p>
            <w:pPr>
              <w:pStyle w:val="7"/>
            </w:pPr>
            <w:r>
              <w:rPr>
                <w:rFonts w:hint="eastAsia"/>
              </w:rPr>
              <w:t xml:space="preserve">买入返售金融资产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rPr>
                <w:rFonts w:ascii="宋体" w:hAnsi="宋体" w:eastAsia="宋体" w:cs="宋体"/>
                <w:sz w:val="24"/>
                <w:szCs w:val="24"/>
              </w:rPr>
            </w:pPr>
          </w:p>
        </w:tc>
        <w:tc>
          <w:tcPr>
            <w:tcW w:w="3945" w:type="dxa"/>
            <w:shd w:val="clear" w:color="auto" w:fill="auto"/>
          </w:tcPr>
          <w:p>
            <w:pPr>
              <w:pStyle w:val="7"/>
            </w:pPr>
            <w:r>
              <w:rPr>
                <w:rFonts w:hint="eastAsia"/>
              </w:rPr>
              <w:t xml:space="preserve">其中：买断式回购的买入返售金融资产 </w:t>
            </w:r>
          </w:p>
        </w:tc>
        <w:tc>
          <w:tcPr>
            <w:tcW w:w="2625" w:type="dxa"/>
            <w:shd w:val="clear" w:color="auto" w:fill="auto"/>
          </w:tcPr>
          <w:p>
            <w:pPr>
              <w:pStyle w:val="7"/>
              <w:jc w:val="right"/>
            </w:pPr>
            <w:r>
              <w:rPr>
                <w:rFonts w:hint="eastAsia"/>
              </w:rPr>
              <w:t xml:space="preserve">- </w:t>
            </w:r>
          </w:p>
        </w:tc>
        <w:tc>
          <w:tcPr>
            <w:tcW w:w="25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7 </w:t>
            </w:r>
          </w:p>
        </w:tc>
        <w:tc>
          <w:tcPr>
            <w:tcW w:w="3945" w:type="dxa"/>
            <w:shd w:val="clear" w:color="auto" w:fill="auto"/>
          </w:tcPr>
          <w:p>
            <w:pPr>
              <w:pStyle w:val="7"/>
            </w:pPr>
            <w:r>
              <w:rPr>
                <w:rFonts w:hint="eastAsia"/>
              </w:rPr>
              <w:t xml:space="preserve">银行存款和结算备付金合计 </w:t>
            </w:r>
          </w:p>
        </w:tc>
        <w:tc>
          <w:tcPr>
            <w:tcW w:w="2625" w:type="dxa"/>
            <w:shd w:val="clear" w:color="auto" w:fill="auto"/>
          </w:tcPr>
          <w:p>
            <w:pPr>
              <w:pStyle w:val="7"/>
              <w:jc w:val="right"/>
            </w:pPr>
            <w:r>
              <w:rPr>
                <w:rFonts w:hint="eastAsia"/>
              </w:rPr>
              <w:t xml:space="preserve">68,650,898.66 </w:t>
            </w:r>
          </w:p>
        </w:tc>
        <w:tc>
          <w:tcPr>
            <w:tcW w:w="2595" w:type="dxa"/>
            <w:shd w:val="clear" w:color="auto" w:fill="auto"/>
          </w:tcPr>
          <w:p>
            <w:pPr>
              <w:pStyle w:val="7"/>
              <w:jc w:val="right"/>
            </w:pPr>
            <w:r>
              <w:rPr>
                <w:rFonts w:hint="eastAsia"/>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8 </w:t>
            </w:r>
          </w:p>
        </w:tc>
        <w:tc>
          <w:tcPr>
            <w:tcW w:w="3945" w:type="dxa"/>
            <w:shd w:val="clear" w:color="auto" w:fill="auto"/>
          </w:tcPr>
          <w:p>
            <w:pPr>
              <w:pStyle w:val="7"/>
            </w:pPr>
            <w:r>
              <w:rPr>
                <w:rFonts w:hint="eastAsia"/>
              </w:rPr>
              <w:t xml:space="preserve">其他各项资产 </w:t>
            </w:r>
          </w:p>
        </w:tc>
        <w:tc>
          <w:tcPr>
            <w:tcW w:w="2625" w:type="dxa"/>
            <w:shd w:val="clear" w:color="auto" w:fill="auto"/>
          </w:tcPr>
          <w:p>
            <w:pPr>
              <w:pStyle w:val="7"/>
              <w:jc w:val="right"/>
            </w:pPr>
            <w:r>
              <w:rPr>
                <w:rFonts w:hint="eastAsia"/>
              </w:rPr>
              <w:t xml:space="preserve">906,920.60 </w:t>
            </w:r>
          </w:p>
        </w:tc>
        <w:tc>
          <w:tcPr>
            <w:tcW w:w="2595" w:type="dxa"/>
            <w:shd w:val="clear" w:color="auto" w:fill="auto"/>
          </w:tcPr>
          <w:p>
            <w:pPr>
              <w:pStyle w:val="7"/>
              <w:jc w:val="right"/>
            </w:pPr>
            <w:r>
              <w:rPr>
                <w:rFonts w:hint="eastAsia"/>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9 </w:t>
            </w:r>
          </w:p>
        </w:tc>
        <w:tc>
          <w:tcPr>
            <w:tcW w:w="3945" w:type="dxa"/>
            <w:shd w:val="clear" w:color="auto" w:fill="auto"/>
          </w:tcPr>
          <w:p>
            <w:pPr>
              <w:pStyle w:val="7"/>
            </w:pPr>
            <w:r>
              <w:rPr>
                <w:rFonts w:hint="eastAsia"/>
              </w:rPr>
              <w:t xml:space="preserve">合计 </w:t>
            </w:r>
          </w:p>
        </w:tc>
        <w:tc>
          <w:tcPr>
            <w:tcW w:w="2625" w:type="dxa"/>
            <w:shd w:val="clear" w:color="auto" w:fill="auto"/>
          </w:tcPr>
          <w:p>
            <w:pPr>
              <w:pStyle w:val="7"/>
              <w:jc w:val="right"/>
            </w:pPr>
            <w:r>
              <w:rPr>
                <w:rFonts w:hint="eastAsia"/>
              </w:rPr>
              <w:t xml:space="preserve">767,587,629.25 </w:t>
            </w:r>
          </w:p>
        </w:tc>
        <w:tc>
          <w:tcPr>
            <w:tcW w:w="2595"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b/>
          <w:bCs/>
          <w:sz w:val="21"/>
          <w:szCs w:val="21"/>
        </w:rPr>
        <w:t>2报告期末按行业分类的股票投资组合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2937"/>
        <w:gridCol w:w="2750"/>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代码 </w:t>
            </w:r>
          </w:p>
        </w:tc>
        <w:tc>
          <w:tcPr>
            <w:tcW w:w="3525" w:type="dxa"/>
            <w:shd w:val="clear" w:color="auto" w:fill="auto"/>
          </w:tcPr>
          <w:p>
            <w:pPr>
              <w:pStyle w:val="7"/>
              <w:jc w:val="center"/>
            </w:pPr>
            <w:r>
              <w:rPr>
                <w:rFonts w:hint="eastAsia"/>
              </w:rPr>
              <w:t xml:space="preserve">行业类别 </w:t>
            </w:r>
          </w:p>
        </w:tc>
        <w:tc>
          <w:tcPr>
            <w:tcW w:w="2985" w:type="dxa"/>
            <w:shd w:val="clear" w:color="auto" w:fill="auto"/>
          </w:tcPr>
          <w:p>
            <w:pPr>
              <w:pStyle w:val="7"/>
              <w:jc w:val="center"/>
            </w:pPr>
            <w:r>
              <w:rPr>
                <w:rFonts w:hint="eastAsia"/>
              </w:rPr>
              <w:t xml:space="preserve">公允价值（元） </w:t>
            </w:r>
          </w:p>
        </w:tc>
        <w:tc>
          <w:tcPr>
            <w:tcW w:w="256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A </w:t>
            </w:r>
          </w:p>
        </w:tc>
        <w:tc>
          <w:tcPr>
            <w:tcW w:w="3525" w:type="dxa"/>
            <w:shd w:val="clear" w:color="auto" w:fill="auto"/>
          </w:tcPr>
          <w:p>
            <w:pPr>
              <w:pStyle w:val="7"/>
              <w:ind w:left="105"/>
            </w:pPr>
            <w:r>
              <w:rPr>
                <w:rFonts w:hint="eastAsia"/>
              </w:rPr>
              <w:t xml:space="preserve">农、林、牧、渔业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B </w:t>
            </w:r>
          </w:p>
        </w:tc>
        <w:tc>
          <w:tcPr>
            <w:tcW w:w="3525" w:type="dxa"/>
            <w:shd w:val="clear" w:color="auto" w:fill="auto"/>
          </w:tcPr>
          <w:p>
            <w:pPr>
              <w:pStyle w:val="7"/>
              <w:ind w:left="105"/>
            </w:pPr>
            <w:r>
              <w:rPr>
                <w:rFonts w:hint="eastAsia"/>
              </w:rPr>
              <w:t xml:space="preserve">采矿业 </w:t>
            </w:r>
          </w:p>
        </w:tc>
        <w:tc>
          <w:tcPr>
            <w:tcW w:w="2985" w:type="dxa"/>
            <w:shd w:val="clear" w:color="auto" w:fill="auto"/>
          </w:tcPr>
          <w:p>
            <w:pPr>
              <w:pStyle w:val="7"/>
              <w:jc w:val="right"/>
            </w:pPr>
            <w:r>
              <w:rPr>
                <w:rFonts w:hint="eastAsia"/>
              </w:rPr>
              <w:t xml:space="preserve">1,960,520.89 </w:t>
            </w:r>
          </w:p>
        </w:tc>
        <w:tc>
          <w:tcPr>
            <w:tcW w:w="2565" w:type="dxa"/>
            <w:shd w:val="clear" w:color="auto" w:fill="auto"/>
          </w:tcPr>
          <w:p>
            <w:pPr>
              <w:pStyle w:val="7"/>
              <w:jc w:val="right"/>
            </w:pPr>
            <w:r>
              <w:rPr>
                <w:rFonts w:hint="eastAsia"/>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C </w:t>
            </w:r>
          </w:p>
        </w:tc>
        <w:tc>
          <w:tcPr>
            <w:tcW w:w="3525" w:type="dxa"/>
            <w:shd w:val="clear" w:color="auto" w:fill="auto"/>
          </w:tcPr>
          <w:p>
            <w:pPr>
              <w:pStyle w:val="7"/>
              <w:ind w:left="105"/>
            </w:pPr>
            <w:r>
              <w:rPr>
                <w:rFonts w:hint="eastAsia"/>
              </w:rPr>
              <w:t xml:space="preserve">制造业 </w:t>
            </w:r>
          </w:p>
        </w:tc>
        <w:tc>
          <w:tcPr>
            <w:tcW w:w="2985" w:type="dxa"/>
            <w:shd w:val="clear" w:color="auto" w:fill="auto"/>
          </w:tcPr>
          <w:p>
            <w:pPr>
              <w:pStyle w:val="7"/>
              <w:jc w:val="right"/>
            </w:pPr>
            <w:r>
              <w:rPr>
                <w:rFonts w:hint="eastAsia"/>
              </w:rPr>
              <w:t xml:space="preserve">665,122,528.47 </w:t>
            </w:r>
          </w:p>
        </w:tc>
        <w:tc>
          <w:tcPr>
            <w:tcW w:w="2565" w:type="dxa"/>
            <w:shd w:val="clear" w:color="auto" w:fill="auto"/>
          </w:tcPr>
          <w:p>
            <w:pPr>
              <w:pStyle w:val="7"/>
              <w:jc w:val="right"/>
            </w:pPr>
            <w:r>
              <w:rPr>
                <w:rFonts w:hint="eastAsia"/>
              </w:rPr>
              <w:t xml:space="preserve">86.94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D </w:t>
            </w:r>
          </w:p>
        </w:tc>
        <w:tc>
          <w:tcPr>
            <w:tcW w:w="3525" w:type="dxa"/>
            <w:shd w:val="clear" w:color="auto" w:fill="auto"/>
          </w:tcPr>
          <w:p>
            <w:pPr>
              <w:pStyle w:val="7"/>
              <w:ind w:left="105"/>
            </w:pPr>
            <w:r>
              <w:rPr>
                <w:rFonts w:hint="eastAsia"/>
              </w:rPr>
              <w:t xml:space="preserve">电力、热力、燃气及水生产和供应业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E </w:t>
            </w:r>
          </w:p>
        </w:tc>
        <w:tc>
          <w:tcPr>
            <w:tcW w:w="3525" w:type="dxa"/>
            <w:shd w:val="clear" w:color="auto" w:fill="auto"/>
          </w:tcPr>
          <w:p>
            <w:pPr>
              <w:pStyle w:val="7"/>
              <w:ind w:left="105"/>
            </w:pPr>
            <w:r>
              <w:rPr>
                <w:rFonts w:hint="eastAsia"/>
              </w:rPr>
              <w:t xml:space="preserve">建筑业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F </w:t>
            </w:r>
          </w:p>
        </w:tc>
        <w:tc>
          <w:tcPr>
            <w:tcW w:w="3525" w:type="dxa"/>
            <w:shd w:val="clear" w:color="auto" w:fill="auto"/>
          </w:tcPr>
          <w:p>
            <w:pPr>
              <w:pStyle w:val="7"/>
              <w:ind w:left="105"/>
            </w:pPr>
            <w:r>
              <w:rPr>
                <w:rFonts w:hint="eastAsia"/>
              </w:rPr>
              <w:t xml:space="preserve">批发和零售业 </w:t>
            </w:r>
          </w:p>
        </w:tc>
        <w:tc>
          <w:tcPr>
            <w:tcW w:w="2985" w:type="dxa"/>
            <w:shd w:val="clear" w:color="auto" w:fill="auto"/>
          </w:tcPr>
          <w:p>
            <w:pPr>
              <w:pStyle w:val="7"/>
              <w:jc w:val="right"/>
            </w:pPr>
            <w:r>
              <w:rPr>
                <w:rFonts w:hint="eastAsia"/>
              </w:rPr>
              <w:t xml:space="preserve">21,401.16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G </w:t>
            </w:r>
          </w:p>
        </w:tc>
        <w:tc>
          <w:tcPr>
            <w:tcW w:w="3525" w:type="dxa"/>
            <w:shd w:val="clear" w:color="auto" w:fill="auto"/>
          </w:tcPr>
          <w:p>
            <w:pPr>
              <w:pStyle w:val="7"/>
              <w:ind w:left="105"/>
            </w:pPr>
            <w:r>
              <w:rPr>
                <w:rFonts w:hint="eastAsia"/>
              </w:rPr>
              <w:t xml:space="preserve">交通运输、仓储和邮政业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H </w:t>
            </w:r>
          </w:p>
        </w:tc>
        <w:tc>
          <w:tcPr>
            <w:tcW w:w="3525" w:type="dxa"/>
            <w:shd w:val="clear" w:color="auto" w:fill="auto"/>
          </w:tcPr>
          <w:p>
            <w:pPr>
              <w:pStyle w:val="7"/>
              <w:ind w:left="105"/>
            </w:pPr>
            <w:r>
              <w:rPr>
                <w:rFonts w:hint="eastAsia"/>
              </w:rPr>
              <w:t xml:space="preserve">住宿和餐饮业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I </w:t>
            </w:r>
          </w:p>
        </w:tc>
        <w:tc>
          <w:tcPr>
            <w:tcW w:w="3525" w:type="dxa"/>
            <w:shd w:val="clear" w:color="auto" w:fill="auto"/>
          </w:tcPr>
          <w:p>
            <w:pPr>
              <w:pStyle w:val="7"/>
              <w:ind w:left="105"/>
            </w:pPr>
            <w:r>
              <w:rPr>
                <w:rFonts w:hint="eastAsia"/>
              </w:rPr>
              <w:t xml:space="preserve">信息传输、软件和信息技术服务业 </w:t>
            </w:r>
          </w:p>
        </w:tc>
        <w:tc>
          <w:tcPr>
            <w:tcW w:w="2985" w:type="dxa"/>
            <w:shd w:val="clear" w:color="auto" w:fill="auto"/>
          </w:tcPr>
          <w:p>
            <w:pPr>
              <w:pStyle w:val="7"/>
              <w:jc w:val="right"/>
            </w:pPr>
            <w:r>
              <w:rPr>
                <w:rFonts w:hint="eastAsia"/>
              </w:rPr>
              <w:t xml:space="preserve">26,301,866.82 </w:t>
            </w:r>
          </w:p>
        </w:tc>
        <w:tc>
          <w:tcPr>
            <w:tcW w:w="2565" w:type="dxa"/>
            <w:shd w:val="clear" w:color="auto" w:fill="auto"/>
          </w:tcPr>
          <w:p>
            <w:pPr>
              <w:pStyle w:val="7"/>
              <w:jc w:val="right"/>
            </w:pPr>
            <w:r>
              <w:rPr>
                <w:rFonts w:hint="eastAsia"/>
              </w:rPr>
              <w:t xml:space="preserve">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J </w:t>
            </w:r>
          </w:p>
        </w:tc>
        <w:tc>
          <w:tcPr>
            <w:tcW w:w="3525" w:type="dxa"/>
            <w:shd w:val="clear" w:color="auto" w:fill="auto"/>
          </w:tcPr>
          <w:p>
            <w:pPr>
              <w:pStyle w:val="7"/>
              <w:ind w:left="105"/>
            </w:pPr>
            <w:r>
              <w:rPr>
                <w:rFonts w:hint="eastAsia"/>
              </w:rPr>
              <w:t xml:space="preserve">金融业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K </w:t>
            </w:r>
          </w:p>
        </w:tc>
        <w:tc>
          <w:tcPr>
            <w:tcW w:w="3525" w:type="dxa"/>
            <w:shd w:val="clear" w:color="auto" w:fill="auto"/>
          </w:tcPr>
          <w:p>
            <w:pPr>
              <w:pStyle w:val="7"/>
              <w:ind w:left="105"/>
            </w:pPr>
            <w:r>
              <w:rPr>
                <w:rFonts w:hint="eastAsia"/>
              </w:rPr>
              <w:t xml:space="preserve">房地产业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L </w:t>
            </w:r>
          </w:p>
        </w:tc>
        <w:tc>
          <w:tcPr>
            <w:tcW w:w="3525" w:type="dxa"/>
            <w:shd w:val="clear" w:color="auto" w:fill="auto"/>
          </w:tcPr>
          <w:p>
            <w:pPr>
              <w:pStyle w:val="7"/>
              <w:ind w:left="105"/>
            </w:pPr>
            <w:r>
              <w:rPr>
                <w:rFonts w:hint="eastAsia"/>
              </w:rPr>
              <w:t xml:space="preserve">租赁和商务服务业 </w:t>
            </w:r>
          </w:p>
        </w:tc>
        <w:tc>
          <w:tcPr>
            <w:tcW w:w="2985" w:type="dxa"/>
            <w:shd w:val="clear" w:color="auto" w:fill="auto"/>
          </w:tcPr>
          <w:p>
            <w:pPr>
              <w:pStyle w:val="7"/>
              <w:jc w:val="right"/>
            </w:pPr>
            <w:r>
              <w:rPr>
                <w:rFonts w:hint="eastAsia"/>
              </w:rPr>
              <w:t xml:space="preserve">19,959.78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M </w:t>
            </w:r>
          </w:p>
        </w:tc>
        <w:tc>
          <w:tcPr>
            <w:tcW w:w="3525" w:type="dxa"/>
            <w:shd w:val="clear" w:color="auto" w:fill="auto"/>
          </w:tcPr>
          <w:p>
            <w:pPr>
              <w:pStyle w:val="7"/>
              <w:ind w:left="105"/>
            </w:pPr>
            <w:r>
              <w:rPr>
                <w:rFonts w:hint="eastAsia"/>
              </w:rPr>
              <w:t xml:space="preserve">科学研究和技术服务业 </w:t>
            </w:r>
          </w:p>
        </w:tc>
        <w:tc>
          <w:tcPr>
            <w:tcW w:w="2985" w:type="dxa"/>
            <w:shd w:val="clear" w:color="auto" w:fill="auto"/>
          </w:tcPr>
          <w:p>
            <w:pPr>
              <w:pStyle w:val="7"/>
              <w:jc w:val="right"/>
            </w:pPr>
            <w:r>
              <w:rPr>
                <w:rFonts w:hint="eastAsia"/>
              </w:rPr>
              <w:t xml:space="preserve">37,894.59 </w:t>
            </w:r>
          </w:p>
        </w:tc>
        <w:tc>
          <w:tcPr>
            <w:tcW w:w="2565"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N </w:t>
            </w:r>
          </w:p>
        </w:tc>
        <w:tc>
          <w:tcPr>
            <w:tcW w:w="3525" w:type="dxa"/>
            <w:shd w:val="clear" w:color="auto" w:fill="auto"/>
          </w:tcPr>
          <w:p>
            <w:pPr>
              <w:pStyle w:val="7"/>
              <w:ind w:left="105"/>
            </w:pPr>
            <w:r>
              <w:rPr>
                <w:rFonts w:hint="eastAsia"/>
              </w:rPr>
              <w:t xml:space="preserve">水利、环境和公共设施管理业 </w:t>
            </w:r>
          </w:p>
        </w:tc>
        <w:tc>
          <w:tcPr>
            <w:tcW w:w="2985" w:type="dxa"/>
            <w:shd w:val="clear" w:color="auto" w:fill="auto"/>
          </w:tcPr>
          <w:p>
            <w:pPr>
              <w:pStyle w:val="7"/>
              <w:jc w:val="right"/>
            </w:pPr>
            <w:r>
              <w:rPr>
                <w:rFonts w:hint="eastAsia"/>
              </w:rPr>
              <w:t xml:space="preserve">267,689.50 </w:t>
            </w:r>
          </w:p>
        </w:tc>
        <w:tc>
          <w:tcPr>
            <w:tcW w:w="2565" w:type="dxa"/>
            <w:shd w:val="clear" w:color="auto" w:fill="auto"/>
          </w:tcPr>
          <w:p>
            <w:pPr>
              <w:pStyle w:val="7"/>
              <w:jc w:val="right"/>
            </w:pPr>
            <w:r>
              <w:rPr>
                <w:rFonts w:hint="eastAsia"/>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O </w:t>
            </w:r>
          </w:p>
        </w:tc>
        <w:tc>
          <w:tcPr>
            <w:tcW w:w="3525" w:type="dxa"/>
            <w:shd w:val="clear" w:color="auto" w:fill="auto"/>
          </w:tcPr>
          <w:p>
            <w:pPr>
              <w:pStyle w:val="7"/>
              <w:ind w:left="105"/>
            </w:pPr>
            <w:r>
              <w:rPr>
                <w:rFonts w:hint="eastAsia"/>
              </w:rPr>
              <w:t xml:space="preserve">居民服务、修理和其他服务业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P </w:t>
            </w:r>
          </w:p>
        </w:tc>
        <w:tc>
          <w:tcPr>
            <w:tcW w:w="3525" w:type="dxa"/>
            <w:shd w:val="clear" w:color="auto" w:fill="auto"/>
          </w:tcPr>
          <w:p>
            <w:pPr>
              <w:pStyle w:val="7"/>
              <w:ind w:left="105"/>
            </w:pPr>
            <w:r>
              <w:rPr>
                <w:rFonts w:hint="eastAsia"/>
              </w:rPr>
              <w:t xml:space="preserve">教育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Q </w:t>
            </w:r>
          </w:p>
        </w:tc>
        <w:tc>
          <w:tcPr>
            <w:tcW w:w="3525" w:type="dxa"/>
            <w:shd w:val="clear" w:color="auto" w:fill="auto"/>
          </w:tcPr>
          <w:p>
            <w:pPr>
              <w:pStyle w:val="7"/>
              <w:ind w:left="105"/>
            </w:pPr>
            <w:r>
              <w:rPr>
                <w:rFonts w:hint="eastAsia"/>
              </w:rPr>
              <w:t xml:space="preserve">卫生和社会工作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pStyle w:val="7"/>
              <w:jc w:val="center"/>
            </w:pPr>
            <w:r>
              <w:rPr>
                <w:rFonts w:hint="eastAsia"/>
              </w:rPr>
              <w:t xml:space="preserve">R </w:t>
            </w:r>
          </w:p>
        </w:tc>
        <w:tc>
          <w:tcPr>
            <w:tcW w:w="3525" w:type="dxa"/>
            <w:shd w:val="clear" w:color="auto" w:fill="auto"/>
          </w:tcPr>
          <w:p>
            <w:pPr>
              <w:pStyle w:val="7"/>
              <w:ind w:left="105"/>
            </w:pPr>
            <w:r>
              <w:rPr>
                <w:rFonts w:hint="eastAsia"/>
              </w:rPr>
              <w:t xml:space="preserve">文化、体育和娱乐业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shd w:val="clear" w:color="auto" w:fill="auto"/>
          </w:tcPr>
          <w:p>
            <w:pPr>
              <w:pStyle w:val="7"/>
              <w:jc w:val="center"/>
            </w:pPr>
            <w:r>
              <w:rPr>
                <w:rFonts w:hint="eastAsia"/>
              </w:rPr>
              <w:t xml:space="preserve">S </w:t>
            </w:r>
          </w:p>
        </w:tc>
        <w:tc>
          <w:tcPr>
            <w:tcW w:w="3525" w:type="dxa"/>
            <w:shd w:val="clear" w:color="auto" w:fill="auto"/>
          </w:tcPr>
          <w:p>
            <w:pPr>
              <w:pStyle w:val="7"/>
              <w:ind w:left="105"/>
            </w:pPr>
            <w:r>
              <w:rPr>
                <w:rFonts w:hint="eastAsia"/>
              </w:rPr>
              <w:t xml:space="preserve">综合 </w:t>
            </w:r>
          </w:p>
        </w:tc>
        <w:tc>
          <w:tcPr>
            <w:tcW w:w="2985" w:type="dxa"/>
            <w:shd w:val="clear" w:color="auto" w:fill="auto"/>
          </w:tcPr>
          <w:p>
            <w:pPr>
              <w:pStyle w:val="7"/>
              <w:jc w:val="right"/>
            </w:pPr>
            <w:r>
              <w:rPr>
                <w:rFonts w:hint="eastAsia"/>
              </w:rPr>
              <w:t xml:space="preserve">- </w:t>
            </w:r>
          </w:p>
        </w:tc>
        <w:tc>
          <w:tcPr>
            <w:tcW w:w="256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shd w:val="clear" w:color="auto" w:fill="auto"/>
          </w:tcPr>
          <w:p>
            <w:pPr>
              <w:rPr>
                <w:rFonts w:ascii="宋体" w:hAnsi="宋体" w:eastAsia="宋体" w:cs="宋体"/>
                <w:sz w:val="24"/>
                <w:szCs w:val="24"/>
              </w:rPr>
            </w:pPr>
          </w:p>
        </w:tc>
        <w:tc>
          <w:tcPr>
            <w:tcW w:w="3525" w:type="dxa"/>
            <w:shd w:val="clear" w:color="auto" w:fill="auto"/>
          </w:tcPr>
          <w:p>
            <w:pPr>
              <w:pStyle w:val="7"/>
              <w:ind w:left="105"/>
            </w:pPr>
            <w:r>
              <w:rPr>
                <w:rFonts w:hint="eastAsia"/>
              </w:rPr>
              <w:t xml:space="preserve">合计 </w:t>
            </w:r>
          </w:p>
        </w:tc>
        <w:tc>
          <w:tcPr>
            <w:tcW w:w="2985" w:type="dxa"/>
            <w:shd w:val="clear" w:color="auto" w:fill="auto"/>
          </w:tcPr>
          <w:p>
            <w:pPr>
              <w:pStyle w:val="7"/>
              <w:jc w:val="right"/>
            </w:pPr>
            <w:r>
              <w:rPr>
                <w:rFonts w:hint="eastAsia"/>
              </w:rPr>
              <w:t xml:space="preserve">693,731,861.21 </w:t>
            </w:r>
          </w:p>
        </w:tc>
        <w:tc>
          <w:tcPr>
            <w:tcW w:w="2565" w:type="dxa"/>
            <w:shd w:val="clear" w:color="auto" w:fill="auto"/>
          </w:tcPr>
          <w:p>
            <w:pPr>
              <w:pStyle w:val="7"/>
              <w:jc w:val="right"/>
            </w:pPr>
            <w:r>
              <w:rPr>
                <w:rFonts w:hint="eastAsia"/>
              </w:rPr>
              <w:t xml:space="preserve">90.68 </w:t>
            </w:r>
          </w:p>
        </w:tc>
      </w:tr>
    </w:tbl>
    <w:p>
      <w:pPr>
        <w:pStyle w:val="7"/>
        <w:spacing w:before="0" w:beforeAutospacing="0" w:after="0" w:afterAutospacing="0" w:line="360" w:lineRule="auto"/>
        <w:ind w:firstLine="420"/>
        <w:rPr>
          <w:sz w:val="21"/>
          <w:szCs w:val="21"/>
        </w:rPr>
      </w:pPr>
      <w:r>
        <w:rPr>
          <w:rFonts w:hint="eastAsia"/>
          <w:b/>
          <w:bCs/>
          <w:sz w:val="21"/>
          <w:szCs w:val="21"/>
        </w:rPr>
        <w:t>3报告期末按公允价值占基金资产净值比例大小排序的前十名股票投资明细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234"/>
        <w:gridCol w:w="1097"/>
        <w:gridCol w:w="1635"/>
        <w:gridCol w:w="1873"/>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1380" w:type="dxa"/>
            <w:shd w:val="clear" w:color="auto" w:fill="auto"/>
          </w:tcPr>
          <w:p>
            <w:pPr>
              <w:pStyle w:val="7"/>
              <w:jc w:val="center"/>
            </w:pPr>
            <w:r>
              <w:rPr>
                <w:rFonts w:hint="eastAsia"/>
              </w:rPr>
              <w:t xml:space="preserve">股票代码 </w:t>
            </w:r>
          </w:p>
        </w:tc>
        <w:tc>
          <w:tcPr>
            <w:tcW w:w="1410" w:type="dxa"/>
            <w:shd w:val="clear" w:color="auto" w:fill="auto"/>
          </w:tcPr>
          <w:p>
            <w:pPr>
              <w:pStyle w:val="7"/>
              <w:jc w:val="center"/>
            </w:pPr>
            <w:r>
              <w:rPr>
                <w:rFonts w:hint="eastAsia"/>
              </w:rPr>
              <w:t xml:space="preserve">股票名称 </w:t>
            </w:r>
          </w:p>
        </w:tc>
        <w:tc>
          <w:tcPr>
            <w:tcW w:w="1800" w:type="dxa"/>
            <w:shd w:val="clear" w:color="auto" w:fill="auto"/>
          </w:tcPr>
          <w:p>
            <w:pPr>
              <w:pStyle w:val="7"/>
              <w:jc w:val="center"/>
            </w:pPr>
            <w:r>
              <w:rPr>
                <w:rFonts w:hint="eastAsia"/>
              </w:rPr>
              <w:t xml:space="preserve">数量(股) </w:t>
            </w:r>
          </w:p>
        </w:tc>
        <w:tc>
          <w:tcPr>
            <w:tcW w:w="1920" w:type="dxa"/>
            <w:shd w:val="clear" w:color="auto" w:fill="auto"/>
          </w:tcPr>
          <w:p>
            <w:pPr>
              <w:pStyle w:val="7"/>
              <w:jc w:val="center"/>
            </w:pPr>
            <w:r>
              <w:rPr>
                <w:rFonts w:hint="eastAsia"/>
              </w:rPr>
              <w:t xml:space="preserve">公允价值(元) </w:t>
            </w:r>
          </w:p>
        </w:tc>
        <w:tc>
          <w:tcPr>
            <w:tcW w:w="265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 </w:t>
            </w:r>
          </w:p>
        </w:tc>
        <w:tc>
          <w:tcPr>
            <w:tcW w:w="1380" w:type="dxa"/>
            <w:shd w:val="clear" w:color="auto" w:fill="auto"/>
          </w:tcPr>
          <w:p>
            <w:pPr>
              <w:pStyle w:val="7"/>
              <w:jc w:val="center"/>
            </w:pPr>
            <w:r>
              <w:rPr>
                <w:rFonts w:hint="eastAsia"/>
              </w:rPr>
              <w:t xml:space="preserve">603799 </w:t>
            </w:r>
          </w:p>
        </w:tc>
        <w:tc>
          <w:tcPr>
            <w:tcW w:w="1410" w:type="dxa"/>
            <w:shd w:val="clear" w:color="auto" w:fill="auto"/>
          </w:tcPr>
          <w:p>
            <w:pPr>
              <w:pStyle w:val="7"/>
              <w:jc w:val="center"/>
            </w:pPr>
            <w:r>
              <w:rPr>
                <w:rFonts w:hint="eastAsia"/>
              </w:rPr>
              <w:t xml:space="preserve">华友钴业 </w:t>
            </w:r>
          </w:p>
        </w:tc>
        <w:tc>
          <w:tcPr>
            <w:tcW w:w="1800" w:type="dxa"/>
            <w:shd w:val="clear" w:color="auto" w:fill="auto"/>
          </w:tcPr>
          <w:p>
            <w:pPr>
              <w:pStyle w:val="7"/>
              <w:jc w:val="right"/>
            </w:pPr>
            <w:r>
              <w:rPr>
                <w:rFonts w:hint="eastAsia"/>
              </w:rPr>
              <w:t xml:space="preserve">572,604 </w:t>
            </w:r>
          </w:p>
        </w:tc>
        <w:tc>
          <w:tcPr>
            <w:tcW w:w="1920" w:type="dxa"/>
            <w:shd w:val="clear" w:color="auto" w:fill="auto"/>
          </w:tcPr>
          <w:p>
            <w:pPr>
              <w:pStyle w:val="7"/>
              <w:jc w:val="right"/>
            </w:pPr>
            <w:r>
              <w:rPr>
                <w:rFonts w:hint="eastAsia"/>
              </w:rPr>
              <w:t xml:space="preserve">54,752,394.48 </w:t>
            </w:r>
          </w:p>
        </w:tc>
        <w:tc>
          <w:tcPr>
            <w:tcW w:w="2655" w:type="dxa"/>
            <w:shd w:val="clear" w:color="auto" w:fill="auto"/>
          </w:tcPr>
          <w:p>
            <w:pPr>
              <w:pStyle w:val="7"/>
              <w:jc w:val="right"/>
            </w:pPr>
            <w:r>
              <w:rPr>
                <w:rFonts w:hint="eastAsia"/>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1380" w:type="dxa"/>
            <w:shd w:val="clear" w:color="auto" w:fill="auto"/>
          </w:tcPr>
          <w:p>
            <w:pPr>
              <w:pStyle w:val="7"/>
              <w:jc w:val="center"/>
            </w:pPr>
            <w:r>
              <w:rPr>
                <w:rFonts w:hint="eastAsia"/>
              </w:rPr>
              <w:t xml:space="preserve">600416 </w:t>
            </w:r>
          </w:p>
        </w:tc>
        <w:tc>
          <w:tcPr>
            <w:tcW w:w="1410" w:type="dxa"/>
            <w:shd w:val="clear" w:color="auto" w:fill="auto"/>
          </w:tcPr>
          <w:p>
            <w:pPr>
              <w:pStyle w:val="7"/>
              <w:jc w:val="center"/>
            </w:pPr>
            <w:r>
              <w:rPr>
                <w:rFonts w:hint="eastAsia"/>
              </w:rPr>
              <w:t xml:space="preserve">湘电股份 </w:t>
            </w:r>
          </w:p>
        </w:tc>
        <w:tc>
          <w:tcPr>
            <w:tcW w:w="1800" w:type="dxa"/>
            <w:shd w:val="clear" w:color="auto" w:fill="auto"/>
          </w:tcPr>
          <w:p>
            <w:pPr>
              <w:pStyle w:val="7"/>
              <w:jc w:val="right"/>
            </w:pPr>
            <w:r>
              <w:rPr>
                <w:rFonts w:hint="eastAsia"/>
              </w:rPr>
              <w:t xml:space="preserve">2,816,590 </w:t>
            </w:r>
          </w:p>
        </w:tc>
        <w:tc>
          <w:tcPr>
            <w:tcW w:w="1920" w:type="dxa"/>
            <w:shd w:val="clear" w:color="auto" w:fill="auto"/>
          </w:tcPr>
          <w:p>
            <w:pPr>
              <w:pStyle w:val="7"/>
              <w:jc w:val="right"/>
            </w:pPr>
            <w:r>
              <w:rPr>
                <w:rFonts w:hint="eastAsia"/>
              </w:rPr>
              <w:t xml:space="preserve">53,402,546.40 </w:t>
            </w:r>
          </w:p>
        </w:tc>
        <w:tc>
          <w:tcPr>
            <w:tcW w:w="2655" w:type="dxa"/>
            <w:shd w:val="clear" w:color="auto" w:fill="auto"/>
          </w:tcPr>
          <w:p>
            <w:pPr>
              <w:pStyle w:val="7"/>
              <w:jc w:val="right"/>
            </w:pPr>
            <w:r>
              <w:rPr>
                <w:rFonts w:hint="eastAsia"/>
              </w:rPr>
              <w:t xml:space="preserve">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3 </w:t>
            </w:r>
          </w:p>
        </w:tc>
        <w:tc>
          <w:tcPr>
            <w:tcW w:w="1380" w:type="dxa"/>
            <w:shd w:val="clear" w:color="auto" w:fill="auto"/>
          </w:tcPr>
          <w:p>
            <w:pPr>
              <w:pStyle w:val="7"/>
              <w:jc w:val="center"/>
            </w:pPr>
            <w:r>
              <w:rPr>
                <w:rFonts w:hint="eastAsia"/>
              </w:rPr>
              <w:t xml:space="preserve">601012 </w:t>
            </w:r>
          </w:p>
        </w:tc>
        <w:tc>
          <w:tcPr>
            <w:tcW w:w="1410" w:type="dxa"/>
            <w:shd w:val="clear" w:color="auto" w:fill="auto"/>
          </w:tcPr>
          <w:p>
            <w:pPr>
              <w:pStyle w:val="7"/>
              <w:jc w:val="center"/>
            </w:pPr>
            <w:r>
              <w:rPr>
                <w:rFonts w:hint="eastAsia"/>
              </w:rPr>
              <w:t xml:space="preserve">隆基绿能 </w:t>
            </w:r>
          </w:p>
        </w:tc>
        <w:tc>
          <w:tcPr>
            <w:tcW w:w="1800" w:type="dxa"/>
            <w:shd w:val="clear" w:color="auto" w:fill="auto"/>
          </w:tcPr>
          <w:p>
            <w:pPr>
              <w:pStyle w:val="7"/>
              <w:jc w:val="right"/>
            </w:pPr>
            <w:r>
              <w:rPr>
                <w:rFonts w:hint="eastAsia"/>
              </w:rPr>
              <w:t xml:space="preserve">760,676 </w:t>
            </w:r>
          </w:p>
        </w:tc>
        <w:tc>
          <w:tcPr>
            <w:tcW w:w="1920" w:type="dxa"/>
            <w:shd w:val="clear" w:color="auto" w:fill="auto"/>
          </w:tcPr>
          <w:p>
            <w:pPr>
              <w:pStyle w:val="7"/>
              <w:jc w:val="right"/>
            </w:pPr>
            <w:r>
              <w:rPr>
                <w:rFonts w:hint="eastAsia"/>
              </w:rPr>
              <w:t xml:space="preserve">50,683,841.88 </w:t>
            </w:r>
          </w:p>
        </w:tc>
        <w:tc>
          <w:tcPr>
            <w:tcW w:w="2655" w:type="dxa"/>
            <w:shd w:val="clear" w:color="auto" w:fill="auto"/>
          </w:tcPr>
          <w:p>
            <w:pPr>
              <w:pStyle w:val="7"/>
              <w:jc w:val="right"/>
            </w:pPr>
            <w:r>
              <w:rPr>
                <w:rFonts w:hint="eastAsia"/>
              </w:rPr>
              <w:t xml:space="preserve">6.63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4 </w:t>
            </w:r>
          </w:p>
        </w:tc>
        <w:tc>
          <w:tcPr>
            <w:tcW w:w="1380" w:type="dxa"/>
            <w:shd w:val="clear" w:color="auto" w:fill="auto"/>
          </w:tcPr>
          <w:p>
            <w:pPr>
              <w:pStyle w:val="7"/>
              <w:jc w:val="center"/>
            </w:pPr>
            <w:r>
              <w:rPr>
                <w:rFonts w:hint="eastAsia"/>
              </w:rPr>
              <w:t xml:space="preserve">002466 </w:t>
            </w:r>
          </w:p>
        </w:tc>
        <w:tc>
          <w:tcPr>
            <w:tcW w:w="1410" w:type="dxa"/>
            <w:shd w:val="clear" w:color="auto" w:fill="auto"/>
          </w:tcPr>
          <w:p>
            <w:pPr>
              <w:pStyle w:val="7"/>
              <w:jc w:val="center"/>
            </w:pPr>
            <w:r>
              <w:rPr>
                <w:rFonts w:hint="eastAsia"/>
              </w:rPr>
              <w:t xml:space="preserve">天齐锂业 </w:t>
            </w:r>
          </w:p>
        </w:tc>
        <w:tc>
          <w:tcPr>
            <w:tcW w:w="1800" w:type="dxa"/>
            <w:shd w:val="clear" w:color="auto" w:fill="auto"/>
          </w:tcPr>
          <w:p>
            <w:pPr>
              <w:pStyle w:val="7"/>
              <w:jc w:val="right"/>
            </w:pPr>
            <w:r>
              <w:rPr>
                <w:rFonts w:hint="eastAsia"/>
              </w:rPr>
              <w:t xml:space="preserve">372,500 </w:t>
            </w:r>
          </w:p>
        </w:tc>
        <w:tc>
          <w:tcPr>
            <w:tcW w:w="1920" w:type="dxa"/>
            <w:shd w:val="clear" w:color="auto" w:fill="auto"/>
          </w:tcPr>
          <w:p>
            <w:pPr>
              <w:pStyle w:val="7"/>
              <w:jc w:val="right"/>
            </w:pPr>
            <w:r>
              <w:rPr>
                <w:rFonts w:hint="eastAsia"/>
              </w:rPr>
              <w:t xml:space="preserve">46,488,000.00 </w:t>
            </w:r>
          </w:p>
        </w:tc>
        <w:tc>
          <w:tcPr>
            <w:tcW w:w="2655" w:type="dxa"/>
            <w:shd w:val="clear" w:color="auto" w:fill="auto"/>
          </w:tcPr>
          <w:p>
            <w:pPr>
              <w:pStyle w:val="7"/>
              <w:jc w:val="right"/>
            </w:pPr>
            <w:r>
              <w:rPr>
                <w:rFonts w:hint="eastAsia"/>
              </w:rPr>
              <w:t xml:space="preserve">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pStyle w:val="7"/>
              <w:jc w:val="center"/>
            </w:pPr>
            <w:r>
              <w:rPr>
                <w:rFonts w:hint="eastAsia"/>
              </w:rPr>
              <w:t xml:space="preserve">5 </w:t>
            </w:r>
          </w:p>
        </w:tc>
        <w:tc>
          <w:tcPr>
            <w:tcW w:w="1380" w:type="dxa"/>
            <w:shd w:val="clear" w:color="auto" w:fill="auto"/>
          </w:tcPr>
          <w:p>
            <w:pPr>
              <w:pStyle w:val="7"/>
              <w:jc w:val="center"/>
            </w:pPr>
            <w:r>
              <w:rPr>
                <w:rFonts w:hint="eastAsia"/>
              </w:rPr>
              <w:t xml:space="preserve">300014 </w:t>
            </w:r>
          </w:p>
        </w:tc>
        <w:tc>
          <w:tcPr>
            <w:tcW w:w="1410" w:type="dxa"/>
            <w:shd w:val="clear" w:color="auto" w:fill="auto"/>
          </w:tcPr>
          <w:p>
            <w:pPr>
              <w:pStyle w:val="7"/>
              <w:jc w:val="center"/>
            </w:pPr>
            <w:r>
              <w:rPr>
                <w:rFonts w:hint="eastAsia"/>
              </w:rPr>
              <w:t xml:space="preserve">亿纬锂能 </w:t>
            </w:r>
          </w:p>
        </w:tc>
        <w:tc>
          <w:tcPr>
            <w:tcW w:w="1800" w:type="dxa"/>
            <w:shd w:val="clear" w:color="auto" w:fill="auto"/>
          </w:tcPr>
          <w:p>
            <w:pPr>
              <w:pStyle w:val="7"/>
              <w:jc w:val="right"/>
            </w:pPr>
            <w:r>
              <w:rPr>
                <w:rFonts w:hint="eastAsia"/>
              </w:rPr>
              <w:t xml:space="preserve">310,755 </w:t>
            </w:r>
          </w:p>
        </w:tc>
        <w:tc>
          <w:tcPr>
            <w:tcW w:w="1920" w:type="dxa"/>
            <w:shd w:val="clear" w:color="auto" w:fill="auto"/>
          </w:tcPr>
          <w:p>
            <w:pPr>
              <w:pStyle w:val="7"/>
              <w:jc w:val="right"/>
            </w:pPr>
            <w:r>
              <w:rPr>
                <w:rFonts w:hint="eastAsia"/>
              </w:rPr>
              <w:t xml:space="preserve">30,298,612.50 </w:t>
            </w:r>
          </w:p>
        </w:tc>
        <w:tc>
          <w:tcPr>
            <w:tcW w:w="2655" w:type="dxa"/>
            <w:shd w:val="clear" w:color="auto" w:fill="auto"/>
          </w:tcPr>
          <w:p>
            <w:pPr>
              <w:pStyle w:val="7"/>
              <w:jc w:val="right"/>
            </w:pPr>
            <w:r>
              <w:rPr>
                <w:rFonts w:hint="eastAsia"/>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6 </w:t>
            </w:r>
          </w:p>
        </w:tc>
        <w:tc>
          <w:tcPr>
            <w:tcW w:w="1380" w:type="dxa"/>
            <w:shd w:val="clear" w:color="auto" w:fill="auto"/>
          </w:tcPr>
          <w:p>
            <w:pPr>
              <w:pStyle w:val="7"/>
              <w:jc w:val="center"/>
            </w:pPr>
            <w:r>
              <w:rPr>
                <w:rFonts w:hint="eastAsia"/>
              </w:rPr>
              <w:t xml:space="preserve">688187 </w:t>
            </w:r>
          </w:p>
        </w:tc>
        <w:tc>
          <w:tcPr>
            <w:tcW w:w="1410" w:type="dxa"/>
            <w:shd w:val="clear" w:color="auto" w:fill="auto"/>
          </w:tcPr>
          <w:p>
            <w:pPr>
              <w:pStyle w:val="7"/>
              <w:jc w:val="center"/>
            </w:pPr>
            <w:r>
              <w:rPr>
                <w:rFonts w:hint="eastAsia"/>
              </w:rPr>
              <w:t xml:space="preserve">时代电气 </w:t>
            </w:r>
          </w:p>
        </w:tc>
        <w:tc>
          <w:tcPr>
            <w:tcW w:w="1800" w:type="dxa"/>
            <w:shd w:val="clear" w:color="auto" w:fill="auto"/>
          </w:tcPr>
          <w:p>
            <w:pPr>
              <w:pStyle w:val="7"/>
              <w:jc w:val="right"/>
            </w:pPr>
            <w:r>
              <w:rPr>
                <w:rFonts w:hint="eastAsia"/>
              </w:rPr>
              <w:t xml:space="preserve">458,689 </w:t>
            </w:r>
          </w:p>
        </w:tc>
        <w:tc>
          <w:tcPr>
            <w:tcW w:w="1920" w:type="dxa"/>
            <w:shd w:val="clear" w:color="auto" w:fill="auto"/>
          </w:tcPr>
          <w:p>
            <w:pPr>
              <w:pStyle w:val="7"/>
              <w:jc w:val="right"/>
            </w:pPr>
            <w:r>
              <w:rPr>
                <w:rFonts w:hint="eastAsia"/>
              </w:rPr>
              <w:t xml:space="preserve">29,810,198.11 </w:t>
            </w:r>
          </w:p>
        </w:tc>
        <w:tc>
          <w:tcPr>
            <w:tcW w:w="2655" w:type="dxa"/>
            <w:shd w:val="clear" w:color="auto" w:fill="auto"/>
          </w:tcPr>
          <w:p>
            <w:pPr>
              <w:pStyle w:val="7"/>
              <w:jc w:val="right"/>
            </w:pPr>
            <w:r>
              <w:rPr>
                <w:rFonts w:hint="eastAsia"/>
              </w:rPr>
              <w:t xml:space="preserve">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7 </w:t>
            </w:r>
          </w:p>
        </w:tc>
        <w:tc>
          <w:tcPr>
            <w:tcW w:w="1380" w:type="dxa"/>
            <w:shd w:val="clear" w:color="auto" w:fill="auto"/>
          </w:tcPr>
          <w:p>
            <w:pPr>
              <w:pStyle w:val="7"/>
              <w:jc w:val="center"/>
            </w:pPr>
            <w:r>
              <w:rPr>
                <w:rFonts w:hint="eastAsia"/>
              </w:rPr>
              <w:t xml:space="preserve">300750 </w:t>
            </w:r>
          </w:p>
        </w:tc>
        <w:tc>
          <w:tcPr>
            <w:tcW w:w="1410" w:type="dxa"/>
            <w:shd w:val="clear" w:color="auto" w:fill="auto"/>
          </w:tcPr>
          <w:p>
            <w:pPr>
              <w:pStyle w:val="7"/>
              <w:jc w:val="center"/>
            </w:pPr>
            <w:r>
              <w:rPr>
                <w:rFonts w:hint="eastAsia"/>
              </w:rPr>
              <w:t xml:space="preserve">宁德时代 </w:t>
            </w:r>
          </w:p>
        </w:tc>
        <w:tc>
          <w:tcPr>
            <w:tcW w:w="1800" w:type="dxa"/>
            <w:shd w:val="clear" w:color="auto" w:fill="auto"/>
          </w:tcPr>
          <w:p>
            <w:pPr>
              <w:pStyle w:val="7"/>
              <w:jc w:val="right"/>
            </w:pPr>
            <w:r>
              <w:rPr>
                <w:rFonts w:hint="eastAsia"/>
              </w:rPr>
              <w:t xml:space="preserve">55,400 </w:t>
            </w:r>
          </w:p>
        </w:tc>
        <w:tc>
          <w:tcPr>
            <w:tcW w:w="1920" w:type="dxa"/>
            <w:shd w:val="clear" w:color="auto" w:fill="auto"/>
          </w:tcPr>
          <w:p>
            <w:pPr>
              <w:pStyle w:val="7"/>
              <w:jc w:val="right"/>
            </w:pPr>
            <w:r>
              <w:rPr>
                <w:rFonts w:hint="eastAsia"/>
              </w:rPr>
              <w:t xml:space="preserve">29,583,600.00 </w:t>
            </w:r>
          </w:p>
        </w:tc>
        <w:tc>
          <w:tcPr>
            <w:tcW w:w="2655" w:type="dxa"/>
            <w:shd w:val="clear" w:color="auto" w:fill="auto"/>
          </w:tcPr>
          <w:p>
            <w:pPr>
              <w:pStyle w:val="7"/>
              <w:jc w:val="right"/>
            </w:pPr>
            <w:r>
              <w:rPr>
                <w:rFonts w:hint="eastAsia"/>
              </w:rPr>
              <w:t xml:space="preserve">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pStyle w:val="7"/>
              <w:jc w:val="center"/>
            </w:pPr>
            <w:r>
              <w:rPr>
                <w:rFonts w:hint="eastAsia"/>
              </w:rPr>
              <w:t xml:space="preserve">8 </w:t>
            </w:r>
          </w:p>
        </w:tc>
        <w:tc>
          <w:tcPr>
            <w:tcW w:w="1380" w:type="dxa"/>
            <w:shd w:val="clear" w:color="auto" w:fill="auto"/>
          </w:tcPr>
          <w:p>
            <w:pPr>
              <w:pStyle w:val="7"/>
              <w:jc w:val="center"/>
            </w:pPr>
            <w:r>
              <w:rPr>
                <w:rFonts w:hint="eastAsia"/>
              </w:rPr>
              <w:t xml:space="preserve">300763 </w:t>
            </w:r>
          </w:p>
        </w:tc>
        <w:tc>
          <w:tcPr>
            <w:tcW w:w="1410" w:type="dxa"/>
            <w:shd w:val="clear" w:color="auto" w:fill="auto"/>
          </w:tcPr>
          <w:p>
            <w:pPr>
              <w:pStyle w:val="7"/>
              <w:jc w:val="center"/>
            </w:pPr>
            <w:r>
              <w:rPr>
                <w:rFonts w:hint="eastAsia"/>
              </w:rPr>
              <w:t xml:space="preserve">锦浪科技 </w:t>
            </w:r>
          </w:p>
        </w:tc>
        <w:tc>
          <w:tcPr>
            <w:tcW w:w="1800" w:type="dxa"/>
            <w:shd w:val="clear" w:color="auto" w:fill="auto"/>
          </w:tcPr>
          <w:p>
            <w:pPr>
              <w:pStyle w:val="7"/>
              <w:jc w:val="right"/>
            </w:pPr>
            <w:r>
              <w:rPr>
                <w:rFonts w:hint="eastAsia"/>
              </w:rPr>
              <w:t xml:space="preserve">133,650 </w:t>
            </w:r>
          </w:p>
        </w:tc>
        <w:tc>
          <w:tcPr>
            <w:tcW w:w="1920" w:type="dxa"/>
            <w:shd w:val="clear" w:color="auto" w:fill="auto"/>
          </w:tcPr>
          <w:p>
            <w:pPr>
              <w:pStyle w:val="7"/>
              <w:jc w:val="right"/>
            </w:pPr>
            <w:r>
              <w:rPr>
                <w:rFonts w:hint="eastAsia"/>
              </w:rPr>
              <w:t xml:space="preserve">28,467,450.00 </w:t>
            </w:r>
          </w:p>
        </w:tc>
        <w:tc>
          <w:tcPr>
            <w:tcW w:w="2655" w:type="dxa"/>
            <w:shd w:val="clear" w:color="auto" w:fill="auto"/>
          </w:tcPr>
          <w:p>
            <w:pPr>
              <w:pStyle w:val="7"/>
              <w:jc w:val="right"/>
            </w:pPr>
            <w:r>
              <w:rPr>
                <w:rFonts w:hint="eastAsia"/>
              </w:rPr>
              <w:t xml:space="preserve">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9 </w:t>
            </w:r>
          </w:p>
        </w:tc>
        <w:tc>
          <w:tcPr>
            <w:tcW w:w="1380" w:type="dxa"/>
            <w:shd w:val="clear" w:color="auto" w:fill="auto"/>
          </w:tcPr>
          <w:p>
            <w:pPr>
              <w:pStyle w:val="7"/>
              <w:jc w:val="center"/>
            </w:pPr>
            <w:r>
              <w:rPr>
                <w:rFonts w:hint="eastAsia"/>
              </w:rPr>
              <w:t xml:space="preserve">002460 </w:t>
            </w:r>
          </w:p>
        </w:tc>
        <w:tc>
          <w:tcPr>
            <w:tcW w:w="1410" w:type="dxa"/>
            <w:shd w:val="clear" w:color="auto" w:fill="auto"/>
          </w:tcPr>
          <w:p>
            <w:pPr>
              <w:pStyle w:val="7"/>
              <w:jc w:val="center"/>
            </w:pPr>
            <w:r>
              <w:rPr>
                <w:rFonts w:hint="eastAsia"/>
              </w:rPr>
              <w:t xml:space="preserve">赣锋锂业 </w:t>
            </w:r>
          </w:p>
        </w:tc>
        <w:tc>
          <w:tcPr>
            <w:tcW w:w="1800" w:type="dxa"/>
            <w:shd w:val="clear" w:color="auto" w:fill="auto"/>
          </w:tcPr>
          <w:p>
            <w:pPr>
              <w:pStyle w:val="7"/>
              <w:jc w:val="right"/>
            </w:pPr>
            <w:r>
              <w:rPr>
                <w:rFonts w:hint="eastAsia"/>
              </w:rPr>
              <w:t xml:space="preserve">185,800 </w:t>
            </w:r>
          </w:p>
        </w:tc>
        <w:tc>
          <w:tcPr>
            <w:tcW w:w="1920" w:type="dxa"/>
            <w:shd w:val="clear" w:color="auto" w:fill="auto"/>
          </w:tcPr>
          <w:p>
            <w:pPr>
              <w:pStyle w:val="7"/>
              <w:jc w:val="right"/>
            </w:pPr>
            <w:r>
              <w:rPr>
                <w:rFonts w:hint="eastAsia"/>
              </w:rPr>
              <w:t xml:space="preserve">27,628,460.00 </w:t>
            </w:r>
          </w:p>
        </w:tc>
        <w:tc>
          <w:tcPr>
            <w:tcW w:w="2655" w:type="dxa"/>
            <w:shd w:val="clear" w:color="auto" w:fill="auto"/>
          </w:tcPr>
          <w:p>
            <w:pPr>
              <w:pStyle w:val="7"/>
              <w:jc w:val="right"/>
            </w:pPr>
            <w:r>
              <w:rPr>
                <w:rFonts w:hint="eastAsia"/>
              </w:rPr>
              <w:t xml:space="preserve">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10 </w:t>
            </w:r>
          </w:p>
        </w:tc>
        <w:tc>
          <w:tcPr>
            <w:tcW w:w="1380" w:type="dxa"/>
            <w:shd w:val="clear" w:color="auto" w:fill="auto"/>
          </w:tcPr>
          <w:p>
            <w:pPr>
              <w:pStyle w:val="7"/>
              <w:jc w:val="center"/>
            </w:pPr>
            <w:r>
              <w:rPr>
                <w:rFonts w:hint="eastAsia"/>
              </w:rPr>
              <w:t xml:space="preserve">688032 </w:t>
            </w:r>
          </w:p>
        </w:tc>
        <w:tc>
          <w:tcPr>
            <w:tcW w:w="1410" w:type="dxa"/>
            <w:shd w:val="clear" w:color="auto" w:fill="auto"/>
          </w:tcPr>
          <w:p>
            <w:pPr>
              <w:pStyle w:val="7"/>
              <w:jc w:val="center"/>
            </w:pPr>
            <w:r>
              <w:rPr>
                <w:rFonts w:hint="eastAsia"/>
              </w:rPr>
              <w:t xml:space="preserve">禾迈股份 </w:t>
            </w:r>
          </w:p>
        </w:tc>
        <w:tc>
          <w:tcPr>
            <w:tcW w:w="1800" w:type="dxa"/>
            <w:shd w:val="clear" w:color="auto" w:fill="auto"/>
          </w:tcPr>
          <w:p>
            <w:pPr>
              <w:pStyle w:val="7"/>
              <w:jc w:val="right"/>
            </w:pPr>
            <w:r>
              <w:rPr>
                <w:rFonts w:hint="eastAsia"/>
              </w:rPr>
              <w:t xml:space="preserve">30,447 </w:t>
            </w:r>
          </w:p>
        </w:tc>
        <w:tc>
          <w:tcPr>
            <w:tcW w:w="1920" w:type="dxa"/>
            <w:shd w:val="clear" w:color="auto" w:fill="auto"/>
          </w:tcPr>
          <w:p>
            <w:pPr>
              <w:pStyle w:val="7"/>
              <w:jc w:val="right"/>
            </w:pPr>
            <w:r>
              <w:rPr>
                <w:rFonts w:hint="eastAsia"/>
              </w:rPr>
              <w:t xml:space="preserve">26,519,337.00 </w:t>
            </w:r>
          </w:p>
        </w:tc>
        <w:tc>
          <w:tcPr>
            <w:tcW w:w="2655" w:type="dxa"/>
            <w:shd w:val="clear" w:color="auto" w:fill="auto"/>
          </w:tcPr>
          <w:p>
            <w:pPr>
              <w:pStyle w:val="7"/>
              <w:jc w:val="right"/>
            </w:pPr>
            <w:r>
              <w:rPr>
                <w:rFonts w:hint="eastAsia"/>
              </w:rPr>
              <w:t xml:space="preserve">3.47 </w:t>
            </w:r>
          </w:p>
        </w:tc>
      </w:tr>
    </w:tbl>
    <w:p>
      <w:pPr>
        <w:pStyle w:val="7"/>
        <w:spacing w:before="0" w:beforeAutospacing="0" w:after="0" w:afterAutospacing="0" w:line="360" w:lineRule="auto"/>
        <w:ind w:firstLine="420"/>
        <w:rPr>
          <w:sz w:val="21"/>
          <w:szCs w:val="21"/>
        </w:rPr>
      </w:pPr>
      <w:r>
        <w:rPr>
          <w:rFonts w:hint="eastAsia"/>
          <w:b/>
          <w:bCs/>
          <w:sz w:val="21"/>
          <w:szCs w:val="21"/>
        </w:rPr>
        <w:t>4报告期末按债券品种分类的债券投资组合</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82"/>
        <w:gridCol w:w="307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2220" w:type="dxa"/>
            <w:shd w:val="clear" w:color="auto" w:fill="auto"/>
          </w:tcPr>
          <w:p>
            <w:pPr>
              <w:pStyle w:val="7"/>
              <w:jc w:val="center"/>
            </w:pPr>
            <w:r>
              <w:rPr>
                <w:rFonts w:hint="eastAsia"/>
              </w:rPr>
              <w:t xml:space="preserve">债券品种 </w:t>
            </w:r>
          </w:p>
        </w:tc>
        <w:tc>
          <w:tcPr>
            <w:tcW w:w="3480" w:type="dxa"/>
            <w:shd w:val="clear" w:color="auto" w:fill="auto"/>
          </w:tcPr>
          <w:p>
            <w:pPr>
              <w:pStyle w:val="7"/>
              <w:jc w:val="center"/>
            </w:pPr>
            <w:r>
              <w:rPr>
                <w:rFonts w:hint="eastAsia"/>
              </w:rPr>
              <w:t xml:space="preserve">公允价值(元) </w:t>
            </w:r>
          </w:p>
        </w:tc>
        <w:tc>
          <w:tcPr>
            <w:tcW w:w="348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 </w:t>
            </w:r>
          </w:p>
        </w:tc>
        <w:tc>
          <w:tcPr>
            <w:tcW w:w="2220" w:type="dxa"/>
            <w:shd w:val="clear" w:color="auto" w:fill="auto"/>
          </w:tcPr>
          <w:p>
            <w:pPr>
              <w:pStyle w:val="7"/>
            </w:pPr>
            <w:r>
              <w:rPr>
                <w:rFonts w:hint="eastAsia"/>
              </w:rPr>
              <w:t xml:space="preserve">国家债券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2220" w:type="dxa"/>
            <w:shd w:val="clear" w:color="auto" w:fill="auto"/>
          </w:tcPr>
          <w:p>
            <w:pPr>
              <w:pStyle w:val="7"/>
            </w:pPr>
            <w:r>
              <w:rPr>
                <w:rFonts w:hint="eastAsia"/>
              </w:rPr>
              <w:t xml:space="preserve">央行票据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3 </w:t>
            </w:r>
          </w:p>
        </w:tc>
        <w:tc>
          <w:tcPr>
            <w:tcW w:w="2220" w:type="dxa"/>
            <w:shd w:val="clear" w:color="auto" w:fill="auto"/>
          </w:tcPr>
          <w:p>
            <w:pPr>
              <w:pStyle w:val="7"/>
            </w:pPr>
            <w:r>
              <w:rPr>
                <w:rFonts w:hint="eastAsia"/>
              </w:rPr>
              <w:t xml:space="preserve">金融债券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rPr>
                <w:rFonts w:ascii="宋体" w:hAnsi="宋体" w:eastAsia="宋体" w:cs="宋体"/>
                <w:sz w:val="24"/>
                <w:szCs w:val="24"/>
              </w:rPr>
            </w:pPr>
          </w:p>
        </w:tc>
        <w:tc>
          <w:tcPr>
            <w:tcW w:w="2220" w:type="dxa"/>
            <w:shd w:val="clear" w:color="auto" w:fill="auto"/>
          </w:tcPr>
          <w:p>
            <w:pPr>
              <w:pStyle w:val="7"/>
            </w:pPr>
            <w:r>
              <w:rPr>
                <w:rFonts w:hint="eastAsia"/>
              </w:rPr>
              <w:t xml:space="preserve">其中：政策性金融债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4 </w:t>
            </w:r>
          </w:p>
        </w:tc>
        <w:tc>
          <w:tcPr>
            <w:tcW w:w="2220" w:type="dxa"/>
            <w:shd w:val="clear" w:color="auto" w:fill="auto"/>
          </w:tcPr>
          <w:p>
            <w:pPr>
              <w:pStyle w:val="7"/>
            </w:pPr>
            <w:r>
              <w:rPr>
                <w:rFonts w:hint="eastAsia"/>
              </w:rPr>
              <w:t xml:space="preserve">企业债券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5 </w:t>
            </w:r>
          </w:p>
        </w:tc>
        <w:tc>
          <w:tcPr>
            <w:tcW w:w="2220" w:type="dxa"/>
            <w:shd w:val="clear" w:color="auto" w:fill="auto"/>
          </w:tcPr>
          <w:p>
            <w:pPr>
              <w:pStyle w:val="7"/>
            </w:pPr>
            <w:r>
              <w:rPr>
                <w:rFonts w:hint="eastAsia"/>
              </w:rPr>
              <w:t xml:space="preserve">企业短期融资券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6 </w:t>
            </w:r>
          </w:p>
        </w:tc>
        <w:tc>
          <w:tcPr>
            <w:tcW w:w="2220" w:type="dxa"/>
            <w:shd w:val="clear" w:color="auto" w:fill="auto"/>
          </w:tcPr>
          <w:p>
            <w:pPr>
              <w:pStyle w:val="7"/>
            </w:pPr>
            <w:r>
              <w:rPr>
                <w:rFonts w:hint="eastAsia"/>
              </w:rPr>
              <w:t xml:space="preserve">中期票据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7 </w:t>
            </w:r>
          </w:p>
        </w:tc>
        <w:tc>
          <w:tcPr>
            <w:tcW w:w="2220" w:type="dxa"/>
            <w:shd w:val="clear" w:color="auto" w:fill="auto"/>
          </w:tcPr>
          <w:p>
            <w:pPr>
              <w:pStyle w:val="7"/>
            </w:pPr>
            <w:r>
              <w:rPr>
                <w:rFonts w:hint="eastAsia"/>
              </w:rPr>
              <w:t xml:space="preserve">可转债（可交换债） </w:t>
            </w:r>
          </w:p>
        </w:tc>
        <w:tc>
          <w:tcPr>
            <w:tcW w:w="3480" w:type="dxa"/>
            <w:shd w:val="clear" w:color="auto" w:fill="auto"/>
          </w:tcPr>
          <w:p>
            <w:pPr>
              <w:pStyle w:val="7"/>
              <w:jc w:val="right"/>
            </w:pPr>
            <w:r>
              <w:rPr>
                <w:rFonts w:hint="eastAsia"/>
              </w:rPr>
              <w:t xml:space="preserve">4,297,948.78 </w:t>
            </w:r>
          </w:p>
        </w:tc>
        <w:tc>
          <w:tcPr>
            <w:tcW w:w="3480" w:type="dxa"/>
            <w:shd w:val="clear" w:color="auto" w:fill="auto"/>
          </w:tcPr>
          <w:p>
            <w:pPr>
              <w:pStyle w:val="7"/>
              <w:jc w:val="right"/>
            </w:pPr>
            <w:r>
              <w:rPr>
                <w:rFonts w:hint="eastAsia"/>
              </w:rPr>
              <w:t xml:space="preserve">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8 </w:t>
            </w:r>
          </w:p>
        </w:tc>
        <w:tc>
          <w:tcPr>
            <w:tcW w:w="2220" w:type="dxa"/>
            <w:shd w:val="clear" w:color="auto" w:fill="auto"/>
          </w:tcPr>
          <w:p>
            <w:pPr>
              <w:pStyle w:val="7"/>
            </w:pPr>
            <w:r>
              <w:rPr>
                <w:rFonts w:hint="eastAsia"/>
              </w:rPr>
              <w:t xml:space="preserve">同业存单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9 </w:t>
            </w:r>
          </w:p>
        </w:tc>
        <w:tc>
          <w:tcPr>
            <w:tcW w:w="2220" w:type="dxa"/>
            <w:shd w:val="clear" w:color="auto" w:fill="auto"/>
          </w:tcPr>
          <w:p>
            <w:pPr>
              <w:pStyle w:val="7"/>
            </w:pPr>
            <w:r>
              <w:rPr>
                <w:rFonts w:hint="eastAsia"/>
              </w:rPr>
              <w:t xml:space="preserve">其他 </w:t>
            </w:r>
          </w:p>
        </w:tc>
        <w:tc>
          <w:tcPr>
            <w:tcW w:w="3480" w:type="dxa"/>
            <w:shd w:val="clear" w:color="auto" w:fill="auto"/>
          </w:tcPr>
          <w:p>
            <w:pPr>
              <w:pStyle w:val="7"/>
              <w:jc w:val="right"/>
            </w:pPr>
            <w:r>
              <w:rPr>
                <w:rFonts w:hint="eastAsia"/>
              </w:rPr>
              <w:t xml:space="preserve">- </w:t>
            </w:r>
          </w:p>
        </w:tc>
        <w:tc>
          <w:tcPr>
            <w:tcW w:w="348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shd w:val="clear" w:color="auto" w:fill="auto"/>
          </w:tcPr>
          <w:p>
            <w:pPr>
              <w:pStyle w:val="7"/>
              <w:jc w:val="center"/>
            </w:pPr>
            <w:r>
              <w:rPr>
                <w:rFonts w:hint="eastAsia"/>
              </w:rPr>
              <w:t xml:space="preserve">10 </w:t>
            </w:r>
          </w:p>
        </w:tc>
        <w:tc>
          <w:tcPr>
            <w:tcW w:w="2220" w:type="dxa"/>
            <w:shd w:val="clear" w:color="auto" w:fill="auto"/>
          </w:tcPr>
          <w:p>
            <w:pPr>
              <w:pStyle w:val="7"/>
            </w:pPr>
            <w:r>
              <w:rPr>
                <w:rFonts w:hint="eastAsia"/>
              </w:rPr>
              <w:t xml:space="preserve">合计 </w:t>
            </w:r>
          </w:p>
        </w:tc>
        <w:tc>
          <w:tcPr>
            <w:tcW w:w="3480" w:type="dxa"/>
            <w:shd w:val="clear" w:color="auto" w:fill="auto"/>
          </w:tcPr>
          <w:p>
            <w:pPr>
              <w:pStyle w:val="7"/>
              <w:jc w:val="right"/>
            </w:pPr>
            <w:r>
              <w:rPr>
                <w:rFonts w:hint="eastAsia"/>
              </w:rPr>
              <w:t xml:space="preserve">4,297,948.78 </w:t>
            </w:r>
          </w:p>
        </w:tc>
        <w:tc>
          <w:tcPr>
            <w:tcW w:w="3480" w:type="dxa"/>
            <w:shd w:val="clear" w:color="auto" w:fill="auto"/>
          </w:tcPr>
          <w:p>
            <w:pPr>
              <w:pStyle w:val="7"/>
              <w:jc w:val="right"/>
            </w:pPr>
            <w:r>
              <w:rPr>
                <w:rFonts w:hint="eastAsia"/>
              </w:rPr>
              <w:t xml:space="preserve">0.56 </w:t>
            </w:r>
          </w:p>
        </w:tc>
      </w:tr>
    </w:tbl>
    <w:p>
      <w:pPr>
        <w:pStyle w:val="7"/>
        <w:spacing w:before="0" w:beforeAutospacing="0" w:after="0" w:afterAutospacing="0" w:line="360" w:lineRule="auto"/>
        <w:ind w:firstLine="420"/>
        <w:rPr>
          <w:sz w:val="21"/>
          <w:szCs w:val="21"/>
        </w:rPr>
      </w:pPr>
      <w:r>
        <w:rPr>
          <w:rFonts w:hint="eastAsia"/>
          <w:b/>
          <w:bCs/>
          <w:sz w:val="21"/>
          <w:szCs w:val="21"/>
        </w:rPr>
        <w:t>5报告期末按公允价值占基金资产净值比例大小排序的前五名债券投资明细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232"/>
        <w:gridCol w:w="1300"/>
        <w:gridCol w:w="1366"/>
        <w:gridCol w:w="1776"/>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序号 </w:t>
            </w:r>
          </w:p>
        </w:tc>
        <w:tc>
          <w:tcPr>
            <w:tcW w:w="1365" w:type="dxa"/>
            <w:shd w:val="clear" w:color="auto" w:fill="auto"/>
          </w:tcPr>
          <w:p>
            <w:pPr>
              <w:pStyle w:val="7"/>
              <w:jc w:val="center"/>
            </w:pPr>
            <w:r>
              <w:rPr>
                <w:rFonts w:hint="eastAsia"/>
              </w:rPr>
              <w:t xml:space="preserve">债券代码 </w:t>
            </w:r>
          </w:p>
        </w:tc>
        <w:tc>
          <w:tcPr>
            <w:tcW w:w="1680" w:type="dxa"/>
            <w:shd w:val="clear" w:color="auto" w:fill="auto"/>
          </w:tcPr>
          <w:p>
            <w:pPr>
              <w:pStyle w:val="7"/>
              <w:jc w:val="center"/>
            </w:pPr>
            <w:r>
              <w:rPr>
                <w:rFonts w:hint="eastAsia"/>
              </w:rPr>
              <w:t xml:space="preserve">债券名称 </w:t>
            </w:r>
          </w:p>
        </w:tc>
        <w:tc>
          <w:tcPr>
            <w:tcW w:w="1560" w:type="dxa"/>
            <w:shd w:val="clear" w:color="auto" w:fill="auto"/>
          </w:tcPr>
          <w:p>
            <w:pPr>
              <w:pStyle w:val="7"/>
              <w:jc w:val="center"/>
            </w:pPr>
            <w:r>
              <w:rPr>
                <w:rFonts w:hint="eastAsia"/>
              </w:rPr>
              <w:t xml:space="preserve">数量（张） </w:t>
            </w:r>
          </w:p>
        </w:tc>
        <w:tc>
          <w:tcPr>
            <w:tcW w:w="1830" w:type="dxa"/>
            <w:shd w:val="clear" w:color="auto" w:fill="auto"/>
          </w:tcPr>
          <w:p>
            <w:pPr>
              <w:pStyle w:val="7"/>
              <w:jc w:val="center"/>
            </w:pPr>
            <w:r>
              <w:rPr>
                <w:rFonts w:hint="eastAsia"/>
              </w:rPr>
              <w:t xml:space="preserve">公允价值(元) </w:t>
            </w:r>
          </w:p>
        </w:tc>
        <w:tc>
          <w:tcPr>
            <w:tcW w:w="273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1 </w:t>
            </w:r>
          </w:p>
        </w:tc>
        <w:tc>
          <w:tcPr>
            <w:tcW w:w="1365" w:type="dxa"/>
            <w:shd w:val="clear" w:color="auto" w:fill="auto"/>
          </w:tcPr>
          <w:p>
            <w:pPr>
              <w:pStyle w:val="7"/>
              <w:jc w:val="center"/>
            </w:pPr>
            <w:r>
              <w:rPr>
                <w:rFonts w:hint="eastAsia"/>
              </w:rPr>
              <w:t xml:space="preserve">113641 </w:t>
            </w:r>
          </w:p>
        </w:tc>
        <w:tc>
          <w:tcPr>
            <w:tcW w:w="1680" w:type="dxa"/>
            <w:shd w:val="clear" w:color="auto" w:fill="auto"/>
          </w:tcPr>
          <w:p>
            <w:pPr>
              <w:pStyle w:val="7"/>
              <w:jc w:val="center"/>
            </w:pPr>
            <w:r>
              <w:rPr>
                <w:rFonts w:hint="eastAsia"/>
              </w:rPr>
              <w:t xml:space="preserve">华友转债 </w:t>
            </w:r>
          </w:p>
        </w:tc>
        <w:tc>
          <w:tcPr>
            <w:tcW w:w="1560" w:type="dxa"/>
            <w:shd w:val="clear" w:color="auto" w:fill="auto"/>
          </w:tcPr>
          <w:p>
            <w:pPr>
              <w:pStyle w:val="7"/>
              <w:jc w:val="right"/>
            </w:pPr>
            <w:r>
              <w:rPr>
                <w:rFonts w:hint="eastAsia"/>
              </w:rPr>
              <w:t xml:space="preserve">27,400 </w:t>
            </w:r>
          </w:p>
        </w:tc>
        <w:tc>
          <w:tcPr>
            <w:tcW w:w="1830" w:type="dxa"/>
            <w:shd w:val="clear" w:color="auto" w:fill="auto"/>
          </w:tcPr>
          <w:p>
            <w:pPr>
              <w:pStyle w:val="7"/>
              <w:jc w:val="right"/>
            </w:pPr>
            <w:r>
              <w:rPr>
                <w:rFonts w:hint="eastAsia"/>
              </w:rPr>
              <w:t xml:space="preserve">3,690,935.39 </w:t>
            </w:r>
          </w:p>
        </w:tc>
        <w:tc>
          <w:tcPr>
            <w:tcW w:w="2730" w:type="dxa"/>
            <w:shd w:val="clear" w:color="auto" w:fill="auto"/>
          </w:tcPr>
          <w:p>
            <w:pPr>
              <w:pStyle w:val="7"/>
              <w:jc w:val="right"/>
            </w:pPr>
            <w:r>
              <w:rPr>
                <w:rFonts w:hint="eastAsia"/>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tcPr>
          <w:p>
            <w:pPr>
              <w:pStyle w:val="7"/>
              <w:jc w:val="center"/>
            </w:pPr>
            <w:r>
              <w:rPr>
                <w:rFonts w:hint="eastAsia"/>
              </w:rPr>
              <w:t xml:space="preserve">2 </w:t>
            </w:r>
          </w:p>
        </w:tc>
        <w:tc>
          <w:tcPr>
            <w:tcW w:w="1365" w:type="dxa"/>
            <w:shd w:val="clear" w:color="auto" w:fill="auto"/>
          </w:tcPr>
          <w:p>
            <w:pPr>
              <w:pStyle w:val="7"/>
              <w:jc w:val="center"/>
            </w:pPr>
            <w:r>
              <w:rPr>
                <w:rFonts w:hint="eastAsia"/>
              </w:rPr>
              <w:t xml:space="preserve">113053 </w:t>
            </w:r>
          </w:p>
        </w:tc>
        <w:tc>
          <w:tcPr>
            <w:tcW w:w="1680" w:type="dxa"/>
            <w:shd w:val="clear" w:color="auto" w:fill="auto"/>
          </w:tcPr>
          <w:p>
            <w:pPr>
              <w:pStyle w:val="7"/>
              <w:jc w:val="center"/>
            </w:pPr>
            <w:r>
              <w:rPr>
                <w:rFonts w:hint="eastAsia"/>
              </w:rPr>
              <w:t xml:space="preserve">隆22转债 </w:t>
            </w:r>
          </w:p>
        </w:tc>
        <w:tc>
          <w:tcPr>
            <w:tcW w:w="1560" w:type="dxa"/>
            <w:shd w:val="clear" w:color="auto" w:fill="auto"/>
          </w:tcPr>
          <w:p>
            <w:pPr>
              <w:pStyle w:val="7"/>
              <w:jc w:val="right"/>
            </w:pPr>
            <w:r>
              <w:rPr>
                <w:rFonts w:hint="eastAsia"/>
              </w:rPr>
              <w:t xml:space="preserve">4,400 </w:t>
            </w:r>
          </w:p>
        </w:tc>
        <w:tc>
          <w:tcPr>
            <w:tcW w:w="1830" w:type="dxa"/>
            <w:shd w:val="clear" w:color="auto" w:fill="auto"/>
          </w:tcPr>
          <w:p>
            <w:pPr>
              <w:pStyle w:val="7"/>
              <w:jc w:val="right"/>
            </w:pPr>
            <w:r>
              <w:rPr>
                <w:rFonts w:hint="eastAsia"/>
              </w:rPr>
              <w:t xml:space="preserve">607,013.39 </w:t>
            </w:r>
          </w:p>
        </w:tc>
        <w:tc>
          <w:tcPr>
            <w:tcW w:w="2730" w:type="dxa"/>
            <w:shd w:val="clear" w:color="auto" w:fill="auto"/>
          </w:tcPr>
          <w:p>
            <w:pPr>
              <w:pStyle w:val="7"/>
              <w:jc w:val="right"/>
            </w:pPr>
            <w:r>
              <w:rPr>
                <w:rFonts w:hint="eastAsia"/>
              </w:rPr>
              <w:t xml:space="preserve">0.08 </w:t>
            </w:r>
          </w:p>
        </w:tc>
      </w:tr>
    </w:tbl>
    <w:p>
      <w:pPr>
        <w:pStyle w:val="7"/>
        <w:spacing w:before="0" w:beforeAutospacing="0" w:after="0" w:afterAutospacing="0" w:line="360" w:lineRule="auto"/>
        <w:ind w:firstLine="420"/>
        <w:rPr>
          <w:sz w:val="21"/>
          <w:szCs w:val="21"/>
        </w:rPr>
      </w:pPr>
      <w:r>
        <w:rPr>
          <w:rFonts w:hint="eastAsia"/>
          <w:b/>
          <w:bCs/>
          <w:sz w:val="21"/>
          <w:szCs w:val="21"/>
        </w:rPr>
        <w:t>6报告期末按公允价值占基金资产净值比例大小排序的前十名资产支持证券投资明细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b/>
          <w:bCs/>
          <w:sz w:val="21"/>
          <w:szCs w:val="21"/>
        </w:rPr>
        <w:t>7报告期末按公允价值占基金资产净值比例大小排序的前五名贵金属投资明细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b/>
          <w:bCs/>
          <w:sz w:val="21"/>
          <w:szCs w:val="21"/>
        </w:rPr>
        <w:t>8报告期末按公允价值占基金资产净值比例大小排序的前五名权证投资明细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b/>
          <w:bCs/>
          <w:sz w:val="21"/>
          <w:szCs w:val="21"/>
        </w:rPr>
        <w:t>9报告期末本基金投资的股指期货交易情况说明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b/>
          <w:bCs/>
          <w:sz w:val="21"/>
          <w:szCs w:val="21"/>
        </w:rPr>
        <w:t>10报告期末本基金投资的国债期货交易情况说明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本基金本报告期末未持仓国债期货。 </w:t>
      </w:r>
    </w:p>
    <w:p>
      <w:pPr>
        <w:pStyle w:val="7"/>
        <w:spacing w:before="0" w:beforeAutospacing="0" w:after="0" w:afterAutospacing="0" w:line="360" w:lineRule="auto"/>
        <w:ind w:firstLine="420"/>
        <w:rPr>
          <w:sz w:val="21"/>
          <w:szCs w:val="21"/>
        </w:rPr>
      </w:pPr>
      <w:r>
        <w:rPr>
          <w:rFonts w:hint="eastAsia"/>
          <w:b/>
          <w:bCs/>
          <w:sz w:val="21"/>
          <w:szCs w:val="21"/>
        </w:rPr>
        <w:t>11投资组合报告附注</w:t>
      </w:r>
    </w:p>
    <w:p>
      <w:pPr>
        <w:pStyle w:val="7"/>
        <w:spacing w:before="0" w:beforeAutospacing="0" w:after="0" w:afterAutospacing="0" w:line="360" w:lineRule="auto"/>
        <w:ind w:firstLine="420"/>
        <w:rPr>
          <w:sz w:val="21"/>
          <w:szCs w:val="21"/>
        </w:rPr>
      </w:pPr>
      <w:r>
        <w:rPr>
          <w:rFonts w:hint="eastAsia"/>
          <w:b/>
          <w:bCs/>
          <w:sz w:val="21"/>
          <w:szCs w:val="21"/>
        </w:rPr>
        <w:t>11.1基金投资前十名证券的发行主体被监管部门立案调查或编制日前一年内受到公开谴责、处罚的投资决策程序说明</w:t>
      </w:r>
    </w:p>
    <w:p>
      <w:pPr>
        <w:pStyle w:val="7"/>
        <w:spacing w:before="0" w:beforeAutospacing="0" w:after="0" w:afterAutospacing="0" w:line="360" w:lineRule="auto"/>
        <w:ind w:firstLine="420"/>
        <w:rPr>
          <w:sz w:val="21"/>
          <w:szCs w:val="21"/>
        </w:rPr>
      </w:pPr>
      <w:r>
        <w:rPr>
          <w:rFonts w:hint="eastAsia"/>
          <w:sz w:val="21"/>
          <w:szCs w:val="21"/>
        </w:rPr>
        <w:t xml:space="preserve">本基金投资的前十名证券的发行主体中，江西赣锋锂业股份有限公司在本期报告编制期间被中国证券监督管理委员会立案调查。本基金对上述证券的投资决策程序符合相关法规及公司制度的要求。 </w:t>
      </w:r>
    </w:p>
    <w:p>
      <w:pPr>
        <w:pStyle w:val="7"/>
        <w:spacing w:before="0" w:beforeAutospacing="0" w:after="0" w:afterAutospacing="0" w:line="360" w:lineRule="auto"/>
        <w:ind w:firstLine="420"/>
        <w:rPr>
          <w:sz w:val="21"/>
          <w:szCs w:val="21"/>
        </w:rPr>
      </w:pPr>
      <w:r>
        <w:rPr>
          <w:rFonts w:hint="eastAsia"/>
          <w:sz w:val="21"/>
          <w:szCs w:val="21"/>
        </w:rPr>
        <w:t xml:space="preserve">除上述主体外，基金管理人未发现本基金投资的前十名证券发行主体出现本期被监管部门立案调查，或在报告编制日前一年受到公开谴责、处罚的情形。 </w:t>
      </w:r>
    </w:p>
    <w:p>
      <w:pPr>
        <w:pStyle w:val="7"/>
        <w:spacing w:before="0" w:beforeAutospacing="0" w:after="0" w:afterAutospacing="0" w:line="360" w:lineRule="auto"/>
        <w:ind w:firstLine="420"/>
        <w:rPr>
          <w:sz w:val="21"/>
          <w:szCs w:val="21"/>
        </w:rPr>
      </w:pPr>
      <w:r>
        <w:rPr>
          <w:rFonts w:hint="eastAsia"/>
          <w:b/>
          <w:bCs/>
          <w:sz w:val="21"/>
          <w:szCs w:val="21"/>
        </w:rPr>
        <w:t>11.2报告期内基金投资的前十名股票中，没有投资超出基金合同规定备选股票库之外的股票。</w:t>
      </w:r>
    </w:p>
    <w:p>
      <w:pPr>
        <w:pStyle w:val="7"/>
        <w:spacing w:before="0" w:beforeAutospacing="0" w:after="0" w:afterAutospacing="0" w:line="360" w:lineRule="auto"/>
        <w:ind w:firstLine="420"/>
        <w:rPr>
          <w:sz w:val="21"/>
          <w:szCs w:val="21"/>
        </w:rPr>
      </w:pPr>
      <w:r>
        <w:rPr>
          <w:rFonts w:hint="eastAsia"/>
          <w:b/>
          <w:bCs/>
          <w:sz w:val="21"/>
          <w:szCs w:val="21"/>
        </w:rPr>
        <w:t>11.3其他资产构成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3821"/>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序号 </w:t>
            </w:r>
          </w:p>
        </w:tc>
        <w:tc>
          <w:tcPr>
            <w:tcW w:w="4590" w:type="dxa"/>
            <w:shd w:val="clear" w:color="auto" w:fill="auto"/>
          </w:tcPr>
          <w:p>
            <w:pPr>
              <w:pStyle w:val="7"/>
              <w:jc w:val="center"/>
            </w:pPr>
            <w:r>
              <w:rPr>
                <w:rFonts w:hint="eastAsia"/>
              </w:rPr>
              <w:t xml:space="preserve">名称 </w:t>
            </w:r>
          </w:p>
        </w:tc>
        <w:tc>
          <w:tcPr>
            <w:tcW w:w="4590"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1 </w:t>
            </w:r>
          </w:p>
        </w:tc>
        <w:tc>
          <w:tcPr>
            <w:tcW w:w="4590" w:type="dxa"/>
            <w:shd w:val="clear" w:color="auto" w:fill="auto"/>
          </w:tcPr>
          <w:p>
            <w:pPr>
              <w:pStyle w:val="7"/>
            </w:pPr>
            <w:r>
              <w:rPr>
                <w:rFonts w:hint="eastAsia"/>
              </w:rPr>
              <w:t xml:space="preserve">存出保证金 </w:t>
            </w:r>
          </w:p>
        </w:tc>
        <w:tc>
          <w:tcPr>
            <w:tcW w:w="4590" w:type="dxa"/>
            <w:shd w:val="clear" w:color="auto" w:fill="auto"/>
          </w:tcPr>
          <w:p>
            <w:pPr>
              <w:pStyle w:val="7"/>
              <w:jc w:val="right"/>
            </w:pPr>
            <w:r>
              <w:rPr>
                <w:rFonts w:hint="eastAsia"/>
              </w:rPr>
              <w:t xml:space="preserve">112,152.60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2 </w:t>
            </w:r>
          </w:p>
        </w:tc>
        <w:tc>
          <w:tcPr>
            <w:tcW w:w="4590" w:type="dxa"/>
            <w:shd w:val="clear" w:color="auto" w:fill="auto"/>
          </w:tcPr>
          <w:p>
            <w:pPr>
              <w:pStyle w:val="7"/>
            </w:pPr>
            <w:r>
              <w:rPr>
                <w:rFonts w:hint="eastAsia"/>
              </w:rPr>
              <w:t xml:space="preserve">应收证券清算款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3 </w:t>
            </w:r>
          </w:p>
        </w:tc>
        <w:tc>
          <w:tcPr>
            <w:tcW w:w="4590" w:type="dxa"/>
            <w:shd w:val="clear" w:color="auto" w:fill="auto"/>
          </w:tcPr>
          <w:p>
            <w:pPr>
              <w:pStyle w:val="7"/>
            </w:pPr>
            <w:r>
              <w:rPr>
                <w:rFonts w:hint="eastAsia"/>
              </w:rPr>
              <w:t xml:space="preserve">应收股利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4 </w:t>
            </w:r>
          </w:p>
        </w:tc>
        <w:tc>
          <w:tcPr>
            <w:tcW w:w="4590" w:type="dxa"/>
            <w:shd w:val="clear" w:color="auto" w:fill="auto"/>
          </w:tcPr>
          <w:p>
            <w:pPr>
              <w:pStyle w:val="7"/>
            </w:pPr>
            <w:r>
              <w:rPr>
                <w:rFonts w:hint="eastAsia"/>
              </w:rPr>
              <w:t xml:space="preserve">应收利息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5 </w:t>
            </w:r>
          </w:p>
        </w:tc>
        <w:tc>
          <w:tcPr>
            <w:tcW w:w="4590" w:type="dxa"/>
            <w:shd w:val="clear" w:color="auto" w:fill="auto"/>
          </w:tcPr>
          <w:p>
            <w:pPr>
              <w:pStyle w:val="7"/>
            </w:pPr>
            <w:r>
              <w:rPr>
                <w:rFonts w:hint="eastAsia"/>
              </w:rPr>
              <w:t xml:space="preserve">应收申购款 </w:t>
            </w:r>
          </w:p>
        </w:tc>
        <w:tc>
          <w:tcPr>
            <w:tcW w:w="4590" w:type="dxa"/>
            <w:shd w:val="clear" w:color="auto" w:fill="auto"/>
          </w:tcPr>
          <w:p>
            <w:pPr>
              <w:pStyle w:val="7"/>
              <w:jc w:val="right"/>
            </w:pPr>
            <w:r>
              <w:rPr>
                <w:rFonts w:hint="eastAsia"/>
              </w:rPr>
              <w:t xml:space="preserve">794,768.00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6 </w:t>
            </w:r>
          </w:p>
        </w:tc>
        <w:tc>
          <w:tcPr>
            <w:tcW w:w="4590" w:type="dxa"/>
            <w:shd w:val="clear" w:color="auto" w:fill="auto"/>
          </w:tcPr>
          <w:p>
            <w:pPr>
              <w:pStyle w:val="7"/>
            </w:pPr>
            <w:r>
              <w:rPr>
                <w:rFonts w:hint="eastAsia"/>
              </w:rPr>
              <w:t xml:space="preserve">其他应收款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7 </w:t>
            </w:r>
          </w:p>
        </w:tc>
        <w:tc>
          <w:tcPr>
            <w:tcW w:w="4590" w:type="dxa"/>
            <w:shd w:val="clear" w:color="auto" w:fill="auto"/>
          </w:tcPr>
          <w:p>
            <w:pPr>
              <w:pStyle w:val="7"/>
            </w:pPr>
            <w:r>
              <w:rPr>
                <w:rFonts w:hint="eastAsia"/>
              </w:rPr>
              <w:t xml:space="preserve">待摊费用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8 </w:t>
            </w:r>
          </w:p>
        </w:tc>
        <w:tc>
          <w:tcPr>
            <w:tcW w:w="4590" w:type="dxa"/>
            <w:shd w:val="clear" w:color="auto" w:fill="auto"/>
          </w:tcPr>
          <w:p>
            <w:pPr>
              <w:pStyle w:val="7"/>
            </w:pPr>
            <w:r>
              <w:rPr>
                <w:rFonts w:hint="eastAsia"/>
              </w:rPr>
              <w:t xml:space="preserve">其他 </w:t>
            </w:r>
          </w:p>
        </w:tc>
        <w:tc>
          <w:tcPr>
            <w:tcW w:w="45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tcPr>
          <w:p>
            <w:pPr>
              <w:pStyle w:val="7"/>
              <w:jc w:val="center"/>
            </w:pPr>
            <w:r>
              <w:rPr>
                <w:rFonts w:hint="eastAsia"/>
              </w:rPr>
              <w:t xml:space="preserve">9 </w:t>
            </w:r>
          </w:p>
        </w:tc>
        <w:tc>
          <w:tcPr>
            <w:tcW w:w="4590" w:type="dxa"/>
            <w:shd w:val="clear" w:color="auto" w:fill="auto"/>
          </w:tcPr>
          <w:p>
            <w:pPr>
              <w:pStyle w:val="7"/>
            </w:pPr>
            <w:r>
              <w:rPr>
                <w:rFonts w:hint="eastAsia"/>
              </w:rPr>
              <w:t xml:space="preserve">合计 </w:t>
            </w:r>
          </w:p>
        </w:tc>
        <w:tc>
          <w:tcPr>
            <w:tcW w:w="4590" w:type="dxa"/>
            <w:shd w:val="clear" w:color="auto" w:fill="auto"/>
          </w:tcPr>
          <w:p>
            <w:pPr>
              <w:pStyle w:val="7"/>
              <w:jc w:val="right"/>
            </w:pPr>
            <w:r>
              <w:rPr>
                <w:rFonts w:hint="eastAsia"/>
              </w:rPr>
              <w:t xml:space="preserve">906,920.60 </w:t>
            </w:r>
          </w:p>
        </w:tc>
      </w:tr>
    </w:tbl>
    <w:p>
      <w:pPr>
        <w:pStyle w:val="7"/>
        <w:spacing w:before="0" w:beforeAutospacing="0" w:after="0" w:afterAutospacing="0" w:line="360" w:lineRule="auto"/>
        <w:ind w:firstLine="420"/>
        <w:rPr>
          <w:sz w:val="21"/>
          <w:szCs w:val="21"/>
        </w:rPr>
      </w:pPr>
      <w:r>
        <w:rPr>
          <w:rFonts w:hint="eastAsia"/>
          <w:b/>
          <w:bCs/>
          <w:sz w:val="21"/>
          <w:szCs w:val="21"/>
        </w:rPr>
        <w:t>11.4报告期末持有的处于转股期的可转换债券明细</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b/>
          <w:bCs/>
          <w:sz w:val="21"/>
          <w:szCs w:val="21"/>
        </w:rPr>
        <w:t>11.5报告期末前十名股票中存在流通受限情况的说明</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b/>
          <w:bCs/>
          <w:sz w:val="21"/>
          <w:szCs w:val="21"/>
        </w:rPr>
        <w:t>11.6投资组合报告附注的其他文字描述部分</w:t>
      </w:r>
    </w:p>
    <w:p>
      <w:pPr>
        <w:pStyle w:val="7"/>
        <w:spacing w:before="0" w:beforeAutospacing="0" w:after="0" w:afterAutospacing="0" w:line="360" w:lineRule="auto"/>
        <w:ind w:firstLine="420"/>
        <w:rPr>
          <w:sz w:val="21"/>
          <w:szCs w:val="21"/>
        </w:rPr>
      </w:pPr>
      <w:bookmarkStart w:id="124" w:name="chapter_level1_11_60_section_6_end"/>
      <w:bookmarkEnd w:id="124"/>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5" w:name="_Toc113564306"/>
      <w:bookmarkStart w:id="126" w:name="chapter_level1_12_3500"/>
      <w:r>
        <w:rPr>
          <w:rFonts w:hint="eastAsia" w:ascii="宋体" w:hAnsi="宋体" w:eastAsia="宋体"/>
          <w:sz w:val="30"/>
        </w:rPr>
        <w:t>第九部分 基金的业绩</w:t>
      </w:r>
      <w:bookmarkEnd w:id="125"/>
      <w:bookmarkEnd w:id="126"/>
    </w:p>
    <w:p>
      <w:pPr>
        <w:pStyle w:val="7"/>
        <w:spacing w:before="0" w:beforeAutospacing="0" w:after="0" w:afterAutospacing="0" w:line="360" w:lineRule="auto"/>
        <w:ind w:firstLine="420"/>
        <w:rPr>
          <w:sz w:val="21"/>
          <w:szCs w:val="21"/>
        </w:rPr>
      </w:pPr>
      <w:bookmarkStart w:id="127" w:name="chapter_level1_12_3500_section_1"/>
      <w:bookmarkEnd w:id="127"/>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历史各时间段，基金份额净值增长率及其与同期业绩比较基准收益率的比较 </w:t>
      </w:r>
    </w:p>
    <w:p>
      <w:pPr>
        <w:pStyle w:val="7"/>
        <w:spacing w:before="0" w:beforeAutospacing="0" w:after="0" w:afterAutospacing="0" w:line="360" w:lineRule="auto"/>
        <w:ind w:firstLine="420"/>
        <w:rPr>
          <w:sz w:val="21"/>
          <w:szCs w:val="21"/>
        </w:rPr>
      </w:pPr>
      <w:bookmarkStart w:id="128" w:name="field_0_indatatable_1_start"/>
      <w:bookmarkEnd w:id="128"/>
      <w:r>
        <w:rPr>
          <w:rFonts w:hint="eastAsia"/>
          <w:sz w:val="21"/>
          <w:szCs w:val="21"/>
        </w:rPr>
        <w:t>博时特许价值混合A</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2008.05.28-2008.12.31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-39.84%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2.44%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25.54%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2009.01.01-2009.12.31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76.08%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72.85%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3.23%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2010.01.01-2010.12.31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-9.35%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2011.01.01-2011.12.31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-16.34%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-19.41%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2012.01.01-2012.12.31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2013.01.01-2013.12.31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-10.66%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-6.22%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-4.44%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2014.01.01-2014.12.31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58.92%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42.96%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2015.01.01-2015.12.31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15.72%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2.35%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8.34%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2016.01.01-2016.12.31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2017.01.01-2017.12.31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10.59%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16.89%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-19.05%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-11.83%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85.61%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29.45%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56.16%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70.81%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48.30%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20.64%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23.50%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-9.91%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-6.98%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2008.05.28-2022.06.30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440.57%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44.96%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395.61%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0.29% </w:t>
            </w:r>
          </w:p>
        </w:tc>
      </w:tr>
    </w:tbl>
    <w:p>
      <w:pPr>
        <w:pStyle w:val="7"/>
        <w:spacing w:before="0" w:beforeAutospacing="0" w:after="0" w:afterAutospacing="0" w:line="360" w:lineRule="auto"/>
        <w:ind w:firstLine="420"/>
        <w:rPr>
          <w:sz w:val="21"/>
          <w:szCs w:val="21"/>
        </w:rPr>
      </w:pPr>
      <w:r>
        <w:rPr>
          <w:rFonts w:hint="eastAsia"/>
          <w:sz w:val="21"/>
          <w:szCs w:val="21"/>
        </w:rPr>
        <w:t xml:space="preserve">博时特许价值混合R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2016.09.08-2016.12.31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2017.01.01-2017.12.31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-23.41%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-22.52%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-29.43%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-14.22%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2016.09.08-2022.06.30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0.26% </w:t>
            </w:r>
          </w:p>
        </w:tc>
      </w:tr>
    </w:tbl>
    <w:p>
      <w:pPr>
        <w:pStyle w:val="7"/>
        <w:spacing w:before="0" w:beforeAutospacing="0" w:after="0" w:afterAutospacing="0" w:line="360" w:lineRule="auto"/>
        <w:ind w:firstLine="420"/>
        <w:rPr>
          <w:sz w:val="21"/>
          <w:szCs w:val="21"/>
        </w:rPr>
      </w:pPr>
      <w:bookmarkStart w:id="129" w:name="field_0_indatatable_1_end"/>
      <w:bookmarkEnd w:id="12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自2016年9月8日起，本基金新增R类份额；自2018年11月15日起，本基金份额全</w:t>
      </w:r>
      <w:bookmarkStart w:id="130" w:name="chapter_level1_12_3500_section_1_end"/>
      <w:bookmarkEnd w:id="130"/>
      <w:r>
        <w:rPr>
          <w:rFonts w:hint="eastAsia"/>
          <w:sz w:val="21"/>
          <w:szCs w:val="21"/>
        </w:rPr>
        <w:t>部赎空，故特许R类份额数据截止日为2018年11月14日。</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1" w:name="_Toc113564307"/>
      <w:bookmarkStart w:id="132" w:name="chapter_level1_13_62"/>
      <w:r>
        <w:rPr>
          <w:rFonts w:hint="eastAsia" w:ascii="宋体" w:hAnsi="宋体" w:eastAsia="宋体"/>
          <w:sz w:val="30"/>
        </w:rPr>
        <w:t>第十部分  基金的财产</w:t>
      </w:r>
      <w:bookmarkEnd w:id="131"/>
      <w:bookmarkEnd w:id="132"/>
    </w:p>
    <w:p>
      <w:pPr>
        <w:pStyle w:val="7"/>
        <w:spacing w:before="0" w:beforeAutospacing="0" w:after="0" w:afterAutospacing="0" w:line="360" w:lineRule="auto"/>
        <w:ind w:firstLine="420"/>
        <w:rPr>
          <w:sz w:val="21"/>
          <w:szCs w:val="21"/>
        </w:rPr>
      </w:pPr>
      <w:bookmarkStart w:id="133" w:name="chapter_level1_13_62_section_1"/>
      <w:bookmarkEnd w:id="133"/>
      <w:r>
        <w:rPr>
          <w:rStyle w:val="11"/>
          <w:rFonts w:hint="eastAsia"/>
          <w:sz w:val="21"/>
          <w:szCs w:val="21"/>
        </w:rPr>
        <w:t>一、基金资产的总值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基金资产总值是指基金拥有的各类有价证券、银行存款本息、基金应收申购款以及其他资产的价值总和。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其构成主要有： </w:t>
      </w:r>
    </w:p>
    <w:p>
      <w:pPr>
        <w:pStyle w:val="7"/>
        <w:spacing w:before="0" w:beforeAutospacing="0" w:after="0" w:afterAutospacing="0" w:line="360" w:lineRule="auto"/>
        <w:ind w:firstLine="420"/>
        <w:rPr>
          <w:sz w:val="21"/>
          <w:szCs w:val="21"/>
        </w:rPr>
      </w:pPr>
      <w:r>
        <w:rPr>
          <w:rFonts w:hint="eastAsia"/>
          <w:sz w:val="21"/>
          <w:szCs w:val="21"/>
        </w:rPr>
        <w:t xml:space="preserve">1.银行存款及其应计利息； </w:t>
      </w:r>
    </w:p>
    <w:p>
      <w:pPr>
        <w:pStyle w:val="7"/>
        <w:spacing w:before="0" w:beforeAutospacing="0" w:after="0" w:afterAutospacing="0" w:line="360" w:lineRule="auto"/>
        <w:ind w:firstLine="420"/>
        <w:rPr>
          <w:sz w:val="21"/>
          <w:szCs w:val="21"/>
        </w:rPr>
      </w:pPr>
      <w:r>
        <w:rPr>
          <w:rFonts w:hint="eastAsia"/>
          <w:sz w:val="21"/>
          <w:szCs w:val="21"/>
        </w:rPr>
        <w:t xml:space="preserve">2.清算备付金及其应收利息； </w:t>
      </w:r>
    </w:p>
    <w:p>
      <w:pPr>
        <w:pStyle w:val="7"/>
        <w:spacing w:before="0" w:beforeAutospacing="0" w:after="0" w:afterAutospacing="0" w:line="360" w:lineRule="auto"/>
        <w:ind w:firstLine="420"/>
        <w:rPr>
          <w:sz w:val="21"/>
          <w:szCs w:val="21"/>
        </w:rPr>
      </w:pPr>
      <w:r>
        <w:rPr>
          <w:rFonts w:hint="eastAsia"/>
          <w:sz w:val="21"/>
          <w:szCs w:val="21"/>
        </w:rPr>
        <w:t xml:space="preserve">3.根据有关规定缴纳的保证金； </w:t>
      </w:r>
    </w:p>
    <w:p>
      <w:pPr>
        <w:pStyle w:val="7"/>
        <w:spacing w:before="0" w:beforeAutospacing="0" w:after="0" w:afterAutospacing="0" w:line="360" w:lineRule="auto"/>
        <w:ind w:firstLine="420"/>
        <w:rPr>
          <w:sz w:val="21"/>
          <w:szCs w:val="21"/>
        </w:rPr>
      </w:pPr>
      <w:r>
        <w:rPr>
          <w:rFonts w:hint="eastAsia"/>
          <w:sz w:val="21"/>
          <w:szCs w:val="21"/>
        </w:rPr>
        <w:t xml:space="preserve">4.应收证券交易清算款； </w:t>
      </w:r>
    </w:p>
    <w:p>
      <w:pPr>
        <w:pStyle w:val="7"/>
        <w:spacing w:before="0" w:beforeAutospacing="0" w:after="0" w:afterAutospacing="0" w:line="360" w:lineRule="auto"/>
        <w:ind w:firstLine="420"/>
        <w:rPr>
          <w:sz w:val="21"/>
          <w:szCs w:val="21"/>
        </w:rPr>
      </w:pPr>
      <w:r>
        <w:rPr>
          <w:rFonts w:hint="eastAsia"/>
          <w:sz w:val="21"/>
          <w:szCs w:val="21"/>
        </w:rPr>
        <w:t xml:space="preserve">5.应收申购款； </w:t>
      </w:r>
    </w:p>
    <w:p>
      <w:pPr>
        <w:pStyle w:val="7"/>
        <w:spacing w:before="0" w:beforeAutospacing="0" w:after="0" w:afterAutospacing="0" w:line="360" w:lineRule="auto"/>
        <w:ind w:firstLine="420"/>
        <w:rPr>
          <w:sz w:val="21"/>
          <w:szCs w:val="21"/>
        </w:rPr>
      </w:pPr>
      <w:r>
        <w:rPr>
          <w:rFonts w:hint="eastAsia"/>
          <w:sz w:val="21"/>
          <w:szCs w:val="21"/>
        </w:rPr>
        <w:t xml:space="preserve">6.股票投资及其估值调整；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7.债券投资及其估值调整和应计利息； </w:t>
      </w:r>
    </w:p>
    <w:p>
      <w:pPr>
        <w:pStyle w:val="7"/>
        <w:spacing w:before="0" w:beforeAutospacing="0" w:after="0" w:afterAutospacing="0" w:line="360" w:lineRule="auto"/>
        <w:ind w:firstLine="420"/>
        <w:rPr>
          <w:sz w:val="21"/>
          <w:szCs w:val="21"/>
        </w:rPr>
      </w:pPr>
      <w:r>
        <w:rPr>
          <w:rFonts w:hint="eastAsia"/>
          <w:sz w:val="21"/>
          <w:szCs w:val="21"/>
        </w:rPr>
        <w:t xml:space="preserve">8.权证投资及其估值； </w:t>
      </w:r>
    </w:p>
    <w:p>
      <w:pPr>
        <w:pStyle w:val="7"/>
        <w:spacing w:before="0" w:beforeAutospacing="0" w:after="0" w:afterAutospacing="0" w:line="360" w:lineRule="auto"/>
        <w:ind w:firstLine="420"/>
        <w:rPr>
          <w:sz w:val="21"/>
          <w:szCs w:val="21"/>
        </w:rPr>
      </w:pPr>
      <w:r>
        <w:rPr>
          <w:rFonts w:hint="eastAsia"/>
          <w:sz w:val="21"/>
          <w:szCs w:val="21"/>
        </w:rPr>
        <w:t xml:space="preserve">9.其他投资及其估值调整； </w:t>
      </w:r>
    </w:p>
    <w:p>
      <w:pPr>
        <w:pStyle w:val="7"/>
        <w:spacing w:before="0" w:beforeAutospacing="0" w:after="0" w:afterAutospacing="0" w:line="360" w:lineRule="auto"/>
        <w:ind w:firstLine="420"/>
        <w:rPr>
          <w:sz w:val="21"/>
          <w:szCs w:val="21"/>
        </w:rPr>
      </w:pPr>
      <w:r>
        <w:rPr>
          <w:rFonts w:hint="eastAsia"/>
          <w:sz w:val="21"/>
          <w:szCs w:val="21"/>
        </w:rPr>
        <w:t xml:space="preserve">10.其他资产等。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四、基金财产的处分</w:t>
      </w:r>
    </w:p>
    <w:p>
      <w:pPr>
        <w:pStyle w:val="7"/>
        <w:spacing w:before="0" w:beforeAutospacing="0" w:after="0" w:afterAutospacing="0" w:line="360" w:lineRule="auto"/>
        <w:ind w:firstLine="420"/>
        <w:rPr>
          <w:sz w:val="21"/>
          <w:szCs w:val="21"/>
        </w:rPr>
      </w:pPr>
      <w:r>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管理人、基金托管人以其自有资产承担法律责任，其债权人不得对基金财产行使请求冻结、扣押和其他权利。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基金管理人、基金托管人因依法解散、被依法撤销或者被依法宣告破产等原因进行清算的，基金财产不属于其清算财产。 </w:t>
      </w:r>
    </w:p>
    <w:p>
      <w:pPr>
        <w:pStyle w:val="7"/>
        <w:spacing w:before="0" w:beforeAutospacing="0" w:after="0" w:afterAutospacing="0" w:line="360" w:lineRule="auto"/>
        <w:ind w:firstLine="420"/>
        <w:rPr>
          <w:sz w:val="21"/>
          <w:szCs w:val="21"/>
        </w:rPr>
      </w:pPr>
      <w:r>
        <w:rPr>
          <w:rFonts w:hint="eastAsia"/>
          <w:sz w:val="21"/>
          <w:szCs w:val="21"/>
        </w:rPr>
        <w:t>除依据《基金法》、基金合同及其他有关规定处分外，基金财产不得被处分。非因基金</w:t>
      </w:r>
      <w:bookmarkStart w:id="134" w:name="chapter_level1_13_62_section_1_end"/>
      <w:bookmarkEnd w:id="134"/>
      <w:r>
        <w:rPr>
          <w:rFonts w:hint="eastAsia"/>
          <w:sz w:val="21"/>
          <w:szCs w:val="21"/>
        </w:rPr>
        <w:t xml:space="preserve">财产本身承担的债务，不得对基金财产强制执行。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5" w:name="chapter_level1_14_63"/>
      <w:bookmarkStart w:id="136" w:name="_Toc113564308"/>
      <w:r>
        <w:rPr>
          <w:rFonts w:hint="eastAsia" w:ascii="宋体" w:hAnsi="宋体" w:eastAsia="宋体"/>
          <w:sz w:val="30"/>
        </w:rPr>
        <w:t>第十一部分  基金资产的估值</w:t>
      </w:r>
      <w:bookmarkEnd w:id="135"/>
      <w:bookmarkEnd w:id="136"/>
    </w:p>
    <w:p>
      <w:pPr>
        <w:pStyle w:val="7"/>
        <w:spacing w:before="0" w:beforeAutospacing="0" w:after="0" w:afterAutospacing="0" w:line="360" w:lineRule="auto"/>
        <w:ind w:firstLine="420"/>
        <w:rPr>
          <w:sz w:val="21"/>
          <w:szCs w:val="21"/>
        </w:rPr>
      </w:pPr>
      <w:bookmarkStart w:id="137" w:name="chapter_level1_14_63_section_1"/>
      <w:bookmarkEnd w:id="137"/>
      <w:r>
        <w:rPr>
          <w:rStyle w:val="11"/>
          <w:rFonts w:hint="eastAsia"/>
          <w:sz w:val="21"/>
          <w:szCs w:val="21"/>
        </w:rPr>
        <w:t>一、估值目的</w:t>
      </w:r>
    </w:p>
    <w:p>
      <w:pPr>
        <w:pStyle w:val="7"/>
        <w:spacing w:before="0" w:beforeAutospacing="0" w:after="0" w:afterAutospacing="0" w:line="360" w:lineRule="auto"/>
        <w:ind w:firstLine="420"/>
        <w:rPr>
          <w:sz w:val="21"/>
          <w:szCs w:val="21"/>
        </w:rPr>
      </w:pPr>
      <w:r>
        <w:rPr>
          <w:rFonts w:hint="eastAsia"/>
          <w:sz w:val="21"/>
          <w:szCs w:val="21"/>
        </w:rPr>
        <w:t xml:space="preserve">基金资产估值的目的是客观、准确地反映基金财产是否保值、增值，依据经基金资产估值后确定的基金资产净值而计算出的基金份额净值，是计算基金申购与赎回价格的基础。 </w:t>
      </w:r>
    </w:p>
    <w:p>
      <w:pPr>
        <w:pStyle w:val="7"/>
        <w:spacing w:before="0" w:beforeAutospacing="0" w:after="0" w:afterAutospacing="0" w:line="360" w:lineRule="auto"/>
        <w:ind w:firstLine="420"/>
        <w:rPr>
          <w:sz w:val="21"/>
          <w:szCs w:val="21"/>
        </w:rPr>
      </w:pPr>
      <w:r>
        <w:rPr>
          <w:rStyle w:val="11"/>
          <w:rFonts w:hint="eastAsia"/>
          <w:sz w:val="21"/>
          <w:szCs w:val="21"/>
        </w:rPr>
        <w:t>二、估值日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3、全国银行间债券市场交易的债券等固定收益品种，以第三方估值机构提供的价格数据估值。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6、相关法律法规以及监管部门有强制规定的，从其规定。如有新增事项，按国家最新规定估值。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四、估值对象  </w:t>
      </w:r>
    </w:p>
    <w:p>
      <w:pPr>
        <w:pStyle w:val="7"/>
        <w:spacing w:before="0" w:beforeAutospacing="0" w:after="0" w:afterAutospacing="0" w:line="360" w:lineRule="auto"/>
        <w:ind w:firstLine="420"/>
        <w:rPr>
          <w:sz w:val="21"/>
          <w:szCs w:val="21"/>
        </w:rPr>
      </w:pPr>
      <w:bookmarkStart w:id="138" w:name="chapter_level1_14_63_section_1_end"/>
      <w:bookmarkEnd w:id="138"/>
      <w:r>
        <w:rPr>
          <w:rFonts w:hint="eastAsia"/>
          <w:sz w:val="21"/>
          <w:szCs w:val="21"/>
        </w:rPr>
        <w:t xml:space="preserve">基金所拥有的股票、权证、债券和银行存款本息、应收款项、其它投资等资产。 </w:t>
      </w:r>
    </w:p>
    <w:p>
      <w:pPr>
        <w:pStyle w:val="7"/>
        <w:spacing w:before="0" w:beforeAutospacing="0" w:after="0" w:afterAutospacing="0" w:line="360" w:lineRule="auto"/>
        <w:ind w:firstLine="420"/>
        <w:rPr>
          <w:sz w:val="21"/>
          <w:szCs w:val="21"/>
        </w:rPr>
      </w:pPr>
      <w:bookmarkStart w:id="139" w:name="chapter_level1_14_63_section_2"/>
      <w:bookmarkEnd w:id="139"/>
      <w:r>
        <w:rPr>
          <w:rStyle w:val="11"/>
          <w:rFonts w:hint="eastAsia"/>
          <w:sz w:val="21"/>
          <w:szCs w:val="21"/>
        </w:rPr>
        <w:t>五、估值程序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1.基金份额净值是按照每个开放日闭市后，基金资产净值除以当日基金份额的余额数量计算，精确到</w:t>
      </w:r>
      <w:bookmarkStart w:id="140" w:name="field_63_netdecimalvalue_1"/>
      <w:r>
        <w:rPr>
          <w:sz w:val="21"/>
          <w:szCs w:val="21"/>
        </w:rPr>
        <w:t>0.001</w:t>
      </w:r>
      <w:bookmarkEnd w:id="140"/>
      <w:r>
        <w:rPr>
          <w:rFonts w:hint="eastAsia"/>
          <w:sz w:val="21"/>
          <w:szCs w:val="21"/>
        </w:rPr>
        <w:t>元，小数点后第</w:t>
      </w:r>
      <w:bookmarkStart w:id="141" w:name="field_0_netdecimaladd1_1"/>
      <w:r>
        <w:rPr>
          <w:sz w:val="21"/>
          <w:szCs w:val="21"/>
        </w:rPr>
        <w:t>4</w:t>
      </w:r>
      <w:bookmarkEnd w:id="141"/>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每个工作日计算基金资产净值及基金份额净值，并按规定公告。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 </w:t>
      </w:r>
    </w:p>
    <w:p>
      <w:pPr>
        <w:pStyle w:val="7"/>
        <w:spacing w:before="0" w:beforeAutospacing="0" w:after="0" w:afterAutospacing="0" w:line="360" w:lineRule="auto"/>
        <w:ind w:firstLine="420"/>
        <w:rPr>
          <w:sz w:val="21"/>
          <w:szCs w:val="21"/>
        </w:rPr>
      </w:pPr>
      <w:r>
        <w:rPr>
          <w:rStyle w:val="11"/>
          <w:rFonts w:hint="eastAsia"/>
          <w:sz w:val="21"/>
          <w:szCs w:val="21"/>
        </w:rPr>
        <w:t>六、估值错误的处理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42" w:name="field_63_netdecimal_1"/>
      <w:r>
        <w:rPr>
          <w:sz w:val="21"/>
          <w:szCs w:val="21"/>
        </w:rPr>
        <w:t>3</w:t>
      </w:r>
      <w:bookmarkEnd w:id="142"/>
      <w:r>
        <w:rPr>
          <w:rFonts w:hint="eastAsia"/>
          <w:sz w:val="21"/>
          <w:szCs w:val="21"/>
        </w:rPr>
        <w:t>位以内(含第</w:t>
      </w:r>
      <w:bookmarkStart w:id="143" w:name="field_63_netdecimal_2"/>
      <w:r>
        <w:rPr>
          <w:sz w:val="21"/>
          <w:szCs w:val="21"/>
        </w:rPr>
        <w:t>3</w:t>
      </w:r>
      <w:bookmarkEnd w:id="143"/>
      <w:r>
        <w:rPr>
          <w:rFonts w:hint="eastAsia"/>
          <w:sz w:val="21"/>
          <w:szCs w:val="21"/>
        </w:rPr>
        <w:t xml:space="preserve">位)发生差错时，视为基金份额净值错误。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的当事人(“受损方”)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(4)根据差错处理的方法，需要修改基金登记机构交易数据的，由基金登记机构进行更正，并就差错的更正向有关当事人进行确认。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4.基金份额净值差错处理的原则和方法如下：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(3)因基金份额净值计算错误，给基金或基金份额持有人造成损失的，应由基金管理人先行赔付，基金管理人按差错情形，有权向其他当事人追偿。 </w:t>
      </w:r>
    </w:p>
    <w:p>
      <w:pPr>
        <w:pStyle w:val="7"/>
        <w:spacing w:before="0" w:beforeAutospacing="0" w:after="0" w:afterAutospacing="0" w:line="360" w:lineRule="auto"/>
        <w:ind w:firstLine="420"/>
        <w:rPr>
          <w:sz w:val="21"/>
          <w:szCs w:val="21"/>
        </w:rPr>
      </w:pPr>
      <w:r>
        <w:rPr>
          <w:rFonts w:hint="eastAsia"/>
          <w:sz w:val="21"/>
          <w:szCs w:val="21"/>
        </w:rPr>
        <w:t xml:space="preserve">(4)基金管理人和基金托管人由于各自技术系统设置而产生的净值计算尾差，以基金管理人计算结果为准。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(5)前述内容如法律法规或监管机关另有规定的，从其规定处理。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七、暂停估值的情形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2.因不可抗力或其它情形致使基金管理人、基金托管人无法准确评估基金资产价值时；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3.占基金相当比例的投资品种的估值出现重大转变，而基金管理人为保障投资人的利益，已决定延迟估值； </w:t>
      </w:r>
    </w:p>
    <w:p>
      <w:pPr>
        <w:pStyle w:val="7"/>
        <w:spacing w:before="0" w:beforeAutospacing="0" w:after="0" w:afterAutospacing="0" w:line="360" w:lineRule="auto"/>
        <w:ind w:firstLine="420"/>
        <w:rPr>
          <w:sz w:val="21"/>
          <w:szCs w:val="21"/>
        </w:rPr>
      </w:pPr>
      <w:r>
        <w:rPr>
          <w:rFonts w:hint="eastAsia"/>
          <w:sz w:val="21"/>
          <w:szCs w:val="21"/>
        </w:rPr>
        <w:t xml:space="preserve">4. 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5．法律法规规定、中国证监会和基金合同认定的其它情形。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八、基金净值的确认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pPr>
        <w:pStyle w:val="7"/>
        <w:spacing w:before="0" w:beforeAutospacing="0" w:after="0" w:afterAutospacing="0" w:line="360" w:lineRule="auto"/>
        <w:ind w:firstLine="420"/>
        <w:rPr>
          <w:sz w:val="21"/>
          <w:szCs w:val="21"/>
        </w:rPr>
      </w:pPr>
      <w:r>
        <w:rPr>
          <w:rStyle w:val="11"/>
          <w:rFonts w:hint="eastAsia"/>
          <w:sz w:val="21"/>
          <w:szCs w:val="21"/>
        </w:rPr>
        <w:t>九、特殊情况的处理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1.基金管理人或基金托管人按股票估值方法的第(3)项、债券估值方法的第(6)项或权证估值方法的第(2)项进行估值时，所造成的误差不作为基金资产估值错误处理。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w:t>
      </w:r>
      <w:bookmarkStart w:id="144" w:name="chapter_level1_14_63_section_2_end"/>
      <w:bookmarkEnd w:id="144"/>
      <w:r>
        <w:rPr>
          <w:rFonts w:hint="eastAsia"/>
          <w:sz w:val="21"/>
          <w:szCs w:val="21"/>
        </w:rPr>
        <w:t xml:space="preserve">免除赔偿责任。但基金管理人应当积极采取必要的措施消除由此造成的影响。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5" w:name="chapter_level1_15_64"/>
      <w:bookmarkStart w:id="146" w:name="_Toc113564309"/>
      <w:r>
        <w:rPr>
          <w:rFonts w:hint="eastAsia" w:ascii="宋体" w:hAnsi="宋体" w:eastAsia="宋体"/>
          <w:sz w:val="30"/>
        </w:rPr>
        <w:t>第十二部分  基金的收益与分配</w:t>
      </w:r>
      <w:bookmarkEnd w:id="145"/>
      <w:bookmarkEnd w:id="146"/>
    </w:p>
    <w:p>
      <w:pPr>
        <w:pStyle w:val="7"/>
        <w:spacing w:before="0" w:beforeAutospacing="0" w:after="0" w:afterAutospacing="0" w:line="360" w:lineRule="auto"/>
        <w:ind w:firstLine="420"/>
        <w:rPr>
          <w:sz w:val="21"/>
          <w:szCs w:val="21"/>
        </w:rPr>
      </w:pPr>
      <w:bookmarkStart w:id="147" w:name="chapter_level1_15_64_section_1"/>
      <w:bookmarkEnd w:id="147"/>
      <w:r>
        <w:rPr>
          <w:rStyle w:val="11"/>
          <w:rFonts w:hint="eastAsia"/>
          <w:sz w:val="21"/>
          <w:szCs w:val="21"/>
        </w:rPr>
        <w:t>一、基金收益的构成</w:t>
      </w:r>
    </w:p>
    <w:p>
      <w:pPr>
        <w:pStyle w:val="7"/>
        <w:spacing w:before="0" w:beforeAutospacing="0" w:after="0" w:afterAutospacing="0" w:line="360" w:lineRule="auto"/>
        <w:ind w:firstLine="420"/>
        <w:rPr>
          <w:sz w:val="21"/>
          <w:szCs w:val="21"/>
        </w:rPr>
      </w:pPr>
      <w:r>
        <w:rPr>
          <w:rFonts w:hint="eastAsia"/>
          <w:sz w:val="21"/>
          <w:szCs w:val="21"/>
        </w:rPr>
        <w:t xml:space="preserve">1.买卖证券差价； </w:t>
      </w:r>
    </w:p>
    <w:p>
      <w:pPr>
        <w:pStyle w:val="7"/>
        <w:spacing w:before="0" w:beforeAutospacing="0" w:after="0" w:afterAutospacing="0" w:line="360" w:lineRule="auto"/>
        <w:ind w:firstLine="420"/>
        <w:rPr>
          <w:sz w:val="21"/>
          <w:szCs w:val="21"/>
        </w:rPr>
      </w:pPr>
      <w:r>
        <w:rPr>
          <w:rFonts w:hint="eastAsia"/>
          <w:sz w:val="21"/>
          <w:szCs w:val="21"/>
        </w:rPr>
        <w:t xml:space="preserve">2.基金投资所得红利、股息、债券利息； </w:t>
      </w:r>
    </w:p>
    <w:p>
      <w:pPr>
        <w:pStyle w:val="7"/>
        <w:spacing w:before="0" w:beforeAutospacing="0" w:after="0" w:afterAutospacing="0" w:line="360" w:lineRule="auto"/>
        <w:ind w:firstLine="420"/>
        <w:rPr>
          <w:sz w:val="21"/>
          <w:szCs w:val="21"/>
        </w:rPr>
      </w:pPr>
      <w:r>
        <w:rPr>
          <w:rFonts w:hint="eastAsia"/>
          <w:sz w:val="21"/>
          <w:szCs w:val="21"/>
        </w:rPr>
        <w:t xml:space="preserve">3.银行存款利息； </w:t>
      </w:r>
    </w:p>
    <w:p>
      <w:pPr>
        <w:pStyle w:val="7"/>
        <w:spacing w:before="0" w:beforeAutospacing="0" w:after="0" w:afterAutospacing="0" w:line="360" w:lineRule="auto"/>
        <w:ind w:firstLine="420"/>
        <w:rPr>
          <w:sz w:val="21"/>
          <w:szCs w:val="21"/>
        </w:rPr>
      </w:pPr>
      <w:r>
        <w:rPr>
          <w:rFonts w:hint="eastAsia"/>
          <w:sz w:val="21"/>
          <w:szCs w:val="21"/>
        </w:rPr>
        <w:t xml:space="preserve">4.已实现的其他合法收入。 </w:t>
      </w:r>
    </w:p>
    <w:p>
      <w:pPr>
        <w:pStyle w:val="7"/>
        <w:spacing w:before="0" w:beforeAutospacing="0" w:after="0" w:afterAutospacing="0" w:line="360" w:lineRule="auto"/>
        <w:ind w:firstLine="420"/>
        <w:rPr>
          <w:sz w:val="21"/>
          <w:szCs w:val="21"/>
        </w:rPr>
      </w:pPr>
      <w:r>
        <w:rPr>
          <w:rFonts w:hint="eastAsia"/>
          <w:sz w:val="21"/>
          <w:szCs w:val="21"/>
        </w:rPr>
        <w:t xml:space="preserve">因运用基金财产带来的成本或费用的节约应计入收益。 </w:t>
      </w:r>
    </w:p>
    <w:p>
      <w:pPr>
        <w:pStyle w:val="7"/>
        <w:spacing w:before="0" w:beforeAutospacing="0" w:after="0" w:afterAutospacing="0" w:line="360" w:lineRule="auto"/>
        <w:ind w:firstLine="420"/>
        <w:rPr>
          <w:sz w:val="21"/>
          <w:szCs w:val="21"/>
        </w:rPr>
      </w:pPr>
      <w:r>
        <w:rPr>
          <w:rStyle w:val="11"/>
          <w:rFonts w:hint="eastAsia"/>
          <w:sz w:val="21"/>
          <w:szCs w:val="21"/>
        </w:rPr>
        <w:t>二、基金净收益</w:t>
      </w:r>
    </w:p>
    <w:p>
      <w:pPr>
        <w:pStyle w:val="7"/>
        <w:spacing w:before="0" w:beforeAutospacing="0" w:after="0" w:afterAutospacing="0" w:line="360" w:lineRule="auto"/>
        <w:ind w:firstLine="420"/>
        <w:rPr>
          <w:sz w:val="21"/>
          <w:szCs w:val="21"/>
        </w:rPr>
      </w:pPr>
      <w:r>
        <w:rPr>
          <w:rFonts w:hint="eastAsia"/>
          <w:sz w:val="21"/>
          <w:szCs w:val="21"/>
        </w:rPr>
        <w:t xml:space="preserve">基金净收益为基金收益扣除按照国家有关规定可以在基金收益中扣除的费用后的余额。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本基金收益分配应遵循下列原则： </w:t>
      </w:r>
    </w:p>
    <w:p>
      <w:pPr>
        <w:pStyle w:val="7"/>
        <w:spacing w:before="0" w:beforeAutospacing="0" w:after="0" w:afterAutospacing="0" w:line="360" w:lineRule="auto"/>
        <w:ind w:firstLine="420"/>
        <w:rPr>
          <w:sz w:val="21"/>
          <w:szCs w:val="21"/>
        </w:rPr>
      </w:pPr>
      <w:r>
        <w:rPr>
          <w:rFonts w:hint="eastAsia"/>
          <w:sz w:val="21"/>
          <w:szCs w:val="21"/>
        </w:rPr>
        <w:t xml:space="preserve">1. 本基金同一类别的每份基金份额享有同等分配权；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收益分配时所发生的银行转账或其他手续费用由投资人自行承担。当投资人的现金红利小于一定金额时，不足以支付银行转账或其他手续费用时，基金登记机构可将投资人的现金红利按红利发放日的基金份额净值自动转为基金份额。 </w:t>
      </w:r>
    </w:p>
    <w:p>
      <w:pPr>
        <w:pStyle w:val="7"/>
        <w:spacing w:before="0" w:beforeAutospacing="0" w:after="0" w:afterAutospacing="0" w:line="360" w:lineRule="auto"/>
        <w:ind w:firstLine="420"/>
        <w:rPr>
          <w:sz w:val="21"/>
          <w:szCs w:val="21"/>
        </w:rPr>
      </w:pPr>
      <w:r>
        <w:rPr>
          <w:rFonts w:hint="eastAsia"/>
          <w:sz w:val="21"/>
          <w:szCs w:val="21"/>
        </w:rPr>
        <w:t xml:space="preserve">3.本基金收益每年最多分配6次，每次基金收益分配比例不低于可分配收益的60%； </w:t>
      </w:r>
    </w:p>
    <w:p>
      <w:pPr>
        <w:pStyle w:val="7"/>
        <w:spacing w:before="0" w:beforeAutospacing="0" w:after="0" w:afterAutospacing="0" w:line="360" w:lineRule="auto"/>
        <w:ind w:firstLine="420"/>
        <w:rPr>
          <w:sz w:val="21"/>
          <w:szCs w:val="21"/>
        </w:rPr>
      </w:pPr>
      <w:r>
        <w:rPr>
          <w:rFonts w:hint="eastAsia"/>
          <w:sz w:val="21"/>
          <w:szCs w:val="21"/>
        </w:rPr>
        <w:t xml:space="preserve">4. 本基金R类份额的分红方式仅为现金分红；其余份额类别的收益分配方式分为两种：现金分红与红利再投资，投资人可选择现金红利或将现金红利按除息日的基金份额净值自动转为基金份额进行再投资；若投资人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5.基金投资当期出现净亏损，则不进行收益分配； </w:t>
      </w:r>
    </w:p>
    <w:p>
      <w:pPr>
        <w:pStyle w:val="7"/>
        <w:spacing w:before="0" w:beforeAutospacing="0" w:after="0" w:afterAutospacing="0" w:line="360" w:lineRule="auto"/>
        <w:ind w:firstLine="420"/>
        <w:rPr>
          <w:sz w:val="21"/>
          <w:szCs w:val="21"/>
        </w:rPr>
      </w:pPr>
      <w:r>
        <w:rPr>
          <w:rFonts w:hint="eastAsia"/>
          <w:sz w:val="21"/>
          <w:szCs w:val="21"/>
        </w:rPr>
        <w:t xml:space="preserve">6.基金当年收益应先弥补上一年度亏损后，方可进行当年收益分配； </w:t>
      </w:r>
    </w:p>
    <w:p>
      <w:pPr>
        <w:pStyle w:val="7"/>
        <w:spacing w:before="0" w:beforeAutospacing="0" w:after="0" w:afterAutospacing="0" w:line="360" w:lineRule="auto"/>
        <w:ind w:firstLine="420"/>
        <w:rPr>
          <w:sz w:val="21"/>
          <w:szCs w:val="21"/>
        </w:rPr>
      </w:pPr>
      <w:r>
        <w:rPr>
          <w:rFonts w:hint="eastAsia"/>
          <w:sz w:val="21"/>
          <w:szCs w:val="21"/>
        </w:rPr>
        <w:t xml:space="preserve">7.基金收益分配后基金份额净值不能低于面值； </w:t>
      </w:r>
    </w:p>
    <w:p>
      <w:pPr>
        <w:pStyle w:val="7"/>
        <w:spacing w:before="0" w:beforeAutospacing="0" w:after="0" w:afterAutospacing="0" w:line="360" w:lineRule="auto"/>
        <w:ind w:firstLine="420"/>
        <w:rPr>
          <w:sz w:val="21"/>
          <w:szCs w:val="21"/>
        </w:rPr>
      </w:pPr>
      <w:bookmarkStart w:id="148" w:name="chapter_level1_15_64_section_1_end"/>
      <w:bookmarkEnd w:id="148"/>
      <w:r>
        <w:rPr>
          <w:rFonts w:hint="eastAsia"/>
          <w:sz w:val="21"/>
          <w:szCs w:val="21"/>
        </w:rPr>
        <w:t xml:space="preserve">8 法律法规或监管机构另有规定的从其规定。 </w:t>
      </w:r>
    </w:p>
    <w:p>
      <w:pPr>
        <w:pStyle w:val="7"/>
        <w:spacing w:before="0" w:beforeAutospacing="0" w:after="0" w:afterAutospacing="0" w:line="360" w:lineRule="auto"/>
        <w:ind w:firstLine="420"/>
        <w:rPr>
          <w:sz w:val="21"/>
          <w:szCs w:val="21"/>
        </w:rPr>
      </w:pPr>
      <w:bookmarkStart w:id="149" w:name="chapter_level1_15_64_section_2"/>
      <w:bookmarkEnd w:id="149"/>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基金收益分配方案中应载明基金收益分配对象、分配原则、分配时间、分配数额及比例、分配方式、支付方式等内容。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1.基金收益分配方案由基金管理人拟订，由基金托管人复核，依照《信息披露办法》的有关规定在指定媒介公告。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2.在收益分配方案公布后，基金管理人依据具体方案的规定就支付的现金红利向基金托管人发送划款指令，基金托管人按照基金管理人的指令及时进行分红资金的划付。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bookmarkStart w:id="150" w:name="chapter_level1_15_64_section_2_end"/>
      <w:bookmarkEnd w:id="150"/>
      <w:r>
        <w:rPr>
          <w:rFonts w:hint="eastAsia"/>
          <w:sz w:val="21"/>
          <w:szCs w:val="21"/>
        </w:rPr>
        <w:t xml:space="preserve">现金红利分配时所发生的银行转账或其他手续费用由投资人自行承担。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1" w:name="chapter_level1_16_65"/>
      <w:bookmarkStart w:id="152" w:name="_Toc113564310"/>
      <w:r>
        <w:rPr>
          <w:rFonts w:hint="eastAsia" w:ascii="宋体" w:hAnsi="宋体" w:eastAsia="宋体"/>
          <w:sz w:val="30"/>
        </w:rPr>
        <w:t>第十三部分  基金费用与税收</w:t>
      </w:r>
      <w:bookmarkEnd w:id="151"/>
      <w:bookmarkEnd w:id="152"/>
    </w:p>
    <w:p>
      <w:pPr>
        <w:pStyle w:val="7"/>
        <w:spacing w:before="0" w:beforeAutospacing="0" w:after="0" w:afterAutospacing="0" w:line="360" w:lineRule="auto"/>
        <w:ind w:firstLine="420"/>
        <w:rPr>
          <w:sz w:val="21"/>
          <w:szCs w:val="21"/>
        </w:rPr>
      </w:pPr>
      <w:bookmarkStart w:id="153" w:name="chapter_level1_16_65_section_1"/>
      <w:bookmarkEnd w:id="153"/>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3.基金财产拨划支付的银行费用； </w:t>
      </w:r>
    </w:p>
    <w:p>
      <w:pPr>
        <w:pStyle w:val="7"/>
        <w:spacing w:before="0" w:beforeAutospacing="0" w:after="0" w:afterAutospacing="0" w:line="360" w:lineRule="auto"/>
        <w:ind w:firstLine="420"/>
        <w:rPr>
          <w:sz w:val="21"/>
          <w:szCs w:val="21"/>
        </w:rPr>
      </w:pPr>
      <w:r>
        <w:rPr>
          <w:rFonts w:hint="eastAsia"/>
          <w:sz w:val="21"/>
          <w:szCs w:val="21"/>
        </w:rPr>
        <w:t xml:space="preserve">4.基金合同生效后的信息披露费用，法律法规、中国证监会另有规定的除外；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6.基金合同生效后与基金相关的会计师费和律师费； </w:t>
      </w:r>
    </w:p>
    <w:p>
      <w:pPr>
        <w:pStyle w:val="7"/>
        <w:spacing w:before="0" w:beforeAutospacing="0" w:after="0" w:afterAutospacing="0" w:line="360" w:lineRule="auto"/>
        <w:ind w:firstLine="420"/>
        <w:rPr>
          <w:sz w:val="21"/>
          <w:szCs w:val="21"/>
        </w:rPr>
      </w:pPr>
      <w:r>
        <w:rPr>
          <w:rFonts w:hint="eastAsia"/>
          <w:sz w:val="21"/>
          <w:szCs w:val="21"/>
        </w:rPr>
        <w:t xml:space="preserve">7.基金的证券交易费用； </w:t>
      </w:r>
    </w:p>
    <w:p>
      <w:pPr>
        <w:pStyle w:val="7"/>
        <w:spacing w:before="0" w:beforeAutospacing="0" w:after="0" w:afterAutospacing="0" w:line="360" w:lineRule="auto"/>
        <w:ind w:firstLine="420"/>
        <w:rPr>
          <w:sz w:val="21"/>
          <w:szCs w:val="21"/>
        </w:rPr>
      </w:pPr>
      <w:r>
        <w:rPr>
          <w:rFonts w:hint="eastAsia"/>
          <w:sz w:val="21"/>
          <w:szCs w:val="21"/>
        </w:rPr>
        <w:t xml:space="preserve">8.在中国证监会规定允许的前提下，本基金可以从基金财产中计提销售服务费，具体计提方法.计提标准在招募说明书或相关公告中载明； </w:t>
      </w:r>
    </w:p>
    <w:p>
      <w:pPr>
        <w:pStyle w:val="7"/>
        <w:spacing w:before="0" w:beforeAutospacing="0" w:after="0" w:afterAutospacing="0" w:line="360" w:lineRule="auto"/>
        <w:ind w:firstLine="420"/>
        <w:rPr>
          <w:sz w:val="21"/>
          <w:szCs w:val="21"/>
        </w:rPr>
      </w:pPr>
      <w:r>
        <w:rPr>
          <w:rFonts w:hint="eastAsia"/>
          <w:sz w:val="21"/>
          <w:szCs w:val="21"/>
        </w:rPr>
        <w:t xml:space="preserve">9.依法可以在基金财产中列支的其他费用。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二、上述基金费用由基金管理人在法律规定的范围内按照公允的市场价格确定，法律法规另有规定时从其规定。</w:t>
      </w:r>
    </w:p>
    <w:p>
      <w:pPr>
        <w:pStyle w:val="7"/>
        <w:spacing w:before="0" w:beforeAutospacing="0" w:after="0" w:afterAutospacing="0" w:line="360" w:lineRule="auto"/>
        <w:ind w:firstLine="420"/>
        <w:rPr>
          <w:sz w:val="21"/>
          <w:szCs w:val="21"/>
        </w:rPr>
      </w:pPr>
      <w:r>
        <w:rPr>
          <w:rStyle w:val="11"/>
          <w:rFonts w:hint="eastAsia"/>
          <w:sz w:val="21"/>
          <w:szCs w:val="21"/>
        </w:rPr>
        <w:t>三、基金费用计提方法、计提标准和支付方式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在通常情况下，基金管理费按前一日基金资产净值的</w:t>
      </w:r>
      <w:bookmarkStart w:id="154" w:name="field_0_managementrate_1"/>
      <w:r>
        <w:rPr>
          <w:sz w:val="21"/>
          <w:szCs w:val="21"/>
        </w:rPr>
        <w:t>1.</w:t>
      </w:r>
      <w:r>
        <w:rPr>
          <w:rFonts w:hint="eastAsia"/>
          <w:sz w:val="21"/>
          <w:szCs w:val="21"/>
        </w:rPr>
        <w:t>2</w:t>
      </w:r>
      <w:r>
        <w:rPr>
          <w:sz w:val="21"/>
          <w:szCs w:val="21"/>
        </w:rPr>
        <w:t>0</w:t>
      </w:r>
      <w:bookmarkEnd w:id="154"/>
      <w:r>
        <w:rPr>
          <w:rFonts w:hint="eastAsia"/>
          <w:sz w:val="21"/>
          <w:szCs w:val="21"/>
        </w:rPr>
        <w:t xml:space="preserve">%年费率计提。计算方法如下：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H＝E×年管理费率÷当年天数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在通常情况下，基金托管费按前一日基金资产净值的</w:t>
      </w:r>
      <w:bookmarkStart w:id="155" w:name="field_0_trusteerate_1"/>
      <w:r>
        <w:rPr>
          <w:sz w:val="21"/>
          <w:szCs w:val="21"/>
        </w:rPr>
        <w:t>0.2</w:t>
      </w:r>
      <w:r>
        <w:rPr>
          <w:rFonts w:hint="eastAsia"/>
          <w:sz w:val="21"/>
          <w:szCs w:val="21"/>
        </w:rPr>
        <w:t>0</w:t>
      </w:r>
      <w:bookmarkEnd w:id="155"/>
      <w:r>
        <w:rPr>
          <w:rFonts w:hint="eastAsia"/>
          <w:sz w:val="21"/>
          <w:szCs w:val="21"/>
        </w:rPr>
        <w:t xml:space="preserve">%年费率计提。计算方法如下：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H＝E×年托管费率÷当年天数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提，按月支付。由基金管理人向基金托管人发送基金托管费划付指令，经基金托管人复核后于次月首日起3个工作日内从基金财产中一次性支付给基金托管人，若遇法定节假日、休息日，支付日期顺延。 </w:t>
      </w:r>
    </w:p>
    <w:p>
      <w:pPr>
        <w:pStyle w:val="7"/>
        <w:spacing w:before="0" w:beforeAutospacing="0" w:after="0" w:afterAutospacing="0" w:line="360" w:lineRule="auto"/>
        <w:ind w:firstLine="420"/>
        <w:rPr>
          <w:sz w:val="21"/>
          <w:szCs w:val="21"/>
        </w:rPr>
      </w:pPr>
      <w:r>
        <w:rPr>
          <w:rFonts w:hint="eastAsia"/>
          <w:sz w:val="21"/>
          <w:szCs w:val="21"/>
        </w:rPr>
        <w:t xml:space="preserve">3.除管理费和托管费之外的基金费用，由基金托管人根据其他有关法规及相应协议的规定，按费用支出金额支付，列入或摊入当期基金费用。 </w:t>
      </w:r>
    </w:p>
    <w:p>
      <w:pPr>
        <w:pStyle w:val="7"/>
        <w:spacing w:before="0" w:beforeAutospacing="0" w:after="0" w:afterAutospacing="0" w:line="360" w:lineRule="auto"/>
        <w:ind w:firstLine="420"/>
        <w:rPr>
          <w:sz w:val="21"/>
          <w:szCs w:val="21"/>
        </w:rPr>
      </w:pPr>
      <w:r>
        <w:rPr>
          <w:rStyle w:val="11"/>
          <w:rFonts w:hint="eastAsia"/>
          <w:sz w:val="21"/>
          <w:szCs w:val="21"/>
        </w:rPr>
        <w:t>四、不列入基金费用的项目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五、基金管理费和托管费的调整</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基金管理人和基金托管人可根据基金发展情况调整基金管理费率和基金托管费率。基金管理人必须最迟于新的费率实施日2日前在指定媒介上刊登公告。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六、与基金销售有关的费用</w:t>
      </w:r>
    </w:p>
    <w:p>
      <w:pPr>
        <w:pStyle w:val="7"/>
        <w:spacing w:before="0" w:beforeAutospacing="0" w:after="0" w:afterAutospacing="0" w:line="360" w:lineRule="auto"/>
        <w:ind w:firstLine="420"/>
        <w:rPr>
          <w:sz w:val="21"/>
          <w:szCs w:val="21"/>
        </w:rPr>
      </w:pPr>
      <w:r>
        <w:rPr>
          <w:rFonts w:hint="eastAsia"/>
          <w:sz w:val="21"/>
          <w:szCs w:val="21"/>
        </w:rPr>
        <w:t xml:space="preserve">与基金销售有关的费用包括申购费用、赎回费用、转换费用，具体费率及计算方法见： 七、基金份额的申购、赎回与转换。 </w:t>
      </w:r>
    </w:p>
    <w:p>
      <w:pPr>
        <w:pStyle w:val="7"/>
        <w:spacing w:before="0" w:beforeAutospacing="0" w:after="0" w:afterAutospacing="0" w:line="360" w:lineRule="auto"/>
        <w:ind w:firstLine="420"/>
        <w:rPr>
          <w:sz w:val="21"/>
          <w:szCs w:val="21"/>
        </w:rPr>
      </w:pPr>
      <w:r>
        <w:rPr>
          <w:rStyle w:val="11"/>
          <w:rFonts w:hint="eastAsia"/>
          <w:sz w:val="21"/>
          <w:szCs w:val="21"/>
        </w:rPr>
        <w:t>七、基金税收</w:t>
      </w:r>
    </w:p>
    <w:p>
      <w:pPr>
        <w:pStyle w:val="7"/>
        <w:spacing w:before="0" w:beforeAutospacing="0" w:after="0" w:afterAutospacing="0" w:line="360" w:lineRule="auto"/>
        <w:ind w:firstLine="420"/>
        <w:rPr>
          <w:sz w:val="21"/>
          <w:szCs w:val="21"/>
        </w:rPr>
      </w:pPr>
      <w:bookmarkStart w:id="156" w:name="chapter_level1_16_65_section_1_end"/>
      <w:bookmarkEnd w:id="156"/>
      <w:r>
        <w:rPr>
          <w:rFonts w:hint="eastAsia"/>
          <w:sz w:val="21"/>
          <w:szCs w:val="21"/>
        </w:rPr>
        <w:t xml:space="preserve">基金和基金份额持有人根据国家法律法规的规定，履行纳税义务。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7" w:name="_Toc113564311"/>
      <w:bookmarkStart w:id="158" w:name="chapter_level1_17_66"/>
      <w:r>
        <w:rPr>
          <w:rFonts w:hint="eastAsia" w:ascii="宋体" w:hAnsi="宋体" w:eastAsia="宋体"/>
          <w:sz w:val="30"/>
        </w:rPr>
        <w:t>第十四部分  基金的会计与审计</w:t>
      </w:r>
      <w:bookmarkEnd w:id="157"/>
      <w:bookmarkEnd w:id="158"/>
    </w:p>
    <w:p>
      <w:pPr>
        <w:pStyle w:val="7"/>
        <w:spacing w:before="0" w:beforeAutospacing="0" w:after="0" w:afterAutospacing="0" w:line="360" w:lineRule="auto"/>
        <w:ind w:firstLine="420"/>
        <w:rPr>
          <w:sz w:val="21"/>
          <w:szCs w:val="21"/>
        </w:rPr>
      </w:pPr>
      <w:bookmarkStart w:id="159" w:name="chapter_level1_17_66_section_1"/>
      <w:bookmarkEnd w:id="159"/>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1.基金管理人为本基金的会计责任方； </w:t>
      </w:r>
    </w:p>
    <w:p>
      <w:pPr>
        <w:pStyle w:val="7"/>
        <w:spacing w:before="0" w:beforeAutospacing="0" w:after="0" w:afterAutospacing="0" w:line="360" w:lineRule="auto"/>
        <w:ind w:firstLine="420"/>
        <w:rPr>
          <w:sz w:val="21"/>
          <w:szCs w:val="21"/>
        </w:rPr>
      </w:pPr>
      <w:r>
        <w:rPr>
          <w:rFonts w:hint="eastAsia"/>
          <w:sz w:val="21"/>
          <w:szCs w:val="21"/>
        </w:rPr>
        <w:t xml:space="preserve">2.本基金的会计年度为公历每年的1月1日至12月31日，如果基金首次募集的会计年度，基金合同生效少于2个月，可以并入下一个会计年度； </w:t>
      </w:r>
    </w:p>
    <w:p>
      <w:pPr>
        <w:pStyle w:val="7"/>
        <w:spacing w:before="0" w:beforeAutospacing="0" w:after="0" w:afterAutospacing="0" w:line="360" w:lineRule="auto"/>
        <w:ind w:firstLine="420"/>
        <w:rPr>
          <w:sz w:val="21"/>
          <w:szCs w:val="21"/>
        </w:rPr>
      </w:pPr>
      <w:r>
        <w:rPr>
          <w:rFonts w:hint="eastAsia"/>
          <w:sz w:val="21"/>
          <w:szCs w:val="21"/>
        </w:rPr>
        <w:t xml:space="preserve">3.本基金的会计核算以人民币为记账本位币，以人民币元为记账单位；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4.会计制度执行国家有关的会计制度；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7.基金托管人定期与基金管理人就基金的会计核算、报表编制等进行核对并书面确认。 </w:t>
      </w:r>
    </w:p>
    <w:p>
      <w:pPr>
        <w:pStyle w:val="7"/>
        <w:spacing w:before="0" w:beforeAutospacing="0" w:after="0" w:afterAutospacing="0" w:line="360" w:lineRule="auto"/>
        <w:ind w:firstLine="420"/>
        <w:rPr>
          <w:sz w:val="21"/>
          <w:szCs w:val="21"/>
        </w:rPr>
      </w:pPr>
      <w:r>
        <w:rPr>
          <w:rStyle w:val="11"/>
          <w:rFonts w:hint="eastAsia"/>
          <w:sz w:val="21"/>
          <w:szCs w:val="21"/>
        </w:rPr>
        <w:t>二、基金审计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2.会计师事务所更换经办注册会计师时，应事先征得基金管理人同意。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3.基金管理人(或基金托管人)认为有充足理由更换会计师事务所，经基金托管人(或基</w:t>
      </w:r>
      <w:bookmarkStart w:id="160" w:name="chapter_level1_17_66_section_1_end"/>
      <w:bookmarkEnd w:id="160"/>
      <w:r>
        <w:rPr>
          <w:rFonts w:hint="eastAsia"/>
          <w:sz w:val="21"/>
          <w:szCs w:val="21"/>
        </w:rPr>
        <w:t xml:space="preserve">金管理人)同意。更换会计师事务所需按照《信息披露办法》的有关规定在指定媒介公告。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1" w:name="_Toc113564312"/>
      <w:bookmarkStart w:id="162" w:name="chapter_level1_18_67"/>
      <w:r>
        <w:rPr>
          <w:rFonts w:hint="eastAsia" w:ascii="宋体" w:hAnsi="宋体" w:eastAsia="宋体"/>
          <w:sz w:val="30"/>
        </w:rPr>
        <w:t>第十五部分  基金的信息披露</w:t>
      </w:r>
      <w:bookmarkEnd w:id="161"/>
      <w:bookmarkEnd w:id="162"/>
    </w:p>
    <w:p>
      <w:pPr>
        <w:pStyle w:val="7"/>
        <w:spacing w:before="0" w:beforeAutospacing="0" w:after="0" w:afterAutospacing="0" w:line="360" w:lineRule="auto"/>
        <w:ind w:firstLine="420"/>
        <w:rPr>
          <w:sz w:val="21"/>
          <w:szCs w:val="21"/>
        </w:rPr>
      </w:pPr>
      <w:bookmarkStart w:id="163" w:name="chapter_level1_18_67_section_1"/>
      <w:bookmarkEnd w:id="163"/>
      <w:r>
        <w:rPr>
          <w:rFonts w:hint="eastAsia"/>
          <w:sz w:val="21"/>
          <w:szCs w:val="21"/>
        </w:rPr>
        <w:t xml:space="preserve">基金的信息披露应符合《基金法》、《运作办法》、《信息披露办法》、基金合同及其他有关规定。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基金管理人、基金托管人和其他基金信息披露义务人应按规定将应予披露的基金信息披露事项在规定时间内通过中国证监会指定媒介披露。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4.诋毁其他基金管理人、基金托管人或者基金份额发售机构；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64" w:name="chapter_level1_18_67_section_1_end"/>
      <w:bookmarkEnd w:id="164"/>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65" w:name="chapter_level1_18_67_section_2"/>
      <w:bookmarkEnd w:id="165"/>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(一)招募说明书、基金产品资料概要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招募说明书是基金向社会公开发售时对基金情况进行说明的法律文件。 </w:t>
      </w:r>
    </w:p>
    <w:p>
      <w:pPr>
        <w:pStyle w:val="7"/>
        <w:spacing w:before="0" w:beforeAutospacing="0" w:after="0" w:afterAutospacing="0" w:line="360" w:lineRule="auto"/>
        <w:ind w:firstLine="420"/>
        <w:rPr>
          <w:sz w:val="21"/>
          <w:szCs w:val="21"/>
        </w:rPr>
      </w:pPr>
      <w:r>
        <w:rPr>
          <w:rFonts w:hint="eastAsia"/>
          <w:sz w:val="21"/>
          <w:szCs w:val="21"/>
        </w:rPr>
        <w:t xml:space="preserve">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(二)基金合同、托管协议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基金管理人应在基金份额发售的3日前，将基金合同摘要登载在指定报刊和网站上；基金管理人、基金托管人应将基金合同、托管协议登载在各自网站上。 </w:t>
      </w:r>
    </w:p>
    <w:p>
      <w:pPr>
        <w:pStyle w:val="7"/>
        <w:spacing w:before="0" w:beforeAutospacing="0" w:after="0" w:afterAutospacing="0" w:line="360" w:lineRule="auto"/>
        <w:ind w:firstLine="420"/>
        <w:rPr>
          <w:sz w:val="21"/>
          <w:szCs w:val="21"/>
        </w:rPr>
      </w:pPr>
      <w:r>
        <w:rPr>
          <w:rFonts w:hint="eastAsia"/>
          <w:sz w:val="21"/>
          <w:szCs w:val="21"/>
        </w:rPr>
        <w:t xml:space="preserve">(三)基金份额发售公告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pPr>
        <w:pStyle w:val="7"/>
        <w:spacing w:before="0" w:beforeAutospacing="0" w:after="0" w:afterAutospacing="0" w:line="360" w:lineRule="auto"/>
        <w:ind w:firstLine="420"/>
        <w:rPr>
          <w:sz w:val="21"/>
          <w:szCs w:val="21"/>
        </w:rPr>
      </w:pPr>
      <w:r>
        <w:rPr>
          <w:rFonts w:hint="eastAsia"/>
          <w:sz w:val="21"/>
          <w:szCs w:val="21"/>
        </w:rPr>
        <w:t xml:space="preserve">(四)基金合同生效公告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基金管理人将在基金合同生效的次日在指定报刊和网站上登载基金合同生效公告。基金合同生效公告中将说明基金募集情况。 </w:t>
      </w:r>
    </w:p>
    <w:p>
      <w:pPr>
        <w:pStyle w:val="7"/>
        <w:spacing w:before="0" w:beforeAutospacing="0" w:after="0" w:afterAutospacing="0" w:line="360" w:lineRule="auto"/>
        <w:ind w:firstLine="420"/>
        <w:rPr>
          <w:sz w:val="21"/>
          <w:szCs w:val="21"/>
        </w:rPr>
      </w:pPr>
      <w:r>
        <w:rPr>
          <w:rFonts w:hint="eastAsia"/>
          <w:sz w:val="21"/>
          <w:szCs w:val="21"/>
        </w:rPr>
        <w:t xml:space="preserve">(五)基金净值信息 </w:t>
      </w:r>
    </w:p>
    <w:p>
      <w:pPr>
        <w:pStyle w:val="7"/>
        <w:spacing w:before="0" w:beforeAutospacing="0" w:after="0" w:afterAutospacing="0" w:line="360" w:lineRule="auto"/>
        <w:ind w:firstLine="420"/>
        <w:rPr>
          <w:sz w:val="21"/>
          <w:szCs w:val="21"/>
        </w:rPr>
      </w:pPr>
      <w:r>
        <w:rPr>
          <w:rFonts w:hint="eastAsia"/>
          <w:sz w:val="21"/>
          <w:szCs w:val="21"/>
        </w:rPr>
        <w:t xml:space="preserve">1.本基金的基金合同生效后，在开始办理基金份额申购或者赎回前，基金管理人将至少每周在指定网站披露一次基金份额净值和基金份额累计净值；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2.在开始办理基金份额申购或者赎回后，基金管理人应当在不晚于每个开放日的次日，通过指定网站、基金销售机构网站或营业网点披露开放日的基金份额净值和基金份额累计净值；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3.基金管理人应在不晚于半年度和年度最后一日的次日，在指定网站披露半年度和年度最后一日的基金份额净值和基金份额累计净值。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(六)基金份额申购、赎回价格公告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本基金的基金合同、招募说明书等信息披露文件上载明基金份额申购、赎回价格的计算方式及有关申购、赎回费率，并保证投资人能够在基金销售机构网站或者营业网点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(七)基金年度报告、基金中期报告、基金季度报告 </w:t>
      </w:r>
    </w:p>
    <w:p>
      <w:pPr>
        <w:pStyle w:val="7"/>
        <w:spacing w:before="0" w:beforeAutospacing="0" w:after="0" w:afterAutospacing="0" w:line="360" w:lineRule="auto"/>
        <w:ind w:firstLine="420"/>
        <w:rPr>
          <w:sz w:val="21"/>
          <w:szCs w:val="21"/>
        </w:rPr>
      </w:pPr>
      <w:r>
        <w:rPr>
          <w:rFonts w:hint="eastAsia"/>
          <w:sz w:val="21"/>
          <w:szCs w:val="21"/>
        </w:rPr>
        <w:t xml:space="preserve">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2.基金管理人应当在上半年结束之日起两个月内，编制完成基金中期报告，将中期报告登载在指定网站上，并将中期报告提示性公告登载在指定报刊上；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3.基金管理人应当在每个季度结束之日起15个工作日内，编制完成基金季度报告，将季度报告登载在指定网站上，并将季度报告提示性公告登载在指定报刊上；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4.基金合同生效不足2个月的，本基金管理人可以不编制当期季度报告、中期报告或者年度报告。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5.本基金持续运作过程中，应当在基金年度报告和中期报告中披露基金组合资产情况及其流动性风险分析等。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(八)临时报告与公告 </w:t>
      </w:r>
    </w:p>
    <w:p>
      <w:pPr>
        <w:pStyle w:val="7"/>
        <w:spacing w:before="0" w:beforeAutospacing="0" w:after="0" w:afterAutospacing="0" w:line="360" w:lineRule="auto"/>
        <w:ind w:firstLine="420"/>
        <w:rPr>
          <w:sz w:val="21"/>
          <w:szCs w:val="21"/>
        </w:rPr>
      </w:pPr>
      <w:r>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16.基金份额净值计价错误达基金份额净值0.5%；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22.发生涉及本基金申购、赎回事项调整或潜在影响投资者赎回等重大事项； </w:t>
      </w:r>
    </w:p>
    <w:p>
      <w:pPr>
        <w:pStyle w:val="7"/>
        <w:spacing w:before="0" w:beforeAutospacing="0" w:after="0" w:afterAutospacing="0" w:line="360" w:lineRule="auto"/>
        <w:ind w:firstLine="420"/>
        <w:rPr>
          <w:sz w:val="21"/>
          <w:szCs w:val="21"/>
        </w:rPr>
      </w:pPr>
      <w:r>
        <w:rPr>
          <w:rFonts w:hint="eastAsia"/>
          <w:sz w:val="21"/>
          <w:szCs w:val="21"/>
        </w:rPr>
        <w:t xml:space="preserve">23.基金信息披露义务人认为可能对基金份额持有人权益或者基金份额的价格产生重大影响的其他事项或中国证监会规定的其他事项。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(九)澄清公告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(十)基金份额持有人大会决议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(十一)清算报告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(十二)中国证监会规定的其他信息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(十三)信息披露文件的存放与查阅 </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66" w:name="chapter_level1_18_67_section_2_end"/>
      <w:bookmarkEnd w:id="166"/>
      <w:r>
        <w:rPr>
          <w:rFonts w:hint="eastAsia"/>
          <w:sz w:val="21"/>
          <w:szCs w:val="21"/>
        </w:rPr>
        <w:t xml:space="preserve">息置备于公司住所，以供社会公众查阅、复制。 </w:t>
      </w:r>
    </w:p>
    <w:p>
      <w:pPr>
        <w:rPr>
          <w:rFonts w:ascii="宋体" w:hAnsi="宋体" w:eastAsia="宋体"/>
        </w:rPr>
      </w:pPr>
      <w:bookmarkStart w:id="167" w:name="chapter_level1_18_67_section_3_end"/>
      <w:bookmarkEnd w:id="167"/>
      <w:bookmarkStart w:id="168" w:name="chapter_level1_18_67_section_3"/>
      <w:bookmarkEnd w:id="168"/>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9" w:name="_Toc113564313"/>
      <w:bookmarkStart w:id="170" w:name="chapter_level1_19_68"/>
      <w:r>
        <w:rPr>
          <w:rFonts w:hint="eastAsia" w:ascii="宋体" w:hAnsi="宋体" w:eastAsia="宋体"/>
          <w:sz w:val="30"/>
        </w:rPr>
        <w:t>第十六部分  风险揭示</w:t>
      </w:r>
      <w:bookmarkEnd w:id="169"/>
      <w:bookmarkEnd w:id="170"/>
    </w:p>
    <w:p>
      <w:pPr>
        <w:pStyle w:val="7"/>
        <w:spacing w:before="0" w:beforeAutospacing="0" w:after="0" w:afterAutospacing="0" w:line="360" w:lineRule="auto"/>
        <w:ind w:firstLine="420"/>
        <w:rPr>
          <w:sz w:val="21"/>
          <w:szCs w:val="21"/>
        </w:rPr>
      </w:pPr>
      <w:bookmarkStart w:id="171" w:name="chapter_level1_19_68_section_1"/>
      <w:bookmarkEnd w:id="171"/>
      <w:r>
        <w:rPr>
          <w:rFonts w:hint="eastAsia"/>
          <w:sz w:val="21"/>
          <w:szCs w:val="21"/>
        </w:rPr>
        <w:t xml:space="preserve">基金份额持有人须了解并承受以下风险： </w:t>
      </w:r>
    </w:p>
    <w:p>
      <w:pPr>
        <w:pStyle w:val="7"/>
        <w:spacing w:before="0" w:beforeAutospacing="0" w:after="0" w:afterAutospacing="0" w:line="360" w:lineRule="auto"/>
        <w:ind w:firstLine="420"/>
        <w:rPr>
          <w:sz w:val="21"/>
          <w:szCs w:val="21"/>
        </w:rPr>
      </w:pPr>
      <w:r>
        <w:rPr>
          <w:rFonts w:hint="eastAsia"/>
          <w:sz w:val="21"/>
          <w:szCs w:val="21"/>
        </w:rPr>
        <w:t xml:space="preserve">（一）市场风险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pPr>
        <w:pStyle w:val="7"/>
        <w:spacing w:before="0" w:beforeAutospacing="0" w:after="0" w:afterAutospacing="0" w:line="360" w:lineRule="auto"/>
        <w:ind w:firstLine="420"/>
        <w:rPr>
          <w:sz w:val="21"/>
          <w:szCs w:val="21"/>
        </w:rPr>
      </w:pPr>
      <w:r>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pPr>
        <w:pStyle w:val="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Fonts w:hint="eastAsia"/>
          <w:sz w:val="21"/>
          <w:szCs w:val="21"/>
        </w:rPr>
        <w:t xml:space="preserve">二、管理风险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 </w:t>
      </w:r>
    </w:p>
    <w:p>
      <w:pPr>
        <w:pStyle w:val="7"/>
        <w:spacing w:before="0" w:beforeAutospacing="0" w:after="0" w:afterAutospacing="0" w:line="360" w:lineRule="auto"/>
        <w:ind w:firstLine="420"/>
        <w:rPr>
          <w:sz w:val="21"/>
          <w:szCs w:val="21"/>
        </w:rPr>
      </w:pPr>
      <w:r>
        <w:rPr>
          <w:rFonts w:hint="eastAsia"/>
          <w:sz w:val="21"/>
          <w:szCs w:val="21"/>
        </w:rPr>
        <w:t xml:space="preserve">三、流动性风险 </w:t>
      </w:r>
    </w:p>
    <w:p>
      <w:pPr>
        <w:pStyle w:val="7"/>
        <w:spacing w:before="0" w:beforeAutospacing="0" w:after="0" w:afterAutospacing="0" w:line="360" w:lineRule="auto"/>
        <w:ind w:firstLine="420"/>
        <w:rPr>
          <w:sz w:val="21"/>
          <w:szCs w:val="21"/>
        </w:rPr>
      </w:pPr>
      <w:r>
        <w:rPr>
          <w:rFonts w:hint="eastAsia"/>
          <w:sz w:val="21"/>
          <w:szCs w:val="21"/>
        </w:rPr>
        <w:t xml:space="preserve">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（1）基金申购、赎回的安排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四、基金估值风险 </w:t>
      </w:r>
    </w:p>
    <w:p>
      <w:pPr>
        <w:pStyle w:val="7"/>
        <w:spacing w:before="0" w:beforeAutospacing="0" w:after="0" w:afterAutospacing="0" w:line="360" w:lineRule="auto"/>
        <w:ind w:firstLine="420"/>
        <w:rPr>
          <w:sz w:val="21"/>
          <w:szCs w:val="21"/>
        </w:rPr>
      </w:pPr>
      <w:r>
        <w:rPr>
          <w:rFonts w:hint="eastAsia"/>
          <w:sz w:val="21"/>
          <w:szCs w:val="21"/>
        </w:rPr>
        <w:t xml:space="preserve">指每日基金估值可能发生错误的风险。 </w:t>
      </w:r>
    </w:p>
    <w:p>
      <w:pPr>
        <w:pStyle w:val="7"/>
        <w:spacing w:before="0" w:beforeAutospacing="0" w:after="0" w:afterAutospacing="0" w:line="360" w:lineRule="auto"/>
        <w:ind w:firstLine="420"/>
        <w:rPr>
          <w:sz w:val="21"/>
          <w:szCs w:val="21"/>
        </w:rPr>
      </w:pPr>
      <w:r>
        <w:rPr>
          <w:rFonts w:hint="eastAsia"/>
          <w:sz w:val="21"/>
          <w:szCs w:val="21"/>
        </w:rPr>
        <w:t xml:space="preserve">五、本基金的特有风险 </w:t>
      </w:r>
    </w:p>
    <w:p>
      <w:pPr>
        <w:pStyle w:val="7"/>
        <w:spacing w:before="0" w:beforeAutospacing="0" w:after="0" w:afterAutospacing="0" w:line="360" w:lineRule="auto"/>
        <w:ind w:firstLine="420"/>
        <w:rPr>
          <w:sz w:val="21"/>
          <w:szCs w:val="21"/>
        </w:rPr>
      </w:pPr>
      <w:r>
        <w:rPr>
          <w:rFonts w:hint="eastAsia"/>
          <w:sz w:val="21"/>
          <w:szCs w:val="21"/>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投资于具有政府壁垒优势、技术壁垒优势、市场与品牌壁垒优势的企业股票，可能存在随社会技术进步，原有壁垒不再成立，影响企业内在价值，从而在个股投资决策中给基金带来一定的不确定性，因而存在个股选择风险。</w:t>
      </w:r>
      <w:r>
        <w:rPr>
          <w:rFonts w:hint="eastAsia"/>
          <w:sz w:val="21"/>
          <w:szCs w:val="21"/>
        </w:rPr>
        <w:br w:type="textWrapping"/>
      </w:r>
      <w:r>
        <w:rPr>
          <w:rFonts w:hint="eastAsia"/>
          <w:sz w:val="21"/>
          <w:szCs w:val="21"/>
        </w:rPr>
        <w:t xml:space="preserve">      （2）权证等金融衍生品投资风险 </w:t>
      </w:r>
    </w:p>
    <w:p>
      <w:pPr>
        <w:pStyle w:val="7"/>
        <w:spacing w:before="0" w:beforeAutospacing="0" w:after="0" w:afterAutospacing="0" w:line="360" w:lineRule="auto"/>
        <w:ind w:firstLine="420"/>
        <w:rPr>
          <w:sz w:val="21"/>
          <w:szCs w:val="21"/>
        </w:rPr>
      </w:pPr>
      <w:r>
        <w:rPr>
          <w:rFonts w:hint="eastAsia"/>
          <w:sz w:val="21"/>
          <w:szCs w:val="21"/>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r>
        <w:rPr>
          <w:rFonts w:hint="eastAsia"/>
          <w:sz w:val="21"/>
          <w:szCs w:val="21"/>
        </w:rPr>
        <w:br w:type="textWrapping"/>
      </w:r>
      <w:r>
        <w:rPr>
          <w:rFonts w:hint="eastAsia"/>
          <w:sz w:val="21"/>
          <w:szCs w:val="21"/>
        </w:rPr>
        <w:t>本基金可能投资的股票权证资产的主要风险包括价格波动风险、市场流动性风险、强制平仓风险、合约到期风险、行权失败风险、交易违约风险等。影响权证价格的因素较多，有时会出现价格较大波动，而且权证有到期日，不同的权证合约又有不同的到期日，若到期日当天没有做好行权准备，权证合约就会作废，不再有任何价值。此外，行权失败和交收违约也是股票权证交易可能出现的风险，权证发行方无法在较首日备齐足额资金或证券用于交收履约，行权投资者就会面临行权失败而失去交易机会。</w:t>
      </w:r>
      <w:r>
        <w:rPr>
          <w:rFonts w:hint="eastAsia"/>
          <w:sz w:val="21"/>
          <w:szCs w:val="21"/>
        </w:rPr>
        <w:br w:type="textWrapping"/>
      </w:r>
      <w:r>
        <w:rPr>
          <w:rFonts w:hint="eastAsia"/>
          <w:sz w:val="21"/>
          <w:szCs w:val="21"/>
        </w:rPr>
        <w:t xml:space="preserve">     （3）资产支持证券投资风险  </w:t>
      </w:r>
    </w:p>
    <w:p>
      <w:pPr>
        <w:pStyle w:val="7"/>
        <w:spacing w:before="0" w:beforeAutospacing="0" w:after="0" w:afterAutospacing="0" w:line="360" w:lineRule="auto"/>
        <w:ind w:firstLine="420"/>
        <w:rPr>
          <w:sz w:val="21"/>
          <w:szCs w:val="21"/>
        </w:rPr>
      </w:pPr>
      <w:r>
        <w:rPr>
          <w:rFonts w:hint="eastAsia"/>
          <w:sz w:val="21"/>
          <w:szCs w:val="21"/>
        </w:rPr>
        <w:t xml:space="preserve">本基金可能投资的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 （4）投资于存托凭证的风险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六、其他风险 </w:t>
      </w:r>
    </w:p>
    <w:p>
      <w:pPr>
        <w:pStyle w:val="7"/>
        <w:spacing w:before="0" w:beforeAutospacing="0" w:after="0" w:afterAutospacing="0" w:line="360" w:lineRule="auto"/>
        <w:ind w:firstLine="420"/>
        <w:rPr>
          <w:sz w:val="21"/>
          <w:szCs w:val="21"/>
        </w:rPr>
      </w:pPr>
      <w:r>
        <w:rPr>
          <w:rFonts w:hint="eastAsia"/>
          <w:sz w:val="21"/>
          <w:szCs w:val="21"/>
        </w:rPr>
        <w:t xml:space="preserve">（1）因技术因素而产生的风险，如电脑系统不可靠产生的风险；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（2）因基金业务快速发展而在制度建设、人员配备、内控制度建立等方面不完善而产生的风险；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（3）因人为因素而产生的风险、如内幕交易、欺诈行为等产生的风险；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（4）对主要业务人员如基金经理的依赖而可能产生的风险；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（5）因业务竞争压力可能产生的风险；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7"/>
        <w:spacing w:before="0" w:beforeAutospacing="0" w:after="0" w:afterAutospacing="0" w:line="360" w:lineRule="auto"/>
        <w:ind w:firstLine="420"/>
        <w:rPr>
          <w:sz w:val="21"/>
          <w:szCs w:val="21"/>
        </w:rPr>
      </w:pPr>
      <w:bookmarkStart w:id="172" w:name="chapter_level1_19_68_section_1_end"/>
      <w:bookmarkEnd w:id="172"/>
      <w:r>
        <w:rPr>
          <w:rFonts w:hint="eastAsia"/>
          <w:sz w:val="21"/>
          <w:szCs w:val="21"/>
        </w:rPr>
        <w:t xml:space="preserve">七、R类基金份额的特殊风险详见招募说明书补充文件（香港说明文件）。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3" w:name="chapter_level1_20_69"/>
      <w:bookmarkStart w:id="174" w:name="_Toc113564314"/>
      <w:r>
        <w:rPr>
          <w:rFonts w:hint="eastAsia" w:ascii="宋体" w:hAnsi="宋体" w:eastAsia="宋体"/>
          <w:sz w:val="30"/>
        </w:rPr>
        <w:t>第十七部分  基金合同的变更、终止与基金财产的清算</w:t>
      </w:r>
      <w:bookmarkEnd w:id="173"/>
      <w:bookmarkEnd w:id="174"/>
    </w:p>
    <w:p>
      <w:pPr>
        <w:pStyle w:val="7"/>
        <w:spacing w:before="0" w:beforeAutospacing="0" w:after="0" w:afterAutospacing="0" w:line="360" w:lineRule="auto"/>
        <w:ind w:firstLine="420"/>
        <w:rPr>
          <w:sz w:val="21"/>
          <w:szCs w:val="21"/>
        </w:rPr>
      </w:pPr>
      <w:bookmarkStart w:id="175" w:name="chapter_level1_20_69_section_1"/>
      <w:bookmarkEnd w:id="175"/>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(3)变更基金类别； </w:t>
      </w:r>
    </w:p>
    <w:p>
      <w:pPr>
        <w:pStyle w:val="7"/>
        <w:spacing w:before="0" w:beforeAutospacing="0" w:after="0" w:afterAutospacing="0" w:line="360" w:lineRule="auto"/>
        <w:ind w:firstLine="420"/>
        <w:rPr>
          <w:sz w:val="21"/>
          <w:szCs w:val="21"/>
        </w:rPr>
      </w:pPr>
      <w:r>
        <w:rPr>
          <w:rFonts w:hint="eastAsia"/>
          <w:sz w:val="21"/>
          <w:szCs w:val="21"/>
        </w:rPr>
        <w:t xml:space="preserve">(4)变更基金投资目标、投资范围或投资策略； </w:t>
      </w:r>
    </w:p>
    <w:p>
      <w:pPr>
        <w:pStyle w:val="7"/>
        <w:spacing w:before="0" w:beforeAutospacing="0" w:after="0" w:afterAutospacing="0" w:line="360" w:lineRule="auto"/>
        <w:ind w:firstLine="420"/>
        <w:rPr>
          <w:sz w:val="21"/>
          <w:szCs w:val="21"/>
        </w:rPr>
      </w:pPr>
      <w:r>
        <w:rPr>
          <w:rFonts w:hint="eastAsia"/>
          <w:sz w:val="21"/>
          <w:szCs w:val="21"/>
        </w:rPr>
        <w:t xml:space="preserve">(5)变更基金份额持有人大会程序；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(6)更换基金管理人、基金托管人；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(7)提高基金管理人、基金托管人的报酬标准。但根据适用的相关规定提高该等报酬标准的除外；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(8)本基金与其他基金的合并；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(9)对基金合同当事人权利、义务产生重大影响的其他事项；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但出现下列情况时，可不经基金份额持有人大会决议，由基金管理人和基金托管人同意变更后公布，并报中国证监会备案：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(2)在法律法规和基金合同规定的范围内变更基金的申购费率、赎回费率或收费方式；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有下列情形之一的，基金合同经中国证监会核准后将终止：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(2)基金管理人因解散、破产、撤销等事由，不能继续担任基金管理人的职务，而在6个月内无其他适当的基金管理公司承接其原有权利义务；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(3)基金托管人因解散、破产、撤销等事由，不能继续担任基金托管人的职务，而在6个月内无其他适当的托管机构承接其原有权利义务；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(4)中国证监会允许的其他情况。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1.基金财产清算组 </w:t>
      </w:r>
    </w:p>
    <w:p>
      <w:pPr>
        <w:pStyle w:val="7"/>
        <w:spacing w:before="0" w:beforeAutospacing="0" w:after="0" w:afterAutospacing="0" w:line="360" w:lineRule="auto"/>
        <w:ind w:firstLine="420"/>
        <w:rPr>
          <w:sz w:val="21"/>
          <w:szCs w:val="21"/>
        </w:rPr>
      </w:pPr>
      <w:r>
        <w:rPr>
          <w:rFonts w:hint="eastAsia"/>
          <w:sz w:val="21"/>
          <w:szCs w:val="21"/>
        </w:rPr>
        <w:t xml:space="preserve">（1）基金合同终止时，成立基金财产清算组，基金财产清算组在中国证监会的监督下进行基金清算。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基金合同终止后，发布基金财产清算公告； </w:t>
      </w:r>
    </w:p>
    <w:p>
      <w:pPr>
        <w:pStyle w:val="7"/>
        <w:spacing w:before="0" w:beforeAutospacing="0" w:after="0" w:afterAutospacing="0" w:line="360" w:lineRule="auto"/>
        <w:ind w:firstLine="420"/>
        <w:rPr>
          <w:sz w:val="21"/>
          <w:szCs w:val="21"/>
        </w:rPr>
      </w:pPr>
      <w:r>
        <w:rPr>
          <w:rFonts w:hint="eastAsia"/>
          <w:sz w:val="21"/>
          <w:szCs w:val="21"/>
        </w:rPr>
        <w:t xml:space="preserve">(1)基金合同终止时，由基金财产清算组统一接管基金财产；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(2)对基金财产进行清理和确认；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(3)对基金财产进行估价和变现； </w:t>
      </w:r>
    </w:p>
    <w:p>
      <w:pPr>
        <w:pStyle w:val="7"/>
        <w:spacing w:before="0" w:beforeAutospacing="0" w:after="0" w:afterAutospacing="0" w:line="360" w:lineRule="auto"/>
        <w:ind w:firstLine="420"/>
        <w:rPr>
          <w:sz w:val="21"/>
          <w:szCs w:val="21"/>
        </w:rPr>
      </w:pPr>
      <w:r>
        <w:rPr>
          <w:rFonts w:hint="eastAsia"/>
          <w:sz w:val="21"/>
          <w:szCs w:val="21"/>
        </w:rPr>
        <w:t xml:space="preserve">(4)聘请律师事务所出具法律意见书；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(6)将基金财产清算结果报告中国证监会；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(7)参加与基金财产有关的民事诉讼； </w:t>
      </w:r>
    </w:p>
    <w:p>
      <w:pPr>
        <w:pStyle w:val="7"/>
        <w:spacing w:before="0" w:beforeAutospacing="0" w:after="0" w:afterAutospacing="0" w:line="360" w:lineRule="auto"/>
        <w:ind w:firstLine="420"/>
        <w:rPr>
          <w:sz w:val="21"/>
          <w:szCs w:val="21"/>
        </w:rPr>
      </w:pPr>
      <w:r>
        <w:rPr>
          <w:rFonts w:hint="eastAsia"/>
          <w:sz w:val="21"/>
          <w:szCs w:val="21"/>
        </w:rPr>
        <w:t xml:space="preserve">(8)公布基金财产清算结果； </w:t>
      </w:r>
    </w:p>
    <w:p>
      <w:pPr>
        <w:pStyle w:val="7"/>
        <w:spacing w:before="0" w:beforeAutospacing="0" w:after="0" w:afterAutospacing="0" w:line="360" w:lineRule="auto"/>
        <w:ind w:firstLine="420"/>
        <w:rPr>
          <w:sz w:val="21"/>
          <w:szCs w:val="21"/>
        </w:rPr>
      </w:pPr>
      <w:r>
        <w:rPr>
          <w:rFonts w:hint="eastAsia"/>
          <w:sz w:val="21"/>
          <w:szCs w:val="21"/>
        </w:rPr>
        <w:t xml:space="preserve">(9)对基金剩余财产进行分配。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根据基金合同终止日各类别份额的资产净值计算各类份额在剩余财产中的应计比例，在此基础上，按每类基金份额持有人持有的基金份额占该类基金份额的比例对该类基金财产可供分配的剩余资产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5.基金清算的公告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7"/>
        <w:spacing w:before="0" w:beforeAutospacing="0" w:after="0" w:afterAutospacing="0" w:line="360" w:lineRule="auto"/>
        <w:ind w:firstLine="420"/>
        <w:rPr>
          <w:sz w:val="21"/>
          <w:szCs w:val="21"/>
        </w:rPr>
      </w:pPr>
      <w:bookmarkStart w:id="176" w:name="chapter_level1_20_69_section_1_end"/>
      <w:bookmarkEnd w:id="176"/>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7" w:name="_Toc113564315"/>
      <w:bookmarkStart w:id="178" w:name="chapter_level1_21_71"/>
      <w:r>
        <w:rPr>
          <w:rFonts w:hint="eastAsia" w:ascii="宋体" w:hAnsi="宋体" w:eastAsia="宋体"/>
          <w:sz w:val="30"/>
        </w:rPr>
        <w:t>第十八部分  基金合同的内容摘要</w:t>
      </w:r>
      <w:bookmarkEnd w:id="177"/>
      <w:bookmarkEnd w:id="178"/>
    </w:p>
    <w:p>
      <w:pPr>
        <w:pStyle w:val="7"/>
        <w:spacing w:before="0" w:beforeAutospacing="0" w:after="0" w:afterAutospacing="0" w:line="360" w:lineRule="auto"/>
        <w:ind w:firstLine="420"/>
        <w:rPr>
          <w:sz w:val="21"/>
          <w:szCs w:val="21"/>
        </w:rPr>
      </w:pPr>
      <w:bookmarkStart w:id="179" w:name="chapter_level1_21_71_section_1"/>
      <w:bookmarkEnd w:id="179"/>
      <w:r>
        <w:rPr>
          <w:rFonts w:hint="eastAsia"/>
          <w:sz w:val="21"/>
          <w:szCs w:val="21"/>
        </w:rPr>
        <w:t>以下内容摘自《</w:t>
      </w:r>
      <w:bookmarkStart w:id="180" w:name="field_0_productfullname_9"/>
      <w:r>
        <w:rPr>
          <w:rFonts w:hint="eastAsia"/>
          <w:sz w:val="21"/>
          <w:szCs w:val="21"/>
        </w:rPr>
        <w:t>博时特许价值混合型证券投资基金</w:t>
      </w:r>
      <w:bookmarkEnd w:id="180"/>
      <w:r>
        <w:rPr>
          <w:rFonts w:hint="eastAsia"/>
          <w:sz w:val="21"/>
          <w:szCs w:val="21"/>
        </w:rPr>
        <w:t xml:space="preserve">基金合同》 </w:t>
      </w:r>
    </w:p>
    <w:p>
      <w:pPr>
        <w:pStyle w:val="7"/>
        <w:spacing w:before="0" w:beforeAutospacing="0" w:after="0" w:afterAutospacing="0" w:line="360" w:lineRule="auto"/>
        <w:ind w:firstLine="420"/>
        <w:rPr>
          <w:sz w:val="21"/>
          <w:szCs w:val="21"/>
        </w:rPr>
      </w:pPr>
      <w:r>
        <w:rPr>
          <w:rStyle w:val="11"/>
          <w:rFonts w:hint="eastAsia"/>
          <w:sz w:val="21"/>
          <w:szCs w:val="21"/>
        </w:rPr>
        <w:t>一、基金合同当事人及权利义务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根据《基金法》及其他有关法律法规，基金管理人的权利为：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1.自基金合同生效之日起，依照有关法律法规和基金合同的规定独立运用基金财产； </w:t>
      </w:r>
    </w:p>
    <w:p>
      <w:pPr>
        <w:pStyle w:val="7"/>
        <w:spacing w:before="0" w:beforeAutospacing="0" w:after="0" w:afterAutospacing="0" w:line="360" w:lineRule="auto"/>
        <w:ind w:firstLine="420"/>
        <w:rPr>
          <w:sz w:val="21"/>
          <w:szCs w:val="21"/>
        </w:rPr>
      </w:pPr>
      <w:r>
        <w:rPr>
          <w:rFonts w:hint="eastAsia"/>
          <w:sz w:val="21"/>
          <w:szCs w:val="21"/>
        </w:rPr>
        <w:t xml:space="preserve">2.依照基金合同获得基金认购和申购费用、基金赎回手续费用和管理费以及法律法规规定或监管部门批准的其他收入；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3.发售基金份额； </w:t>
      </w:r>
    </w:p>
    <w:p>
      <w:pPr>
        <w:pStyle w:val="7"/>
        <w:spacing w:before="0" w:beforeAutospacing="0" w:after="0" w:afterAutospacing="0" w:line="360" w:lineRule="auto"/>
        <w:ind w:firstLine="420"/>
        <w:rPr>
          <w:sz w:val="21"/>
          <w:szCs w:val="21"/>
        </w:rPr>
      </w:pPr>
      <w:r>
        <w:rPr>
          <w:rFonts w:hint="eastAsia"/>
          <w:sz w:val="21"/>
          <w:szCs w:val="21"/>
        </w:rPr>
        <w:t xml:space="preserve">4.依照有关规定行使因基金财产投资于证券所产生的权利；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5.在符合有关法律法规的前提下，制订和调整有关基金认购、申购、赎回、转换、非交易过户、转托管等业务的规则； </w:t>
      </w:r>
    </w:p>
    <w:p>
      <w:pPr>
        <w:pStyle w:val="7"/>
        <w:spacing w:before="0" w:beforeAutospacing="0" w:after="0" w:afterAutospacing="0" w:line="360" w:lineRule="auto"/>
        <w:ind w:firstLine="420"/>
        <w:rPr>
          <w:sz w:val="21"/>
          <w:szCs w:val="21"/>
        </w:rPr>
      </w:pPr>
      <w:r>
        <w:rPr>
          <w:rFonts w:hint="eastAsia"/>
          <w:sz w:val="21"/>
          <w:szCs w:val="21"/>
        </w:rPr>
        <w:t xml:space="preserve">6.根据基金合同及有关规定监督基金托管人，对于基金托管人违反了基金合同或有关法律法规规定的行为，对基金资产、其他当事人的利益造成重大损失的情形，应及时呈报中国证监会，并采取必要措施保护基金及相关当事人的利益； </w:t>
      </w:r>
    </w:p>
    <w:p>
      <w:pPr>
        <w:pStyle w:val="7"/>
        <w:spacing w:before="0" w:beforeAutospacing="0" w:after="0" w:afterAutospacing="0" w:line="360" w:lineRule="auto"/>
        <w:ind w:firstLine="420"/>
        <w:rPr>
          <w:sz w:val="21"/>
          <w:szCs w:val="21"/>
        </w:rPr>
      </w:pPr>
      <w:r>
        <w:rPr>
          <w:rFonts w:hint="eastAsia"/>
          <w:sz w:val="21"/>
          <w:szCs w:val="21"/>
        </w:rPr>
        <w:t xml:space="preserve">7.在基金合同约定的范围内，拒绝或暂停受理申购和赎回申请； </w:t>
      </w:r>
    </w:p>
    <w:p>
      <w:pPr>
        <w:pStyle w:val="7"/>
        <w:spacing w:before="0" w:beforeAutospacing="0" w:after="0" w:afterAutospacing="0" w:line="360" w:lineRule="auto"/>
        <w:ind w:firstLine="420"/>
        <w:rPr>
          <w:sz w:val="21"/>
          <w:szCs w:val="21"/>
        </w:rPr>
      </w:pPr>
      <w:r>
        <w:rPr>
          <w:rFonts w:hint="eastAsia"/>
          <w:sz w:val="21"/>
          <w:szCs w:val="21"/>
        </w:rPr>
        <w:t xml:space="preserve">8.在法律法规允许的前提下，为基金的利益依法为基金进行融资、融券；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9.自行担任或选择、更换登记结算机构，获取基金份额持有人名册，并对登记结算机构的代理行为进行必要的监督和检查； </w:t>
      </w:r>
    </w:p>
    <w:p>
      <w:pPr>
        <w:pStyle w:val="7"/>
        <w:spacing w:before="0" w:beforeAutospacing="0" w:after="0" w:afterAutospacing="0" w:line="360" w:lineRule="auto"/>
        <w:ind w:firstLine="420"/>
        <w:rPr>
          <w:sz w:val="21"/>
          <w:szCs w:val="21"/>
        </w:rPr>
      </w:pPr>
      <w:r>
        <w:rPr>
          <w:rFonts w:hint="eastAsia"/>
          <w:sz w:val="21"/>
          <w:szCs w:val="21"/>
        </w:rPr>
        <w:t xml:space="preserve">10.选择、更换代销机构，并依据销售代理协议和有关法律法规，对其行为进行必要的监督和检查； </w:t>
      </w:r>
    </w:p>
    <w:p>
      <w:pPr>
        <w:pStyle w:val="7"/>
        <w:spacing w:before="0" w:beforeAutospacing="0" w:after="0" w:afterAutospacing="0" w:line="360" w:lineRule="auto"/>
        <w:ind w:firstLine="420"/>
        <w:rPr>
          <w:sz w:val="21"/>
          <w:szCs w:val="21"/>
        </w:rPr>
      </w:pPr>
      <w:r>
        <w:rPr>
          <w:rFonts w:hint="eastAsia"/>
          <w:sz w:val="21"/>
          <w:szCs w:val="21"/>
        </w:rPr>
        <w:t xml:space="preserve">11.选择、更换律师、审计师、证券经纪商或其他为基金提供服务的外部机构；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12.在基金托管人更换时，提名新的基金托管人；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13.依法召集基金份额持有人大会；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14.法律法规和基金合同规定的其他权利。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（二）基金管理人的义务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根据《基金法》及其他有关法律法规，基金管理人的义务为： </w:t>
      </w:r>
    </w:p>
    <w:p>
      <w:pPr>
        <w:pStyle w:val="7"/>
        <w:spacing w:before="0" w:beforeAutospacing="0" w:after="0" w:afterAutospacing="0" w:line="360" w:lineRule="auto"/>
        <w:ind w:firstLine="420"/>
        <w:rPr>
          <w:sz w:val="21"/>
          <w:szCs w:val="21"/>
        </w:rPr>
      </w:pPr>
      <w:r>
        <w:rPr>
          <w:rFonts w:hint="eastAsia"/>
          <w:sz w:val="21"/>
          <w:szCs w:val="21"/>
        </w:rPr>
        <w:t xml:space="preserve">1.依法募集基金，办理或者委托经国务院证券监督管理机构认定的其他机构代为办理基金份额的发售、申购、赎回和登记事宜；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8.计算并公告基金净值信息，确定基金份额申购、赎回价格；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9.采取适当合理的措施使计算基金份额认购、申购、赎回和注销价格的方法符合基金合同等法律文件的规定；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10.按规定受理申购和赎回申请，及时、足额支付赎回款项；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11.进行基金会计核算并编制基金财务会计报告；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12.编制季度报告、中期报告和年度报告；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15.按照基金合同的约定确定基金收益分配方案，及时向基金份额持有人分配收益； </w:t>
      </w:r>
    </w:p>
    <w:p>
      <w:pPr>
        <w:pStyle w:val="7"/>
        <w:spacing w:before="0" w:beforeAutospacing="0" w:after="0" w:afterAutospacing="0" w:line="360" w:lineRule="auto"/>
        <w:ind w:firstLine="420"/>
        <w:rPr>
          <w:sz w:val="21"/>
          <w:szCs w:val="21"/>
        </w:rPr>
      </w:pPr>
      <w:r>
        <w:rPr>
          <w:rFonts w:hint="eastAsia"/>
          <w:sz w:val="21"/>
          <w:szCs w:val="21"/>
        </w:rPr>
        <w:t xml:space="preserve">16.依据《基金法》、基金合同及其他有关规定召集基金份额持有人大会或配合基金托管人、基金份额持有人依法召集基金份额持有人大会；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17.保存基金财产管理业务活动的记录、账册、报表和其他相关资料；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22.按规定向基金托管人提供基金份额持有人名册资料； </w:t>
      </w:r>
    </w:p>
    <w:p>
      <w:pPr>
        <w:pStyle w:val="7"/>
        <w:spacing w:before="0" w:beforeAutospacing="0" w:after="0" w:afterAutospacing="0" w:line="360" w:lineRule="auto"/>
        <w:ind w:firstLine="420"/>
        <w:rPr>
          <w:sz w:val="21"/>
          <w:szCs w:val="21"/>
        </w:rPr>
      </w:pPr>
      <w:r>
        <w:rPr>
          <w:rFonts w:hint="eastAsia"/>
          <w:sz w:val="21"/>
          <w:szCs w:val="21"/>
        </w:rPr>
        <w:t xml:space="preserve">23.面临解散、依法被撤销或者被依法宣告破产时，及时报告中国证监会并通知基金托管人；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24.执行生效的基金份额持有人大会决议；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25.不从事任何有损基金及其他基金当事人利益的活动； </w:t>
      </w:r>
    </w:p>
    <w:p>
      <w:pPr>
        <w:pStyle w:val="7"/>
        <w:spacing w:before="0" w:beforeAutospacing="0" w:after="0" w:afterAutospacing="0" w:line="360" w:lineRule="auto"/>
        <w:ind w:firstLine="420"/>
        <w:rPr>
          <w:sz w:val="21"/>
          <w:szCs w:val="21"/>
        </w:rPr>
      </w:pPr>
      <w:r>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pPr>
        <w:pStyle w:val="7"/>
        <w:spacing w:before="0" w:beforeAutospacing="0" w:after="0" w:afterAutospacing="0" w:line="360" w:lineRule="auto"/>
        <w:ind w:firstLine="420"/>
        <w:rPr>
          <w:sz w:val="21"/>
          <w:szCs w:val="21"/>
        </w:rPr>
      </w:pPr>
      <w:r>
        <w:rPr>
          <w:rFonts w:hint="eastAsia"/>
          <w:sz w:val="21"/>
          <w:szCs w:val="21"/>
        </w:rPr>
        <w:t xml:space="preserve">27.法律法规、国务院证券监督管理机构和基金合同规定的其他义务。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（三）基金托管人的权利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根据《基金法》及其他有关法律法规，基金托管人的权利为： </w:t>
      </w:r>
    </w:p>
    <w:p>
      <w:pPr>
        <w:pStyle w:val="7"/>
        <w:spacing w:before="0" w:beforeAutospacing="0" w:after="0" w:afterAutospacing="0" w:line="360" w:lineRule="auto"/>
        <w:ind w:firstLine="420"/>
        <w:rPr>
          <w:sz w:val="21"/>
          <w:szCs w:val="21"/>
        </w:rPr>
      </w:pPr>
      <w:r>
        <w:rPr>
          <w:rFonts w:hint="eastAsia"/>
          <w:sz w:val="21"/>
          <w:szCs w:val="21"/>
        </w:rPr>
        <w:t xml:space="preserve">1.依基金合同约定获得基金托管费以及法律法规规定或监管部门批准的其他收入；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2.监督基金管理人对本基金的投资运作；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3.自基金合同生效之日起，依法保管基金资产； </w:t>
      </w:r>
    </w:p>
    <w:p>
      <w:pPr>
        <w:pStyle w:val="7"/>
        <w:spacing w:before="0" w:beforeAutospacing="0" w:after="0" w:afterAutospacing="0" w:line="360" w:lineRule="auto"/>
        <w:ind w:firstLine="420"/>
        <w:rPr>
          <w:sz w:val="21"/>
          <w:szCs w:val="21"/>
        </w:rPr>
      </w:pPr>
      <w:r>
        <w:rPr>
          <w:rFonts w:hint="eastAsia"/>
          <w:sz w:val="21"/>
          <w:szCs w:val="21"/>
        </w:rPr>
        <w:t xml:space="preserve">4.在基金管理人更换时，提名新任基金管理人； </w:t>
      </w:r>
    </w:p>
    <w:p>
      <w:pPr>
        <w:pStyle w:val="7"/>
        <w:spacing w:before="0" w:beforeAutospacing="0" w:after="0" w:afterAutospacing="0" w:line="360" w:lineRule="auto"/>
        <w:ind w:firstLine="420"/>
        <w:rPr>
          <w:sz w:val="21"/>
          <w:szCs w:val="21"/>
        </w:rPr>
      </w:pPr>
      <w:r>
        <w:rPr>
          <w:rFonts w:hint="eastAsia"/>
          <w:sz w:val="21"/>
          <w:szCs w:val="21"/>
        </w:rPr>
        <w:t xml:space="preserve">5.根据基金合同及有关规定监督基金管理人，对于基金管理人违反基金合同或有关法律法规规定的行为，对基金资产、其他当事人的利益造成重大损失的情形，应及时呈报中国证监会，并采取必要措施保护基金及相关当事人的利益； </w:t>
      </w:r>
    </w:p>
    <w:p>
      <w:pPr>
        <w:pStyle w:val="7"/>
        <w:spacing w:before="0" w:beforeAutospacing="0" w:after="0" w:afterAutospacing="0" w:line="360" w:lineRule="auto"/>
        <w:ind w:firstLine="420"/>
        <w:rPr>
          <w:sz w:val="21"/>
          <w:szCs w:val="21"/>
        </w:rPr>
      </w:pPr>
      <w:r>
        <w:rPr>
          <w:rFonts w:hint="eastAsia"/>
          <w:sz w:val="21"/>
          <w:szCs w:val="21"/>
        </w:rPr>
        <w:t xml:space="preserve">6.依法召集基金份额持有人大会；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7.按规定取得基金份额持有人名册资料； </w:t>
      </w:r>
    </w:p>
    <w:p>
      <w:pPr>
        <w:pStyle w:val="7"/>
        <w:spacing w:before="0" w:beforeAutospacing="0" w:after="0" w:afterAutospacing="0" w:line="360" w:lineRule="auto"/>
        <w:ind w:firstLine="420"/>
        <w:rPr>
          <w:sz w:val="21"/>
          <w:szCs w:val="21"/>
        </w:rPr>
      </w:pPr>
      <w:r>
        <w:rPr>
          <w:rFonts w:hint="eastAsia"/>
          <w:sz w:val="21"/>
          <w:szCs w:val="21"/>
        </w:rPr>
        <w:t xml:space="preserve">8.法律法规和基金合同规定的其他权利。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（四）基金托管人的义务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根据《基金法》及其他有关法律法规，基金托管人的义务为： </w:t>
      </w:r>
    </w:p>
    <w:p>
      <w:pPr>
        <w:pStyle w:val="7"/>
        <w:spacing w:before="0" w:beforeAutospacing="0" w:after="0" w:afterAutospacing="0" w:line="360" w:lineRule="auto"/>
        <w:ind w:firstLine="420"/>
        <w:rPr>
          <w:sz w:val="21"/>
          <w:szCs w:val="21"/>
        </w:rPr>
      </w:pPr>
      <w:r>
        <w:rPr>
          <w:rFonts w:hint="eastAsia"/>
          <w:sz w:val="21"/>
          <w:szCs w:val="21"/>
        </w:rPr>
        <w:t xml:space="preserve">1.安全保管基金财产；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7.保守基金商业秘密，除《基金法》、基金合同及其他有关规定另有规定外，在基金信息公开披露前应予保密，不得向他人泄露；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9.保存基金托管业务活动的记录、账册、报表和其他相关资料；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10.按照基金合同的约定，根据基金管理人的投资指令，及时办理清算、交割事宜；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11.办理与基金托管业务活动有关的信息披露事项；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12.复核、审查基金管理人计算的基金资产净值、基金份额净值和基金份额申购、赎回价格；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13.按照规定监督基金管理人的投资运作；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14.按规定制作相关账册并与基金管理人核对；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15.依据基金管理人的指令或有关规定向基金份额持有人支付基金收益和赎回款项；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16.按照规定召集基金份额持有人大会或配合基金份额持有人依法自行召集基金份额持有人大会；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17.因违反基金合同导致基金财产损失，应承担赔偿责任，其赔偿责任不因其退任而免除；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18.基金管理人因违反基金合同造成基金财产损失时，应为基金向基金管理人追偿；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19.参加基金财产清算小组，参与基金财产的保管、清理、估价、变现和分配；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20.面临解散、依法被撤销或者被依法宣告破产时，及时报告中国证监会和银行业监督管理机构，并通知基金管理人；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22.不从事任何有损基金及其他基金当事人利益的活动； </w:t>
      </w:r>
    </w:p>
    <w:p>
      <w:pPr>
        <w:pStyle w:val="7"/>
        <w:spacing w:before="0" w:beforeAutospacing="0" w:after="0" w:afterAutospacing="0" w:line="360" w:lineRule="auto"/>
        <w:ind w:firstLine="420"/>
        <w:rPr>
          <w:sz w:val="21"/>
          <w:szCs w:val="21"/>
        </w:rPr>
      </w:pPr>
      <w:r>
        <w:rPr>
          <w:rFonts w:hint="eastAsia"/>
          <w:sz w:val="21"/>
          <w:szCs w:val="21"/>
        </w:rPr>
        <w:t xml:space="preserve">23.建立并保存基金份额持有人名册；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24.法律法规、国务院证券监督管理机构和基金合同规定的其他义务。 </w:t>
      </w:r>
    </w:p>
    <w:p>
      <w:pPr>
        <w:pStyle w:val="7"/>
        <w:spacing w:before="0" w:beforeAutospacing="0" w:after="0" w:afterAutospacing="0" w:line="360" w:lineRule="auto"/>
        <w:ind w:firstLine="420"/>
        <w:rPr>
          <w:sz w:val="21"/>
          <w:szCs w:val="21"/>
        </w:rPr>
      </w:pPr>
      <w:r>
        <w:rPr>
          <w:rFonts w:hint="eastAsia"/>
          <w:sz w:val="21"/>
          <w:szCs w:val="21"/>
        </w:rPr>
        <w:t xml:space="preserve">（五）基金份额持有人的权利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根据《基金法》及其他有关法律法规，基金份额持有人的权利为：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8.对基金管理人、基金托管人、基金份额发售机构损害其合法权益的行为依法提起诉讼； </w:t>
      </w:r>
    </w:p>
    <w:p>
      <w:pPr>
        <w:pStyle w:val="7"/>
        <w:spacing w:before="0" w:beforeAutospacing="0" w:after="0" w:afterAutospacing="0" w:line="360" w:lineRule="auto"/>
        <w:ind w:firstLine="420"/>
        <w:rPr>
          <w:sz w:val="21"/>
          <w:szCs w:val="21"/>
        </w:rPr>
      </w:pPr>
      <w:r>
        <w:rPr>
          <w:rFonts w:hint="eastAsia"/>
          <w:sz w:val="21"/>
          <w:szCs w:val="21"/>
        </w:rPr>
        <w:t xml:space="preserve">9.法律法规和基金合同规定的其他权利。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每份同类基金份额具有同等的合法权益。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（六）基金份额持有人的义务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根据《基金法》及其他有关法律法规，基金份额持有人的义务为： </w:t>
      </w:r>
    </w:p>
    <w:p>
      <w:pPr>
        <w:pStyle w:val="7"/>
        <w:spacing w:before="0" w:beforeAutospacing="0" w:after="0" w:afterAutospacing="0" w:line="360" w:lineRule="auto"/>
        <w:ind w:firstLine="420"/>
        <w:rPr>
          <w:sz w:val="21"/>
          <w:szCs w:val="21"/>
        </w:rPr>
      </w:pPr>
      <w:r>
        <w:rPr>
          <w:rFonts w:hint="eastAsia"/>
          <w:sz w:val="21"/>
          <w:szCs w:val="21"/>
        </w:rPr>
        <w:t xml:space="preserve">1.遵守法律法规、基金合同及其他有关规定； </w:t>
      </w:r>
    </w:p>
    <w:p>
      <w:pPr>
        <w:pStyle w:val="7"/>
        <w:spacing w:before="0" w:beforeAutospacing="0" w:after="0" w:afterAutospacing="0" w:line="360" w:lineRule="auto"/>
        <w:ind w:firstLine="420"/>
        <w:rPr>
          <w:sz w:val="21"/>
          <w:szCs w:val="21"/>
        </w:rPr>
      </w:pPr>
      <w:r>
        <w:rPr>
          <w:rFonts w:hint="eastAsia"/>
          <w:sz w:val="21"/>
          <w:szCs w:val="21"/>
        </w:rPr>
        <w:t xml:space="preserve">2.交纳基金认购、申购款项及法律法规和基金合同所规定的费用；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3.在持有的基金份额范围内，承担基金亏损或者基金合同终止的有限责任；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4.不从事任何有损基金及其他基金份额持有人合法权益的活动；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5.执行生效的基金份额持有人大会决议；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6.返还在基金交易过程中因任何原因，自基金管理人及基金管理人的代理人、基金托管人、代销机构、其他基金份额持有人处获得的不当得利； </w:t>
      </w:r>
    </w:p>
    <w:p>
      <w:pPr>
        <w:pStyle w:val="7"/>
        <w:spacing w:before="0" w:beforeAutospacing="0" w:after="0" w:afterAutospacing="0" w:line="360" w:lineRule="auto"/>
        <w:ind w:firstLine="420"/>
        <w:rPr>
          <w:sz w:val="21"/>
          <w:szCs w:val="21"/>
        </w:rPr>
      </w:pPr>
      <w:r>
        <w:rPr>
          <w:rFonts w:hint="eastAsia"/>
          <w:sz w:val="21"/>
          <w:szCs w:val="21"/>
        </w:rPr>
        <w:t xml:space="preserve">7.法律法规和基金合同规定的其他义务。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 </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(一)基金份额持有人大会由基金份额持有人共同组成。基金份额持有人持有的每一基金份额具有同等的投票权。 </w:t>
      </w:r>
    </w:p>
    <w:p>
      <w:pPr>
        <w:pStyle w:val="7"/>
        <w:spacing w:before="0" w:beforeAutospacing="0" w:after="0" w:afterAutospacing="0" w:line="360" w:lineRule="auto"/>
        <w:ind w:firstLine="420"/>
        <w:rPr>
          <w:sz w:val="21"/>
          <w:szCs w:val="21"/>
        </w:rPr>
      </w:pPr>
      <w:r>
        <w:rPr>
          <w:rFonts w:hint="eastAsia"/>
          <w:sz w:val="21"/>
          <w:szCs w:val="21"/>
        </w:rPr>
        <w:t xml:space="preserve">(二)召开事由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(3)变更基金类别； </w:t>
      </w:r>
    </w:p>
    <w:p>
      <w:pPr>
        <w:pStyle w:val="7"/>
        <w:spacing w:before="0" w:beforeAutospacing="0" w:after="0" w:afterAutospacing="0" w:line="360" w:lineRule="auto"/>
        <w:ind w:firstLine="420"/>
        <w:rPr>
          <w:sz w:val="21"/>
          <w:szCs w:val="21"/>
        </w:rPr>
      </w:pPr>
      <w:r>
        <w:rPr>
          <w:rFonts w:hint="eastAsia"/>
          <w:sz w:val="21"/>
          <w:szCs w:val="21"/>
        </w:rPr>
        <w:t xml:space="preserve">(4)变更基金投资目标、投资范围或投资策略； </w:t>
      </w:r>
    </w:p>
    <w:p>
      <w:pPr>
        <w:pStyle w:val="7"/>
        <w:spacing w:before="0" w:beforeAutospacing="0" w:after="0" w:afterAutospacing="0" w:line="360" w:lineRule="auto"/>
        <w:ind w:firstLine="420"/>
        <w:rPr>
          <w:sz w:val="21"/>
          <w:szCs w:val="21"/>
        </w:rPr>
      </w:pPr>
      <w:r>
        <w:rPr>
          <w:rFonts w:hint="eastAsia"/>
          <w:sz w:val="21"/>
          <w:szCs w:val="21"/>
        </w:rPr>
        <w:t xml:space="preserve">(5)变更基金份额持有人大会程序；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(6)更换基金管理人、基金托管人；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(7)提高基金管理人、基金托管人的报酬标准，但根据适用的相关规定提高该等报酬标准的除外；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(8)本基金与其他基金的合并；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(9)对基金合同当事人权利、义务产生重大影响的其他事项；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2.出现以下情形之一的，可由基金管理人和基金托管人协商后修改基金合同，不需召开基金份额持有人大会：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(2)在法律法规和基金合同规定的范围内变更基金的申购费率、赎回费率或收费方式；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(三)召集人和召集方式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1.除法律法规或基金合同另有约定外，基金份额持有人大会由基金管理人召集，开会时间、地点、方式和权益登记日由基金管理人选择确定。基金管理人未按规定召集或者不能召集时，由基金托管人召集。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pPr>
        <w:pStyle w:val="7"/>
        <w:spacing w:before="0" w:beforeAutospacing="0" w:after="0" w:afterAutospacing="0" w:line="360" w:lineRule="auto"/>
        <w:ind w:firstLine="420"/>
        <w:rPr>
          <w:sz w:val="21"/>
          <w:szCs w:val="21"/>
        </w:rPr>
      </w:pPr>
      <w:r>
        <w:rPr>
          <w:rFonts w:hint="eastAsia"/>
          <w:sz w:val="21"/>
          <w:szCs w:val="21"/>
        </w:rPr>
        <w:t xml:space="preserve">5.基金份额持有人依法自行召集基金份额持有人大会的，基金管理人、基金托管人应当配合，不得阻碍、干扰。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(四)召开基金份额持有人大会的通知时间、通知内容、通知方式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集人(以下简称“召集人”)负责选择确定开会时间、地点、方式和权益登记日。召开基金份额持有人大会，召集人必须于会议召开日前30天在指定媒介公告。基金份额持有人大会通知须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(1)会议召开的时间、地点和出席方式； </w:t>
      </w:r>
    </w:p>
    <w:p>
      <w:pPr>
        <w:pStyle w:val="7"/>
        <w:spacing w:before="0" w:beforeAutospacing="0" w:after="0" w:afterAutospacing="0" w:line="360" w:lineRule="auto"/>
        <w:ind w:firstLine="420"/>
        <w:rPr>
          <w:sz w:val="21"/>
          <w:szCs w:val="21"/>
        </w:rPr>
      </w:pPr>
      <w:r>
        <w:rPr>
          <w:rFonts w:hint="eastAsia"/>
          <w:sz w:val="21"/>
          <w:szCs w:val="21"/>
        </w:rPr>
        <w:t xml:space="preserve">(2)会议拟审议的主要事项； </w:t>
      </w:r>
    </w:p>
    <w:p>
      <w:pPr>
        <w:pStyle w:val="7"/>
        <w:spacing w:before="0" w:beforeAutospacing="0" w:after="0" w:afterAutospacing="0" w:line="360" w:lineRule="auto"/>
        <w:ind w:firstLine="420"/>
        <w:rPr>
          <w:sz w:val="21"/>
          <w:szCs w:val="21"/>
        </w:rPr>
      </w:pPr>
      <w:r>
        <w:rPr>
          <w:rFonts w:hint="eastAsia"/>
          <w:sz w:val="21"/>
          <w:szCs w:val="21"/>
        </w:rPr>
        <w:t xml:space="preserve">(3)会议形式； </w:t>
      </w:r>
    </w:p>
    <w:p>
      <w:pPr>
        <w:pStyle w:val="7"/>
        <w:spacing w:before="0" w:beforeAutospacing="0" w:after="0" w:afterAutospacing="0" w:line="360" w:lineRule="auto"/>
        <w:ind w:firstLine="420"/>
        <w:rPr>
          <w:sz w:val="21"/>
          <w:szCs w:val="21"/>
        </w:rPr>
      </w:pPr>
      <w:r>
        <w:rPr>
          <w:rFonts w:hint="eastAsia"/>
          <w:sz w:val="21"/>
          <w:szCs w:val="21"/>
        </w:rPr>
        <w:t xml:space="preserve">(4)议事程序； </w:t>
      </w:r>
    </w:p>
    <w:p>
      <w:pPr>
        <w:pStyle w:val="7"/>
        <w:spacing w:before="0" w:beforeAutospacing="0" w:after="0" w:afterAutospacing="0" w:line="360" w:lineRule="auto"/>
        <w:ind w:firstLine="420"/>
        <w:rPr>
          <w:sz w:val="21"/>
          <w:szCs w:val="21"/>
        </w:rPr>
      </w:pPr>
      <w:r>
        <w:rPr>
          <w:rFonts w:hint="eastAsia"/>
          <w:sz w:val="21"/>
          <w:szCs w:val="21"/>
        </w:rPr>
        <w:t xml:space="preserve">(5)有权出席基金份额持有人大会的基金份额持有人权益登记日； </w:t>
      </w:r>
    </w:p>
    <w:p>
      <w:pPr>
        <w:pStyle w:val="7"/>
        <w:spacing w:before="0" w:beforeAutospacing="0" w:after="0" w:afterAutospacing="0" w:line="360" w:lineRule="auto"/>
        <w:ind w:firstLine="420"/>
        <w:rPr>
          <w:sz w:val="21"/>
          <w:szCs w:val="21"/>
        </w:rPr>
      </w:pPr>
      <w:r>
        <w:rPr>
          <w:rFonts w:hint="eastAsia"/>
          <w:sz w:val="21"/>
          <w:szCs w:val="21"/>
        </w:rPr>
        <w:t xml:space="preserve">(6)代理投票的授权委托书的内容要求(包括但不限于代理人身份、代理权限和代理有效期限等)、送达时间和地点；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(7)表决方式； </w:t>
      </w:r>
    </w:p>
    <w:p>
      <w:pPr>
        <w:pStyle w:val="7"/>
        <w:spacing w:before="0" w:beforeAutospacing="0" w:after="0" w:afterAutospacing="0" w:line="360" w:lineRule="auto"/>
        <w:ind w:firstLine="420"/>
        <w:rPr>
          <w:sz w:val="21"/>
          <w:szCs w:val="21"/>
        </w:rPr>
      </w:pPr>
      <w:r>
        <w:rPr>
          <w:rFonts w:hint="eastAsia"/>
          <w:sz w:val="21"/>
          <w:szCs w:val="21"/>
        </w:rPr>
        <w:t xml:space="preserve">(8)会务常设联系人姓名、电话； </w:t>
      </w:r>
    </w:p>
    <w:p>
      <w:pPr>
        <w:pStyle w:val="7"/>
        <w:spacing w:before="0" w:beforeAutospacing="0" w:after="0" w:afterAutospacing="0" w:line="360" w:lineRule="auto"/>
        <w:ind w:firstLine="420"/>
        <w:rPr>
          <w:sz w:val="21"/>
          <w:szCs w:val="21"/>
        </w:rPr>
      </w:pPr>
      <w:r>
        <w:rPr>
          <w:rFonts w:hint="eastAsia"/>
          <w:sz w:val="21"/>
          <w:szCs w:val="21"/>
        </w:rPr>
        <w:t xml:space="preserve">(9)出席会议者必须准备的文件和必须履行的手续；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(10)召集人需要通知的其他事项。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(五)基金份额持有人出席会议的方式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1.会议方式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(1)基金份额持有人大会的召开方式包括现场开会和通讯方式开会。 </w:t>
      </w:r>
    </w:p>
    <w:p>
      <w:pPr>
        <w:pStyle w:val="7"/>
        <w:spacing w:before="0" w:beforeAutospacing="0" w:after="0" w:afterAutospacing="0" w:line="360" w:lineRule="auto"/>
        <w:ind w:firstLine="420"/>
        <w:rPr>
          <w:sz w:val="21"/>
          <w:szCs w:val="21"/>
        </w:rPr>
      </w:pPr>
      <w:r>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(3)通讯方式开会指按照基金合同的相关规定以通讯的书面方式进行表决。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(4)会议的召开方式由召集人确定，但决定转换基金运作方式、基金管理人更换或基金托管人更换、终止基金合同的事宜必须以现场开会方式召开基金份额持有人大会。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2.召开基金份额持有人大会的条件 </w:t>
      </w:r>
    </w:p>
    <w:p>
      <w:pPr>
        <w:pStyle w:val="7"/>
        <w:spacing w:before="0" w:beforeAutospacing="0" w:after="0" w:afterAutospacing="0" w:line="360" w:lineRule="auto"/>
        <w:ind w:firstLine="420"/>
        <w:rPr>
          <w:sz w:val="21"/>
          <w:szCs w:val="21"/>
        </w:rPr>
      </w:pPr>
      <w:r>
        <w:rPr>
          <w:rFonts w:hint="eastAsia"/>
          <w:sz w:val="21"/>
          <w:szCs w:val="21"/>
        </w:rPr>
        <w:t xml:space="preserve">(1)现场开会方式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在同时符合以下条件时，现场会议方可举行： </w:t>
      </w:r>
    </w:p>
    <w:p>
      <w:pPr>
        <w:pStyle w:val="7"/>
        <w:spacing w:before="0" w:beforeAutospacing="0" w:after="0" w:afterAutospacing="0" w:line="360" w:lineRule="auto"/>
        <w:ind w:firstLine="420"/>
        <w:rPr>
          <w:sz w:val="21"/>
          <w:szCs w:val="21"/>
        </w:rPr>
      </w:pPr>
      <w:r>
        <w:rPr>
          <w:rFonts w:hint="eastAsia"/>
          <w:sz w:val="21"/>
          <w:szCs w:val="21"/>
        </w:rPr>
        <w:t xml:space="preserve">1)对到会者在权益登记日持有基金份额的统计显示，全部有效凭证所对应的基金份额应占权益登记日基金总份额的50%以上(含50%，下同)； </w:t>
      </w:r>
    </w:p>
    <w:p>
      <w:pPr>
        <w:pStyle w:val="7"/>
        <w:spacing w:before="0" w:beforeAutospacing="0" w:after="0" w:afterAutospacing="0" w:line="360" w:lineRule="auto"/>
        <w:ind w:firstLine="420"/>
        <w:rPr>
          <w:sz w:val="21"/>
          <w:szCs w:val="21"/>
        </w:rPr>
      </w:pPr>
      <w:r>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pPr>
        <w:pStyle w:val="7"/>
        <w:spacing w:before="0" w:beforeAutospacing="0" w:after="0" w:afterAutospacing="0" w:line="360" w:lineRule="auto"/>
        <w:ind w:firstLine="420"/>
        <w:rPr>
          <w:sz w:val="21"/>
          <w:szCs w:val="21"/>
        </w:rPr>
      </w:pPr>
      <w:r>
        <w:rPr>
          <w:rFonts w:hint="eastAsia"/>
          <w:sz w:val="21"/>
          <w:szCs w:val="21"/>
        </w:rPr>
        <w:t xml:space="preserve">(2)通讯开会方式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在同时符合以下条件时，通讯会议方可举行： </w:t>
      </w:r>
    </w:p>
    <w:p>
      <w:pPr>
        <w:pStyle w:val="7"/>
        <w:spacing w:before="0" w:beforeAutospacing="0" w:after="0" w:afterAutospacing="0" w:line="360" w:lineRule="auto"/>
        <w:ind w:firstLine="420"/>
        <w:rPr>
          <w:sz w:val="21"/>
          <w:szCs w:val="21"/>
        </w:rPr>
      </w:pPr>
      <w:r>
        <w:rPr>
          <w:rFonts w:hint="eastAsia"/>
          <w:sz w:val="21"/>
          <w:szCs w:val="21"/>
        </w:rPr>
        <w:t xml:space="preserve">1)召集人按基金合同规定公布会议通知后，在2个工作日内连续公布相关提示性公告；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2)召集人按基金合同规定通知基金托管人或/和基金管理人(分别或共同称为“监督人”)到指定地点对书面表决意见的计票进行监督； </w:t>
      </w:r>
    </w:p>
    <w:p>
      <w:pPr>
        <w:pStyle w:val="7"/>
        <w:spacing w:before="0" w:beforeAutospacing="0" w:after="0" w:afterAutospacing="0" w:line="360" w:lineRule="auto"/>
        <w:ind w:firstLine="420"/>
        <w:rPr>
          <w:sz w:val="21"/>
          <w:szCs w:val="21"/>
        </w:rPr>
      </w:pPr>
      <w:r>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4)本人直接出具书面意见或授权他人代表出具书面意见的基金份额持有人所代表的基金份额占权益登记日基金总份额的50%以上； </w:t>
      </w:r>
    </w:p>
    <w:p>
      <w:pPr>
        <w:pStyle w:val="7"/>
        <w:spacing w:before="0" w:beforeAutospacing="0" w:after="0" w:afterAutospacing="0" w:line="360" w:lineRule="auto"/>
        <w:ind w:firstLine="420"/>
        <w:rPr>
          <w:sz w:val="21"/>
          <w:szCs w:val="21"/>
        </w:rPr>
      </w:pPr>
      <w:r>
        <w:rPr>
          <w:rFonts w:hint="eastAsia"/>
          <w:sz w:val="21"/>
          <w:szCs w:val="21"/>
        </w:rPr>
        <w:t xml:space="preserve">5)直接出具书面意见的基金份额持有人或受托代表他人出具书面意见的代理人，同时提交的持有基金份额的凭证和受托出席会议者出具的委托人持有基金份额的凭证、授权委托书等文件符合法律法规、基金合同和会议通知的规定，并与登记结算机构记录相符。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表面符合法律法规和会议通知规定的书面表决意见即视为有效的表决，表决意见模糊不清或相互矛盾的视为弃权表决，但应当计入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3、本基金R类份额持有人可以根据香港地区法规和相关规则通过其名义持有人行使表决权。 </w:t>
      </w:r>
    </w:p>
    <w:p>
      <w:pPr>
        <w:pStyle w:val="7"/>
        <w:spacing w:before="0" w:beforeAutospacing="0" w:after="0" w:afterAutospacing="0" w:line="360" w:lineRule="auto"/>
        <w:ind w:firstLine="420"/>
        <w:rPr>
          <w:sz w:val="21"/>
          <w:szCs w:val="21"/>
        </w:rPr>
      </w:pPr>
      <w:r>
        <w:rPr>
          <w:rFonts w:hint="eastAsia"/>
          <w:sz w:val="21"/>
          <w:szCs w:val="21"/>
        </w:rPr>
        <w:t xml:space="preserve">(六)议事内容与程序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(1)议事内容为本基金合同规定的召开基金份额持有人大会事由所涉及的内容。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pPr>
        <w:pStyle w:val="7"/>
        <w:spacing w:before="0" w:beforeAutospacing="0" w:after="0" w:afterAutospacing="0" w:line="360" w:lineRule="auto"/>
        <w:ind w:firstLine="420"/>
        <w:rPr>
          <w:sz w:val="21"/>
          <w:szCs w:val="21"/>
        </w:rPr>
      </w:pPr>
      <w:r>
        <w:rPr>
          <w:rFonts w:hint="eastAsia"/>
          <w:sz w:val="21"/>
          <w:szCs w:val="21"/>
        </w:rPr>
        <w:t xml:space="preserve">(3)对于基金份额持有人提交的提案，大会召集人应当按照以下原则对提案进行审核： </w:t>
      </w:r>
    </w:p>
    <w:p>
      <w:pPr>
        <w:pStyle w:val="7"/>
        <w:spacing w:before="0" w:beforeAutospacing="0" w:after="0" w:afterAutospacing="0" w:line="360" w:lineRule="auto"/>
        <w:ind w:firstLine="420"/>
        <w:rPr>
          <w:sz w:val="21"/>
          <w:szCs w:val="21"/>
        </w:rPr>
      </w:pPr>
      <w:r>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7"/>
        <w:spacing w:before="0" w:beforeAutospacing="0" w:after="0" w:afterAutospacing="0" w:line="360" w:lineRule="auto"/>
        <w:ind w:firstLine="420"/>
        <w:rPr>
          <w:sz w:val="21"/>
          <w:szCs w:val="21"/>
        </w:rPr>
      </w:pPr>
      <w:r>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pPr>
        <w:pStyle w:val="7"/>
        <w:spacing w:before="0" w:beforeAutospacing="0" w:after="0" w:afterAutospacing="0" w:line="360" w:lineRule="auto"/>
        <w:ind w:firstLine="420"/>
        <w:rPr>
          <w:sz w:val="21"/>
          <w:szCs w:val="21"/>
        </w:rPr>
      </w:pPr>
      <w:r>
        <w:rPr>
          <w:rFonts w:hint="eastAsia"/>
          <w:sz w:val="21"/>
          <w:szCs w:val="21"/>
        </w:rPr>
        <w:t xml:space="preserve">(4)单独或合并持有权利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(5)基金份额持有人大会的召集人发出召开会议的通知后，如果需要对原有提案进行修改，应当在基金份额持有人大会召开前及时公告。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pPr>
        <w:pStyle w:val="7"/>
        <w:spacing w:before="0" w:beforeAutospacing="0" w:after="0" w:afterAutospacing="0" w:line="360" w:lineRule="auto"/>
        <w:ind w:firstLine="420"/>
        <w:rPr>
          <w:sz w:val="21"/>
          <w:szCs w:val="21"/>
        </w:rPr>
      </w:pPr>
      <w:r>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pPr>
        <w:pStyle w:val="7"/>
        <w:spacing w:before="0" w:beforeAutospacing="0" w:after="0" w:afterAutospacing="0" w:line="360" w:lineRule="auto"/>
        <w:ind w:firstLine="420"/>
        <w:rPr>
          <w:sz w:val="21"/>
          <w:szCs w:val="21"/>
        </w:rPr>
      </w:pPr>
      <w:r>
        <w:rPr>
          <w:rFonts w:hint="eastAsia"/>
          <w:sz w:val="21"/>
          <w:szCs w:val="21"/>
        </w:rPr>
        <w:t xml:space="preserve">召集人应当制作出席会议人员的签名册。签名册载明参加会议人员姓名(或单位名称)、身份证号码、住所、持有或代表有表决权的基金份额数量、委托人姓名(或单位名称)等事项。 </w:t>
      </w:r>
    </w:p>
    <w:p>
      <w:pPr>
        <w:pStyle w:val="7"/>
        <w:spacing w:before="0" w:beforeAutospacing="0" w:after="0" w:afterAutospacing="0" w:line="360" w:lineRule="auto"/>
        <w:ind w:firstLine="420"/>
        <w:rPr>
          <w:sz w:val="21"/>
          <w:szCs w:val="21"/>
        </w:rPr>
      </w:pPr>
      <w:r>
        <w:rPr>
          <w:rFonts w:hint="eastAsia"/>
          <w:sz w:val="21"/>
          <w:szCs w:val="21"/>
        </w:rPr>
        <w:t xml:space="preserve">(2)通讯方式开会 </w:t>
      </w:r>
    </w:p>
    <w:p>
      <w:pPr>
        <w:pStyle w:val="7"/>
        <w:spacing w:before="0" w:beforeAutospacing="0" w:after="0" w:afterAutospacing="0" w:line="360" w:lineRule="auto"/>
        <w:ind w:firstLine="420"/>
        <w:rPr>
          <w:sz w:val="21"/>
          <w:szCs w:val="21"/>
        </w:rPr>
      </w:pPr>
      <w:r>
        <w:rPr>
          <w:rFonts w:hint="eastAsia"/>
          <w:sz w:val="21"/>
          <w:szCs w:val="21"/>
        </w:rPr>
        <w:t xml:space="preserve">在通讯表决开会的方式下，首先由召集人提前30日公布提案，在所通知的表决截止日期后第2个工作日统计全部有效表决，在公证机关及监督人的监督下形成决议。如监督人经通知但拒绝到场监督，则在公正机关监督下形成的决议有效。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(七)决议形成的条件、表决方式、程序 </w:t>
      </w:r>
    </w:p>
    <w:p>
      <w:pPr>
        <w:pStyle w:val="7"/>
        <w:spacing w:before="0" w:beforeAutospacing="0" w:after="0" w:afterAutospacing="0" w:line="360" w:lineRule="auto"/>
        <w:ind w:firstLine="420"/>
        <w:rPr>
          <w:sz w:val="21"/>
          <w:szCs w:val="21"/>
        </w:rPr>
      </w:pPr>
      <w:r>
        <w:rPr>
          <w:rFonts w:hint="eastAsia"/>
          <w:sz w:val="21"/>
          <w:szCs w:val="21"/>
        </w:rPr>
        <w:t xml:space="preserve">1.基金份额持有人所持每一基金份额享有平等的表决权。 </w:t>
      </w:r>
    </w:p>
    <w:p>
      <w:pPr>
        <w:pStyle w:val="7"/>
        <w:spacing w:before="0" w:beforeAutospacing="0" w:after="0" w:afterAutospacing="0" w:line="360" w:lineRule="auto"/>
        <w:ind w:firstLine="420"/>
        <w:rPr>
          <w:sz w:val="21"/>
          <w:szCs w:val="21"/>
        </w:rPr>
      </w:pPr>
      <w:r>
        <w:rPr>
          <w:rFonts w:hint="eastAsia"/>
          <w:sz w:val="21"/>
          <w:szCs w:val="21"/>
        </w:rPr>
        <w:t xml:space="preserve">2.基金份额持有人大会决议分为一般决议和特别决议：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 </w:t>
      </w:r>
    </w:p>
    <w:p>
      <w:pPr>
        <w:pStyle w:val="7"/>
        <w:spacing w:before="0" w:beforeAutospacing="0" w:after="0" w:afterAutospacing="0" w:line="360" w:lineRule="auto"/>
        <w:ind w:firstLine="420"/>
        <w:rPr>
          <w:sz w:val="21"/>
          <w:szCs w:val="21"/>
        </w:rPr>
      </w:pPr>
      <w:r>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 </w:t>
      </w:r>
    </w:p>
    <w:p>
      <w:pPr>
        <w:pStyle w:val="7"/>
        <w:spacing w:before="0" w:beforeAutospacing="0" w:after="0" w:afterAutospacing="0" w:line="360" w:lineRule="auto"/>
        <w:ind w:firstLine="420"/>
        <w:rPr>
          <w:sz w:val="21"/>
          <w:szCs w:val="21"/>
        </w:rPr>
      </w:pPr>
      <w:r>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等重大事项必须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3.基金份额持有人大会决定的事项，应当依法报中国证监会核准或者备案，并予以公告。 </w:t>
      </w:r>
    </w:p>
    <w:p>
      <w:pPr>
        <w:pStyle w:val="7"/>
        <w:spacing w:before="0" w:beforeAutospacing="0" w:after="0" w:afterAutospacing="0" w:line="360" w:lineRule="auto"/>
        <w:ind w:firstLine="420"/>
        <w:rPr>
          <w:sz w:val="21"/>
          <w:szCs w:val="21"/>
        </w:rPr>
      </w:pPr>
      <w:r>
        <w:rPr>
          <w:rFonts w:hint="eastAsia"/>
          <w:sz w:val="21"/>
          <w:szCs w:val="21"/>
        </w:rPr>
        <w:t xml:space="preserve">4.基金份额持有人大会采取记名方式进行投票表决。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(八)计票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pPr>
        <w:pStyle w:val="7"/>
        <w:spacing w:before="0" w:beforeAutospacing="0" w:after="0" w:afterAutospacing="0" w:line="360" w:lineRule="auto"/>
        <w:ind w:firstLine="420"/>
        <w:rPr>
          <w:sz w:val="21"/>
          <w:szCs w:val="21"/>
        </w:rPr>
      </w:pPr>
      <w:r>
        <w:rPr>
          <w:rFonts w:hint="eastAsia"/>
          <w:sz w:val="21"/>
          <w:szCs w:val="21"/>
        </w:rPr>
        <w:t xml:space="preserve">2.通讯方式开会 </w:t>
      </w:r>
    </w:p>
    <w:p>
      <w:pPr>
        <w:pStyle w:val="7"/>
        <w:spacing w:before="0" w:beforeAutospacing="0" w:after="0" w:afterAutospacing="0" w:line="360" w:lineRule="auto"/>
        <w:ind w:firstLine="420"/>
        <w:rPr>
          <w:sz w:val="21"/>
          <w:szCs w:val="21"/>
        </w:rPr>
      </w:pPr>
      <w:r>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(九)基金份额持有人大会决议报中国证监会核准或备案后的公告时间、方式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1.基金份额持有人大会通过的一般决议和特别决议，召集人应当自通过之日起5日内报中国证监会核准或者备案。基金份额持有人大会决议自中国证监会依法核准或者备案之日起生效。 </w:t>
      </w:r>
    </w:p>
    <w:p>
      <w:pPr>
        <w:pStyle w:val="7"/>
        <w:spacing w:before="0" w:beforeAutospacing="0" w:after="0" w:afterAutospacing="0" w:line="360" w:lineRule="auto"/>
        <w:ind w:firstLine="420"/>
        <w:rPr>
          <w:sz w:val="21"/>
          <w:szCs w:val="21"/>
        </w:rPr>
      </w:pPr>
      <w:r>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3.基金份额持有人大会决议应自生效之日起2日内在指定媒介公告。 </w:t>
      </w:r>
    </w:p>
    <w:p>
      <w:pPr>
        <w:pStyle w:val="7"/>
        <w:spacing w:before="0" w:beforeAutospacing="0" w:after="0" w:afterAutospacing="0" w:line="360" w:lineRule="auto"/>
        <w:ind w:firstLine="420"/>
        <w:rPr>
          <w:sz w:val="21"/>
          <w:szCs w:val="21"/>
        </w:rPr>
      </w:pPr>
      <w:r>
        <w:rPr>
          <w:rFonts w:hint="eastAsia"/>
          <w:sz w:val="21"/>
          <w:szCs w:val="21"/>
        </w:rPr>
        <w:t xml:space="preserve">(十)法律法规或监管部门对基金份额持有人大会另有规定的，从其规定。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三、基金合同解除和终止的事由、程序</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(3)变更基金类别； </w:t>
      </w:r>
    </w:p>
    <w:p>
      <w:pPr>
        <w:pStyle w:val="7"/>
        <w:spacing w:before="0" w:beforeAutospacing="0" w:after="0" w:afterAutospacing="0" w:line="360" w:lineRule="auto"/>
        <w:ind w:firstLine="420"/>
        <w:rPr>
          <w:sz w:val="21"/>
          <w:szCs w:val="21"/>
        </w:rPr>
      </w:pPr>
      <w:r>
        <w:rPr>
          <w:rFonts w:hint="eastAsia"/>
          <w:sz w:val="21"/>
          <w:szCs w:val="21"/>
        </w:rPr>
        <w:t xml:space="preserve">(4)变更基金投资目标、投资范围或投资策略； </w:t>
      </w:r>
    </w:p>
    <w:p>
      <w:pPr>
        <w:pStyle w:val="7"/>
        <w:spacing w:before="0" w:beforeAutospacing="0" w:after="0" w:afterAutospacing="0" w:line="360" w:lineRule="auto"/>
        <w:ind w:firstLine="420"/>
        <w:rPr>
          <w:sz w:val="21"/>
          <w:szCs w:val="21"/>
        </w:rPr>
      </w:pPr>
      <w:r>
        <w:rPr>
          <w:rFonts w:hint="eastAsia"/>
          <w:sz w:val="21"/>
          <w:szCs w:val="21"/>
        </w:rPr>
        <w:t xml:space="preserve">(5)变更基金份额持有人大会程序；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(6)更换基金管理人、基金托管人；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(7)提高基金管理人、基金托管人的报酬标准。但根据适用的相关规定提高该等报酬标准的除外；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(8)本基金与其他基金的合并；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(9)对基金合同当事人权利、义务产生重大影响的其他事项；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但出现下列情况时，可不经基金份额持有人大会决议，由基金管理人和基金托管人同意变更后公布，并报中国证监会备案：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(2)在法律法规和本基金合同规定的范围内变更基金的申购费率、赎回费率或收费方式；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(4)对基金合同的修改不涉及本基金合同当事人权利义务关系发生变化；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(6)按照法律法规或本基金合同规定不需召开基金份额持有人大会的其他情形。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(二)本基金合同的终止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有下列情形之一的，本基金合同经中国证监会核准后将终止：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2.基金管理人因解散、破产、撤销等事由，不能继续担任基金管理人的职务，而在6个月内无其他适当的基金管理公司承接其原有权利义务；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3.基金托管人因解散、破产、撤销等事由，不能继续担任基金托管人的职务，而在6个月内无其他适当的托管机构承接其原有权利义务；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4.中国证监会允许的其他情况。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1.基金财产清算组 </w:t>
      </w:r>
    </w:p>
    <w:p>
      <w:pPr>
        <w:pStyle w:val="7"/>
        <w:spacing w:before="0" w:beforeAutospacing="0" w:after="0" w:afterAutospacing="0" w:line="360" w:lineRule="auto"/>
        <w:ind w:firstLine="420"/>
        <w:rPr>
          <w:sz w:val="21"/>
          <w:szCs w:val="21"/>
        </w:rPr>
      </w:pPr>
      <w:r>
        <w:rPr>
          <w:rFonts w:hint="eastAsia"/>
          <w:sz w:val="21"/>
          <w:szCs w:val="21"/>
        </w:rPr>
        <w:t xml:space="preserve">(1)基金合同终止时，成立基金财产清算组，基金财产清算组在中国证监会的监督下进行基金清算。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基金合同终止后，发布基金财产清算公告； </w:t>
      </w:r>
    </w:p>
    <w:p>
      <w:pPr>
        <w:pStyle w:val="7"/>
        <w:spacing w:before="0" w:beforeAutospacing="0" w:after="0" w:afterAutospacing="0" w:line="360" w:lineRule="auto"/>
        <w:ind w:firstLine="420"/>
        <w:rPr>
          <w:sz w:val="21"/>
          <w:szCs w:val="21"/>
        </w:rPr>
      </w:pPr>
      <w:r>
        <w:rPr>
          <w:rFonts w:hint="eastAsia"/>
          <w:sz w:val="21"/>
          <w:szCs w:val="21"/>
        </w:rPr>
        <w:t xml:space="preserve">(1)基金合同终止时，由基金财产清算组统一接管基金财产；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(2)对基金财产进行清理和确认；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(3)对基金财产进行估价和变现； </w:t>
      </w:r>
    </w:p>
    <w:p>
      <w:pPr>
        <w:pStyle w:val="7"/>
        <w:spacing w:before="0" w:beforeAutospacing="0" w:after="0" w:afterAutospacing="0" w:line="360" w:lineRule="auto"/>
        <w:ind w:firstLine="420"/>
        <w:rPr>
          <w:sz w:val="21"/>
          <w:szCs w:val="21"/>
        </w:rPr>
      </w:pPr>
      <w:r>
        <w:rPr>
          <w:rFonts w:hint="eastAsia"/>
          <w:sz w:val="21"/>
          <w:szCs w:val="21"/>
        </w:rPr>
        <w:t xml:space="preserve">(4)聘请律师事务所出具法律意见书；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(6)将基金财产清算结果报告中国证监会；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(7)参加与基金财产有关的民事诉讼； </w:t>
      </w:r>
    </w:p>
    <w:p>
      <w:pPr>
        <w:pStyle w:val="7"/>
        <w:spacing w:before="0" w:beforeAutospacing="0" w:after="0" w:afterAutospacing="0" w:line="360" w:lineRule="auto"/>
        <w:ind w:firstLine="420"/>
        <w:rPr>
          <w:sz w:val="21"/>
          <w:szCs w:val="21"/>
        </w:rPr>
      </w:pPr>
      <w:r>
        <w:rPr>
          <w:rFonts w:hint="eastAsia"/>
          <w:sz w:val="21"/>
          <w:szCs w:val="21"/>
        </w:rPr>
        <w:t xml:space="preserve">(8)公布基金财产清算结果； </w:t>
      </w:r>
    </w:p>
    <w:p>
      <w:pPr>
        <w:pStyle w:val="7"/>
        <w:spacing w:before="0" w:beforeAutospacing="0" w:after="0" w:afterAutospacing="0" w:line="360" w:lineRule="auto"/>
        <w:ind w:firstLine="420"/>
        <w:rPr>
          <w:sz w:val="21"/>
          <w:szCs w:val="21"/>
        </w:rPr>
      </w:pPr>
      <w:r>
        <w:rPr>
          <w:rFonts w:hint="eastAsia"/>
          <w:sz w:val="21"/>
          <w:szCs w:val="21"/>
        </w:rPr>
        <w:t xml:space="preserve">(9)对基金剩余财产进行分配。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根据基金合同终止日各类别份额的资产净值计算各类份额在剩余财产中的应计比例，在此基础上，按每类基金份额持有人持有的基金份额占该类基金份额的比例对该类基金财产可供分配的剩余资产进行分配。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5.基金财产清算的公告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五、基金合同存放地和投资人取得基金合同的方式</w:t>
      </w:r>
    </w:p>
    <w:p>
      <w:pPr>
        <w:pStyle w:val="7"/>
        <w:spacing w:before="0" w:beforeAutospacing="0" w:after="0" w:afterAutospacing="0" w:line="360" w:lineRule="auto"/>
        <w:ind w:firstLine="420"/>
        <w:rPr>
          <w:sz w:val="21"/>
          <w:szCs w:val="21"/>
        </w:rPr>
      </w:pPr>
      <w:r>
        <w:rPr>
          <w:rFonts w:hint="eastAsia"/>
          <w:sz w:val="21"/>
          <w:szCs w:val="21"/>
        </w:rPr>
        <w:t xml:space="preserve">(一)本基金合同经基金管理人和基金托管人加盖公章以及双方法定代表人或法定代表人授权的代理人签字，在基金募集结束，基金备案手续办理完毕，并获中国证监会书面确认后生效。基金合同的有效期自其生效之日起至该基金财产清算结果报中国证监会备案并公告之日止。 </w:t>
      </w:r>
    </w:p>
    <w:p>
      <w:pPr>
        <w:pStyle w:val="7"/>
        <w:spacing w:before="0" w:beforeAutospacing="0" w:after="0" w:afterAutospacing="0" w:line="360" w:lineRule="auto"/>
        <w:ind w:firstLine="420"/>
        <w:rPr>
          <w:sz w:val="21"/>
          <w:szCs w:val="21"/>
        </w:rPr>
      </w:pPr>
      <w:r>
        <w:rPr>
          <w:rFonts w:hint="eastAsia"/>
          <w:sz w:val="21"/>
          <w:szCs w:val="21"/>
        </w:rPr>
        <w:t xml:space="preserve">(二)本基金合同自生效之日起对包括基金管理人、基金托管人和基金份额持有人在内的基金合同各方当事人具有同等的法律约束力。 </w:t>
      </w:r>
    </w:p>
    <w:p>
      <w:pPr>
        <w:pStyle w:val="7"/>
        <w:spacing w:before="0" w:beforeAutospacing="0" w:after="0" w:afterAutospacing="0" w:line="360" w:lineRule="auto"/>
        <w:ind w:firstLine="420"/>
        <w:rPr>
          <w:sz w:val="21"/>
          <w:szCs w:val="21"/>
        </w:rPr>
      </w:pPr>
      <w:r>
        <w:rPr>
          <w:rFonts w:hint="eastAsia"/>
          <w:sz w:val="21"/>
          <w:szCs w:val="21"/>
        </w:rPr>
        <w:t xml:space="preserve">(三)本基金合同正本一式八份，除中国证监会和银行业监督管理机构各持两份外，基金管理人和基金托管人各持有两份。每份均具有同等的法律效力。 </w:t>
      </w:r>
    </w:p>
    <w:p>
      <w:pPr>
        <w:pStyle w:val="7"/>
        <w:spacing w:before="0" w:beforeAutospacing="0" w:after="0" w:afterAutospacing="0" w:line="360" w:lineRule="auto"/>
        <w:ind w:firstLine="420"/>
        <w:rPr>
          <w:sz w:val="21"/>
          <w:szCs w:val="21"/>
        </w:rPr>
      </w:pPr>
      <w:r>
        <w:rPr>
          <w:rFonts w:hint="eastAsia"/>
          <w:sz w:val="21"/>
          <w:szCs w:val="21"/>
        </w:rPr>
        <w:t>(四)本基金合同可印制成册，供投资人在基金管理人、基金托管人、代销机构和登记机</w:t>
      </w:r>
      <w:bookmarkStart w:id="181" w:name="chapter_level1_21_71_section_1_end"/>
      <w:bookmarkEnd w:id="181"/>
      <w:r>
        <w:rPr>
          <w:rFonts w:hint="eastAsia"/>
          <w:sz w:val="21"/>
          <w:szCs w:val="21"/>
        </w:rPr>
        <w:t xml:space="preserve">构办公场所查阅，但其效力应以基金合同正本为准。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2" w:name="_Toc113564316"/>
      <w:bookmarkStart w:id="183" w:name="chapter_level1_22_72"/>
      <w:r>
        <w:rPr>
          <w:rFonts w:hint="eastAsia" w:ascii="宋体" w:hAnsi="宋体" w:eastAsia="宋体"/>
          <w:sz w:val="30"/>
        </w:rPr>
        <w:t>第十九部分  基金托管协议的内容摘要</w:t>
      </w:r>
      <w:bookmarkEnd w:id="182"/>
      <w:bookmarkEnd w:id="183"/>
    </w:p>
    <w:p>
      <w:pPr>
        <w:pStyle w:val="7"/>
        <w:spacing w:before="0" w:beforeAutospacing="0" w:after="0" w:afterAutospacing="0" w:line="360" w:lineRule="auto"/>
        <w:ind w:firstLine="420"/>
        <w:rPr>
          <w:sz w:val="21"/>
          <w:szCs w:val="21"/>
        </w:rPr>
      </w:pPr>
      <w:bookmarkStart w:id="184" w:name="chapter_level1_22_72_section_1"/>
      <w:bookmarkEnd w:id="184"/>
      <w:r>
        <w:rPr>
          <w:rFonts w:hint="eastAsia"/>
          <w:sz w:val="21"/>
          <w:szCs w:val="21"/>
        </w:rPr>
        <w:t>以下内容摘自《</w:t>
      </w:r>
      <w:bookmarkStart w:id="185" w:name="field_0_productfullname_10"/>
      <w:r>
        <w:rPr>
          <w:rFonts w:hint="eastAsia"/>
          <w:sz w:val="21"/>
          <w:szCs w:val="21"/>
        </w:rPr>
        <w:t>博时特许价值混合型证券投资基金</w:t>
      </w:r>
      <w:bookmarkEnd w:id="185"/>
      <w:r>
        <w:rPr>
          <w:rFonts w:hint="eastAsia"/>
          <w:sz w:val="21"/>
          <w:szCs w:val="21"/>
        </w:rPr>
        <w:t xml:space="preserve">托管协议》 </w:t>
      </w:r>
    </w:p>
    <w:p>
      <w:pPr>
        <w:pStyle w:val="7"/>
        <w:spacing w:before="0" w:beforeAutospacing="0" w:after="0" w:afterAutospacing="0" w:line="360" w:lineRule="auto"/>
        <w:ind w:firstLine="420"/>
        <w:rPr>
          <w:sz w:val="21"/>
          <w:szCs w:val="21"/>
        </w:rPr>
      </w:pPr>
      <w:r>
        <w:rPr>
          <w:rStyle w:val="11"/>
          <w:rFonts w:hint="eastAsia"/>
          <w:sz w:val="21"/>
          <w:szCs w:val="21"/>
        </w:rPr>
        <w:t>一、 托管协议当事人</w:t>
      </w:r>
    </w:p>
    <w:p>
      <w:pPr>
        <w:pStyle w:val="7"/>
        <w:spacing w:before="0" w:beforeAutospacing="0" w:after="0" w:afterAutospacing="0" w:line="360" w:lineRule="auto"/>
        <w:ind w:firstLine="420"/>
        <w:rPr>
          <w:sz w:val="21"/>
          <w:szCs w:val="21"/>
        </w:rPr>
      </w:pPr>
      <w:r>
        <w:rPr>
          <w:rFonts w:hint="eastAsia"/>
          <w:sz w:val="21"/>
          <w:szCs w:val="21"/>
        </w:rPr>
        <w:t xml:space="preserve">1．基金管理人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186" w:name="field_0_managerorgfullname_8"/>
      <w:r>
        <w:rPr>
          <w:rFonts w:hint="eastAsia"/>
          <w:sz w:val="21"/>
          <w:szCs w:val="21"/>
        </w:rPr>
        <w:t>博时基金管理有限公司</w:t>
      </w:r>
      <w:bookmarkEnd w:id="18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经营范围：发起设立基金、基金管理 </w:t>
      </w:r>
    </w:p>
    <w:p>
      <w:pPr>
        <w:pStyle w:val="7"/>
        <w:spacing w:before="0" w:beforeAutospacing="0" w:after="0" w:afterAutospacing="0" w:line="360" w:lineRule="auto"/>
        <w:ind w:firstLine="420"/>
        <w:rPr>
          <w:sz w:val="21"/>
          <w:szCs w:val="21"/>
        </w:rPr>
      </w:pPr>
      <w:r>
        <w:rPr>
          <w:rFonts w:hint="eastAsia"/>
          <w:sz w:val="21"/>
          <w:szCs w:val="21"/>
        </w:rPr>
        <w:t xml:space="preserve">2.基金托管人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87" w:name="field_0_trustorgfullname_2"/>
      <w:r>
        <w:rPr>
          <w:rFonts w:hint="eastAsia"/>
          <w:sz w:val="21"/>
          <w:szCs w:val="21"/>
        </w:rPr>
        <w:t>中国建设银行股份有限公司</w:t>
      </w:r>
      <w:bookmarkEnd w:id="187"/>
      <w:r>
        <w:rPr>
          <w:rFonts w:hint="eastAsia"/>
          <w:sz w:val="21"/>
          <w:szCs w:val="21"/>
        </w:rPr>
        <w:t xml:space="preserve">（简称：中国建设银行）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邮政编码：100032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成立时间：2004年09月17日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本基金主要投资于具有良好流动性的金融工具，包括国内依法公开发行上市的股票（含存托凭证）、债券以及法律法规允许基金投资的其他金融工具或金融衍生工具。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60-95%，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2．基金托管人根据有关法律法规的规定及基金合同的约定，对基金投资、融资比例进行监督。基金托管人按下述比例和调整期限进行监督： </w:t>
      </w:r>
    </w:p>
    <w:p>
      <w:pPr>
        <w:pStyle w:val="7"/>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（3）本基金管理人管理的全部基金持有一家公司发行的证券（含存托凭证），不超过该证券的10％；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（5）本基金进入全国银行间同业市场进行债券回购的资金余额不得超过基金资产净值的40％；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（6）股票（含存托凭证）投资比例为基金资产的60-95%，债券投资比例为基金资产的0-35%， </w:t>
      </w:r>
    </w:p>
    <w:p>
      <w:pPr>
        <w:pStyle w:val="7"/>
        <w:spacing w:before="0" w:beforeAutospacing="0" w:after="0" w:afterAutospacing="0" w:line="360" w:lineRule="auto"/>
        <w:ind w:firstLine="420"/>
        <w:rPr>
          <w:sz w:val="21"/>
          <w:szCs w:val="21"/>
        </w:rPr>
      </w:pPr>
      <w:r>
        <w:rPr>
          <w:rFonts w:hint="eastAsia"/>
          <w:sz w:val="21"/>
          <w:szCs w:val="21"/>
        </w:rPr>
        <w:t xml:space="preserve">（7）现金以及到期日在一年以内的政府债券投资比例合计不低于基金资产净值的5%，其中，现金不包括结算备付金、存出保证金、应收申购款等；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（13）本基金在任何交易日买入权证的总金额，不得超过上一交易日基金资产净值的0.5％；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（15）.本基金主动投资于流动性受限资产的市值合计不得超过本基金资产净值的15%；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（17）法律法规或监管部门取消上述限制，如适用于本基金，则本基金投资不再受相关限制。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除上述第（7）、（15）、（16）条外，因证券市场波动、上市公司合并、基金规模变动、股权分置改革中支付对价等基金管理人之外的因素致使基金投资比例不符合上述规定投资比例的，基金管理人应当在10个交易日内进行调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 </w:t>
      </w:r>
    </w:p>
    <w:p>
      <w:pPr>
        <w:pStyle w:val="7"/>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交易证券名单。基金管理人有责任确保关联交易名单的真实性、准确性、完整性，并负责及时将更新后的名单发送基金托管人。 </w:t>
      </w:r>
    </w:p>
    <w:p>
      <w:pPr>
        <w:pStyle w:val="7"/>
        <w:spacing w:before="0" w:beforeAutospacing="0" w:after="0" w:afterAutospacing="0" w:line="360" w:lineRule="auto"/>
        <w:ind w:firstLine="420"/>
        <w:rPr>
          <w:sz w:val="21"/>
          <w:szCs w:val="21"/>
        </w:rPr>
      </w:pPr>
      <w:r>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交易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pPr>
        <w:pStyle w:val="7"/>
        <w:spacing w:before="0" w:beforeAutospacing="0" w:after="0" w:afterAutospacing="0" w:line="360" w:lineRule="auto"/>
        <w:ind w:firstLine="420"/>
        <w:rPr>
          <w:sz w:val="21"/>
          <w:szCs w:val="21"/>
        </w:rPr>
      </w:pPr>
      <w:r>
        <w:rPr>
          <w:rFonts w:hint="eastAsia"/>
          <w:sz w:val="21"/>
          <w:szCs w:val="21"/>
        </w:rPr>
        <w:t xml:space="preserve">5．本基金投资流通受限证券，基金管理人应事先根据中国证监会相关规定，与基金托管人就相关事项签订补充协议，明确基金投资流通受限证券的比例。基金管理人应制订严格的投资决策流程和风险控制制度，防范流动性风险、法律风险和操作风险等各种风险。基金托管人对基金管理人是否遵守相关制度、流动性风险处置预案以及相关投资额度和比例等的情况进行监督。 </w:t>
      </w:r>
    </w:p>
    <w:p>
      <w:pPr>
        <w:pStyle w:val="7"/>
        <w:spacing w:before="0" w:beforeAutospacing="0" w:after="0" w:afterAutospacing="0" w:line="360" w:lineRule="auto"/>
        <w:ind w:firstLine="420"/>
        <w:rPr>
          <w:sz w:val="21"/>
          <w:szCs w:val="21"/>
        </w:rPr>
      </w:pPr>
      <w:r>
        <w:rPr>
          <w:rFonts w:hint="eastAsia"/>
          <w:sz w:val="21"/>
          <w:szCs w:val="21"/>
        </w:rPr>
        <w:t xml:space="preserve">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7．基金托管人发现基金管理人的上述事项及投资指令或实际投资运作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9．若基金托管人发现基金管理人依据交易程序已经生效的指令违反法律、行政法规和其他有关规定，或者违反基金合同约定的，应当立即通知基金管理人，由此造成的损失由基金管理人承担。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1．基金财产保管的原则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（5）基金托管人根据基金管理人的指令，按照基金合同和本协议的约定保管基金财产，如有特殊情况双方可另行协商解决。 </w:t>
      </w:r>
    </w:p>
    <w:p>
      <w:pPr>
        <w:pStyle w:val="7"/>
        <w:spacing w:before="0" w:beforeAutospacing="0" w:after="0" w:afterAutospacing="0" w:line="360" w:lineRule="auto"/>
        <w:ind w:firstLine="420"/>
        <w:rPr>
          <w:sz w:val="21"/>
          <w:szCs w:val="21"/>
        </w:rPr>
      </w:pPr>
      <w:r>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造成损失的，基金管理人应负责向有关当事人追偿基金的损失，基金托管人对此不承担任何责任。 </w:t>
      </w:r>
    </w:p>
    <w:p>
      <w:pPr>
        <w:pStyle w:val="7"/>
        <w:spacing w:before="0" w:beforeAutospacing="0" w:after="0" w:afterAutospacing="0" w:line="360" w:lineRule="auto"/>
        <w:ind w:firstLine="420"/>
        <w:rPr>
          <w:sz w:val="21"/>
          <w:szCs w:val="21"/>
        </w:rPr>
      </w:pPr>
      <w:r>
        <w:rPr>
          <w:rFonts w:hint="eastAsia"/>
          <w:sz w:val="21"/>
          <w:szCs w:val="21"/>
        </w:rPr>
        <w:t xml:space="preserve">（7）除依据法律法规和基金合同的规定外，基金托管人不得委托第三人托管基金财产。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2．基金募集期间及募集资金的验资 </w:t>
      </w:r>
    </w:p>
    <w:p>
      <w:pPr>
        <w:pStyle w:val="7"/>
        <w:spacing w:before="0" w:beforeAutospacing="0" w:after="0" w:afterAutospacing="0" w:line="360" w:lineRule="auto"/>
        <w:ind w:firstLine="420"/>
        <w:rPr>
          <w:sz w:val="21"/>
          <w:szCs w:val="21"/>
        </w:rPr>
      </w:pPr>
      <w:r>
        <w:rPr>
          <w:rFonts w:hint="eastAsia"/>
          <w:sz w:val="21"/>
          <w:szCs w:val="21"/>
        </w:rPr>
        <w:t xml:space="preserve">（1）基金募集期间的资金应存于基金管理人在基金托管人的营业机构开立的“基金募集专户”。该账户由基金管理人开立并管理。 </w:t>
      </w:r>
    </w:p>
    <w:p>
      <w:pPr>
        <w:pStyle w:val="7"/>
        <w:spacing w:before="0" w:beforeAutospacing="0" w:after="0" w:afterAutospacing="0" w:line="360" w:lineRule="auto"/>
        <w:ind w:firstLine="420"/>
        <w:rPr>
          <w:sz w:val="21"/>
          <w:szCs w:val="21"/>
        </w:rPr>
      </w:pPr>
      <w:r>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（3）若基金募集期限届满，未能达到基金合同生效的条件，由基金管理人按规定办理退款等事宜。 </w:t>
      </w:r>
    </w:p>
    <w:p>
      <w:pPr>
        <w:pStyle w:val="7"/>
        <w:spacing w:before="0" w:beforeAutospacing="0" w:after="0" w:afterAutospacing="0" w:line="360" w:lineRule="auto"/>
        <w:ind w:firstLine="420"/>
        <w:rPr>
          <w:sz w:val="21"/>
          <w:szCs w:val="21"/>
        </w:rPr>
      </w:pPr>
      <w:r>
        <w:rPr>
          <w:rFonts w:hint="eastAsia"/>
          <w:sz w:val="21"/>
          <w:szCs w:val="21"/>
        </w:rPr>
        <w:t xml:space="preserve">3．基金资金账户的开立和管理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（1）基金托管人可以基金的名义在其营业机构开立基金的资金账户，并根据基金管理人合法合规的指令办理资金收付。本基金的银行预留印鉴由基金托管人保管和使用。 </w:t>
      </w:r>
    </w:p>
    <w:p>
      <w:pPr>
        <w:pStyle w:val="7"/>
        <w:spacing w:before="0" w:beforeAutospacing="0" w:after="0" w:afterAutospacing="0" w:line="360" w:lineRule="auto"/>
        <w:ind w:firstLine="420"/>
        <w:rPr>
          <w:sz w:val="21"/>
          <w:szCs w:val="21"/>
        </w:rPr>
      </w:pPr>
      <w:r>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（3）基金资金账户的开立和管理应符合银行业监督管理机构的有关规定。 </w:t>
      </w:r>
    </w:p>
    <w:p>
      <w:pPr>
        <w:pStyle w:val="7"/>
        <w:spacing w:before="0" w:beforeAutospacing="0" w:after="0" w:afterAutospacing="0" w:line="360" w:lineRule="auto"/>
        <w:ind w:firstLine="420"/>
        <w:rPr>
          <w:sz w:val="21"/>
          <w:szCs w:val="21"/>
        </w:rPr>
      </w:pPr>
      <w:r>
        <w:rPr>
          <w:rFonts w:hint="eastAsia"/>
          <w:sz w:val="21"/>
          <w:szCs w:val="21"/>
        </w:rPr>
        <w:t xml:space="preserve">（4）在符合法律法规规定的条件下，基金托管人可以通过基金托管人专用账户办理基金资产的支付。 </w:t>
      </w:r>
    </w:p>
    <w:p>
      <w:pPr>
        <w:pStyle w:val="7"/>
        <w:spacing w:before="0" w:beforeAutospacing="0" w:after="0" w:afterAutospacing="0" w:line="360" w:lineRule="auto"/>
        <w:ind w:firstLine="420"/>
        <w:rPr>
          <w:sz w:val="21"/>
          <w:szCs w:val="21"/>
        </w:rPr>
      </w:pPr>
      <w:r>
        <w:rPr>
          <w:rFonts w:hint="eastAsia"/>
          <w:sz w:val="21"/>
          <w:szCs w:val="21"/>
        </w:rPr>
        <w:t xml:space="preserve">4．基金证券账户的开立和管理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（1）基金托管人在中国证券登记结算有限责任公司上海分公司、深圳分公司为基金开立基金托管人与基金联名的证券账户。 </w:t>
      </w:r>
    </w:p>
    <w:p>
      <w:pPr>
        <w:pStyle w:val="7"/>
        <w:spacing w:before="0" w:beforeAutospacing="0" w:after="0" w:afterAutospacing="0" w:line="360" w:lineRule="auto"/>
        <w:ind w:firstLine="420"/>
        <w:rPr>
          <w:sz w:val="21"/>
          <w:szCs w:val="21"/>
        </w:rPr>
      </w:pPr>
      <w:r>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（3）基金证券账户的开立和证券账户卡的保管由基金托管人负责，账户资产的管理和运用由基金管理人负责。 </w:t>
      </w:r>
    </w:p>
    <w:p>
      <w:pPr>
        <w:pStyle w:val="7"/>
        <w:spacing w:before="0" w:beforeAutospacing="0" w:after="0" w:afterAutospacing="0" w:line="360" w:lineRule="auto"/>
        <w:ind w:firstLine="420"/>
        <w:rPr>
          <w:sz w:val="21"/>
          <w:szCs w:val="21"/>
        </w:rPr>
      </w:pPr>
      <w:r>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（5）若中国证监会或其他监管机构在本托管协议订立日之后允许基金从事其他投资品种的投资业务，涉及相关账户的开立、使用的，若无相关规定，则基金托管人比照并遵守上述关于账户开立、使用的规定。 </w:t>
      </w:r>
    </w:p>
    <w:p>
      <w:pPr>
        <w:pStyle w:val="7"/>
        <w:spacing w:before="0" w:beforeAutospacing="0" w:after="0" w:afterAutospacing="0" w:line="360" w:lineRule="auto"/>
        <w:ind w:firstLine="420"/>
        <w:rPr>
          <w:sz w:val="21"/>
          <w:szCs w:val="21"/>
        </w:rPr>
      </w:pPr>
      <w:r>
        <w:rPr>
          <w:rFonts w:hint="eastAsia"/>
          <w:sz w:val="21"/>
          <w:szCs w:val="21"/>
        </w:rPr>
        <w:t xml:space="preserve">5．债券托管专户的开设和管理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托管人根据中国人民银行、银行间市场登记结算机构(包括中央国债登记结算有限责任公司和银行间市场清算所股份有限公司)的有关规定，在银行间市场登记结算机构开立债券托管与结算账户，并代表基金进行银行间市场债券的结算。基金管理人和基金托管人同时代表基金签订全国银行间债券市场债券回购主协议。 </w:t>
      </w:r>
    </w:p>
    <w:p>
      <w:pPr>
        <w:pStyle w:val="7"/>
        <w:spacing w:before="0" w:beforeAutospacing="0" w:after="0" w:afterAutospacing="0" w:line="360" w:lineRule="auto"/>
        <w:ind w:firstLine="420"/>
        <w:rPr>
          <w:sz w:val="21"/>
          <w:szCs w:val="21"/>
        </w:rPr>
      </w:pPr>
      <w:r>
        <w:rPr>
          <w:rFonts w:hint="eastAsia"/>
          <w:sz w:val="21"/>
          <w:szCs w:val="21"/>
        </w:rPr>
        <w:t xml:space="preserve">6．其他账户的开立和管理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（1）因业务发展需要而开立的其他账户，可以根据法律法规和基金合同的规定，由基金托管人负责开立。新账户按有关规则使用并管理。 </w:t>
      </w:r>
    </w:p>
    <w:p>
      <w:pPr>
        <w:pStyle w:val="7"/>
        <w:spacing w:before="0" w:beforeAutospacing="0" w:after="0" w:afterAutospacing="0" w:line="360" w:lineRule="auto"/>
        <w:ind w:firstLine="420"/>
        <w:rPr>
          <w:sz w:val="21"/>
          <w:szCs w:val="21"/>
        </w:rPr>
      </w:pPr>
      <w:r>
        <w:rPr>
          <w:rFonts w:hint="eastAsia"/>
          <w:sz w:val="21"/>
          <w:szCs w:val="21"/>
        </w:rPr>
        <w:t xml:space="preserve">（2）法律法规等有关规定对相关账户的开立和管理另有规定的，从其规定办理。 </w:t>
      </w:r>
    </w:p>
    <w:p>
      <w:pPr>
        <w:pStyle w:val="7"/>
        <w:spacing w:before="0" w:beforeAutospacing="0" w:after="0" w:afterAutospacing="0" w:line="360" w:lineRule="auto"/>
        <w:ind w:firstLine="420"/>
        <w:rPr>
          <w:sz w:val="21"/>
          <w:szCs w:val="21"/>
        </w:rPr>
      </w:pPr>
      <w:r>
        <w:rPr>
          <w:rFonts w:hint="eastAsia"/>
          <w:sz w:val="21"/>
          <w:szCs w:val="21"/>
        </w:rPr>
        <w:t xml:space="preserve">7．基金财产投资的有关有价凭证等的保管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银行存款定期存单等有价凭证由基金托管人存放于托管银行的保管库，也可存入中央国债登记结算有限责任公司、中国证券登记结算有限责任公司上海分公司/深圳分公司或票据营业中心的代保管库，保管凭证由基金托管人持有。实物证券、银行存款定期存单等有价凭证的购买和转让，由基金管理人和基金托管人共同办理。基金托管人对由基金托管人以外机构实际有效控制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8．与基金财产有关的重大合同的保管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与基金财产有关的重大合同的签署，由基金管理人负责。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十个工作日内将正本送达基金托管人处。重大合同的保管期限为基金合同终止后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五、基金资产净值计算与复核</w:t>
      </w:r>
    </w:p>
    <w:p>
      <w:pPr>
        <w:pStyle w:val="7"/>
        <w:spacing w:before="0" w:beforeAutospacing="0" w:after="0" w:afterAutospacing="0" w:line="360" w:lineRule="auto"/>
        <w:ind w:firstLine="420"/>
        <w:rPr>
          <w:sz w:val="21"/>
          <w:szCs w:val="21"/>
        </w:rPr>
      </w:pPr>
      <w:r>
        <w:rPr>
          <w:rFonts w:hint="eastAsia"/>
          <w:sz w:val="21"/>
          <w:szCs w:val="21"/>
        </w:rPr>
        <w:t xml:space="preserve">1.基金资产净值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基金资产净值是指基金资产总值减去负债后的金额。 </w:t>
      </w:r>
    </w:p>
    <w:p>
      <w:pPr>
        <w:pStyle w:val="7"/>
        <w:spacing w:before="0" w:beforeAutospacing="0" w:after="0" w:afterAutospacing="0" w:line="360" w:lineRule="auto"/>
        <w:ind w:firstLine="420"/>
        <w:rPr>
          <w:sz w:val="21"/>
          <w:szCs w:val="21"/>
        </w:rPr>
      </w:pPr>
      <w:r>
        <w:rPr>
          <w:rFonts w:hint="eastAsia"/>
          <w:sz w:val="21"/>
          <w:szCs w:val="21"/>
        </w:rPr>
        <w:t xml:space="preserve">基金份额净值是指基金资产净值除以基金份额总数，基金份额净值的计算，精确到0.001元，小数点后第四位四舍五入，国家另有规定的，从其规定。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基金管理人每个工作日计算基金资产净值及基金份额净值，经基金托管人复核，按规定公告。 </w:t>
      </w:r>
    </w:p>
    <w:p>
      <w:pPr>
        <w:pStyle w:val="7"/>
        <w:spacing w:before="0" w:beforeAutospacing="0" w:after="0" w:afterAutospacing="0" w:line="360" w:lineRule="auto"/>
        <w:ind w:firstLine="420"/>
        <w:rPr>
          <w:sz w:val="21"/>
          <w:szCs w:val="21"/>
        </w:rPr>
      </w:pPr>
      <w:r>
        <w:rPr>
          <w:rFonts w:hint="eastAsia"/>
          <w:sz w:val="21"/>
          <w:szCs w:val="21"/>
        </w:rPr>
        <w:t xml:space="preserve">2.复核程序 </w:t>
      </w:r>
    </w:p>
    <w:p>
      <w:pPr>
        <w:pStyle w:val="7"/>
        <w:spacing w:before="0" w:beforeAutospacing="0" w:after="0" w:afterAutospacing="0" w:line="360" w:lineRule="auto"/>
        <w:ind w:firstLine="420"/>
        <w:rPr>
          <w:sz w:val="21"/>
          <w:szCs w:val="21"/>
        </w:rPr>
      </w:pPr>
      <w:r>
        <w:rPr>
          <w:rFonts w:hint="eastAsia"/>
          <w:sz w:val="21"/>
          <w:szCs w:val="21"/>
        </w:rPr>
        <w:t xml:space="preserve">基金管理人每开放日对基金资产进行估值后，将基金份额净值结果发送基金托管人，经基金托管人复核无误后，由基金管理人对外公布。 </w:t>
      </w:r>
    </w:p>
    <w:p>
      <w:pPr>
        <w:pStyle w:val="7"/>
        <w:spacing w:before="0" w:beforeAutospacing="0" w:after="0" w:afterAutospacing="0" w:line="360" w:lineRule="auto"/>
        <w:ind w:firstLine="420"/>
        <w:rPr>
          <w:sz w:val="21"/>
          <w:szCs w:val="21"/>
        </w:rPr>
      </w:pPr>
      <w:r>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六、基金份额持有人名册的登记与保管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至少应包括基金份额持有人的名称和持有的基金份额。基金份额持有人名册由基金登记结算机构根据基金管理人的指令编制和保管，基金管理人和基金托管人应分别保管基金份额持有人名册，保存期不少于15年。如不能妥善保管，则按相关法规承担责任。 </w:t>
      </w:r>
    </w:p>
    <w:p>
      <w:pPr>
        <w:pStyle w:val="7"/>
        <w:spacing w:before="0" w:beforeAutospacing="0" w:after="0" w:afterAutospacing="0" w:line="360" w:lineRule="auto"/>
        <w:ind w:firstLine="420"/>
        <w:rPr>
          <w:sz w:val="21"/>
          <w:szCs w:val="21"/>
        </w:rPr>
      </w:pPr>
      <w:r>
        <w:rPr>
          <w:rFonts w:hint="eastAsia"/>
          <w:sz w:val="21"/>
          <w:szCs w:val="21"/>
        </w:rPr>
        <w:t xml:space="preserve">在基金托管人要求或编制中期报和年报前，基金管理人应将有关资料送交基金托管人，不得无故拒绝或延误提供，并保证其的真实性、准确性和完整性。 </w:t>
      </w:r>
    </w:p>
    <w:p>
      <w:pPr>
        <w:pStyle w:val="7"/>
        <w:spacing w:before="0" w:beforeAutospacing="0" w:after="0" w:afterAutospacing="0" w:line="360" w:lineRule="auto"/>
        <w:ind w:firstLine="420"/>
        <w:rPr>
          <w:sz w:val="21"/>
          <w:szCs w:val="21"/>
        </w:rPr>
      </w:pPr>
      <w:r>
        <w:rPr>
          <w:rStyle w:val="11"/>
          <w:rFonts w:hint="eastAsia"/>
          <w:sz w:val="21"/>
          <w:szCs w:val="21"/>
        </w:rPr>
        <w:t>七、托管协议的修改与终止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1．托管协议的变更程序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pPr>
        <w:pStyle w:val="7"/>
        <w:spacing w:before="0" w:beforeAutospacing="0" w:after="0" w:afterAutospacing="0" w:line="360" w:lineRule="auto"/>
        <w:ind w:firstLine="420"/>
        <w:rPr>
          <w:sz w:val="21"/>
          <w:szCs w:val="21"/>
        </w:rPr>
      </w:pPr>
      <w:r>
        <w:rPr>
          <w:rFonts w:hint="eastAsia"/>
          <w:sz w:val="21"/>
          <w:szCs w:val="21"/>
        </w:rPr>
        <w:t xml:space="preserve">2．基金托管协议终止出现的情形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（2）基金托管人解散、依法被撤销、破产或由其他基金托管人接管基金资产；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（3）基金管理人解散、依法被撤销、破产或由其他基金管理人接管基金管理权； </w:t>
      </w:r>
    </w:p>
    <w:p>
      <w:pPr>
        <w:pStyle w:val="7"/>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pPr>
        <w:pStyle w:val="7"/>
        <w:spacing w:before="0" w:beforeAutospacing="0" w:after="0" w:afterAutospacing="0" w:line="360" w:lineRule="auto"/>
        <w:ind w:firstLine="420"/>
        <w:rPr>
          <w:sz w:val="21"/>
          <w:szCs w:val="21"/>
        </w:rPr>
      </w:pPr>
      <w:r>
        <w:rPr>
          <w:rStyle w:val="11"/>
          <w:rFonts w:hint="eastAsia"/>
          <w:sz w:val="21"/>
          <w:szCs w:val="21"/>
        </w:rPr>
        <w:t>八、争议解决方式</w:t>
      </w:r>
    </w:p>
    <w:p>
      <w:pPr>
        <w:pStyle w:val="7"/>
        <w:spacing w:before="0" w:beforeAutospacing="0" w:after="0" w:afterAutospacing="0" w:line="360" w:lineRule="auto"/>
        <w:ind w:firstLine="420"/>
        <w:rPr>
          <w:sz w:val="21"/>
          <w:szCs w:val="21"/>
        </w:rPr>
      </w:pPr>
      <w:r>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pPr>
        <w:pStyle w:val="7"/>
        <w:spacing w:before="0" w:beforeAutospacing="0" w:after="0" w:afterAutospacing="0" w:line="360" w:lineRule="auto"/>
        <w:ind w:firstLine="420"/>
        <w:rPr>
          <w:sz w:val="21"/>
          <w:szCs w:val="21"/>
        </w:rPr>
      </w:pPr>
      <w:bookmarkStart w:id="188" w:name="chapter_level1_22_72_section_1_end"/>
      <w:bookmarkEnd w:id="188"/>
      <w:r>
        <w:rPr>
          <w:rFonts w:hint="eastAsia"/>
          <w:sz w:val="21"/>
          <w:szCs w:val="21"/>
        </w:rPr>
        <w:t xml:space="preserve">本协议受中国法律管辖。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9" w:name="_Toc113564317"/>
      <w:bookmarkStart w:id="190" w:name="chapter_level1_23_75"/>
      <w:r>
        <w:rPr>
          <w:rFonts w:hint="eastAsia" w:ascii="宋体" w:hAnsi="宋体" w:eastAsia="宋体"/>
          <w:sz w:val="30"/>
        </w:rPr>
        <w:t>第二十部分  对基金份额持有人的服务</w:t>
      </w:r>
      <w:bookmarkEnd w:id="189"/>
      <w:bookmarkEnd w:id="190"/>
    </w:p>
    <w:p>
      <w:pPr>
        <w:pStyle w:val="7"/>
        <w:spacing w:before="0" w:beforeAutospacing="0" w:after="0" w:afterAutospacing="0" w:line="360" w:lineRule="auto"/>
        <w:ind w:firstLine="420"/>
        <w:rPr>
          <w:sz w:val="21"/>
          <w:szCs w:val="21"/>
        </w:rPr>
      </w:pPr>
      <w:bookmarkStart w:id="191" w:name="chapter_level1_23_75_section_1"/>
      <w:bookmarkEnd w:id="191"/>
      <w:r>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每次交易结束后，投资人可在T+2个工作日后通过销售机构的网点查询和打印确认单。每月结束后，基金管理人向所有订阅电子邮件对账单的投资人发送电子邮件对账单。 </w:t>
      </w:r>
    </w:p>
    <w:p>
      <w:pPr>
        <w:pStyle w:val="7"/>
        <w:spacing w:before="0" w:beforeAutospacing="0" w:after="0" w:afterAutospacing="0" w:line="360" w:lineRule="auto"/>
        <w:ind w:firstLine="420"/>
        <w:rPr>
          <w:sz w:val="21"/>
          <w:szCs w:val="21"/>
        </w:rPr>
      </w:pPr>
      <w:r>
        <w:rPr>
          <w:rFonts w:hint="eastAsia"/>
          <w:sz w:val="21"/>
          <w:szCs w:val="21"/>
        </w:rPr>
        <w:t>投资人可以登录博时公司网站</w:t>
      </w:r>
      <w:r>
        <w:fldChar w:fldCharType="begin"/>
      </w:r>
      <w:r>
        <w:instrText xml:space="preserve"> HYPERLINK "mailto:www.bosera.com" </w:instrText>
      </w:r>
      <w:r>
        <w:fldChar w:fldCharType="separate"/>
      </w:r>
      <w:r>
        <w:rPr>
          <w:rStyle w:val="15"/>
          <w:rFonts w:hint="eastAsia"/>
          <w:sz w:val="21"/>
          <w:szCs w:val="21"/>
        </w:rPr>
        <w:t>www.bosera.com</w:t>
      </w:r>
      <w:r>
        <w:rPr>
          <w:rStyle w:val="15"/>
          <w:rFonts w:hint="eastAsia"/>
          <w:sz w:val="21"/>
          <w:szCs w:val="21"/>
        </w:rPr>
        <w:fldChar w:fldCharType="end"/>
      </w:r>
      <w:r>
        <w:rPr>
          <w:rFonts w:hint="eastAsia"/>
          <w:sz w:val="21"/>
          <w:szCs w:val="21"/>
        </w:rPr>
        <w:t>“博时快e通”系统网上自助订阅；或发送“订阅电子对账单”邮件到客服邮箱</w:t>
      </w:r>
      <w:r>
        <w:fldChar w:fldCharType="begin"/>
      </w:r>
      <w:r>
        <w:instrText xml:space="preserve"> HYPERLINK "mailto:service@bosera.com" </w:instrText>
      </w:r>
      <w:r>
        <w:fldChar w:fldCharType="separate"/>
      </w:r>
      <w:r>
        <w:rPr>
          <w:rStyle w:val="15"/>
          <w:rFonts w:hint="eastAsia"/>
          <w:sz w:val="21"/>
          <w:szCs w:val="21"/>
        </w:rPr>
        <w:t>service@bosera.com</w:t>
      </w:r>
      <w:r>
        <w:rPr>
          <w:rStyle w:val="15"/>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通过本公司网站，投资者可获得如下服务：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pPr>
        <w:pStyle w:val="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3、信息咨询服务：投资者可以利用本公司网站获取基金和基金管理人各类信息，包括基金法律文件、基金管理人最新动态、热点问题等。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4、在线客服：投资者可以点击本公司网站首页“在线客服”，与客服代表进行在线咨询互动。也可以在“您问我答”栏目中，直接提出有关本基金的问题和建议。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192" w:name="chapter_level1_23_75_section_1_end"/>
      <w:bookmarkEnd w:id="192"/>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193" w:name="chapter_level1_23_75_section_2"/>
      <w:bookmarkEnd w:id="193"/>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投资者可以通过博时网站博时快e通、客服中心提交信息订制的申请，博时公司将以电子邮件、手机短信的形式定期为投资者发送所订制的信息。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1、自助语音服务：本公司自助语音系统提供7×24小时的全天候服务，投资者可以自助查询账户余额、交易情况、基金净值等信息，也可以进行直销交易、密码修改、传真索取等操作。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网址：www.bosera.com </w:t>
      </w:r>
    </w:p>
    <w:p>
      <w:pPr>
        <w:pStyle w:val="7"/>
        <w:spacing w:before="0" w:beforeAutospacing="0" w:after="0" w:afterAutospacing="0" w:line="360" w:lineRule="auto"/>
        <w:ind w:firstLine="420"/>
        <w:rPr>
          <w:sz w:val="21"/>
          <w:szCs w:val="21"/>
        </w:rPr>
      </w:pPr>
      <w:bookmarkStart w:id="194" w:name="chapter_level1_23_75_section_2_end"/>
      <w:bookmarkEnd w:id="194"/>
      <w:r>
        <w:rPr>
          <w:rFonts w:hint="eastAsia"/>
          <w:sz w:val="21"/>
          <w:szCs w:val="21"/>
        </w:rPr>
        <w:t>电子信箱：</w:t>
      </w:r>
      <w:r>
        <w:fldChar w:fldCharType="begin"/>
      </w:r>
      <w:r>
        <w:instrText xml:space="preserve"> HYPERLINK "mailto:service@bosera.com" </w:instrText>
      </w:r>
      <w:r>
        <w:fldChar w:fldCharType="separate"/>
      </w:r>
      <w:r>
        <w:rPr>
          <w:rStyle w:val="15"/>
          <w:rFonts w:hint="eastAsia"/>
          <w:sz w:val="21"/>
          <w:szCs w:val="21"/>
        </w:rPr>
        <w:t>service@bosera.com</w:t>
      </w:r>
      <w:r>
        <w:rPr>
          <w:rStyle w:val="15"/>
          <w:rFonts w:hint="eastAsia"/>
          <w:sz w:val="21"/>
          <w:szCs w:val="21"/>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5" w:name="_Toc113564318"/>
      <w:bookmarkStart w:id="196" w:name="chapter_level1_24_3499"/>
      <w:r>
        <w:rPr>
          <w:rFonts w:hint="eastAsia" w:ascii="宋体" w:hAnsi="宋体" w:eastAsia="宋体"/>
          <w:sz w:val="30"/>
        </w:rPr>
        <w:t>第二十一部分 其他应披露的事项</w:t>
      </w:r>
      <w:bookmarkEnd w:id="195"/>
      <w:bookmarkEnd w:id="196"/>
    </w:p>
    <w:p>
      <w:pPr>
        <w:pStyle w:val="7"/>
        <w:spacing w:before="0" w:beforeAutospacing="0" w:after="0" w:afterAutospacing="0" w:line="360" w:lineRule="auto"/>
        <w:ind w:firstLine="420"/>
        <w:rPr>
          <w:sz w:val="21"/>
          <w:szCs w:val="21"/>
        </w:rPr>
      </w:pPr>
      <w:bookmarkStart w:id="197" w:name="chapter_level1_24_3499_section_1"/>
      <w:bookmarkEnd w:id="197"/>
      <w:bookmarkStart w:id="198" w:name="field_0_bsrevealinfo_1_start"/>
      <w:bookmarkEnd w:id="198"/>
      <w:r>
        <w:rPr>
          <w:rFonts w:hint="eastAsia"/>
          <w:sz w:val="21"/>
          <w:szCs w:val="21"/>
        </w:rPr>
        <w:t>（一）、 2022年08月31日，我公司公告了《博时特许价值混合型证券投资基金2022年中期报告》；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2022年08月25日，我公司公告了《博时特许价值混合型证券投资基金（博时特许价值混合A）基金产品资料概要更新》；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2022年07月21日，我公司公告了《博时特许价值混合型证券投资基金2022年第2季度报告》；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2022年05月14日，我公司公告了《关于博时基金管理有限公司旗下部分基金投资非公开发行股票的公告20220514》；</w:t>
      </w:r>
    </w:p>
    <w:p>
      <w:pPr>
        <w:pStyle w:val="7"/>
        <w:spacing w:before="0" w:beforeAutospacing="0" w:after="0" w:afterAutospacing="0" w:line="360" w:lineRule="auto"/>
        <w:ind w:firstLine="420"/>
        <w:rPr>
          <w:sz w:val="21"/>
          <w:szCs w:val="21"/>
        </w:rPr>
      </w:pPr>
      <w:r>
        <w:rPr>
          <w:rFonts w:hint="eastAsia"/>
          <w:sz w:val="21"/>
          <w:szCs w:val="21"/>
        </w:rPr>
        <w:t>（十一）、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（十二）、 2022年04月22日，我公司公告了《博时特许价值混合型证券投资基金2022年第1季度报告》；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（十三）、 2022年03月30日，我公司公告了《博时特许价值混合型证券投资基金2021年年度报告》；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（十四）、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（十五）、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（十六）、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（十七）、 2022年01月24日，我公司公告了《博时特许价值混合型证券投资基金2021年第4季度报告》；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（十八）、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（十九）、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（二十）、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（二十一）、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（二十二）、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（二十三）、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（二十四）、 2021年12月28日，我公司公告了《博时基金管理有限公司关于旗下基金投资关联方承销期内承销证券的公告》；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（二十五）、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（二十六）、 2021年10月27日，我公司公告了《博时特许价值混合型证券投资基金2021年第3季度报告》；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（二十七）、 2021年09月30日，我公司公告了《博时基金管理有限公司关于对投资者在直销网上交易申购、认购及定投基金实施费率优惠的公告》、《博时特许价值混合型证券投资基金更新招募说明书》；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（二十八）、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（二十九）、 2021年08月31日，我公司公告了《博时特许价值混合型证券投资基</w:t>
      </w:r>
      <w:bookmarkStart w:id="199" w:name="chapter_level1_24_3499_section_1_end"/>
      <w:bookmarkEnd w:id="199"/>
      <w:r>
        <w:rPr>
          <w:rFonts w:hint="eastAsia"/>
          <w:sz w:val="21"/>
          <w:szCs w:val="21"/>
        </w:rPr>
        <w:t>金2021年中期报告》。</w:t>
      </w:r>
      <w:bookmarkStart w:id="200" w:name="field_0_bsrevealinfo_1_end"/>
      <w:bookmarkEnd w:id="20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1" w:name="_Toc113564319"/>
      <w:bookmarkStart w:id="202" w:name="chapter_level1_25_77"/>
      <w:r>
        <w:rPr>
          <w:rFonts w:hint="eastAsia" w:ascii="宋体" w:hAnsi="宋体" w:eastAsia="宋体"/>
          <w:sz w:val="30"/>
        </w:rPr>
        <w:t>第二十二部分  招募说明书存放及查阅方式</w:t>
      </w:r>
      <w:bookmarkEnd w:id="201"/>
      <w:bookmarkEnd w:id="202"/>
    </w:p>
    <w:p>
      <w:pPr>
        <w:pStyle w:val="7"/>
        <w:spacing w:before="0" w:beforeAutospacing="0" w:after="0" w:afterAutospacing="0" w:line="360" w:lineRule="auto"/>
        <w:ind w:firstLine="420"/>
        <w:rPr>
          <w:sz w:val="21"/>
          <w:szCs w:val="21"/>
        </w:rPr>
      </w:pPr>
      <w:bookmarkStart w:id="203" w:name="chapter_level1_25_77_section_1"/>
      <w:bookmarkEnd w:id="203"/>
      <w:r>
        <w:rPr>
          <w:rFonts w:hint="eastAsia"/>
          <w:sz w:val="21"/>
          <w:szCs w:val="21"/>
        </w:rPr>
        <w:t xml:space="preserve">依法必须披露的信息发布后，基金管理人、基金托管人应当按照相关法律法规规定将信息置备于公司住所，以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04" w:name="chapter_level1_25_77_section_1_end"/>
      <w:bookmarkEnd w:id="204"/>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5" w:name="chapter_level1_26_332"/>
      <w:bookmarkStart w:id="206" w:name="_Toc113564320"/>
      <w:r>
        <w:rPr>
          <w:rFonts w:hint="eastAsia" w:ascii="宋体" w:hAnsi="宋体" w:eastAsia="宋体"/>
          <w:sz w:val="30"/>
        </w:rPr>
        <w:t>第二十三部分  备查文件</w:t>
      </w:r>
      <w:bookmarkEnd w:id="205"/>
      <w:bookmarkEnd w:id="206"/>
    </w:p>
    <w:p>
      <w:pPr>
        <w:pStyle w:val="7"/>
        <w:spacing w:before="0" w:beforeAutospacing="0" w:after="0" w:afterAutospacing="0" w:line="360" w:lineRule="auto"/>
        <w:ind w:firstLine="420"/>
        <w:rPr>
          <w:sz w:val="21"/>
          <w:szCs w:val="21"/>
        </w:rPr>
      </w:pPr>
      <w:bookmarkStart w:id="207" w:name="chapter_level1_26_332_section_1"/>
      <w:bookmarkEnd w:id="207"/>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（一）中国证监会批准</w:t>
      </w:r>
      <w:bookmarkStart w:id="208" w:name="field_0_productfullname_11"/>
      <w:r>
        <w:rPr>
          <w:rFonts w:hint="eastAsia"/>
          <w:sz w:val="21"/>
          <w:szCs w:val="21"/>
        </w:rPr>
        <w:t>博时特许价值混合型证券投资基金</w:t>
      </w:r>
      <w:bookmarkEnd w:id="208"/>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（二）《</w:t>
      </w:r>
      <w:bookmarkStart w:id="209" w:name="field_0_productfullname_12"/>
      <w:r>
        <w:rPr>
          <w:rFonts w:hint="eastAsia"/>
          <w:sz w:val="21"/>
          <w:szCs w:val="21"/>
        </w:rPr>
        <w:t>博时特许价值混合型证券投资基金</w:t>
      </w:r>
      <w:bookmarkEnd w:id="209"/>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10" w:name="field_0_productfullname_13"/>
      <w:r>
        <w:rPr>
          <w:rFonts w:hint="eastAsia"/>
          <w:sz w:val="21"/>
          <w:szCs w:val="21"/>
        </w:rPr>
        <w:t>博时特许价值混合型证券投资基金</w:t>
      </w:r>
      <w:bookmarkEnd w:id="210"/>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（四）基金管理人业务资格批件、营业执照和公司章程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w:t>
      </w:r>
      <w:bookmarkStart w:id="211" w:name="field_0_productfullname_14"/>
      <w:r>
        <w:rPr>
          <w:rFonts w:hint="eastAsia"/>
          <w:sz w:val="21"/>
          <w:szCs w:val="21"/>
        </w:rPr>
        <w:t>博时特许价值混合型证券投资基金</w:t>
      </w:r>
      <w:bookmarkEnd w:id="211"/>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存放地点：基金管理人 </w:t>
      </w:r>
    </w:p>
    <w:p>
      <w:pPr>
        <w:pStyle w:val="7"/>
        <w:spacing w:before="0" w:beforeAutospacing="0" w:after="0" w:afterAutospacing="0" w:line="360" w:lineRule="auto"/>
        <w:ind w:firstLine="420"/>
        <w:rPr>
          <w:sz w:val="21"/>
          <w:szCs w:val="21"/>
        </w:rPr>
      </w:pPr>
      <w:r>
        <w:rPr>
          <w:rFonts w:hint="eastAsia"/>
          <w:sz w:val="21"/>
          <w:szCs w:val="21"/>
        </w:rPr>
        <w:t>查阅方式：投资人可在营业时间免费查阅，也可按工</w:t>
      </w:r>
      <w:bookmarkStart w:id="216" w:name="_GoBack"/>
      <w:bookmarkEnd w:id="216"/>
      <w:r>
        <w:rPr>
          <w:rFonts w:hint="eastAsia"/>
          <w:sz w:val="21"/>
          <w:szCs w:val="21"/>
        </w:rPr>
        <w:t xml:space="preserve">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12" w:name="field_0_managerorgfullname_9"/>
      <w:r>
        <w:rPr>
          <w:rFonts w:hint="eastAsia"/>
          <w:sz w:val="21"/>
          <w:szCs w:val="21"/>
        </w:rPr>
        <w:t>博时基金管理有限公司</w:t>
      </w:r>
      <w:bookmarkEnd w:id="212"/>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13" w:name="chapter_level1_26_332_section_1_end"/>
      <w:bookmarkEnd w:id="213"/>
      <w:bookmarkStart w:id="214"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14"/>
      <w:r>
        <w:rPr>
          <w:rFonts w:hint="eastAsia"/>
          <w:sz w:val="21"/>
          <w:szCs w:val="21"/>
        </w:rPr>
        <w:t xml:space="preserve">  </w:t>
      </w:r>
    </w:p>
    <w:p>
      <w:pPr>
        <w:rPr>
          <w:rFonts w:ascii="宋体" w:hAnsi="宋体" w:eastAsia="宋体"/>
        </w:rPr>
      </w:pPr>
      <w:bookmarkStart w:id="215" w:name="end"/>
      <w:bookmarkEnd w:id="215"/>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162</w:t>
    </w:r>
    <w:r>
      <w:fldChar w:fldCharType="end"/>
    </w:r>
    <w:r>
      <w:rPr>
        <w:rFonts w:hint="eastAsia"/>
      </w:rPr>
      <w:t>页 共</w:t>
    </w:r>
    <w:r>
      <w:fldChar w:fldCharType="begin"/>
    </w:r>
    <w:r>
      <w:instrText xml:space="preserve"> NumPages \* MERGEFORMAT </w:instrText>
    </w:r>
    <w:r>
      <w:fldChar w:fldCharType="separate"/>
    </w:r>
    <w:r>
      <w:t>162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博时特许价值混合型证券投资基金更新招募说明书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6A"/>
    <w:rsid w:val="001D43A8"/>
    <w:rsid w:val="00414BFE"/>
    <w:rsid w:val="004C1E29"/>
    <w:rsid w:val="00854F7E"/>
    <w:rsid w:val="00DF466A"/>
    <w:rsid w:val="00FF6EB6"/>
    <w:rsid w:val="12496143"/>
    <w:rsid w:val="21853261"/>
    <w:rsid w:val="28003556"/>
    <w:rsid w:val="29E357F5"/>
    <w:rsid w:val="31C47DC7"/>
    <w:rsid w:val="31EF2A40"/>
    <w:rsid w:val="359E3186"/>
    <w:rsid w:val="460C6044"/>
    <w:rsid w:val="49945D40"/>
    <w:rsid w:val="4DCE2063"/>
    <w:rsid w:val="55B6508F"/>
    <w:rsid w:val="58907CA0"/>
    <w:rsid w:val="5E360D6D"/>
    <w:rsid w:val="5F10316D"/>
    <w:rsid w:val="64C13298"/>
    <w:rsid w:val="68025C52"/>
    <w:rsid w:val="6C9A4462"/>
    <w:rsid w:val="6DAD3C82"/>
    <w:rsid w:val="6EDF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uiPriority w:val="99"/>
    <w:rPr>
      <w:color w:val="333333"/>
      <w:u w:val="none"/>
    </w:rPr>
  </w:style>
  <w:style w:type="character" w:styleId="13">
    <w:name w:val="Emphasis"/>
    <w:basedOn w:val="10"/>
    <w:qFormat/>
    <w:uiPriority w:val="20"/>
    <w:rPr>
      <w:color w:val="D70C19"/>
    </w:rPr>
  </w:style>
  <w:style w:type="character" w:styleId="14">
    <w:name w:val="HTML Definition"/>
    <w:basedOn w:val="10"/>
    <w:semiHidden/>
    <w:unhideWhenUsed/>
    <w:uiPriority w:val="99"/>
    <w:rPr>
      <w:i/>
      <w:iCs/>
    </w:rPr>
  </w:style>
  <w:style w:type="character" w:styleId="15">
    <w:name w:val="Hyperlink"/>
    <w:basedOn w:val="10"/>
    <w:unhideWhenUsed/>
    <w:qFormat/>
    <w:uiPriority w:val="99"/>
    <w:rPr>
      <w:color w:val="0000FF"/>
      <w:u w:val="single"/>
    </w:rPr>
  </w:style>
  <w:style w:type="character" w:styleId="16">
    <w:name w:val="HTML Code"/>
    <w:basedOn w:val="10"/>
    <w:semiHidden/>
    <w:unhideWhenUsed/>
    <w:uiPriority w:val="99"/>
    <w:rPr>
      <w:rFonts w:ascii="monospace" w:hAnsi="monospace" w:eastAsia="monospace" w:cs="monospace"/>
      <w:sz w:val="21"/>
      <w:szCs w:val="21"/>
    </w:rPr>
  </w:style>
  <w:style w:type="character" w:styleId="17">
    <w:name w:val="HTML Keyboard"/>
    <w:basedOn w:val="10"/>
    <w:semiHidden/>
    <w:unhideWhenUsed/>
    <w:uiPriority w:val="99"/>
    <w:rPr>
      <w:rFonts w:hint="default" w:ascii="monospace" w:hAnsi="monospace" w:eastAsia="monospace" w:cs="monospace"/>
      <w:sz w:val="21"/>
      <w:szCs w:val="21"/>
    </w:rPr>
  </w:style>
  <w:style w:type="character" w:styleId="18">
    <w:name w:val="HTML Sample"/>
    <w:basedOn w:val="10"/>
    <w:semiHidden/>
    <w:unhideWhenUsed/>
    <w:uiPriority w:val="99"/>
    <w:rPr>
      <w:rFonts w:hint="default" w:ascii="monospace" w:hAnsi="monospace" w:eastAsia="monospace" w:cs="monospace"/>
      <w:sz w:val="21"/>
      <w:szCs w:val="21"/>
    </w:rPr>
  </w:style>
  <w:style w:type="character" w:customStyle="1" w:styleId="19">
    <w:name w:val="标题 2 字符"/>
    <w:basedOn w:val="10"/>
    <w:link w:val="2"/>
    <w:qFormat/>
    <w:uiPriority w:val="9"/>
    <w:rPr>
      <w:rFonts w:asciiTheme="majorHAnsi" w:hAnsiTheme="majorHAnsi" w:eastAsiaTheme="majorEastAsia" w:cstheme="majorBidi"/>
      <w:b/>
      <w:bCs/>
      <w:sz w:val="32"/>
      <w:szCs w:val="32"/>
    </w:rPr>
  </w:style>
  <w:style w:type="character" w:customStyle="1" w:styleId="20">
    <w:name w:val="页眉 字符"/>
    <w:basedOn w:val="10"/>
    <w:link w:val="5"/>
    <w:qFormat/>
    <w:uiPriority w:val="99"/>
    <w:rPr>
      <w:sz w:val="18"/>
      <w:szCs w:val="18"/>
    </w:rPr>
  </w:style>
  <w:style w:type="character" w:customStyle="1" w:styleId="21">
    <w:name w:val="页脚 字符"/>
    <w:basedOn w:val="10"/>
    <w:link w:val="4"/>
    <w:qFormat/>
    <w:uiPriority w:val="99"/>
    <w:rPr>
      <w:sz w:val="18"/>
      <w:szCs w:val="18"/>
    </w:rPr>
  </w:style>
  <w:style w:type="character" w:customStyle="1" w:styleId="22">
    <w:name w:val="批注框文本 字符"/>
    <w:basedOn w:val="10"/>
    <w:link w:val="3"/>
    <w:semiHidden/>
    <w:qFormat/>
    <w:uiPriority w:val="99"/>
    <w:rPr>
      <w:sz w:val="18"/>
      <w:szCs w:val="18"/>
    </w:rPr>
  </w:style>
  <w:style w:type="character" w:customStyle="1" w:styleId="23">
    <w:name w:val="error"/>
    <w:basedOn w:val="10"/>
    <w:uiPriority w:val="0"/>
    <w:rPr>
      <w:color w:val="D70C19"/>
      <w:sz w:val="14"/>
      <w:szCs w:val="14"/>
    </w:rPr>
  </w:style>
  <w:style w:type="character" w:customStyle="1" w:styleId="24">
    <w:name w:val="error1"/>
    <w:basedOn w:val="10"/>
    <w:uiPriority w:val="0"/>
  </w:style>
  <w:style w:type="character" w:customStyle="1" w:styleId="25">
    <w:name w:val="error2"/>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162</Pages>
  <Words>18875</Words>
  <Characters>107589</Characters>
  <Lines>896</Lines>
  <Paragraphs>252</Paragraphs>
  <TotalTime>3</TotalTime>
  <ScaleCrop>false</ScaleCrop>
  <LinksUpToDate>false</LinksUpToDate>
  <CharactersWithSpaces>126212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2022-09-08T13:17:00Z</dcterms:created>
  <dc:creator>BSKMadminDev</dc:creator>
  <cp:lastModifiedBy>Liwen Xiao</cp:lastModifiedBy>
  <dcterms:modified xsi:type="dcterms:W3CDTF">2023-07-08T14:03:15Z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3F30C437700149799FB6E13B9F46D68F</vt:lpwstr>
  </property>
</Properties>
</file>