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01C3CE70" w14:textId="77777777" w:rsidR="005D6F21" w:rsidRDefault="00043615">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博时文体娱乐主题混合型证券投资基金基金产品资料概要更新</w:t>
      </w:r>
    </w:p>
    <w:p w14:paraId="4FD34709" w14:textId="77777777" w:rsidR="005D6F21" w:rsidRDefault="00043615">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2020年10月15日</w:t>
      </w:r>
    </w:p>
    <w:p w14:paraId="77590A22" w14:textId="77777777" w:rsidR="005D6F21" w:rsidRDefault="00043615">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2DE6BC0E"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07C928C0"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4B2D020D" w14:textId="77777777" w:rsidR="005D6F21" w:rsidRDefault="00043615">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D6F21" w14:paraId="2EBD8FAC" w14:textId="77777777" w:rsidTr="00584DC5">
        <w:trPr>
          <w:trHeight w:val="454"/>
        </w:trPr>
        <w:tc>
          <w:tcPr>
            <w:tcW w:w="1145" w:type="pct"/>
            <w:vMerge w:val="restart"/>
            <w:vAlign w:val="center"/>
          </w:tcPr>
          <w:p w14:paraId="18B47E53"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5F5EE235"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博时文体娱乐</w:t>
            </w:r>
          </w:p>
        </w:tc>
        <w:tc>
          <w:tcPr>
            <w:tcW w:w="999" w:type="pct"/>
            <w:vMerge w:val="restart"/>
            <w:vAlign w:val="center"/>
          </w:tcPr>
          <w:p w14:paraId="561903F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B9E61C"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002424</w:t>
            </w:r>
          </w:p>
        </w:tc>
      </w:tr>
      <w:tr w:rsidR="005D6F21" w14:paraId="2E767565" w14:textId="77777777" w:rsidTr="005F360D">
        <w:trPr>
          <w:trHeight w:val="454"/>
        </w:trPr>
        <w:tc>
          <w:tcPr>
            <w:tcW w:w="1145" w:type="pct"/>
            <w:vAlign w:val="center"/>
          </w:tcPr>
          <w:p w14:paraId="2E1E6AC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5FF207AA"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31CDC4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653B4943"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中国建设银行股份有限公司</w:t>
            </w:r>
            <w:r>
              <w:rPr>
                <w:rFonts w:ascii="方正仿宋简体" w:eastAsia="方正仿宋简体" w:hAnsiTheme="minorEastAsia" w:cs="方正仿宋简体" w:hint="eastAsia"/>
                <w:iCs/>
              </w:rPr>
              <w:t xml:space="preserve"> </w:t>
            </w:r>
          </w:p>
        </w:tc>
      </w:tr>
      <w:tr w:rsidR="005D6F21" w14:paraId="1172A804" w14:textId="77777777" w:rsidTr="005F360D">
        <w:trPr>
          <w:trHeight w:val="454"/>
        </w:trPr>
        <w:tc>
          <w:tcPr>
            <w:tcW w:w="1145" w:type="pct"/>
            <w:vMerge w:val="restart"/>
            <w:vAlign w:val="center"/>
          </w:tcPr>
          <w:p w14:paraId="23AC754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2A1C81E8"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2017-05-25</w:t>
            </w:r>
          </w:p>
        </w:tc>
        <w:tc>
          <w:tcPr>
            <w:tcW w:w="999" w:type="pct"/>
            <w:vMerge w:val="restart"/>
            <w:vAlign w:val="center"/>
          </w:tcPr>
          <w:p w14:paraId="22B07BF2"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678FC482" w14:textId="77777777" w:rsidR="005D6F21" w:rsidRDefault="00043615">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D6F21" w14:paraId="27B7B039" w14:textId="77777777" w:rsidTr="005F360D">
        <w:trPr>
          <w:trHeight w:val="454"/>
        </w:trPr>
        <w:tc>
          <w:tcPr>
            <w:tcW w:w="1145" w:type="pct"/>
            <w:vAlign w:val="center"/>
          </w:tcPr>
          <w:p w14:paraId="27979F2C"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7EC21307"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7660EEA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7FB040ED"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D6F21" w14:paraId="4B8E08BB" w14:textId="77777777" w:rsidTr="005F360D">
        <w:trPr>
          <w:trHeight w:val="454"/>
        </w:trPr>
        <w:tc>
          <w:tcPr>
            <w:tcW w:w="1145" w:type="pct"/>
            <w:vAlign w:val="center"/>
          </w:tcPr>
          <w:p w14:paraId="4CF03261"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35C98B81"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0FF9ACA8"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786165DF"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D6F21" w14:paraId="4FCB5B9E" w14:textId="77777777" w:rsidTr="005F360D">
        <w:trPr>
          <w:trHeight w:val="454"/>
        </w:trPr>
        <w:tc>
          <w:tcPr>
            <w:tcW w:w="1145" w:type="pct"/>
            <w:vMerge w:val="restart"/>
            <w:vAlign w:val="center"/>
          </w:tcPr>
          <w:p w14:paraId="22F1DD5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3C5A35B"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蒋娜</w:t>
            </w:r>
          </w:p>
        </w:tc>
        <w:tc>
          <w:tcPr>
            <w:tcW w:w="999" w:type="pct"/>
            <w:vAlign w:val="center"/>
          </w:tcPr>
          <w:p w14:paraId="4018B5D9"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0F050CDE"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2017-05-25</w:t>
            </w:r>
          </w:p>
        </w:tc>
      </w:tr>
      <w:tr w:rsidR="005D6F21" w14:paraId="24127947" w14:textId="77777777" w:rsidTr="005F360D">
        <w:trPr>
          <w:trHeight w:val="454"/>
        </w:trPr>
        <w:tc>
          <w:tcPr>
            <w:tcW w:w="1145" w:type="pct"/>
            <w:vMerge/>
            <w:vAlign w:val="center"/>
          </w:tcPr>
          <w:p w14:paraId="4786945D" w14:textId="77777777" w:rsidR="005D6F21" w:rsidRDefault="005D6F21">
            <w:pPr>
              <w:spacing w:line="320" w:lineRule="exact"/>
              <w:rPr>
                <w:rFonts w:ascii="方正仿宋简体" w:eastAsia="方正仿宋简体" w:hAnsiTheme="minorEastAsia" w:cs="方正仿宋简体"/>
                <w:b/>
                <w:iCs/>
              </w:rPr>
            </w:pPr>
          </w:p>
        </w:tc>
        <w:tc>
          <w:tcPr>
            <w:tcW w:w="1413" w:type="pct"/>
            <w:vMerge/>
            <w:vAlign w:val="center"/>
          </w:tcPr>
          <w:p w14:paraId="10F69711" w14:textId="77777777" w:rsidR="005D6F21" w:rsidRDefault="005D6F21">
            <w:pPr>
              <w:spacing w:line="320" w:lineRule="exact"/>
              <w:rPr>
                <w:rFonts w:ascii="方正仿宋简体" w:eastAsia="方正仿宋简体" w:hAnsiTheme="minorEastAsia" w:cs="方正仿宋简体"/>
                <w:b/>
                <w:iCs/>
              </w:rPr>
            </w:pPr>
          </w:p>
        </w:tc>
        <w:tc>
          <w:tcPr>
            <w:tcW w:w="999" w:type="pct"/>
            <w:vAlign w:val="center"/>
          </w:tcPr>
          <w:p w14:paraId="5F0E348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3F00FDB9"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2012-07-13</w:t>
            </w:r>
          </w:p>
        </w:tc>
      </w:tr>
    </w:tbl>
    <w:p w14:paraId="3AF1F094" w14:textId="77777777" w:rsidR="005D6F21" w:rsidRDefault="005D6F21">
      <w:pPr>
        <w:spacing w:line="280" w:lineRule="exact"/>
        <w:rPr>
          <w:rFonts w:ascii="方正仿宋简体" w:eastAsia="方正仿宋简体" w:hAnsiTheme="minorEastAsia" w:cs="仿宋_GB2312"/>
          <w:b/>
          <w:kern w:val="0"/>
          <w:szCs w:val="24"/>
        </w:rPr>
      </w:pPr>
    </w:p>
    <w:p w14:paraId="6EA71FB3" w14:textId="77777777" w:rsidR="005D6F21" w:rsidRDefault="00043615"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C78103D" w14:textId="77777777" w:rsidR="005D6F21" w:rsidRDefault="00043615">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4513B187"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D6F21" w14:paraId="0D39348D" w14:textId="77777777" w:rsidTr="0074096A">
        <w:trPr>
          <w:trHeight w:val="454"/>
        </w:trPr>
        <w:tc>
          <w:tcPr>
            <w:tcW w:w="1228" w:type="pct"/>
            <w:vAlign w:val="center"/>
          </w:tcPr>
          <w:p w14:paraId="1F8E58D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32F21C6C"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本基金通过投资于文体娱乐主题上市公司的标的，结合有效的估值体系，在严控风险和良好流动性的情况下，为基金持有人创造良好的投资回报。</w:t>
            </w:r>
          </w:p>
        </w:tc>
      </w:tr>
      <w:tr w:rsidR="005D6F21" w14:paraId="5554EB8D" w14:textId="77777777" w:rsidTr="0074096A">
        <w:trPr>
          <w:trHeight w:val="454"/>
        </w:trPr>
        <w:tc>
          <w:tcPr>
            <w:tcW w:w="1228" w:type="pct"/>
            <w:vAlign w:val="center"/>
          </w:tcPr>
          <w:p w14:paraId="66A1CC7A"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对象是具有良好流动性的金融工具，包括国内依法发行上市的股票（包括中小板、创业板及其他经中国证监会核准上市的股票、存托凭证）、权证、股指期货等权益类金融工具，以及债券等固定收益类金融工具（包括国债、金融债、央行票据、地方政府债、企业债、公司债、可交换公司债券、可转换公司债券（含可分离交易可转债）、中小企业私募债券、中期票据、短期融资券、超级短期融资券、资产支持证券、次级债、债券回购、银行存款、货币市场工具等）及法律法规或中国证监会允许基金投资的其他金融工具（但须符合中国证监会的相关规定）。如法律法规或监管机构以后允许基金投资其他品种，基金管理人在履行适当程序后，可以将其纳入投资范围。</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投资组合中股票（含存托凭证）投资比例为基金资产的60%-95%，其中，投资于本基金所界定的文体娱乐主题证券的比例不低于非现金基金资产的80%；中小企业私募债占基金资产净值的比例不高于20%；每个交易日日终在扣除股指期货保证金以后，本基金保留的现金或者到期日在一年以内的政府债券不低于基金资产净值的5%，其中，现金不包括结算备付金、存出保证金、应收申购款等；权证投资占基金资产净值的0-3%。股指期货的投资比例依照法律法规或监管机构的规定执行。</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如果法律法规或中国证监会变更投资品种的投资比例限制，基金管理人在履行适当程序后，可以调整上述投资品种的投资比例。</w:t>
            </w:r>
          </w:p>
        </w:tc>
      </w:tr>
      <w:tr w:rsidR="005D6F21" w14:paraId="4AD66605" w14:textId="77777777" w:rsidTr="0074096A">
        <w:trPr>
          <w:trHeight w:val="454"/>
        </w:trPr>
        <w:tc>
          <w:tcPr>
            <w:tcW w:w="1228" w:type="pct"/>
            <w:vAlign w:val="center"/>
          </w:tcPr>
          <w:p w14:paraId="35DD64A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96A3741"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策略主要包括大类资产配置策略、股票投资策略、其他资产投资策略三个部分。其中，大类资产配置策略主要是通过跟踪考量宏观经济变量（包括GDP增长率、CPI走势、M2的绝对水平和增长率、利率水平与走势、外汇占款等）及国家财政、税收、货币、汇率各项政策，判断经济周期当前所处的位置及未来发展方向，并通过监测重要行业的产能利用与经济景气轮动研究，调整股票资产和固定收益资产的配置比例。股票投资策略方面，本基金所界定的文体娱乐主题，主要包括传媒、体育产业、旅游板块上市公司，以及其他符合物质消费向精神消费过度以及居民休闲文娱需求的上市公司。“文体娱乐”所涉及的行业众多，基金管理人将以行业未来空间、行业未来增速、国内外对标等几方面来初步筛选股票池，再对个股做进一步评估。其他资产投资策略有债券投资策略、资产支持证券投资策略、权证投资策略、股指期货投资策略，其中，债券投资策略包括期限结构策略、信用策略、互换策略、息差策略、可转换债券投资策略。</w:t>
            </w:r>
          </w:p>
        </w:tc>
      </w:tr>
      <w:tr w:rsidR="005D6F21" w14:paraId="709EEF9F" w14:textId="77777777" w:rsidTr="0074096A">
        <w:trPr>
          <w:trHeight w:val="454"/>
        </w:trPr>
        <w:tc>
          <w:tcPr>
            <w:tcW w:w="1228" w:type="pct"/>
            <w:vAlign w:val="center"/>
          </w:tcPr>
          <w:p w14:paraId="1E14AA8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9DDE4CB"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中证800媒体指数收益率*50%+中证800服务指数收益率*30%+上证国债指数收益率*20%。</w:t>
            </w:r>
          </w:p>
        </w:tc>
      </w:tr>
      <w:tr w:rsidR="005D6F21" w14:paraId="3CFE39B9" w14:textId="77777777" w:rsidTr="0074096A">
        <w:trPr>
          <w:trHeight w:val="454"/>
        </w:trPr>
        <w:tc>
          <w:tcPr>
            <w:tcW w:w="1228" w:type="pct"/>
            <w:vAlign w:val="center"/>
          </w:tcPr>
          <w:p w14:paraId="1C5BA997"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0385BF08"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本基金是混合型基金，其预期收益及风险水平低于股票型基金，高于货币市场基金与债券型基金，属于证券投资基金中的中高风险/收益品种。</w:t>
            </w:r>
          </w:p>
        </w:tc>
      </w:tr>
    </w:tbl>
    <w:p w14:paraId="184B11AC" w14:textId="77777777" w:rsidR="005D6F21" w:rsidRDefault="00043615">
      <w:pPr>
        <w:spacing w:line="320" w:lineRule="exact"/>
        <w:rPr>
          <w:rFonts w:ascii="方正仿宋简体" w:eastAsia="方正仿宋简体" w:hAnsiTheme="minorEastAsia" w:cs="仿宋_GB2312"/>
          <w:kern w:val="0"/>
          <w:szCs w:val="24"/>
        </w:rPr>
      </w:pPr>
    </w:p>
    <w:p w14:paraId="12F1C024" w14:textId="77777777" w:rsidR="005D6F21" w:rsidRDefault="00043615"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5F64D195" w14:textId="77777777" w:rsidR="005D6F21" w:rsidRDefault="00043615">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9C93D49" w14:textId="77777777" w:rsidR="005D6F21" w:rsidRDefault="00043615">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32E2EF0E" wp14:editId="46F9C121">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2424_FA010080_20200002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7DEAAB4C" w14:textId="77777777" w:rsidR="005D6F21" w:rsidRDefault="00043615">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14:paraId="27FA6C73" w14:textId="77777777" w:rsidR="005D6F21" w:rsidRDefault="00043615">
      <w:pPr>
        <w:jc w:val="center"/>
        <w:rPr>
          <w:rFonts w:ascii="方正仿宋简体" w:eastAsia="方正仿宋简体" w:hAnsiTheme="minorEastAsia"/>
          <w:sz w:val="24"/>
        </w:rPr>
      </w:pPr>
      <w:r>
        <w:rPr>
          <w:rFonts w:ascii="方正仿宋简体" w:eastAsia="方正仿宋简体" w:hAnsiTheme="minorEastAsia" w:hint="eastAsia"/>
          <w:sz w:val="24"/>
        </w:rPr>
        <w:drawing>
          <wp:inline distT="0" distB="0" distL="0" distR="0" wp14:anchorId="6EB72923" wp14:editId="03B20666">
            <wp:extent cx="3960000" cy="2315709"/>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2424_FA010080_20200002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 xml:space="preserve">注：基金的过往业绩不代表未来表现。</w:t>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 xml:space="preserve">本基金的基金合同于2017年5月25日生效，合同生效当年按实际存续期计算，不按整个自然年度进行折算。</w:t>
      </w:r>
    </w:p>
    <w:p w14:paraId="20E0D045" w14:textId="77777777" w:rsidR="005D6F21" w:rsidRDefault="005D6F21">
      <w:pPr>
        <w:spacing w:line="280" w:lineRule="exact"/>
        <w:ind w:firstLine="420"/>
        <w:rPr>
          <w:rFonts w:ascii="方正仿宋简体" w:eastAsia="方正仿宋简体" w:hAnsi="方正仿宋简体" w:cs="方正仿宋简体"/>
          <w:iCs/>
        </w:rPr>
      </w:pPr>
    </w:p>
    <w:p w14:paraId="6BA2B643" w14:textId="77777777" w:rsidR="005D6F21" w:rsidRDefault="00043615"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C372851" w14:textId="77777777" w:rsidR="005D6F21" w:rsidRDefault="00043615">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4B128E8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28"/>
        <w:gridCol w:w="4192"/>
        <w:gridCol w:w="2487"/>
        <w:gridCol w:w="1075"/>
      </w:tblGrid>
      <w:tr w:rsidR="005D6F21" w14:paraId="174A5F0B" w14:textId="77777777" w:rsidTr="0074096A">
        <w:trPr>
          <w:trHeight w:val="454"/>
        </w:trPr>
        <w:tc>
          <w:tcPr>
            <w:tcW w:w="1371" w:type="pct"/>
            <w:vAlign w:val="center"/>
          </w:tcPr>
          <w:p w14:paraId="21F3C35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62" w:type="pct"/>
            <w:vAlign w:val="center"/>
          </w:tcPr>
          <w:p w14:paraId="1F99ADB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65A9CF12"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4" w:type="pct"/>
            <w:vAlign w:val="center"/>
          </w:tcPr>
          <w:p w14:paraId="3E79C8F8"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03" w:type="pct"/>
            <w:vAlign w:val="center"/>
          </w:tcPr>
          <w:p w14:paraId="611FAD5B"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D6F21" w14:paraId="5FBE9F6F" w14:textId="77777777" w:rsidTr="0074096A">
        <w:trPr>
          <w:trHeight w:val="454"/>
        </w:trPr>
        <w:tc>
          <w:tcPr>
            <w:tcW w:w="1371" w:type="pct"/>
            <w:vAlign w:val="center"/>
            <w:vMerge w:val="restart"/>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50万元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1.00%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100万元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500万元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0.60%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500万元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Ansi="宋体" w:hint="eastAsia"/>
                <w:color w:val="000000" w:themeColor="text1"/>
                <w:kern w:val="0"/>
              </w:rPr>
              <w:t xml:space="preserve">1000元/笔</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67C990D2" w14:textId="77777777" w:rsidTr="0074096A">
        <w:trPr>
          <w:trHeight w:val="454"/>
        </w:trPr>
        <w:tc>
          <w:tcPr>
            <w:tcW w:w="1371" w:type="pct"/>
            <w:vAlign w:val="center"/>
            <w:vMerge w:val="restart"/>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100%计入资产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0.75%</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100%计入资产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90天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至少75%计入资产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90天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180天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至少50%计入资产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180天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0.25%</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
            </w:r>
          </w:p>
        </w:tc>
      </w:tr>
    </w:tbl>
    <w:p w14:paraId="3AC5BB9B"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对于通过基金管理人直销渠道申购的养老金客户，享受申购费率1折优惠。对于通过基金管理人直销渠道赎回的养老金客户，将不计入基金资产部分的赎回费免除。</w:t>
      </w:r>
    </w:p>
    <w:p w14:paraId="6C5A3561" w14:textId="77777777" w:rsidR="005D6F21" w:rsidRDefault="005D6F21">
      <w:pPr>
        <w:spacing w:line="320" w:lineRule="exact"/>
        <w:rPr>
          <w:rFonts w:ascii="方正仿宋简体" w:eastAsia="方正仿宋简体" w:hAnsiTheme="minorEastAsia" w:cs="方正仿宋简体"/>
          <w:b/>
          <w:iCs/>
          <w:sz w:val="24"/>
          <w:szCs w:val="24"/>
        </w:rPr>
      </w:pPr>
    </w:p>
    <w:p w14:paraId="5BBEACC5" w14:textId="77777777" w:rsidR="005D6F21" w:rsidRDefault="00043615"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3CF6D603"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D6F21" w14:paraId="2BAA3609" w14:textId="77777777" w:rsidTr="00A1474F">
        <w:trPr>
          <w:trHeight w:val="454"/>
        </w:trPr>
        <w:tc>
          <w:tcPr>
            <w:tcW w:w="1477" w:type="pct"/>
            <w:vAlign w:val="center"/>
          </w:tcPr>
          <w:p w14:paraId="647CFFC3" w14:textId="77777777" w:rsidR="005D6F21" w:rsidRDefault="00043615">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2A6CD16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D6F21" w14:paraId="7164EA47" w14:textId="77777777" w:rsidTr="00A1474F">
        <w:trPr>
          <w:trHeight w:val="454"/>
        </w:trPr>
        <w:tc>
          <w:tcPr>
            <w:tcW w:w="1477" w:type="pct"/>
            <w:vAlign w:val="center"/>
          </w:tcPr>
          <w:p w14:paraId="3BE7B409" w14:textId="77777777" w:rsidR="005D6F21" w:rsidRDefault="00043615">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42F2A306" w14:textId="77777777" w:rsidR="005D6F21" w:rsidRDefault="00043615">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5D6F21" w14:paraId="5D349D7A" w14:textId="77777777" w:rsidTr="00A1474F">
        <w:trPr>
          <w:trHeight w:val="454"/>
        </w:trPr>
        <w:tc>
          <w:tcPr>
            <w:tcW w:w="1477" w:type="pct"/>
            <w:vAlign w:val="center"/>
          </w:tcPr>
          <w:p w14:paraId="4775F80D"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13B9E28B"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5D6F21" w14:paraId="1F7048E1" w14:textId="77777777" w:rsidTr="00A1474F">
        <w:trPr>
          <w:trHeight w:val="454"/>
        </w:trPr>
        <w:tc>
          <w:tcPr>
            <w:tcW w:w="1477" w:type="pct"/>
            <w:vAlign w:val="center"/>
          </w:tcPr>
          <w:p w14:paraId="5E872F1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3278D9C"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与基金相关的信息披露费用；《基金合同》生效后与基金相关的会计师费、律师费、仲裁费和诉讼费；基金份额持有人大会费用；基金的证券交易费用；基金的银行汇划费用；账户开户费用、账户维护费用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31A8A3DA"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2DA2B0F2" w14:textId="77777777" w:rsidR="005D6F21" w:rsidRDefault="005D6F21">
      <w:pPr>
        <w:autoSpaceDE w:val="0"/>
        <w:autoSpaceDN w:val="0"/>
        <w:adjustRightInd w:val="0"/>
        <w:spacing w:line="280" w:lineRule="exact"/>
        <w:jc w:val="left"/>
        <w:rPr>
          <w:rFonts w:ascii="方正仿宋简体" w:eastAsia="方正仿宋简体" w:hAnsiTheme="minorEastAsia" w:cs="仿宋_GB2312"/>
          <w:kern w:val="0"/>
          <w:szCs w:val="24"/>
        </w:rPr>
      </w:pPr>
    </w:p>
    <w:p w14:paraId="556B0A15" w14:textId="77777777" w:rsidR="005D6F21" w:rsidRDefault="00043615"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066E9D20" w14:textId="439342A8" w:rsidR="005D6F21" w:rsidRDefault="00043615">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7DC888F7"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29DDF881" w14:textId="113B5CCD"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（1）主题型基金投资特有风险</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为主题型基金，将80%以上的非现金基金资产投资于文体娱乐主题相关的上市公司发行的证券，该类证券的特定风险即成为本基金及投资者主要面对的特定投资风险。其投资收益会受到宏观经济、政府产业政策、市场需求变化、行业波动和公司自身经营状况等因素的影响，可能存在所选投资标的的成长性与市场一致预期不符而造成个股价格表现低于预期的风险。因此，本基金所投资的文体娱乐主题相关证券可能在一定时期内表现与其他未投资的证券不同，造成本基金的收益低于其他基金，或波动率高于其他基金或市场平均水平。此外，由于本基金还可以投资其它品种，这些品种的价格也可能因市场中的各类变化而出现一定幅度的波动，产生特定的风险，并影响到整体基金的投资收益。</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（2）中小企业私募债券投资风险</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中小企业私募债券，中小企业私募债是根据相关法律法规由非上市中小企业采用非公开方式发行的债券。中小企业私募债的风险主要包括信用风险、流动性风险、市场风险等。信用风险指发债主体违约的风险，是中小企业私募债最大的风险。流动性风险是由于中小企业私募债交投不活跃导致的投资者被迫持有到期的风险。市场风险是未来市场价格（利率、汇率、股票价格、商品价格等）的不确定性带来的风险，它影响债券的实际收益率。这些风险可能会给基金净值带来一定的负面影响和损失。</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（3）股指期货投资风险</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（4）投资于存托凭证的风险</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w:p w14:paraId="647AEE6F" w14:textId="77777777" w:rsidR="005D6F21" w:rsidRDefault="00043615">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0E2C9E45" w14:textId="77777777" w:rsidR="005D6F21" w:rsidRDefault="005D6F21">
      <w:pPr>
        <w:autoSpaceDE w:val="0"/>
        <w:autoSpaceDN w:val="0"/>
        <w:adjustRightInd w:val="0"/>
        <w:spacing w:line="280" w:lineRule="exact"/>
        <w:jc w:val="left"/>
        <w:rPr>
          <w:rFonts w:ascii="方正仿宋简体" w:eastAsia="方正仿宋简体"/>
        </w:rPr>
      </w:pPr>
    </w:p>
    <w:p w14:paraId="60C06886" w14:textId="77777777" w:rsidR="005D6F21" w:rsidRDefault="00043615"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774A46B5" w14:textId="77777777" w:rsidR="005D6F21" w:rsidRDefault="005D6F21">
      <w:pPr>
        <w:autoSpaceDE w:val="0"/>
        <w:autoSpaceDN w:val="0"/>
        <w:adjustRightInd w:val="0"/>
        <w:spacing w:line="280" w:lineRule="exact"/>
        <w:jc w:val="left"/>
        <w:rPr>
          <w:rFonts w:ascii="方正仿宋简体" w:eastAsia="方正仿宋简体"/>
        </w:rPr>
      </w:pPr>
    </w:p>
    <w:p w14:paraId="7787809E" w14:textId="77777777" w:rsidR="005D6F21" w:rsidRDefault="00043615"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仲裁费由败诉方承担。</w:t>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48E922A5" w14:textId="77777777" w:rsidR="005D6F21" w:rsidRDefault="00043615">
      <w:pPr>
        <w:autoSpaceDE w:val="0"/>
        <w:autoSpaceDN w:val="0"/>
        <w:adjustRightInd w:val="0"/>
        <w:spacing w:line="280" w:lineRule="exact"/>
        <w:jc w:val="left"/>
      </w:pPr>
    </w:p>
    <w:sectPr w:rsidR="005D6F21" w:rsidSect="00461A7D">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C142B" w14:textId="77777777" w:rsidR="00043615" w:rsidRDefault="00043615" w:rsidP="0092395F">
      <w:r>
        <w:separator/>
      </w:r>
    </w:p>
  </w:endnote>
  <w:endnote w:type="continuationSeparator" w:id="0">
    <w:p w14:paraId="339F8944" w14:textId="77777777" w:rsidR="00043615" w:rsidRDefault="0004361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3CD0CA97" w14:textId="77777777" w:rsidR="00461A7D" w:rsidRDefault="00461A7D"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027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0274">
              <w:rPr>
                <w:b/>
                <w:bCs/>
                <w:noProof/>
              </w:rPr>
              <w:t>17</w:t>
            </w:r>
            <w:r>
              <w:rPr>
                <w:b/>
                <w:bCs/>
                <w:sz w:val="24"/>
                <w:szCs w:val="24"/>
              </w:rPr>
              <w:fldChar w:fldCharType="end"/>
            </w:r>
          </w:p>
        </w:sdtContent>
      </w:sdt>
    </w:sdtContent>
  </w:sdt>
  <w:p w14:paraId="30F8E9BC" w14:textId="77777777" w:rsidR="00461A7D" w:rsidRDefault="00461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602B" w14:textId="77777777" w:rsidR="00043615" w:rsidRDefault="00043615" w:rsidP="0092395F">
      <w:r>
        <w:separator/>
      </w:r>
    </w:p>
  </w:footnote>
  <w:footnote w:type="continuationSeparator" w:id="0">
    <w:p w14:paraId="4987E772" w14:textId="77777777" w:rsidR="00043615" w:rsidRDefault="00043615"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370211B"/>
    <w:multiLevelType w:val="hybridMultilevel"/>
    <w:tmpl w:val="610EDC98"/>
    <w:lvl w:ilvl="0" w:tplc="22CC479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3615"/>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1A7D"/>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D6F21"/>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4BE"/>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D52AD"/>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174"/>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EE6"/>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274"/>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A31"/>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465"/>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5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
<Relationships xmlns="http://schemas.openxmlformats.org/package/2006/relationships">
<Relationship Id="rIDCN_50050000_002424_FA010080_20200002_1jpg" Target="media/CN_50050000_002424_FA010080_20200002_1.jpg" Type="http://schemas.openxmlformats.org/officeDocument/2006/relationships/image"/>
<Relationship Id="rIDCN_50050000_002424_FA010080_20200002_3jpg" Target="media/CN_50050000_002424_FA010080_20200002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16596"/>
    <w:rsid w:val="006340F8"/>
    <w:rsid w:val="00637E49"/>
    <w:rsid w:val="00656E21"/>
    <w:rsid w:val="00660FB7"/>
    <w:rsid w:val="00662A61"/>
    <w:rsid w:val="00666964"/>
    <w:rsid w:val="00672BB9"/>
    <w:rsid w:val="00680145"/>
    <w:rsid w:val="0069290D"/>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2E10033-F1DA-45A7-B4A9-F553C03E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2020-09-04T09:43:00Z</dcterms:created>
  <dc:creator>Donghm</dc:creator>
  <cp:lastModifiedBy>Administrator</cp:lastModifiedBy>
  <dcterms:modified xsi:type="dcterms:W3CDTF">2020-09-04T09:43:00Z</dcterms:modified>
  <cp:revision>3</cp:revision>
</cp:coreProperties>
</file>