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博时行业轮动混合型证券投资基金基金产品资料概要更新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2020年10月14日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proofErr w:type="gramStart"/>
      <w:r>
        <w:rPr>
          <w:rFonts w:ascii="方正黑体简体" w:eastAsia="方正黑体简体" w:cs="黑体" w:hint="eastAsia"/>
          <w:kern w:val="0"/>
          <w:sz w:val="28"/>
          <w:szCs w:val="28"/>
        </w:rPr>
        <w:t>作出</w:t>
      </w:r>
      <w:proofErr w:type="gramEnd"/>
      <w:r>
        <w:rPr>
          <w:rFonts w:ascii="方正黑体简体" w:eastAsia="方正黑体简体" w:cs="黑体" w:hint="eastAsia"/>
          <w:kern w:val="0"/>
          <w:sz w:val="28"/>
          <w:szCs w:val="28"/>
        </w:rPr>
        <w:t>投资决定前，请阅读完整的招募说明书等销售文件。</w:t>
      </w:r>
    </w:p>
    <w:p w14:paraId="4B2D020D" w14:textId="77777777" w:rsidR="005D6F21" w:rsidRDefault="00043615">
      <w:pPr gbicc:listString="一、" gbicc:numText="%1、" gbicc:numFmt="C" gbicc:numVal="1"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博时行业轮动混合</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050018</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中国建设银行股份有限公司</w:t>
            </w:r>
            <w:r>
              <w:rPr>
                <w:rFonts w:ascii="方正仿宋简体" w:eastAsia="方正仿宋简体" w:hAnsiTheme="minorEastAsia" w:cs="方正仿宋简体" w:hint="eastAsia"/>
                <w:iCs/>
              </w:rPr>
              <w:t xml:space="preserve">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2010-12-10</w:t>
            </w:r>
          </w:p>
        </w:tc>
        <w:tc>
          <w:tcPr>
            <w:tcW w:w="999" w:type="pct"/>
            <w:vMerge w:val="restart"/>
            <w:vAlign w:val="center"/>
          </w:tcPr>
          <w:p w14:paraId="22B07BF2"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hint="eastAsia"/>
                <w:color w:val="333399"/>
              </w:rPr>
              <w:t/>
            </w:r>
            <w:r>
              <w:rPr>
                <w:rFonts w:ascii="方正仿宋简体" w:eastAsia="方正仿宋简体" w:hAnsiTheme="minorEastAsia" w:cs="方正仿宋简体" w:hint="eastAsia"/>
                <w:iCs/>
              </w:rPr>
              <w:t xml:space="preserve"> </w:t>
            </w:r>
            <w:r>
              <w:rPr>
                <w:rFonts w:hint="eastAsia"/>
                <w:color w:val="333399"/>
              </w:rPr>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r>
              <w:rPr>
                <w:rFonts w:hint="eastAsia"/>
                <w:color w:val="333399"/>
              </w:rPr>
              <w:t/>
            </w:r>
            <w:r>
              <w:rPr>
                <w:rFonts w:hint="eastAsia"/>
                <w:color w:val="333399"/>
              </w:rPr>
              <w:t/>
            </w:r>
            <w:r>
              <w:rPr>
                <w:rFonts w:hint="eastAsia"/>
                <w:color w:val="333399"/>
              </w:rPr>
              <w:t/>
            </w:r>
            <w:r>
              <w:rPr>
                <w:rFonts w:hint="eastAsia"/>
                <w:color w:val="333399"/>
              </w:rPr>
              <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陈雷</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2014-08-29</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2008-07-01</w:t>
            </w:r>
          </w:p>
        </w:tc>
      </w:tr>
    </w:tbl>
    <w:p w14:paraId="3AF1F094" w14:textId="77777777" w:rsidR="005D6F21" w:rsidRDefault="005D6F21">
      <w:pPr>
        <w:spacing w:line="280" w:lineRule="exact"/>
        <w:rPr>
          <w:rFonts w:ascii="方正仿宋简体" w:eastAsia="方正仿宋简体" w:hAnsiTheme="minorEastAsia" w:cs="仿宋_GB2312"/>
          <w:b/>
          <w:kern w:val="0"/>
          <w:szCs w:val="24"/>
        </w:rPr>
      </w:pPr>
    </w:p>
    <w:p w14:paraId="6EA71FB3" w14:textId="77777777" w:rsidR="005D6F21" w:rsidRDefault="00043615" gbicc:emptyAbove="1">
      <w:pPr gbicc:listString="二、" gbicc:numText="%1、" gbicc:numFmt="C" gbicc:numVal="2"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lastRenderedPageBreak/>
        <w:t>基金投资与净值表现</w:t>
      </w:r>
    </w:p>
    <w:p w14:paraId="1C78103D" w14:textId="77777777" w:rsidR="005D6F21" w:rsidRDefault="00043615">
      <w:pPr gbicc:listString="(一)" gbicc:numText="(%1)" gbicc:numFmt="C" gbicc:numVal="1" gbicc:numId="15">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通过深入分析经济周期不同阶段的关键驱动因素和不同行业股价波动的关键驱动因子，把握周期性行业与稳定性行业轮动、周期性行业内部轮动的规律，力争实现在经济周期和行业景气波动下的资产稳定增值。</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
            </w:r>
          </w:p>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本基金的投资范围为具有良好流动性的金融工具，包括国内依法发行的股票（含存托凭证）、固定收益类证券、回购、权证、股指期货及法律法规或中国证监会允许基金投资的其他金融工具。</w:t>
            </w:r>
          </w:p>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投资组合中股票（含存托凭证）投资比例为基金资产的60%—95%，权证投资比例不得超过基金资产净值的3%；债券等固定收益类证券投资比例为基金资产的0%—40%，债券等固定收益类证券投资范围主要包括国债、金融债、公司债、中央银行票据、企业债、短期融资券、可转换债券、资产证券化产品等；现金或者到期日在一年以内的政府债券投资比例合计不低于基金资产净值的5%，其中，现金不包括结算备付金、存出保证金、应收申购款等。本基金将不低于80%的股票资产按照行业轮动策略进行投资。</w:t>
            </w:r>
          </w:p>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如果法律法规或监管机构以后允许基金投资其他品种，本基金管理人在履行适当程序后，可以将其纳入本基金的投资范围。</w:t>
            </w:r>
          </w:p>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具体投资策略分三个层次：首先是大类资产的配置，即根据经济周期决定权益类证券和固定收益类证券的投资比例；其次是行业配置，即根据行业轮动的规律和经济发展的内在逻辑，在经济周期的不同阶段，配置不同的行业；最后是个股选择策略和债券投资策略。行业轮动策略是本基金的核心策略。投资策略主要包括：资产配置策略、股票投资策略、存托凭证投资策略、债券投资策略、权证投资策略、股指期货的投资策略。</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沪深300指数收益率×80%＋中国债券总指数收益率×20%</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本基金为混合型基金，预期风险和预期收益高于货币市场基金、债券型基金，低于股票型基金，属于证券投资基金中的中高风险/收益品种。</w:t>
            </w:r>
          </w:p>
        </w:tc>
      </w:tr>
    </w:tbl>
    <w:p w14:paraId="184B11AC" w14:textId="77777777" w:rsidR="005D6F21" w:rsidRDefault="00043615">
      <w:pPr>
        <w:spacing w:line="320" w:lineRule="exact"/>
        <w:rPr>
          <w:rFonts w:ascii="方正仿宋简体" w:eastAsia="方正仿宋简体" w:hAnsiTheme="minorEastAsia" w:cs="仿宋_GB2312"/>
          <w:kern w:val="0"/>
          <w:szCs w:val="24"/>
        </w:rPr>
      </w:pPr>
    </w:p>
    <w:p w14:paraId="12F1C024" w14:textId="77777777" w:rsidR="005D6F21" w:rsidRDefault="00043615" gbicc:emptyAbove="1">
      <w:pPr gbicc:listString="(二)" gbicc:numText="(%1)" gbicc:numFmt="C" gbicc:numVal="2"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r>
        <w:rPr>
          <w:rFonts w:ascii="方正仿宋简体" w:eastAsia="方正仿宋简体" w:hAnsi="方正仿宋简体" w:cs="方正仿宋简体" w:hint="eastAsia"/>
          <w:b/>
          <w:iCs/>
          <w:sz w:val="24"/>
          <w:szCs w:val="24"/>
        </w:rPr>
        <w:t>/</w:t>
      </w:r>
      <w:r>
        <w:rPr>
          <w:rFonts w:ascii="方正仿宋简体" w:eastAsia="方正仿宋简体" w:hAnsi="方正仿宋简体" w:cs="方正仿宋简体" w:hint="eastAsia"/>
          <w:b/>
          <w:iCs/>
          <w:sz w:val="24"/>
          <w:szCs w:val="24"/>
        </w:rPr>
        <w:t>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50018_FA010080_20200002_1jpg">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41B83413" w14:textId="77777777" w:rsidR="005D6F21" w:rsidRDefault="00043615">
      <w:pPr gbicc:listString="(五)" gbicc:numText="(%1)" gbicc:numFmt="C" gbicc:numVal="5"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最近十年基金每年的净值增长率及与同期业绩比较基准的比较图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50018_FA010080_20200002_3jpg">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gbicc:emptyAbove="2">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 xml:space="preserve">注：基金的过往业绩不代表未来表现。</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gbicc:emptyAbove="1">
      <w:pPr gbicc:listString="三、" gbicc:numText="%1、" gbicc:numFmt="C" gbicc:numVal="3"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372851" w14:textId="77777777" w:rsidR="005D6F21" w:rsidRDefault="00043615">
      <w:pPr gbicc:listString="（一）" gbicc:numText="（%1）" gbicc:numFmt="J" gbicc:numVal="1" gbicc:numId="25">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w:t>
      </w: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申购</w:t>
      </w: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赎回基金过程中收取：</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w:t>
            </w:r>
            <w:r>
              <w:rPr>
                <w:rFonts w:ascii="方正仿宋简体" w:eastAsia="方正仿宋简体" w:hAnsi="方正仿宋简体" w:cs="方正仿宋简体" w:hint="eastAsia"/>
                <w:b/>
                <w:bCs/>
                <w:iCs/>
              </w:rPr>
              <w:t>S</w:t>
            </w:r>
            <w:r>
              <w:rPr>
                <w:rFonts w:ascii="方正仿宋简体" w:eastAsia="方正仿宋简体" w:hAnsi="方正仿宋简体" w:cs="方正仿宋简体" w:hint="eastAsia"/>
                <w:b/>
                <w:bCs/>
                <w:iCs/>
              </w:rPr>
              <w:t>）或金额（</w:t>
            </w:r>
            <w:r>
              <w:rPr>
                <w:rFonts w:ascii="方正仿宋简体" w:eastAsia="方正仿宋简体" w:hAnsi="方正仿宋简体" w:cs="方正仿宋简体" w:hint="eastAsia"/>
                <w:b/>
                <w:bCs/>
                <w:iCs/>
              </w:rPr>
              <w:t>M</w:t>
            </w:r>
            <w:r>
              <w:rPr>
                <w:rFonts w:ascii="方正仿宋简体" w:eastAsia="方正仿宋简体" w:hAnsi="方正仿宋简体" w:cs="方正仿宋简体" w:hint="eastAsia"/>
                <w:b/>
                <w:bCs/>
                <w:iCs/>
              </w:rPr>
              <w:t>）</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w:t>
            </w:r>
            <w:r>
              <w:rPr>
                <w:rFonts w:ascii="方正仿宋简体" w:eastAsia="方正仿宋简体" w:hAnsi="方正仿宋简体" w:cs="方正仿宋简体" w:hint="eastAsia"/>
                <w:b/>
                <w:bCs/>
                <w:iCs/>
              </w:rPr>
              <w:t>持有期限（</w:t>
            </w:r>
            <w:r>
              <w:rPr>
                <w:rFonts w:ascii="方正仿宋简体" w:eastAsia="方正仿宋简体" w:hAnsi="方正仿宋简体" w:cs="方正仿宋简体" w:hint="eastAsia"/>
                <w:b/>
                <w:bCs/>
                <w:iCs/>
              </w:rPr>
              <w:t>N</w:t>
            </w:r>
            <w:r>
              <w:rPr>
                <w:rFonts w:ascii="方正仿宋简体" w:eastAsia="方正仿宋简体" w:hAnsi="方正仿宋简体" w:cs="方正仿宋简体" w:hint="eastAsia"/>
                <w:b/>
                <w:bCs/>
                <w:iCs/>
              </w:rPr>
              <w:t>）</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w:t>
            </w:r>
            <w:r>
              <w:rPr>
                <w:rFonts w:ascii="方正仿宋简体" w:eastAsia="方正仿宋简体" w:hAnsi="方正仿宋简体" w:cs="方正仿宋简体" w:hint="eastAsia"/>
                <w:b/>
                <w:bCs/>
                <w:iCs/>
              </w:rPr>
              <w:t>/</w:t>
            </w:r>
            <w:r>
              <w:rPr>
                <w:rFonts w:ascii="方正仿宋简体" w:eastAsia="方正仿宋简体" w:hAnsi="方正仿宋简体" w:cs="方正仿宋简体" w:hint="eastAsia"/>
                <w:b/>
                <w:bCs/>
                <w:iCs/>
              </w:rPr>
              <w:t>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Align w:val="center"/>
            <w:vMerge w:val="restart"/>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int="eastAsia"/>
                <w:color w:val="333399"/>
              </w:rPr>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M</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50万元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1.50%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w:r>
          </w:p>
        </w:tc>
        <w:tc>
          <w:tcPr>
            <w:tcW w:w="503" w:type="pct"/>
            <w:vAlign w:val="center"/>
          </w:tcPr>
          <w:p w14:paraId="3FB6B806" w14:textId="77777777" w:rsidR="005D6F21" w:rsidRDefault="00043615">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5D6F21" w14:paraId="5FBE9F6F" w14:textId="77777777" w:rsidTr="0074096A">
        <w:trPr>
          <w:trHeight w:val="454"/>
        </w:trPr>
        <w:tc>
          <w:tcPr>
            <w:tcW w:w="1371" w:type="pct"/>
            <w:vAlign w:val="center"/>
            <w:vMerge/>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50万元</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M</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100万元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1.00%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FB6B806" w14:textId="77777777" w:rsidR="005D6F21" w:rsidRDefault="00043615">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5D6F21" w14:paraId="5FBE9F6F" w14:textId="77777777" w:rsidTr="0074096A">
        <w:trPr>
          <w:trHeight w:val="454"/>
        </w:trPr>
        <w:tc>
          <w:tcPr>
            <w:tcW w:w="1371" w:type="pct"/>
            <w:vAlign w:val="center"/>
            <w:vMerge/>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100万元</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M</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500万元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0.60%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FB6B806" w14:textId="77777777" w:rsidR="005D6F21" w:rsidRDefault="00043615">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5D6F21" w14:paraId="5FBE9F6F" w14:textId="77777777" w:rsidTr="0074096A">
        <w:trPr>
          <w:trHeight w:val="454"/>
        </w:trPr>
        <w:tc>
          <w:tcPr>
            <w:tcW w:w="1371" w:type="pct"/>
            <w:vAlign w:val="center"/>
            <w:vMerge/>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M</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500万元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Ansi="宋体" w:hint="eastAsia"/>
                <w:color w:val="000000" w:themeColor="text1"/>
                <w:kern w:val="0"/>
              </w:rPr>
              <w:t xml:space="preserve">1000元/笔</w:t>
            </w:r>
          </w:p>
        </w:tc>
        <w:tc>
          <w:tcPr>
            <w:tcW w:w="503" w:type="pct"/>
            <w:vAlign w:val="center"/>
          </w:tcPr>
          <w:p w14:paraId="3FB6B806" w14:textId="77777777" w:rsidR="005D6F21" w:rsidRDefault="00043615">
            <w:pPr>
              <w:spacing w:line="32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5D6F21" w14:paraId="67C990D2" w14:textId="77777777" w:rsidTr="0074096A">
        <w:trPr>
          <w:trHeight w:val="454"/>
        </w:trPr>
        <w:tc>
          <w:tcPr>
            <w:tcW w:w="1371" w:type="pct"/>
            <w:vAlign w:val="center"/>
            <w:vMerge w:val="restart"/>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int="eastAsia"/>
                <w:color w:val="333399"/>
              </w:rPr>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N</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7天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1.50%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67C990D2" w14:textId="77777777" w:rsidTr="0074096A">
        <w:trPr>
          <w:trHeight w:val="454"/>
        </w:trPr>
        <w:tc>
          <w:tcPr>
            <w:tcW w:w="1371" w:type="pct"/>
            <w:vAlign w:val="center"/>
            <w:vMerge/>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N</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730天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至少25%计入资产</w:t>
            </w:r>
          </w:p>
        </w:tc>
      </w:tr>
      <w:tr w:rsidR="005D6F21" w14:paraId="67C990D2" w14:textId="77777777" w:rsidTr="0074096A">
        <w:trPr>
          <w:trHeight w:val="454"/>
        </w:trPr>
        <w:tc>
          <w:tcPr>
            <w:tcW w:w="1371" w:type="pct"/>
            <w:vAlign w:val="center"/>
            <w:vMerge/>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730天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N</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&lt;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1095天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0.25%</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至少25%计入资产</w:t>
            </w:r>
          </w:p>
        </w:tc>
      </w:tr>
      <w:tr w:rsidR="005D6F21" w14:paraId="67C990D2" w14:textId="77777777" w:rsidTr="0074096A">
        <w:trPr>
          <w:trHeight w:val="454"/>
        </w:trPr>
        <w:tc>
          <w:tcPr>
            <w:tcW w:w="1371" w:type="pct"/>
            <w:vAlign w:val="center"/>
            <w:vMerge/>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N</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1095天</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 xml:space="preserve"/>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w:t>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r>
              <w:rPr>
                <w:rFonts w:ascii="方正仿宋简体" w:eastAsia="方正仿宋简体" w:hAnsi="宋体" w:hint="eastAsia"/>
                <w:color w:val="000000" w:themeColor="text1"/>
                <w:kern w:val="0"/>
              </w:rPr>
              <w:t xml:space="preserve"> </w:t>
            </w:r>
            <w:r>
              <w:rPr>
                <w:rFonts w:ascii="方正仿宋简体" w:eastAsia="方正仿宋简体" w:hint="eastAsia"/>
                <w:color w:val="000000" w:themeColor="text1"/>
              </w:rPr>
              <w:t xml:space="preserve"/>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 xml:space="preserve"/>
            </w: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w:t>
      </w:r>
      <w:r>
        <w:rPr>
          <w:rFonts w:ascii="方正仿宋简体" w:eastAsia="方正仿宋简体" w:hAnsi="方正仿宋简体" w:cs="方正仿宋简体" w:hint="eastAsia"/>
          <w:iCs/>
        </w:rPr>
        <w:t>对于通过基金管理人直销渠道申购的养老金客户，享受申购费率1折优惠。对于通过基金管理人直销渠道赎回的养老金客户，将不计入基金资产部分的赎回费免除。</w:t>
      </w:r>
    </w:p>
    <w:p w14:paraId="6C5A3561" w14:textId="77777777" w:rsidR="005D6F21" w:rsidRDefault="005D6F21">
      <w:pPr>
        <w:spacing w:line="320" w:lineRule="exact"/>
        <w:rPr>
          <w:rFonts w:ascii="方正仿宋简体" w:eastAsia="方正仿宋简体" w:hAnsiTheme="minorEastAsia" w:cs="方正仿宋简体"/>
          <w:b/>
          <w:iCs/>
          <w:sz w:val="24"/>
          <w:szCs w:val="24"/>
        </w:rPr>
      </w:pPr>
    </w:p>
    <w:p w14:paraId="5BBEACC5" w14:textId="77777777" w:rsidR="005D6F21" w:rsidRDefault="00043615" gbicc:emptyAbove="1">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w:t>
            </w:r>
            <w:r>
              <w:rPr>
                <w:rFonts w:ascii="方正仿宋简体" w:eastAsia="方正仿宋简体" w:hAnsi="方正仿宋简体" w:cs="方正仿宋简体" w:hint="eastAsia"/>
                <w:b/>
                <w:bCs/>
                <w:iCs/>
              </w:rPr>
              <w:t>/</w:t>
            </w:r>
            <w:r>
              <w:rPr>
                <w:rFonts w:ascii="方正仿宋简体" w:eastAsia="方正仿宋简体" w:hAnsi="方正仿宋简体" w:cs="方正仿宋简体" w:hint="eastAsia"/>
                <w:b/>
                <w:bCs/>
                <w:iCs/>
              </w:rPr>
              <w:t>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w:t>
            </w:r>
            <w:r>
              <w:rPr>
                <w:rFonts w:ascii="方正仿宋简体" w:eastAsia="方正仿宋简体" w:hAnsi="方正仿宋简体" w:cs="方正仿宋简体" w:hint="eastAsia"/>
                <w:bCs/>
                <w:iCs/>
              </w:rPr>
              <w:t xml:space="preserve"> </w:t>
            </w:r>
            <w:r>
              <w:rPr>
                <w:rFonts w:ascii="方正仿宋简体" w:eastAsia="方正仿宋简体" w:hAnsi="方正仿宋简体" w:cs="方正仿宋简体" w:hint="eastAsia"/>
                <w:bCs/>
                <w:iCs/>
              </w:rPr>
              <w:t>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w:t>
            </w:r>
            <w:r>
              <w:rPr>
                <w:rFonts w:ascii="方正仿宋简体" w:eastAsia="方正仿宋简体" w:hAnsiTheme="minorEastAsia" w:cs="方正仿宋简体" w:hint="eastAsia"/>
                <w:bCs/>
                <w:iCs/>
              </w:rPr>
              <w:t xml:space="preserve"> </w:t>
            </w:r>
            <w:r>
              <w:rPr>
                <w:rFonts w:ascii="方正仿宋简体" w:eastAsia="方正仿宋简体" w:hAnsiTheme="minorEastAsia" w:cs="方正仿宋简体" w:hint="eastAsia"/>
                <w:bCs/>
                <w:iCs/>
              </w:rPr>
              <w:t>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基金财产拨划支付的银行费用； 基金合同生效后的基金信息披露费用； 基金份额持有人大会费用； 基金合同生效后与基金有关的会计师费和律师费； 基金的证券交易费用等。</w:t>
            </w:r>
            <w:r>
              <w:rPr>
                <w:rFonts w:ascii="方正仿宋简体" w:eastAsia="方正仿宋简体" w:hint="eastAsia"/>
              </w:rPr>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w:t>
      </w:r>
      <w:r>
        <w:rPr>
          <w:rFonts w:ascii="方正仿宋简体" w:eastAsia="方正仿宋简体" w:hAnsi="方正仿宋简体" w:cs="方正仿宋简体" w:hint="eastAsia"/>
          <w:bCs/>
          <w:iCs/>
        </w:rPr>
        <w:t xml:space="preserve"> </w:t>
      </w:r>
      <w:r>
        <w:rPr>
          <w:rFonts w:ascii="方正仿宋简体" w:eastAsia="方正仿宋简体" w:hAnsi="方正仿宋简体" w:cs="方正仿宋简体" w:hint="eastAsia"/>
          <w:bCs/>
          <w:iCs/>
        </w:rPr>
        <w:t>本基金交易证券、基金等产生的费用和税负，按实际发生额从基金资产扣除。</w:t>
      </w:r>
    </w:p>
    <w:p w14:paraId="2DA2B0F2" w14:textId="77777777" w:rsidR="005D6F21" w:rsidRDefault="005D6F21">
      <w:pPr>
        <w:autoSpaceDE w:val="0"/>
        <w:autoSpaceDN w:val="0"/>
        <w:adjustRightInd w:val="0"/>
        <w:spacing w:line="280" w:lineRule="exact"/>
        <w:jc w:val="left"/>
        <w:rPr>
          <w:rFonts w:ascii="方正仿宋简体" w:eastAsia="方正仿宋简体" w:hAnsiTheme="minorEastAsia" w:cs="仿宋_GB2312"/>
          <w:kern w:val="0"/>
          <w:szCs w:val="24"/>
        </w:rPr>
      </w:pPr>
    </w:p>
    <w:p w14:paraId="556B0A15" w14:textId="77777777" w:rsidR="005D6F21" w:rsidRDefault="00043615" gbicc:emptyAbove="1">
      <w:pPr gbicc:listString="四、" gbicc:numText="%1、" gbicc:numFmt="C" gbicc:numVal="4"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gbicc:listString="（一）" gbicc:numText="（%1）" gbicc:numFmt="J" gbicc:numVal="1" gbicc:numId="26">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PH-->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PH-->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1、本基金特有风险揭示</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行业轮动策略是本基金股票投资的核心策略，其在战略层面上，是围绕对经济周期景气的预判来实施大类资产的配置；其在战术的层面，是形成以行业轮动为核心的投资组合构建策略。在个股投资的层面，本基金将贯彻以大类资产配置和行业轮动策略为核心指导原则下的个股精选策略。然而上述策略建立在一定理论假设基础之上，判断结果可能与宏观经济的实际走向、上市公司的实际发展情况、股票市场或个股的实际表现存在偏差。此外，本基金在类别资产配置中也会由于市场环境、公司治理、制度建设等因素的不同影响，导致资产配置偏离优化水平，为组合绩效带来风险。本基金管理人将发挥专业优势，加强跟踪研究，持续优化组合配置，以控制特定风险。</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基金普通风险：市场风险（政策风险、经济周期风险、收益波动风险、利率风险、通货膨胀风险、再投资风险等）、管理风险（决策风险、操作风险、技术风险、估值风险等）、信用风险、流动性风险、合规风险和其他风险。</w:t>
      </w:r>
    </w:p>
    <!--PH-->
    <!--PH-->
    <!--PH-->
    <!--PH-->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PH-->
    <!--PH-->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中国证监会对本基金募集的核准，并不表明其对本基金的价值和收益作出实质性判断或保证，也不表明投资于本基金没有风险。</w:t>
      </w:r>
    </w:p>
    <!--PH-->
    <!--PH-->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PH-->
    <!--PH-->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PH-->
    <!--PH-->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PH-->
    <w:p w14:paraId="0E2C9E45" w14:textId="77777777" w:rsidR="005D6F21" w:rsidRDefault="005D6F21">
      <w:pPr>
        <w:autoSpaceDE w:val="0"/>
        <w:autoSpaceDN w:val="0"/>
        <w:adjustRightInd w:val="0"/>
        <w:spacing w:line="280" w:lineRule="exact"/>
        <w:jc w:val="left"/>
        <w:rPr>
          <w:rFonts w:ascii="方正仿宋简体" w:eastAsia="方正仿宋简体"/>
        </w:rPr>
      </w:pPr>
    </w:p>
    <w:p w14:paraId="60C06886" w14:textId="77777777" w:rsidR="005D6F21" w:rsidRDefault="00043615" gbicc:emptyAbove="1">
      <w:pPr gbicc:listString="五、" gbicc:numText="%1、" gbicc:numFmt="C" gbicc:numVal="5"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以下资料详见基金管理人网站[网址：www.bosera.com][客服电话：95105568]</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774A46B5" w14:textId="77777777" w:rsidR="005D6F21" w:rsidRDefault="005D6F21">
      <w:pPr>
        <w:autoSpaceDE w:val="0"/>
        <w:autoSpaceDN w:val="0"/>
        <w:adjustRightInd w:val="0"/>
        <w:spacing w:line="280" w:lineRule="exact"/>
        <w:jc w:val="left"/>
        <w:rPr>
          <w:rFonts w:ascii="方正仿宋简体" w:eastAsia="方正仿宋简体"/>
        </w:rPr>
      </w:pPr>
    </w:p>
    <w:p w14:paraId="7787809E" w14:textId="77777777" w:rsidR="005D6F21" w:rsidRDefault="00043615" gbicc:emptyAbove="1">
      <w:pPr gbicc:listString="六、" gbicc:numText="%1、" gbicc:numFmt="C" gbicc:numVal="6"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PH-->
    <!--PH-->
    <!--PH-->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争议解决方式：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w:r>
    </w:p>
    <w:p w14:paraId="48E922A5" w14:textId="77777777" w:rsidR="005D6F21" w:rsidRDefault="00043615">
      <w:pPr>
        <w:autoSpaceDE w:val="0"/>
        <w:autoSpaceDN w:val="0"/>
        <w:adjustRightInd w:val="0"/>
        <w:spacing w:line="280" w:lineRule="exact"/>
        <w:jc w:val="left"/>
      </w:pPr>
    </w:p>
    <w:sectPr w:rsidR="005D6F21" w:rsidSect="00461A7D">
      <w:footerReference w:type="default" r:id="rId2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C142B" w14:textId="77777777" w:rsidR="00043615" w:rsidRDefault="00043615" w:rsidP="0092395F">
      <w:r>
        <w:separator/>
      </w:r>
    </w:p>
  </w:endnote>
  <w:endnote w:type="continuationSeparator" w:id="0">
    <w:p w14:paraId="339F8944" w14:textId="77777777" w:rsidR="00043615" w:rsidRDefault="00043615"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77777777" w:rsidR="00461A7D" w:rsidRDefault="00461A7D"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60274">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0274">
              <w:rPr>
                <w:b/>
                <w:bCs/>
                <w:noProof/>
              </w:rPr>
              <w:t>17</w:t>
            </w:r>
            <w:r>
              <w:rPr>
                <w:b/>
                <w:bCs/>
                <w:sz w:val="24"/>
                <w:szCs w:val="24"/>
              </w:rPr>
              <w:fldChar w:fldCharType="end"/>
            </w:r>
          </w:p>
        </w:sdtContent>
      </w:sdt>
    </w:sdtContent>
  </w:sdt>
  <w:p w14:paraId="30F8E9BC" w14:textId="77777777" w:rsidR="00461A7D" w:rsidRDefault="00461A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602B" w14:textId="77777777" w:rsidR="00043615" w:rsidRDefault="00043615" w:rsidP="0092395F">
      <w:r>
        <w:separator/>
      </w:r>
    </w:p>
  </w:footnote>
  <w:footnote w:type="continuationSeparator" w:id="0">
    <w:p w14:paraId="4987E772" w14:textId="77777777" w:rsidR="00043615" w:rsidRDefault="00043615"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CN_50050000_050018_FA010080_20200002_1jpg" Target="media/CN_50050000_050018_FA010080_20200002_1.jpg" Type="http://schemas.openxmlformats.org/officeDocument/2006/relationships/image"/>
<Relationship Id="rIDCN_50050000_050018_FA010080_20200002_3jpg" Target="media/CN_50050000_050018_FA010080_20200002_3.jpg" Type="http://schemas.openxmlformats.org/officeDocument/2006/relationships/image"/>
<Relationship Id="rId10" Target="endnotes.xml" Type="http://schemas.openxmlformats.org/officeDocument/2006/relationships/endnotes"/>
<Relationship Id="rId11" Target="media/image1.png" Type="http://schemas.openxmlformats.org/officeDocument/2006/relationships/image"/>
<Relationship Id="rId12" Target="charts/chart1.xml" Type="http://schemas.openxmlformats.org/officeDocument/2006/relationships/chart"/>
<Relationship Id="rId13" Target="charts/chart2.xml" Type="http://schemas.openxmlformats.org/officeDocument/2006/relationships/chart"/>
<Relationship Id="rId14" Target="charts/chart3.xml" Type="http://schemas.openxmlformats.org/officeDocument/2006/relationships/chart"/>
<Relationship Id="rId15" Target="charts/chart4.xml" Type="http://schemas.openxmlformats.org/officeDocument/2006/relationships/chart"/>
<Relationship Id="rId16" Target="charts/chart5.xml" Type="http://schemas.openxmlformats.org/officeDocument/2006/relationships/chart"/>
<Relationship Id="rId17" Target="charts/chart6.xml" Type="http://schemas.openxmlformats.org/officeDocument/2006/relationships/chart"/>
<Relationship Id="rId18" Target="charts/chart7.xml" Type="http://schemas.openxmlformats.org/officeDocument/2006/relationships/chart"/>
<Relationship Id="rId19" Target="charts/chart8.xml" Type="http://schemas.openxmlformats.org/officeDocument/2006/relationships/chart"/>
<Relationship Id="rId20" Target="charts/chart9.xml" Type="http://schemas.openxmlformats.org/officeDocument/2006/relationships/chart"/>
<Relationship Id="rId21" Target="charts/chart10.xml" Type="http://schemas.openxmlformats.org/officeDocument/2006/relationships/chart"/>
<Relationship Id="rId22" Target="charts/chart11.xml" Type="http://schemas.openxmlformats.org/officeDocument/2006/relationships/chart"/>
<Relationship Id="rId23" Target="charts/chart12.xml" Type="http://schemas.openxmlformats.org/officeDocument/2006/relationships/chart"/>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16596"/>
    <w:rsid w:val="006340F8"/>
    <w:rsid w:val="00637E49"/>
    <w:rsid w:val="00656E21"/>
    <w:rsid w:val="00660FB7"/>
    <w:rsid w:val="00662A61"/>
    <w:rsid w:val="00666964"/>
    <w:rsid w:val="00672BB9"/>
    <w:rsid w:val="00680145"/>
    <w:rsid w:val="0069290D"/>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D2E10033-F1DA-45A7-B4A9-F553C03E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635</Words>
  <Characters>3620</Characters>
  <Application>Microsoft Office Word</Application>
  <DocSecurity>0</DocSecurity>
  <Lines>30</Lines>
  <Paragraphs>8</Paragraphs>
  <ScaleCrop>false</ScaleCrop>
  <Company>shenduxitong</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2020-09-04T09:43:00Z</dcterms:created>
  <dc:creator>Donghm</dc:creator>
  <cp:lastModifiedBy>Administrator</cp:lastModifiedBy>
  <dcterms:modified xsi:type="dcterms:W3CDTF">2020-09-04T09:43:00Z</dcterms:modified>
  <cp:revision>3</cp:revision>
</cp:coreProperties>
</file>