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2DD23" w14:textId="77777777" w:rsidR="00574193" w:rsidRDefault="00392803">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博时特许价值混合型证券投资基金（博时特许价值混合A）基金产品资料概要更新</w:t>
      </w:r>
    </w:p>
    <w:p w14:paraId="686A728F" w14:textId="77777777" w:rsidR="00574193" w:rsidRDefault="00392803">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编制日期：2020年10月14日</w:t>
      </w:r>
    </w:p>
    <w:p w14:paraId="56B9D8E6" w14:textId="77777777" w:rsidR="00574193" w:rsidRDefault="00392803">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送出日期：2020年10月19日</w:t>
      </w:r>
    </w:p>
    <w:p w14:paraId="32C2E08C" w14:textId="77777777" w:rsidR="00574193" w:rsidRDefault="00392803">
      <w:pPr>
        <w:autoSpaceDE w:val="0"/>
        <w:autoSpaceDN w:val="0"/>
        <w:adjustRightInd w:val="0"/>
        <w:spacing w:line="440" w:lineRule="exact"/>
        <w:jc w:val="center"/>
        <w:rPr>
          <w:rFonts w:ascii="方正黑体简体" w:eastAsia="方正黑体简体" w:cs="黑体"/>
          <w:kern w:val="0"/>
          <w:sz w:val="28"/>
          <w:szCs w:val="28"/>
        </w:rPr>
      </w:pPr>
      <w:r>
        <w:rPr>
          <w:rFonts w:ascii="方正黑体简体" w:eastAsia="方正黑体简体" w:cs="黑体" w:hint="eastAsia"/>
          <w:kern w:val="0"/>
          <w:sz w:val="28"/>
          <w:szCs w:val="28"/>
        </w:rPr>
        <w:t>本概要提供本基金的重要信息，是招募说明书的一部分。</w:t>
      </w:r>
    </w:p>
    <w:p w14:paraId="792D3166" w14:textId="77777777" w:rsidR="00574193" w:rsidRDefault="00392803">
      <w:pPr>
        <w:autoSpaceDE w:val="0"/>
        <w:autoSpaceDN w:val="0"/>
        <w:adjustRightInd w:val="0"/>
        <w:spacing w:line="440" w:lineRule="exact"/>
        <w:jc w:val="center"/>
        <w:rPr>
          <w:rFonts w:ascii="方正黑体简体" w:eastAsia="方正黑体简体" w:cs="黑体"/>
          <w:kern w:val="0"/>
          <w:sz w:val="28"/>
          <w:szCs w:val="28"/>
        </w:rPr>
      </w:pPr>
      <w:r>
        <w:rPr>
          <w:rFonts w:ascii="方正黑体简体" w:eastAsia="方正黑体简体" w:cs="黑体" w:hint="eastAsia"/>
          <w:kern w:val="0"/>
          <w:sz w:val="28"/>
          <w:szCs w:val="28"/>
        </w:rPr>
        <w:t>作出投资决定前，请阅读完整的招募说明书等销售文件。</w:t>
      </w:r>
    </w:p>
    <w:p w14:paraId="55CD0E63" w14:textId="77777777" w:rsidR="00574193" w:rsidRDefault="00392803">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574193" w14:paraId="26BE45AB" w14:textId="77777777" w:rsidTr="00584DC5">
        <w:trPr>
          <w:trHeight w:val="454"/>
        </w:trPr>
        <w:tc>
          <w:tcPr>
            <w:tcW w:w="1145" w:type="pct"/>
            <w:vMerge w:val="restart"/>
            <w:vAlign w:val="center"/>
          </w:tcPr>
          <w:p w14:paraId="36ADE161"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47AC11EA"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博时特许价值混合</w:t>
            </w:r>
          </w:p>
        </w:tc>
        <w:tc>
          <w:tcPr>
            <w:tcW w:w="999" w:type="pct"/>
            <w:vMerge w:val="restart"/>
            <w:vAlign w:val="center"/>
          </w:tcPr>
          <w:p w14:paraId="2F382962"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898533F"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050010</w:t>
            </w:r>
          </w:p>
        </w:tc>
      </w:tr>
      <w:tr w:rsidR="00574193" w14:paraId="5C99A7E5" w14:textId="77777777" w:rsidTr="00584DC5">
        <w:trPr>
          <w:trHeight w:val="150"/>
        </w:trPr>
        <w:tc>
          <w:tcPr>
            <w:tcW w:w="1145" w:type="pct"/>
            <w:vMerge w:val="restart"/>
            <w:vAlign w:val="center"/>
          </w:tcPr>
          <w:p w14:paraId="4F1D907A"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下属基金简称</w:t>
            </w:r>
          </w:p>
        </w:tc>
        <w:tc>
          <w:tcPr>
            <w:tcW w:w="1413" w:type="pct"/>
            <w:vMerge w:val="restart"/>
            <w:tcBorders>
              <w:top w:val="dashSmallGap" w:sz="4" w:space="0" w:color="A6A6A6" w:themeColor="background1" w:themeShade="A6"/>
            </w:tcBorders>
            <w:vAlign w:val="center"/>
          </w:tcPr>
          <w:p w14:paraId="3C3C7B87"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博时特许价值混合A</w:t>
            </w:r>
          </w:p>
        </w:tc>
        <w:tc>
          <w:tcPr>
            <w:tcW w:w="999" w:type="pct"/>
            <w:vMerge w:val="restart"/>
            <w:vAlign w:val="center"/>
          </w:tcPr>
          <w:p w14:paraId="775BB066"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下属基金代码</w:t>
            </w:r>
          </w:p>
        </w:tc>
        <w:tc>
          <w:tcPr>
            <w:tcW w:w="1443" w:type="pct"/>
            <w:tcBorders>
              <w:top w:val="dashSmallGap" w:sz="4" w:space="0" w:color="A6A6A6" w:themeColor="background1" w:themeShade="A6"/>
              <w:bottom w:val="nil"/>
            </w:tcBorders>
            <w:vAlign w:val="center"/>
          </w:tcPr>
          <w:p w14:paraId="138B2867"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050010</w:t>
            </w:r>
          </w:p>
        </w:tc>
      </w:tr>
      <w:tr w:rsidR="00574193" w14:paraId="6DCAE2C0" w14:textId="77777777" w:rsidTr="00584DC5">
        <w:trPr>
          <w:trHeight w:val="150"/>
        </w:trPr>
        <w:tc>
          <w:tcPr>
            <w:tcW w:w="1145" w:type="pct"/>
            <w:vMerge/>
            <w:vAlign w:val="center"/>
          </w:tcPr>
          <w:p w14:paraId="0DCAEA0A" w14:textId="77777777" w:rsidR="00574193" w:rsidRDefault="00574193">
            <w:pPr>
              <w:spacing w:line="320" w:lineRule="exact"/>
              <w:rPr>
                <w:rFonts w:ascii="方正仿宋简体" w:eastAsia="方正仿宋简体" w:hAnsiTheme="minorEastAsia" w:cs="方正仿宋简体"/>
                <w:b/>
                <w:iCs/>
              </w:rPr>
            </w:pPr>
          </w:p>
        </w:tc>
        <w:tc>
          <w:tcPr>
            <w:tcW w:w="1413" w:type="pct"/>
            <w:vMerge/>
            <w:vAlign w:val="center"/>
          </w:tcPr>
          <w:p w14:paraId="3C81400C" w14:textId="77777777" w:rsidR="00574193" w:rsidRDefault="00574193">
            <w:pPr>
              <w:spacing w:line="320" w:lineRule="exact"/>
              <w:ind w:left="105"/>
              <w:rPr>
                <w:rFonts w:ascii="方正仿宋简体" w:eastAsia="方正仿宋简体" w:hAnsiTheme="minorEastAsia" w:cs="方正仿宋简体"/>
                <w:iCs/>
              </w:rPr>
            </w:pPr>
          </w:p>
        </w:tc>
        <w:tc>
          <w:tcPr>
            <w:tcW w:w="999" w:type="pct"/>
            <w:vMerge/>
            <w:vAlign w:val="center"/>
          </w:tcPr>
          <w:p w14:paraId="4582F1F6" w14:textId="77777777" w:rsidR="00574193" w:rsidRDefault="00574193">
            <w:pPr>
              <w:spacing w:line="320" w:lineRule="exact"/>
              <w:rPr>
                <w:rFonts w:ascii="方正仿宋简体" w:eastAsia="方正仿宋简体" w:hAnsiTheme="minorEastAsia" w:cs="方正仿宋简体"/>
                <w:b/>
                <w:iCs/>
              </w:rPr>
            </w:pPr>
          </w:p>
        </w:tc>
        <w:tc>
          <w:tcPr>
            <w:tcW w:w="1443" w:type="pct"/>
            <w:tcBorders>
              <w:top w:val="dashSmallGap" w:sz="4" w:space="0" w:color="A6A6A6" w:themeColor="background1" w:themeShade="A6"/>
              <w:bottom w:val="nil"/>
            </w:tcBorders>
            <w:vAlign w:val="center"/>
          </w:tcPr>
          <w:p w14:paraId="4B894FE5"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050010（前端）</w:t>
            </w:r>
          </w:p>
        </w:tc>
      </w:tr>
      <w:tr w:rsidR="00574193" w14:paraId="432029B8" w14:textId="77777777" w:rsidTr="00584DC5">
        <w:trPr>
          <w:trHeight w:val="150"/>
        </w:trPr>
        <w:tc>
          <w:tcPr>
            <w:tcW w:w="1145" w:type="pct"/>
            <w:vMerge/>
            <w:vAlign w:val="center"/>
          </w:tcPr>
          <w:p w14:paraId="1B69C26F" w14:textId="77777777" w:rsidR="00574193" w:rsidRDefault="00574193">
            <w:pPr>
              <w:spacing w:line="320" w:lineRule="exact"/>
              <w:rPr>
                <w:rFonts w:ascii="方正仿宋简体" w:eastAsia="方正仿宋简体" w:hAnsiTheme="minorEastAsia" w:cs="方正仿宋简体"/>
                <w:b/>
                <w:iCs/>
              </w:rPr>
            </w:pPr>
          </w:p>
        </w:tc>
        <w:tc>
          <w:tcPr>
            <w:tcW w:w="1413" w:type="pct"/>
            <w:vMerge/>
            <w:tcBorders>
              <w:bottom w:val="nil"/>
            </w:tcBorders>
            <w:vAlign w:val="center"/>
          </w:tcPr>
          <w:p w14:paraId="4354D858" w14:textId="77777777" w:rsidR="00574193" w:rsidRDefault="00574193">
            <w:pPr>
              <w:spacing w:line="320" w:lineRule="exact"/>
              <w:ind w:left="105"/>
              <w:rPr>
                <w:rFonts w:ascii="方正仿宋简体" w:eastAsia="方正仿宋简体" w:hAnsiTheme="minorEastAsia" w:cs="方正仿宋简体"/>
                <w:iCs/>
              </w:rPr>
            </w:pPr>
          </w:p>
        </w:tc>
        <w:tc>
          <w:tcPr>
            <w:tcW w:w="999" w:type="pct"/>
            <w:vMerge/>
            <w:vAlign w:val="center"/>
          </w:tcPr>
          <w:p w14:paraId="28FC6E67" w14:textId="77777777" w:rsidR="00574193" w:rsidRDefault="00574193">
            <w:pPr>
              <w:spacing w:line="320" w:lineRule="exact"/>
              <w:rPr>
                <w:rFonts w:ascii="方正仿宋简体" w:eastAsia="方正仿宋简体" w:hAnsiTheme="minorEastAsia" w:cs="方正仿宋简体"/>
                <w:b/>
                <w:iCs/>
              </w:rPr>
            </w:pPr>
          </w:p>
        </w:tc>
        <w:tc>
          <w:tcPr>
            <w:tcW w:w="1443" w:type="pct"/>
            <w:tcBorders>
              <w:top w:val="dashSmallGap" w:sz="4" w:space="0" w:color="A6A6A6" w:themeColor="background1" w:themeShade="A6"/>
              <w:bottom w:val="nil"/>
            </w:tcBorders>
            <w:vAlign w:val="center"/>
          </w:tcPr>
          <w:p w14:paraId="7724355D"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051010（后端）</w:t>
            </w:r>
          </w:p>
        </w:tc>
      </w:tr>
      <w:tr w:rsidR="00574193" w14:paraId="73993091" w14:textId="77777777" w:rsidTr="005F360D">
        <w:trPr>
          <w:trHeight w:val="454"/>
        </w:trPr>
        <w:tc>
          <w:tcPr>
            <w:tcW w:w="1145" w:type="pct"/>
            <w:vAlign w:val="center"/>
          </w:tcPr>
          <w:p w14:paraId="08185FAB"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2A1AE0F0"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64342B68"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407214EA"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中国建设银行股份有限公司 </w:t>
            </w:r>
          </w:p>
        </w:tc>
      </w:tr>
      <w:tr w:rsidR="00574193" w14:paraId="60BFCA2A" w14:textId="77777777" w:rsidTr="005F360D">
        <w:trPr>
          <w:trHeight w:val="454"/>
        </w:trPr>
        <w:tc>
          <w:tcPr>
            <w:tcW w:w="1145" w:type="pct"/>
            <w:vMerge w:val="restart"/>
            <w:vAlign w:val="center"/>
          </w:tcPr>
          <w:p w14:paraId="1CC6B867"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0E9D187E"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2008-05-28</w:t>
            </w:r>
          </w:p>
        </w:tc>
        <w:tc>
          <w:tcPr>
            <w:tcW w:w="999" w:type="pct"/>
            <w:vMerge w:val="restart"/>
            <w:vAlign w:val="center"/>
          </w:tcPr>
          <w:p w14:paraId="3BC161C8" w14:textId="77777777" w:rsidR="00574193" w:rsidRDefault="00574193">
            <w:pPr>
              <w:spacing w:line="320" w:lineRule="exact"/>
              <w:rPr>
                <w:rFonts w:ascii="方正仿宋简体" w:eastAsia="方正仿宋简体" w:hAnsiTheme="minorEastAsia" w:cs="方正仿宋简体"/>
                <w:b/>
                <w:iCs/>
              </w:rPr>
            </w:pPr>
          </w:p>
        </w:tc>
        <w:tc>
          <w:tcPr>
            <w:tcW w:w="1443" w:type="pct"/>
            <w:tcBorders>
              <w:top w:val="dashSmallGap" w:sz="4" w:space="0" w:color="A6A6A6" w:themeColor="background1" w:themeShade="A6"/>
              <w:bottom w:val="nil"/>
            </w:tcBorders>
            <w:vAlign w:val="center"/>
          </w:tcPr>
          <w:p w14:paraId="04D0FE7E"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 </w:t>
            </w:r>
          </w:p>
        </w:tc>
      </w:tr>
      <w:tr w:rsidR="00574193" w14:paraId="60A4D988" w14:textId="77777777" w:rsidTr="005F360D">
        <w:trPr>
          <w:trHeight w:val="454"/>
        </w:trPr>
        <w:tc>
          <w:tcPr>
            <w:tcW w:w="1145" w:type="pct"/>
            <w:vAlign w:val="center"/>
          </w:tcPr>
          <w:p w14:paraId="420DCE84"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26B87180"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0CE70349"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1575BB73"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人民币</w:t>
            </w:r>
          </w:p>
        </w:tc>
      </w:tr>
      <w:tr w:rsidR="00574193" w14:paraId="2938FC14" w14:textId="77777777" w:rsidTr="005F360D">
        <w:trPr>
          <w:trHeight w:val="454"/>
        </w:trPr>
        <w:tc>
          <w:tcPr>
            <w:tcW w:w="1145" w:type="pct"/>
            <w:vAlign w:val="center"/>
          </w:tcPr>
          <w:p w14:paraId="2F3A1D6F"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6387FBCC"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14:paraId="72D39E18"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3B64E885"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每个开放日开放申购、赎回</w:t>
            </w:r>
          </w:p>
        </w:tc>
      </w:tr>
      <w:tr w:rsidR="00574193" w14:paraId="472F3F2F" w14:textId="77777777" w:rsidTr="005F360D">
        <w:trPr>
          <w:trHeight w:val="454"/>
        </w:trPr>
        <w:tc>
          <w:tcPr>
            <w:tcW w:w="1145" w:type="pct"/>
            <w:vMerge w:val="restart"/>
            <w:vAlign w:val="center"/>
          </w:tcPr>
          <w:p w14:paraId="0A2B42DE"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38B0E995"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曾鹏</w:t>
            </w:r>
          </w:p>
        </w:tc>
        <w:tc>
          <w:tcPr>
            <w:tcW w:w="999" w:type="pct"/>
            <w:vAlign w:val="center"/>
          </w:tcPr>
          <w:p w14:paraId="75FDD609"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26092077"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2018-06-21</w:t>
            </w:r>
          </w:p>
        </w:tc>
      </w:tr>
      <w:tr w:rsidR="00574193" w14:paraId="4C0C6265" w14:textId="77777777" w:rsidTr="005F360D">
        <w:trPr>
          <w:trHeight w:val="454"/>
        </w:trPr>
        <w:tc>
          <w:tcPr>
            <w:tcW w:w="1145" w:type="pct"/>
            <w:vMerge/>
            <w:vAlign w:val="center"/>
          </w:tcPr>
          <w:p w14:paraId="7A97D2A0" w14:textId="77777777" w:rsidR="00574193" w:rsidRDefault="00574193">
            <w:pPr>
              <w:spacing w:line="320" w:lineRule="exact"/>
              <w:rPr>
                <w:rFonts w:ascii="方正仿宋简体" w:eastAsia="方正仿宋简体" w:hAnsiTheme="minorEastAsia" w:cs="方正仿宋简体"/>
                <w:b/>
                <w:iCs/>
              </w:rPr>
            </w:pPr>
          </w:p>
        </w:tc>
        <w:tc>
          <w:tcPr>
            <w:tcW w:w="1413" w:type="pct"/>
            <w:vMerge/>
            <w:vAlign w:val="center"/>
          </w:tcPr>
          <w:p w14:paraId="2D783B30" w14:textId="77777777" w:rsidR="00574193" w:rsidRDefault="00574193">
            <w:pPr>
              <w:spacing w:line="320" w:lineRule="exact"/>
              <w:rPr>
                <w:rFonts w:ascii="方正仿宋简体" w:eastAsia="方正仿宋简体" w:hAnsiTheme="minorEastAsia" w:cs="方正仿宋简体"/>
                <w:b/>
                <w:iCs/>
              </w:rPr>
            </w:pPr>
          </w:p>
        </w:tc>
        <w:tc>
          <w:tcPr>
            <w:tcW w:w="999" w:type="pct"/>
            <w:vAlign w:val="center"/>
          </w:tcPr>
          <w:p w14:paraId="78836C09"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64D4A009"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2005-03-01</w:t>
            </w:r>
          </w:p>
        </w:tc>
      </w:tr>
      <w:tr w:rsidR="00574193" w14:paraId="1403EDF1" w14:textId="77777777" w:rsidTr="005F360D">
        <w:trPr>
          <w:trHeight w:val="454"/>
        </w:trPr>
        <w:tc>
          <w:tcPr>
            <w:tcW w:w="1145" w:type="pct"/>
            <w:vMerge/>
            <w:vAlign w:val="center"/>
          </w:tcPr>
          <w:p w14:paraId="0D214799"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50C482FC"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肖瑞瑾</w:t>
            </w:r>
          </w:p>
        </w:tc>
        <w:tc>
          <w:tcPr>
            <w:tcW w:w="999" w:type="pct"/>
            <w:vAlign w:val="center"/>
          </w:tcPr>
          <w:p w14:paraId="1DE1E58D"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7E300A31"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2018-06-21</w:t>
            </w:r>
          </w:p>
        </w:tc>
      </w:tr>
      <w:tr w:rsidR="00574193" w14:paraId="5FCF9283" w14:textId="77777777" w:rsidTr="005F360D">
        <w:trPr>
          <w:trHeight w:val="454"/>
        </w:trPr>
        <w:tc>
          <w:tcPr>
            <w:tcW w:w="1145" w:type="pct"/>
            <w:vMerge/>
            <w:vAlign w:val="center"/>
          </w:tcPr>
          <w:p w14:paraId="75CBFF01" w14:textId="77777777" w:rsidR="00574193" w:rsidRDefault="00574193">
            <w:pPr>
              <w:spacing w:line="320" w:lineRule="exact"/>
              <w:rPr>
                <w:rFonts w:ascii="方正仿宋简体" w:eastAsia="方正仿宋简体" w:hAnsiTheme="minorEastAsia" w:cs="方正仿宋简体"/>
                <w:b/>
                <w:iCs/>
              </w:rPr>
            </w:pPr>
          </w:p>
        </w:tc>
        <w:tc>
          <w:tcPr>
            <w:tcW w:w="1413" w:type="pct"/>
            <w:vMerge/>
            <w:vAlign w:val="center"/>
          </w:tcPr>
          <w:p w14:paraId="2E02BC01" w14:textId="77777777" w:rsidR="00574193" w:rsidRDefault="00574193">
            <w:pPr>
              <w:spacing w:line="320" w:lineRule="exact"/>
              <w:rPr>
                <w:rFonts w:ascii="方正仿宋简体" w:eastAsia="方正仿宋简体" w:hAnsiTheme="minorEastAsia" w:cs="方正仿宋简体"/>
                <w:b/>
                <w:iCs/>
              </w:rPr>
            </w:pPr>
          </w:p>
        </w:tc>
        <w:tc>
          <w:tcPr>
            <w:tcW w:w="999" w:type="pct"/>
            <w:vAlign w:val="center"/>
          </w:tcPr>
          <w:p w14:paraId="39F348E8" w14:textId="77777777" w:rsidR="00574193" w:rsidRDefault="00392803">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4540BE41" w14:textId="77777777" w:rsidR="00574193" w:rsidRDefault="00392803">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2012-07-13</w:t>
            </w:r>
          </w:p>
        </w:tc>
      </w:tr>
    </w:tbl>
    <w:p w14:paraId="1C52C6D8" w14:textId="77777777" w:rsidR="00574193" w:rsidRDefault="00574193">
      <w:pPr>
        <w:spacing w:line="280" w:lineRule="exact"/>
        <w:rPr>
          <w:rFonts w:ascii="方正仿宋简体" w:eastAsia="方正仿宋简体" w:hAnsiTheme="minorEastAsia" w:cs="仿宋_GB2312"/>
          <w:b/>
          <w:kern w:val="0"/>
          <w:szCs w:val="24"/>
        </w:rPr>
      </w:pPr>
    </w:p>
    <w:p w14:paraId="2EA3057E" w14:textId="77777777" w:rsidR="00574193" w:rsidRDefault="00392803">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3F166F04" w14:textId="77777777" w:rsidR="00574193" w:rsidRDefault="00392803">
      <w:pPr>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5AADC7CA" w14:textId="77777777" w:rsidR="00574193" w:rsidRDefault="00392803">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敬请投资者阅读更新的《招募说明书》第八章了解详细情况。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574193" w14:paraId="1443F720" w14:textId="77777777" w:rsidTr="0074096A">
        <w:trPr>
          <w:trHeight w:val="454"/>
        </w:trPr>
        <w:tc>
          <w:tcPr>
            <w:tcW w:w="1228" w:type="pct"/>
            <w:vAlign w:val="center"/>
          </w:tcPr>
          <w:p w14:paraId="57D67A55" w14:textId="77777777" w:rsidR="00574193" w:rsidRDefault="00392803">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5A1FE293" w14:textId="77777777" w:rsidR="00574193" w:rsidRDefault="00392803">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本基金的投资目标在于分享中国经济高速发展过程中那些具有政府壁垒优势、技术壁垒优势、市场与品牌壁垒优势的企业所带来的持续投资收益，为基金持有人获取长期持续稳定的投资回报。</w:t>
            </w:r>
          </w:p>
        </w:tc>
      </w:tr>
      <w:tr w:rsidR="00574193" w14:paraId="1E7E58A9" w14:textId="77777777" w:rsidTr="0074096A">
        <w:trPr>
          <w:trHeight w:val="454"/>
        </w:trPr>
        <w:tc>
          <w:tcPr>
            <w:tcW w:w="1228" w:type="pct"/>
            <w:vAlign w:val="center"/>
          </w:tcPr>
          <w:p w14:paraId="0E6C3250" w14:textId="77777777" w:rsidR="00574193" w:rsidRDefault="00392803">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39348FB2" w14:textId="77777777" w:rsidR="00574193" w:rsidRDefault="00392803">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本基金主要投资于具有良好流动性的金融工具，包括国内依法公开发行上市的股票（含存托凭证）、债券以及法律法规允许基金投资的其他金融工具或金融衍生工具。</w:t>
            </w:r>
          </w:p>
          <w:p w14:paraId="30796CEB" w14:textId="77777777" w:rsidR="00574193" w:rsidRDefault="00392803">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投资组合中，股票（含存托凭证）投资比例为基金资产的60-95%，其中投资于具有政府壁垒优势、技术壁垒优势、市场与品牌壁垒优势的企业股票的比例不低于本基金股票资产的80％；债券投资比例为基金资产的0-35%；现金以及到期日在一年以内的政府债券投资比例合计不低于基金资产净值的5%，其中，现金不包括结算备付金、存出保证金、应收申购款等。</w:t>
            </w:r>
          </w:p>
          <w:p w14:paraId="3D543143" w14:textId="77777777" w:rsidR="00574193" w:rsidRDefault="00392803">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如法律法规或监管机构以后允许基金投资的其他品种，基金管理人在履行适当程序后，可以将其纳入投资范围。</w:t>
            </w:r>
          </w:p>
          <w:p w14:paraId="36B7C10E" w14:textId="0A529C9E" w:rsidR="00574193" w:rsidRDefault="00392803" w:rsidP="00B27252">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因基金规模或市场变化等因素导致本基金投资组合不符合上述规定的，基金管理人将在合理期限内做出调整以符合上述规定。法律、法规另有规定的，从其规定。</w:t>
            </w:r>
            <w:bookmarkStart w:id="0" w:name="_GoBack"/>
            <w:bookmarkEnd w:id="0"/>
          </w:p>
        </w:tc>
      </w:tr>
      <w:tr w:rsidR="00574193" w14:paraId="6059A8E1" w14:textId="77777777" w:rsidTr="0074096A">
        <w:trPr>
          <w:trHeight w:val="454"/>
        </w:trPr>
        <w:tc>
          <w:tcPr>
            <w:tcW w:w="1228" w:type="pct"/>
            <w:vAlign w:val="center"/>
          </w:tcPr>
          <w:p w14:paraId="701C1905" w14:textId="77777777" w:rsidR="00574193" w:rsidRDefault="00392803">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lastRenderedPageBreak/>
              <w:t>主要投资策略</w:t>
            </w:r>
          </w:p>
        </w:tc>
        <w:tc>
          <w:tcPr>
            <w:tcW w:w="3772" w:type="pct"/>
            <w:vAlign w:val="center"/>
          </w:tcPr>
          <w:p w14:paraId="00F8B58E" w14:textId="77777777" w:rsidR="00574193" w:rsidRDefault="00392803">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实行风险管理下的主动型价值投资策略，即采用以精选个股为核心的多层次复合投资策略。在战略上，强调自上而下的组合管理；在战术上，强调自下而上的精选个股。具体投资策略为：在资产配置和组合管理方面，利用金融工程手段和投资组合管理技术，保持组合流动性；在选股层面，按照价值投资原则，利用研究人员的专业研究能力和金融工程的财务数据处理能力，从品质过滤和价值精选两个阶段来精选个股，选择价值被低估且具有政府壁垒优势、技术壁垒优势、市场壁垒优势或者品牌壁垒优势等持续增长潜力的股票，作为构建股票组合的基础。本基金的投资策略具有三层结构，即自上而下的资产配置、自上而下的行业选择和自下而上的选股或选债策略。本基金具体投资策略分几个层次：资产配置、股票（含存托凭证）和债券投资策略。</w:t>
            </w:r>
          </w:p>
        </w:tc>
      </w:tr>
      <w:tr w:rsidR="00574193" w14:paraId="49720038" w14:textId="77777777" w:rsidTr="0074096A">
        <w:trPr>
          <w:trHeight w:val="454"/>
        </w:trPr>
        <w:tc>
          <w:tcPr>
            <w:tcW w:w="1228" w:type="pct"/>
            <w:vAlign w:val="center"/>
          </w:tcPr>
          <w:p w14:paraId="6AB0A497" w14:textId="77777777" w:rsidR="00574193" w:rsidRDefault="00392803">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15A72CE5" w14:textId="77777777" w:rsidR="00574193" w:rsidRDefault="00392803">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80%×沪深300指数收益率＋20%×中国债券总指数收益率。</w:t>
            </w:r>
          </w:p>
        </w:tc>
      </w:tr>
      <w:tr w:rsidR="00574193" w14:paraId="5313F5B9" w14:textId="77777777" w:rsidTr="0074096A">
        <w:trPr>
          <w:trHeight w:val="454"/>
        </w:trPr>
        <w:tc>
          <w:tcPr>
            <w:tcW w:w="1228" w:type="pct"/>
            <w:vAlign w:val="center"/>
          </w:tcPr>
          <w:p w14:paraId="357F3292" w14:textId="77777777" w:rsidR="00574193" w:rsidRDefault="00392803">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6BC3D6CA" w14:textId="77777777" w:rsidR="00574193" w:rsidRDefault="00392803">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本基金的预期风险低于股票基金，预期收益高于债券基金。本基金属于证券投资基金中的中等风险、中等收益品种。</w:t>
            </w:r>
          </w:p>
        </w:tc>
      </w:tr>
    </w:tbl>
    <w:p w14:paraId="413E559E" w14:textId="77777777" w:rsidR="00574193" w:rsidRDefault="00574193">
      <w:pPr>
        <w:spacing w:line="320" w:lineRule="exact"/>
        <w:rPr>
          <w:rFonts w:ascii="方正仿宋简体" w:eastAsia="方正仿宋简体" w:hAnsiTheme="minorEastAsia" w:cs="仿宋_GB2312"/>
          <w:kern w:val="0"/>
          <w:szCs w:val="24"/>
        </w:rPr>
      </w:pPr>
    </w:p>
    <w:p w14:paraId="0F675BCD" w14:textId="77777777" w:rsidR="00574193" w:rsidRDefault="00392803">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0B39934E" w14:textId="77777777" w:rsidR="00574193" w:rsidRDefault="00392803">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3AD4C3EB" w14:textId="77777777" w:rsidR="00574193" w:rsidRDefault="00392803">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noProof/>
          <w:sz w:val="24"/>
          <w:szCs w:val="24"/>
        </w:rPr>
        <w:drawing>
          <wp:inline distT="0" distB="0" distL="0" distR="0" wp14:anchorId="62795E95" wp14:editId="652E6A4B">
            <wp:extent cx="3960000" cy="2310380"/>
            <wp:effectExtent l="0" t="0" r="2540" b="254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0000" cy="2310380"/>
                    </a:xfrm>
                    <a:prstGeom prst="rect">
                      <a:avLst/>
                    </a:prstGeom>
                    <a:noFill/>
                    <a:ln>
                      <a:noFill/>
                    </a:ln>
                  </pic:spPr>
                </pic:pic>
              </a:graphicData>
            </a:graphic>
          </wp:inline>
        </w:drawing>
      </w:r>
    </w:p>
    <w:p w14:paraId="6D378C09" w14:textId="77777777" w:rsidR="00574193" w:rsidRDefault="00392803">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最近十年基金每年的净值增长率及与同期业绩比较基准的比较图</w:t>
      </w:r>
    </w:p>
    <w:p w14:paraId="18306646" w14:textId="77777777" w:rsidR="00574193" w:rsidRDefault="00392803">
      <w:pPr>
        <w:jc w:val="center"/>
        <w:rPr>
          <w:rFonts w:ascii="方正仿宋简体" w:eastAsia="方正仿宋简体" w:hAnsiTheme="minorEastAsia"/>
        </w:rPr>
      </w:pPr>
      <w:r>
        <w:rPr>
          <w:rFonts w:ascii="方正仿宋简体" w:eastAsia="方正仿宋简体" w:hAnsiTheme="minorEastAsia" w:hint="eastAsia"/>
          <w:noProof/>
        </w:rPr>
        <w:drawing>
          <wp:inline distT="0" distB="0" distL="0" distR="0" wp14:anchorId="768406BD" wp14:editId="42036F54">
            <wp:extent cx="3960000" cy="2315709"/>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000" cy="2315709"/>
                    </a:xfrm>
                    <a:prstGeom prst="rect">
                      <a:avLst/>
                    </a:prstGeom>
                    <a:noFill/>
                    <a:ln>
                      <a:noFill/>
                    </a:ln>
                  </pic:spPr>
                </pic:pic>
              </a:graphicData>
            </a:graphic>
          </wp:inline>
        </w:drawing>
      </w:r>
    </w:p>
    <w:p w14:paraId="379F953B" w14:textId="77777777" w:rsidR="00574193" w:rsidRDefault="00392803">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注：基金的过往业绩不代表未来表现。</w:t>
      </w:r>
    </w:p>
    <w:p w14:paraId="2CAF0B86" w14:textId="77777777" w:rsidR="00574193" w:rsidRDefault="00574193">
      <w:pPr>
        <w:spacing w:line="280" w:lineRule="exact"/>
        <w:ind w:firstLine="420"/>
        <w:rPr>
          <w:rFonts w:ascii="方正仿宋简体" w:eastAsia="方正仿宋简体" w:hAnsi="方正仿宋简体" w:cs="方正仿宋简体"/>
          <w:iCs/>
        </w:rPr>
      </w:pPr>
    </w:p>
    <w:p w14:paraId="5259CCED" w14:textId="77777777" w:rsidR="00574193" w:rsidRDefault="00392803">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5A17713E" w14:textId="77777777" w:rsidR="00574193" w:rsidRDefault="00392803">
      <w:pPr>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333CAA17" w14:textId="77777777" w:rsidR="00574193" w:rsidRDefault="00392803">
      <w:pPr>
        <w:autoSpaceDE w:val="0"/>
        <w:autoSpaceDN w:val="0"/>
        <w:adjustRightInd w:val="0"/>
        <w:spacing w:line="320" w:lineRule="exact"/>
        <w:jc w:val="left"/>
        <w:rPr>
          <w:rFonts w:ascii="方正仿宋简体" w:eastAsia="方正仿宋简体"/>
        </w:rPr>
      </w:pPr>
      <w:r>
        <w:rPr>
          <w:rFonts w:ascii="方正仿宋简体" w:eastAsia="方正仿宋简体" w:hAnsi="方正仿宋简体" w:cs="方正仿宋简体" w:hint="eastAsia"/>
          <w:iCs/>
        </w:rPr>
        <w:t>以下费用在认购/申购/赎回基金过程中收取：</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975"/>
        <w:gridCol w:w="4088"/>
        <w:gridCol w:w="2489"/>
        <w:gridCol w:w="1130"/>
      </w:tblGrid>
      <w:tr w:rsidR="00574193" w14:paraId="29FDA5CD" w14:textId="77777777" w:rsidTr="0074096A">
        <w:trPr>
          <w:trHeight w:val="454"/>
        </w:trPr>
        <w:tc>
          <w:tcPr>
            <w:tcW w:w="1392" w:type="pct"/>
            <w:vAlign w:val="center"/>
          </w:tcPr>
          <w:p w14:paraId="337A1C36"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lastRenderedPageBreak/>
              <w:t>费用类型</w:t>
            </w:r>
          </w:p>
        </w:tc>
        <w:tc>
          <w:tcPr>
            <w:tcW w:w="1913" w:type="pct"/>
            <w:vAlign w:val="center"/>
          </w:tcPr>
          <w:p w14:paraId="6E990D0B"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00965F81"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5" w:type="pct"/>
            <w:vAlign w:val="center"/>
          </w:tcPr>
          <w:p w14:paraId="23DA78C2"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29" w:type="pct"/>
            <w:vAlign w:val="center"/>
          </w:tcPr>
          <w:p w14:paraId="0F577A5B"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574193" w14:paraId="3A43875D" w14:textId="77777777" w:rsidTr="0074096A">
        <w:trPr>
          <w:trHeight w:val="454"/>
        </w:trPr>
        <w:tc>
          <w:tcPr>
            <w:tcW w:w="1392" w:type="pct"/>
            <w:vMerge w:val="restart"/>
            <w:vAlign w:val="center"/>
          </w:tcPr>
          <w:p w14:paraId="47AEAEF0"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137A0D2C"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M &lt; 50万元</w:t>
            </w:r>
          </w:p>
        </w:tc>
        <w:tc>
          <w:tcPr>
            <w:tcW w:w="1165" w:type="pct"/>
            <w:vAlign w:val="center"/>
          </w:tcPr>
          <w:p w14:paraId="4C581E9C"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1.50%  </w:t>
            </w:r>
          </w:p>
        </w:tc>
        <w:tc>
          <w:tcPr>
            <w:tcW w:w="529" w:type="pct"/>
            <w:vAlign w:val="center"/>
          </w:tcPr>
          <w:p w14:paraId="6B9B2767" w14:textId="77777777" w:rsidR="00574193" w:rsidRDefault="00574193">
            <w:pPr>
              <w:spacing w:line="320" w:lineRule="exact"/>
              <w:jc w:val="center"/>
              <w:rPr>
                <w:rFonts w:ascii="方正仿宋简体" w:eastAsia="方正仿宋简体" w:hAnsi="方正仿宋简体" w:cs="方正仿宋简体"/>
                <w:bCs/>
                <w:iCs/>
              </w:rPr>
            </w:pPr>
          </w:p>
        </w:tc>
      </w:tr>
      <w:tr w:rsidR="00574193" w14:paraId="48D73885" w14:textId="77777777" w:rsidTr="0074096A">
        <w:trPr>
          <w:trHeight w:val="454"/>
        </w:trPr>
        <w:tc>
          <w:tcPr>
            <w:tcW w:w="1392" w:type="pct"/>
            <w:vMerge/>
            <w:vAlign w:val="center"/>
          </w:tcPr>
          <w:p w14:paraId="42761206"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469E4526"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50万元 ≤ M &lt; 100万元</w:t>
            </w:r>
          </w:p>
        </w:tc>
        <w:tc>
          <w:tcPr>
            <w:tcW w:w="1165" w:type="pct"/>
            <w:vAlign w:val="center"/>
          </w:tcPr>
          <w:p w14:paraId="40CF9BE5"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1.00%  </w:t>
            </w:r>
          </w:p>
        </w:tc>
        <w:tc>
          <w:tcPr>
            <w:tcW w:w="529" w:type="pct"/>
            <w:vAlign w:val="center"/>
          </w:tcPr>
          <w:p w14:paraId="779C78E7" w14:textId="77777777" w:rsidR="00574193" w:rsidRDefault="00574193">
            <w:pPr>
              <w:spacing w:line="320" w:lineRule="exact"/>
              <w:jc w:val="center"/>
              <w:rPr>
                <w:rFonts w:ascii="方正仿宋简体" w:eastAsia="方正仿宋简体" w:hAnsi="方正仿宋简体" w:cs="方正仿宋简体"/>
                <w:bCs/>
                <w:iCs/>
              </w:rPr>
            </w:pPr>
          </w:p>
        </w:tc>
      </w:tr>
      <w:tr w:rsidR="00574193" w14:paraId="13D30815" w14:textId="77777777" w:rsidTr="0074096A">
        <w:trPr>
          <w:trHeight w:val="454"/>
        </w:trPr>
        <w:tc>
          <w:tcPr>
            <w:tcW w:w="1392" w:type="pct"/>
            <w:vMerge/>
            <w:vAlign w:val="center"/>
          </w:tcPr>
          <w:p w14:paraId="03A010E0"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2EB40A96"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100万元 ≤ M &lt; 500万元</w:t>
            </w:r>
          </w:p>
        </w:tc>
        <w:tc>
          <w:tcPr>
            <w:tcW w:w="1165" w:type="pct"/>
            <w:vAlign w:val="center"/>
          </w:tcPr>
          <w:p w14:paraId="4C06F296"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0.60%  </w:t>
            </w:r>
          </w:p>
        </w:tc>
        <w:tc>
          <w:tcPr>
            <w:tcW w:w="529" w:type="pct"/>
            <w:vAlign w:val="center"/>
          </w:tcPr>
          <w:p w14:paraId="41953304" w14:textId="77777777" w:rsidR="00574193" w:rsidRDefault="00574193">
            <w:pPr>
              <w:spacing w:line="320" w:lineRule="exact"/>
              <w:jc w:val="center"/>
              <w:rPr>
                <w:rFonts w:ascii="方正仿宋简体" w:eastAsia="方正仿宋简体" w:hAnsi="方正仿宋简体" w:cs="方正仿宋简体"/>
                <w:bCs/>
                <w:iCs/>
              </w:rPr>
            </w:pPr>
          </w:p>
        </w:tc>
      </w:tr>
      <w:tr w:rsidR="00574193" w14:paraId="5AF6D739" w14:textId="77777777" w:rsidTr="0074096A">
        <w:trPr>
          <w:trHeight w:val="454"/>
        </w:trPr>
        <w:tc>
          <w:tcPr>
            <w:tcW w:w="1392" w:type="pct"/>
            <w:vMerge/>
            <w:vAlign w:val="center"/>
          </w:tcPr>
          <w:p w14:paraId="21E9C920"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20D58CA5"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M ≥ 500万元</w:t>
            </w:r>
          </w:p>
        </w:tc>
        <w:tc>
          <w:tcPr>
            <w:tcW w:w="1165" w:type="pct"/>
            <w:vAlign w:val="center"/>
          </w:tcPr>
          <w:p w14:paraId="3B815C60"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1000元/笔</w:t>
            </w:r>
          </w:p>
        </w:tc>
        <w:tc>
          <w:tcPr>
            <w:tcW w:w="529" w:type="pct"/>
            <w:vAlign w:val="center"/>
          </w:tcPr>
          <w:p w14:paraId="6CC19ED2" w14:textId="77777777" w:rsidR="00574193" w:rsidRDefault="00574193">
            <w:pPr>
              <w:spacing w:line="320" w:lineRule="exact"/>
              <w:jc w:val="center"/>
              <w:rPr>
                <w:rFonts w:ascii="方正仿宋简体" w:eastAsia="方正仿宋简体" w:hAnsi="方正仿宋简体" w:cs="方正仿宋简体"/>
                <w:bCs/>
                <w:iCs/>
              </w:rPr>
            </w:pPr>
          </w:p>
        </w:tc>
      </w:tr>
      <w:tr w:rsidR="00574193" w14:paraId="52B5E16C" w14:textId="77777777" w:rsidTr="0074096A">
        <w:trPr>
          <w:trHeight w:val="454"/>
        </w:trPr>
        <w:tc>
          <w:tcPr>
            <w:tcW w:w="1392" w:type="pct"/>
            <w:vMerge w:val="restart"/>
            <w:vAlign w:val="center"/>
          </w:tcPr>
          <w:p w14:paraId="53A0EFE4"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申购费（后收费）</w:t>
            </w:r>
          </w:p>
        </w:tc>
        <w:tc>
          <w:tcPr>
            <w:tcW w:w="1913" w:type="pct"/>
            <w:vAlign w:val="center"/>
          </w:tcPr>
          <w:p w14:paraId="601FD485"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N &lt; 365天 </w:t>
            </w:r>
          </w:p>
        </w:tc>
        <w:tc>
          <w:tcPr>
            <w:tcW w:w="1165" w:type="pct"/>
            <w:vAlign w:val="center"/>
          </w:tcPr>
          <w:p w14:paraId="4028D23A"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1.60%  </w:t>
            </w:r>
          </w:p>
        </w:tc>
        <w:tc>
          <w:tcPr>
            <w:tcW w:w="529" w:type="pct"/>
            <w:vAlign w:val="center"/>
          </w:tcPr>
          <w:p w14:paraId="7915C1B9" w14:textId="77777777" w:rsidR="00574193" w:rsidRDefault="00574193">
            <w:pPr>
              <w:spacing w:line="320" w:lineRule="exact"/>
              <w:jc w:val="center"/>
              <w:rPr>
                <w:rFonts w:ascii="方正仿宋简体" w:eastAsia="方正仿宋简体" w:hAnsi="方正仿宋简体" w:cs="方正仿宋简体"/>
                <w:bCs/>
                <w:iCs/>
              </w:rPr>
            </w:pPr>
          </w:p>
        </w:tc>
      </w:tr>
      <w:tr w:rsidR="00574193" w14:paraId="3572CC78" w14:textId="77777777" w:rsidTr="0074096A">
        <w:trPr>
          <w:trHeight w:val="454"/>
        </w:trPr>
        <w:tc>
          <w:tcPr>
            <w:tcW w:w="1392" w:type="pct"/>
            <w:vMerge/>
            <w:vAlign w:val="center"/>
          </w:tcPr>
          <w:p w14:paraId="4AAB8624"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申购费（后收费）</w:t>
            </w:r>
          </w:p>
        </w:tc>
        <w:tc>
          <w:tcPr>
            <w:tcW w:w="1913" w:type="pct"/>
            <w:vAlign w:val="center"/>
          </w:tcPr>
          <w:p w14:paraId="3145E427"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365天 ≤ N &lt; 730天 </w:t>
            </w:r>
          </w:p>
        </w:tc>
        <w:tc>
          <w:tcPr>
            <w:tcW w:w="1165" w:type="pct"/>
            <w:vAlign w:val="center"/>
          </w:tcPr>
          <w:p w14:paraId="614E742C"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1.30%  </w:t>
            </w:r>
          </w:p>
        </w:tc>
        <w:tc>
          <w:tcPr>
            <w:tcW w:w="529" w:type="pct"/>
            <w:vAlign w:val="center"/>
          </w:tcPr>
          <w:p w14:paraId="19CBAB2E" w14:textId="77777777" w:rsidR="00574193" w:rsidRDefault="00574193">
            <w:pPr>
              <w:spacing w:line="320" w:lineRule="exact"/>
              <w:jc w:val="center"/>
              <w:rPr>
                <w:rFonts w:ascii="方正仿宋简体" w:eastAsia="方正仿宋简体" w:hAnsi="方正仿宋简体" w:cs="方正仿宋简体"/>
                <w:bCs/>
                <w:iCs/>
              </w:rPr>
            </w:pPr>
          </w:p>
        </w:tc>
      </w:tr>
      <w:tr w:rsidR="00574193" w14:paraId="1B2905E0" w14:textId="77777777" w:rsidTr="0074096A">
        <w:trPr>
          <w:trHeight w:val="454"/>
        </w:trPr>
        <w:tc>
          <w:tcPr>
            <w:tcW w:w="1392" w:type="pct"/>
            <w:vMerge/>
            <w:vAlign w:val="center"/>
          </w:tcPr>
          <w:p w14:paraId="101AD962"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申购费（后收费）</w:t>
            </w:r>
          </w:p>
        </w:tc>
        <w:tc>
          <w:tcPr>
            <w:tcW w:w="1913" w:type="pct"/>
            <w:vAlign w:val="center"/>
          </w:tcPr>
          <w:p w14:paraId="71124A82"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730天 ≤ N &lt; 1095天 </w:t>
            </w:r>
          </w:p>
        </w:tc>
        <w:tc>
          <w:tcPr>
            <w:tcW w:w="1165" w:type="pct"/>
            <w:vAlign w:val="center"/>
          </w:tcPr>
          <w:p w14:paraId="65C1491F"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1.00%  </w:t>
            </w:r>
          </w:p>
        </w:tc>
        <w:tc>
          <w:tcPr>
            <w:tcW w:w="529" w:type="pct"/>
            <w:vAlign w:val="center"/>
          </w:tcPr>
          <w:p w14:paraId="431F19AE" w14:textId="77777777" w:rsidR="00574193" w:rsidRDefault="00574193">
            <w:pPr>
              <w:spacing w:line="320" w:lineRule="exact"/>
              <w:jc w:val="center"/>
              <w:rPr>
                <w:rFonts w:ascii="方正仿宋简体" w:eastAsia="方正仿宋简体" w:hAnsi="方正仿宋简体" w:cs="方正仿宋简体"/>
                <w:bCs/>
                <w:iCs/>
              </w:rPr>
            </w:pPr>
          </w:p>
        </w:tc>
      </w:tr>
      <w:tr w:rsidR="00574193" w14:paraId="3E09BB45" w14:textId="77777777" w:rsidTr="0074096A">
        <w:trPr>
          <w:trHeight w:val="454"/>
        </w:trPr>
        <w:tc>
          <w:tcPr>
            <w:tcW w:w="1392" w:type="pct"/>
            <w:vMerge/>
            <w:vAlign w:val="center"/>
          </w:tcPr>
          <w:p w14:paraId="0FD317CD"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申购费（后收费）</w:t>
            </w:r>
          </w:p>
        </w:tc>
        <w:tc>
          <w:tcPr>
            <w:tcW w:w="1913" w:type="pct"/>
            <w:vAlign w:val="center"/>
          </w:tcPr>
          <w:p w14:paraId="3044DA82"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1095天 ≤ N &lt; 1460天 </w:t>
            </w:r>
          </w:p>
        </w:tc>
        <w:tc>
          <w:tcPr>
            <w:tcW w:w="1165" w:type="pct"/>
            <w:vAlign w:val="center"/>
          </w:tcPr>
          <w:p w14:paraId="5C7F6832"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0.80%  </w:t>
            </w:r>
          </w:p>
        </w:tc>
        <w:tc>
          <w:tcPr>
            <w:tcW w:w="529" w:type="pct"/>
            <w:vAlign w:val="center"/>
          </w:tcPr>
          <w:p w14:paraId="1ECD1E22" w14:textId="77777777" w:rsidR="00574193" w:rsidRDefault="00574193">
            <w:pPr>
              <w:spacing w:line="320" w:lineRule="exact"/>
              <w:jc w:val="center"/>
              <w:rPr>
                <w:rFonts w:ascii="方正仿宋简体" w:eastAsia="方正仿宋简体" w:hAnsi="方正仿宋简体" w:cs="方正仿宋简体"/>
                <w:bCs/>
                <w:iCs/>
              </w:rPr>
            </w:pPr>
          </w:p>
        </w:tc>
      </w:tr>
      <w:tr w:rsidR="00574193" w14:paraId="3F5A347B" w14:textId="77777777" w:rsidTr="0074096A">
        <w:trPr>
          <w:trHeight w:val="454"/>
        </w:trPr>
        <w:tc>
          <w:tcPr>
            <w:tcW w:w="1392" w:type="pct"/>
            <w:vMerge/>
            <w:vAlign w:val="center"/>
          </w:tcPr>
          <w:p w14:paraId="16621365"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申购费（后收费）</w:t>
            </w:r>
          </w:p>
        </w:tc>
        <w:tc>
          <w:tcPr>
            <w:tcW w:w="1913" w:type="pct"/>
            <w:vAlign w:val="center"/>
          </w:tcPr>
          <w:p w14:paraId="4B8ECE8D"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1460天 ≤ N &lt; 1825天 </w:t>
            </w:r>
          </w:p>
        </w:tc>
        <w:tc>
          <w:tcPr>
            <w:tcW w:w="1165" w:type="pct"/>
            <w:vAlign w:val="center"/>
          </w:tcPr>
          <w:p w14:paraId="4096CE4A"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0.50%  </w:t>
            </w:r>
          </w:p>
        </w:tc>
        <w:tc>
          <w:tcPr>
            <w:tcW w:w="529" w:type="pct"/>
            <w:vAlign w:val="center"/>
          </w:tcPr>
          <w:p w14:paraId="7474C944" w14:textId="77777777" w:rsidR="00574193" w:rsidRDefault="00574193">
            <w:pPr>
              <w:spacing w:line="320" w:lineRule="exact"/>
              <w:jc w:val="center"/>
              <w:rPr>
                <w:rFonts w:ascii="方正仿宋简体" w:eastAsia="方正仿宋简体" w:hAnsi="方正仿宋简体" w:cs="方正仿宋简体"/>
                <w:bCs/>
                <w:iCs/>
              </w:rPr>
            </w:pPr>
          </w:p>
        </w:tc>
      </w:tr>
      <w:tr w:rsidR="00574193" w14:paraId="7301BDDC" w14:textId="77777777" w:rsidTr="0074096A">
        <w:trPr>
          <w:trHeight w:val="454"/>
        </w:trPr>
        <w:tc>
          <w:tcPr>
            <w:tcW w:w="1392" w:type="pct"/>
            <w:vMerge/>
            <w:vAlign w:val="center"/>
          </w:tcPr>
          <w:p w14:paraId="029C396A"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申购费（后收费）</w:t>
            </w:r>
          </w:p>
        </w:tc>
        <w:tc>
          <w:tcPr>
            <w:tcW w:w="1913" w:type="pct"/>
            <w:vAlign w:val="center"/>
          </w:tcPr>
          <w:p w14:paraId="3E534C1C"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N ≥ 1825天 </w:t>
            </w:r>
          </w:p>
        </w:tc>
        <w:tc>
          <w:tcPr>
            <w:tcW w:w="1165" w:type="pct"/>
            <w:vAlign w:val="center"/>
          </w:tcPr>
          <w:p w14:paraId="1C9B9549"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0.00%  </w:t>
            </w:r>
          </w:p>
        </w:tc>
        <w:tc>
          <w:tcPr>
            <w:tcW w:w="529" w:type="pct"/>
            <w:vAlign w:val="center"/>
          </w:tcPr>
          <w:p w14:paraId="17BAC419" w14:textId="77777777" w:rsidR="00574193" w:rsidRDefault="00574193">
            <w:pPr>
              <w:spacing w:line="320" w:lineRule="exact"/>
              <w:jc w:val="center"/>
              <w:rPr>
                <w:rFonts w:ascii="方正仿宋简体" w:eastAsia="方正仿宋简体" w:hAnsi="方正仿宋简体" w:cs="方正仿宋简体"/>
                <w:bCs/>
                <w:iCs/>
              </w:rPr>
            </w:pPr>
          </w:p>
        </w:tc>
      </w:tr>
      <w:tr w:rsidR="00574193" w14:paraId="7D80AA31" w14:textId="77777777" w:rsidTr="0074096A">
        <w:trPr>
          <w:trHeight w:val="454"/>
        </w:trPr>
        <w:tc>
          <w:tcPr>
            <w:tcW w:w="1392" w:type="pct"/>
            <w:vMerge w:val="restart"/>
            <w:vAlign w:val="center"/>
          </w:tcPr>
          <w:p w14:paraId="2695D8F5"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5DB0F7FC"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N &lt; 7天 </w:t>
            </w:r>
          </w:p>
        </w:tc>
        <w:tc>
          <w:tcPr>
            <w:tcW w:w="1165" w:type="pct"/>
            <w:vAlign w:val="center"/>
          </w:tcPr>
          <w:p w14:paraId="6926553D"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1.50%  </w:t>
            </w:r>
          </w:p>
        </w:tc>
        <w:tc>
          <w:tcPr>
            <w:tcW w:w="529" w:type="pct"/>
            <w:vAlign w:val="center"/>
          </w:tcPr>
          <w:p w14:paraId="7EA0E511"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100%计入资产</w:t>
            </w:r>
          </w:p>
        </w:tc>
      </w:tr>
      <w:tr w:rsidR="00574193" w14:paraId="07EDC380" w14:textId="77777777" w:rsidTr="0074096A">
        <w:trPr>
          <w:trHeight w:val="454"/>
        </w:trPr>
        <w:tc>
          <w:tcPr>
            <w:tcW w:w="1392" w:type="pct"/>
            <w:vMerge/>
            <w:vAlign w:val="center"/>
          </w:tcPr>
          <w:p w14:paraId="24DD8567"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61538A38"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7天 ≤ N &lt; 730天 </w:t>
            </w:r>
          </w:p>
        </w:tc>
        <w:tc>
          <w:tcPr>
            <w:tcW w:w="1165" w:type="pct"/>
            <w:vAlign w:val="center"/>
          </w:tcPr>
          <w:p w14:paraId="5CEA8353"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0.50%  </w:t>
            </w:r>
          </w:p>
        </w:tc>
        <w:tc>
          <w:tcPr>
            <w:tcW w:w="529" w:type="pct"/>
            <w:vAlign w:val="center"/>
          </w:tcPr>
          <w:p w14:paraId="2BBCE018"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至少25%计入资产</w:t>
            </w:r>
          </w:p>
        </w:tc>
      </w:tr>
      <w:tr w:rsidR="00574193" w14:paraId="6F133F24" w14:textId="77777777" w:rsidTr="0074096A">
        <w:trPr>
          <w:trHeight w:val="454"/>
        </w:trPr>
        <w:tc>
          <w:tcPr>
            <w:tcW w:w="1392" w:type="pct"/>
            <w:vMerge/>
            <w:vAlign w:val="center"/>
          </w:tcPr>
          <w:p w14:paraId="4771C39E"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726A4E20"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730天 ≤ N &lt; 1095天 </w:t>
            </w:r>
          </w:p>
        </w:tc>
        <w:tc>
          <w:tcPr>
            <w:tcW w:w="1165" w:type="pct"/>
            <w:vAlign w:val="center"/>
          </w:tcPr>
          <w:p w14:paraId="734417A2"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0.25%  </w:t>
            </w:r>
          </w:p>
        </w:tc>
        <w:tc>
          <w:tcPr>
            <w:tcW w:w="529" w:type="pct"/>
            <w:vAlign w:val="center"/>
          </w:tcPr>
          <w:p w14:paraId="164BA55B"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至少25%计入资产</w:t>
            </w:r>
          </w:p>
        </w:tc>
      </w:tr>
      <w:tr w:rsidR="00574193" w14:paraId="1CB725BA" w14:textId="77777777" w:rsidTr="0074096A">
        <w:trPr>
          <w:trHeight w:val="454"/>
        </w:trPr>
        <w:tc>
          <w:tcPr>
            <w:tcW w:w="1392" w:type="pct"/>
            <w:vMerge/>
            <w:vAlign w:val="center"/>
          </w:tcPr>
          <w:p w14:paraId="506A32ED"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153088D7"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N ≥ 1095天 </w:t>
            </w:r>
          </w:p>
        </w:tc>
        <w:tc>
          <w:tcPr>
            <w:tcW w:w="1165" w:type="pct"/>
            <w:vAlign w:val="center"/>
          </w:tcPr>
          <w:p w14:paraId="01FE5250"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0.00%  </w:t>
            </w:r>
          </w:p>
        </w:tc>
        <w:tc>
          <w:tcPr>
            <w:tcW w:w="529" w:type="pct"/>
            <w:vAlign w:val="center"/>
          </w:tcPr>
          <w:p w14:paraId="14A86F01" w14:textId="77777777" w:rsidR="00574193" w:rsidRDefault="00574193">
            <w:pPr>
              <w:spacing w:line="320" w:lineRule="exact"/>
              <w:jc w:val="center"/>
              <w:rPr>
                <w:rFonts w:ascii="方正仿宋简体" w:eastAsia="方正仿宋简体" w:hAnsi="方正仿宋简体" w:cs="方正仿宋简体"/>
                <w:bCs/>
                <w:iCs/>
              </w:rPr>
            </w:pPr>
          </w:p>
        </w:tc>
      </w:tr>
    </w:tbl>
    <w:p w14:paraId="4C0E2518" w14:textId="77777777" w:rsidR="00574193" w:rsidRDefault="00392803">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Ansi="方正仿宋简体" w:cs="方正仿宋简体" w:hint="eastAsia"/>
          <w:iCs/>
        </w:rPr>
        <w:t>注：对于通过基金管理人直销渠道申购的养老金客户，享受申购费率1折优惠。对于通过基金管理人直销渠道赎回的养老金客户，将不计入基金资产部分的赎回费免除。</w:t>
      </w:r>
    </w:p>
    <w:p w14:paraId="60631BF9" w14:textId="77777777" w:rsidR="00574193" w:rsidRDefault="00574193">
      <w:pPr>
        <w:spacing w:line="320" w:lineRule="exact"/>
        <w:rPr>
          <w:rFonts w:ascii="方正仿宋简体" w:eastAsia="方正仿宋简体" w:hAnsiTheme="minorEastAsia" w:cs="方正仿宋简体"/>
          <w:b/>
          <w:iCs/>
          <w:sz w:val="24"/>
          <w:szCs w:val="24"/>
        </w:rPr>
      </w:pPr>
    </w:p>
    <w:p w14:paraId="55351ADD" w14:textId="77777777" w:rsidR="00574193" w:rsidRDefault="00392803">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71547057" w14:textId="77777777" w:rsidR="00574193" w:rsidRDefault="00392803">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574193" w14:paraId="09DD2EEE" w14:textId="77777777" w:rsidTr="00A1474F">
        <w:trPr>
          <w:trHeight w:val="454"/>
        </w:trPr>
        <w:tc>
          <w:tcPr>
            <w:tcW w:w="1477" w:type="pct"/>
            <w:vAlign w:val="center"/>
          </w:tcPr>
          <w:p w14:paraId="4F66B490" w14:textId="77777777" w:rsidR="00574193" w:rsidRDefault="00392803">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3229D500" w14:textId="77777777" w:rsidR="00574193" w:rsidRDefault="00392803">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574193" w14:paraId="6446898F" w14:textId="77777777" w:rsidTr="00A1474F">
        <w:trPr>
          <w:trHeight w:val="454"/>
        </w:trPr>
        <w:tc>
          <w:tcPr>
            <w:tcW w:w="1477" w:type="pct"/>
            <w:vAlign w:val="center"/>
          </w:tcPr>
          <w:p w14:paraId="055E1058" w14:textId="77777777" w:rsidR="00574193" w:rsidRDefault="00392803">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04A5B612" w14:textId="77777777" w:rsidR="00574193" w:rsidRDefault="00392803">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固定比例 1.50%</w:t>
            </w:r>
          </w:p>
        </w:tc>
      </w:tr>
      <w:tr w:rsidR="00574193" w14:paraId="3B46A638" w14:textId="77777777" w:rsidTr="00A1474F">
        <w:trPr>
          <w:trHeight w:val="454"/>
        </w:trPr>
        <w:tc>
          <w:tcPr>
            <w:tcW w:w="1477" w:type="pct"/>
            <w:vAlign w:val="center"/>
          </w:tcPr>
          <w:p w14:paraId="2A01FEC6" w14:textId="77777777" w:rsidR="00574193" w:rsidRDefault="00392803">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2997AFF9" w14:textId="77777777" w:rsidR="00574193" w:rsidRDefault="00392803">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固定比例 0.25%</w:t>
            </w:r>
          </w:p>
        </w:tc>
      </w:tr>
      <w:tr w:rsidR="00574193" w14:paraId="2FAEF062" w14:textId="77777777" w:rsidTr="00A1474F">
        <w:trPr>
          <w:trHeight w:val="454"/>
        </w:trPr>
        <w:tc>
          <w:tcPr>
            <w:tcW w:w="1477" w:type="pct"/>
            <w:vAlign w:val="center"/>
          </w:tcPr>
          <w:p w14:paraId="6D629DDF" w14:textId="77777777" w:rsidR="00574193" w:rsidRDefault="00392803">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7B4F63A7" w14:textId="77777777" w:rsidR="00574193" w:rsidRDefault="00392803">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 xml:space="preserve">.基金财产拨划支付的银行费用； 基金合同生效后的信息披露费用； 基金份额持有人大会费用； 基金合同生效后与基金相关的会计师费和律师费； 基金的证券交易费用； </w:t>
            </w:r>
          </w:p>
        </w:tc>
      </w:tr>
    </w:tbl>
    <w:p w14:paraId="6548BD09" w14:textId="77777777" w:rsidR="00574193" w:rsidRDefault="00392803">
      <w:pPr>
        <w:autoSpaceDE w:val="0"/>
        <w:autoSpaceDN w:val="0"/>
        <w:adjustRightInd w:val="0"/>
        <w:spacing w:line="320" w:lineRule="exact"/>
        <w:jc w:val="lef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注： 本基金交易证券、基金等产生的费用和税负，按实际发生额从基金资产扣除。</w:t>
      </w:r>
    </w:p>
    <w:p w14:paraId="3288EF84" w14:textId="77777777" w:rsidR="00574193" w:rsidRDefault="00574193">
      <w:pPr>
        <w:autoSpaceDE w:val="0"/>
        <w:autoSpaceDN w:val="0"/>
        <w:adjustRightInd w:val="0"/>
        <w:spacing w:line="280" w:lineRule="exact"/>
        <w:jc w:val="left"/>
        <w:rPr>
          <w:rFonts w:ascii="方正仿宋简体" w:eastAsia="方正仿宋简体" w:hAnsiTheme="minorEastAsia" w:cs="仿宋_GB2312"/>
          <w:kern w:val="0"/>
          <w:szCs w:val="24"/>
        </w:rPr>
      </w:pPr>
    </w:p>
    <w:p w14:paraId="4A596E59" w14:textId="77777777" w:rsidR="00574193" w:rsidRDefault="00392803">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63EB2C8A" w14:textId="3541B462" w:rsidR="00574193" w:rsidRDefault="00392803">
      <w:pPr>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Pr>
          <w:rFonts w:ascii="方正仿宋简体" w:eastAsia="方正仿宋简体" w:hAnsi="方正仿宋简体" w:cs="方正仿宋简体" w:hint="eastAsia"/>
          <w:b/>
          <w:bCs/>
          <w:iCs/>
          <w:sz w:val="24"/>
          <w:szCs w:val="24"/>
        </w:rPr>
        <w:t>风险揭示</w:t>
      </w:r>
    </w:p>
    <w:p w14:paraId="3FE88B99"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本基金不提供任何保证。投资者可能损失投资本金。</w:t>
      </w:r>
    </w:p>
    <w:p w14:paraId="348A35E0" w14:textId="574051E2"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投资有风险，投资者购买基金时应认真阅读本基金的《招募说明书》等销售文件。</w:t>
      </w:r>
    </w:p>
    <w:p w14:paraId="50188CAA"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w:t>
      </w:r>
      <w:r>
        <w:rPr>
          <w:rFonts w:ascii="方正仿宋简体" w:eastAsia="方正仿宋简体" w:hAnsi="方正仿宋简体" w:cs="方正仿宋简体" w:hint="eastAsia"/>
          <w:iCs/>
        </w:rPr>
        <w:lastRenderedPageBreak/>
        <w:t>结合自身投资目的、期限、投资经验及风险承受能力谨慎决策并自行承担风险，不应采信不符合法律法规要求的销售行为及违规宣传推介材料。</w:t>
      </w:r>
    </w:p>
    <w:p w14:paraId="392F0911"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1、本基金的特有风险</w:t>
      </w:r>
    </w:p>
    <w:p w14:paraId="5C7BA95D"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投资于具有政府壁垒优势、技术壁垒优势、市场与品牌壁垒优势的企业股票，可能存在随社会技术进步，原有壁垒不再成立，影响企业内在价值，从而在个股投资决策中给基金带来一定的不确定性，因而存在个股选择风险。</w:t>
      </w:r>
    </w:p>
    <w:p w14:paraId="0F1D4CF9"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（2）权证等金融衍生品投资风险</w:t>
      </w:r>
    </w:p>
    <w:p w14:paraId="721EAD6B"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1DEFCE38"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可能投资的股票权证资产的主要风险包括价格波动风险、市场流动性风险、强制平仓风险、合约到期风险、行权失败风险、交易违约风险等。影响权证价格的因素较多，有时会出现价格较大波动，而且权证有到期日，不同的权证合约又有不同的到期日，若到期日当天没有做好行权准备，权证合约就会作废，不再有任何价值。此外，行权失败和交收违约也是股票权证交易可能出现的风险，权证发行方无法在较首日备齐足额资金或证券用于交收履约，行权投资者就会面临行权失败而失去交易机会。</w:t>
      </w:r>
    </w:p>
    <w:p w14:paraId="13C70700"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（3）资产支持证券投资风险</w:t>
      </w:r>
    </w:p>
    <w:p w14:paraId="55643782"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可能投资的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00B24C06"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（4）投资于存托凭证的风险</w:t>
      </w:r>
    </w:p>
    <w:p w14:paraId="531B34D5"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55C6A120"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本基金普通风险：市场风险（政策风险、经济周期风险、收益波动风险、利率风险、通货膨胀风险、再投资风险等）、管理风险（决策风险、操作风险、技术风险、估值风险等）、信用风险、流动性风险、合规风险和其他风险。</w:t>
      </w:r>
    </w:p>
    <w:p w14:paraId="58D92A20" w14:textId="77777777" w:rsidR="00574193" w:rsidRDefault="00392803">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1E31FBB2"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中国证监会对本基金募集的核准，并不表明其对本基金的价值和收益作出实质性判断或保证，也不表明投资于本基金没有风险。</w:t>
      </w:r>
    </w:p>
    <w:p w14:paraId="40203472"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基金管理人依照恪尽职守、诚实信用、谨慎勤勉的原则管理和运用基金财产，但不保证基金一定盈利，也不保证最低收益</w:t>
      </w:r>
    </w:p>
    <w:p w14:paraId="2E88E1DE"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基金投资者自依基金合同取得基金份额，即成为基金份额持有人和基金合同的当事人。</w:t>
      </w:r>
    </w:p>
    <w:p w14:paraId="544DBD11"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7E91AEFB" w14:textId="77777777" w:rsidR="00574193" w:rsidRDefault="00574193">
      <w:pPr>
        <w:autoSpaceDE w:val="0"/>
        <w:autoSpaceDN w:val="0"/>
        <w:adjustRightInd w:val="0"/>
        <w:spacing w:line="280" w:lineRule="exact"/>
        <w:jc w:val="left"/>
        <w:rPr>
          <w:rFonts w:ascii="方正仿宋简体" w:eastAsia="方正仿宋简体"/>
        </w:rPr>
      </w:pPr>
    </w:p>
    <w:p w14:paraId="35F2D2CA" w14:textId="77777777" w:rsidR="00574193" w:rsidRDefault="00392803">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lastRenderedPageBreak/>
        <w:t>其他资料查询方式</w:t>
      </w:r>
    </w:p>
    <w:p w14:paraId="3F8D4FBF"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以下资料详见基金管理人网站[网址：www.bosera.com][客服电话：95105568]</w:t>
      </w:r>
    </w:p>
    <w:p w14:paraId="455B1097"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(1)基金合同、托管协议、招募说明书</w:t>
      </w:r>
    </w:p>
    <w:p w14:paraId="51983B69"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(2)定期报告，包括基金季度报告、中期报告和年度报告</w:t>
      </w:r>
    </w:p>
    <w:p w14:paraId="582BFAB8"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(3)基金份额净值</w:t>
      </w:r>
    </w:p>
    <w:p w14:paraId="2A3E3AF0"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(4)基金销售机构及联系方式</w:t>
      </w:r>
    </w:p>
    <w:p w14:paraId="3067D7B7"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(5)其他重要资料</w:t>
      </w:r>
    </w:p>
    <w:p w14:paraId="2B392D5A" w14:textId="77777777" w:rsidR="00574193" w:rsidRDefault="00574193">
      <w:pPr>
        <w:autoSpaceDE w:val="0"/>
        <w:autoSpaceDN w:val="0"/>
        <w:adjustRightInd w:val="0"/>
        <w:spacing w:line="280" w:lineRule="exact"/>
        <w:jc w:val="left"/>
        <w:rPr>
          <w:rFonts w:ascii="方正仿宋简体" w:eastAsia="方正仿宋简体"/>
        </w:rPr>
      </w:pPr>
    </w:p>
    <w:p w14:paraId="4B8D9CCD" w14:textId="77777777" w:rsidR="00574193" w:rsidRDefault="00392803">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w:p w14:paraId="12C54CC7" w14:textId="77777777" w:rsidR="00574193" w:rsidRDefault="00392803">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争议解决方式：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361F1BC6" w14:textId="77777777" w:rsidR="00574193" w:rsidRDefault="00574193">
      <w:pPr>
        <w:autoSpaceDE w:val="0"/>
        <w:autoSpaceDN w:val="0"/>
        <w:adjustRightInd w:val="0"/>
        <w:spacing w:line="280" w:lineRule="exact"/>
        <w:jc w:val="left"/>
      </w:pPr>
    </w:p>
    <w:sectPr w:rsidR="00574193" w:rsidSect="00B72E85">
      <w:foot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9D4EC" w14:textId="77777777" w:rsidR="00BD16FF" w:rsidRDefault="00BD16FF" w:rsidP="0092395F">
      <w:r>
        <w:separator/>
      </w:r>
    </w:p>
  </w:endnote>
  <w:endnote w:type="continuationSeparator" w:id="0">
    <w:p w14:paraId="65A54B02" w14:textId="77777777" w:rsidR="00BD16FF" w:rsidRDefault="00BD16FF"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65937DC3" w14:textId="6F05F229" w:rsidR="005C64D0" w:rsidRDefault="005C64D0" w:rsidP="0025315A">
            <w:pPr>
              <w:pStyle w:val="ac"/>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27252">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27252">
              <w:rPr>
                <w:b/>
                <w:bCs/>
                <w:noProof/>
              </w:rPr>
              <w:t>5</w:t>
            </w:r>
            <w:r>
              <w:rPr>
                <w:b/>
                <w:bCs/>
                <w:sz w:val="24"/>
                <w:szCs w:val="24"/>
              </w:rPr>
              <w:fldChar w:fldCharType="end"/>
            </w:r>
          </w:p>
        </w:sdtContent>
      </w:sdt>
    </w:sdtContent>
  </w:sdt>
  <w:p w14:paraId="664C972D" w14:textId="77777777" w:rsidR="005C64D0" w:rsidRDefault="005C64D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206FF" w14:textId="77777777" w:rsidR="00BD16FF" w:rsidRDefault="00BD16FF" w:rsidP="0092395F">
      <w:r>
        <w:separator/>
      </w:r>
    </w:p>
  </w:footnote>
  <w:footnote w:type="continuationSeparator" w:id="0">
    <w:p w14:paraId="17CB09F0" w14:textId="77777777" w:rsidR="00BD16FF" w:rsidRDefault="00BD16FF" w:rsidP="0092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B1268D"/>
    <w:multiLevelType w:val="hybridMultilevel"/>
    <w:tmpl w:val="B9487AA4"/>
    <w:lvl w:ilvl="0" w:tplc="7B18DF22">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4" w15:restartNumberingAfterBreak="0">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C21FE0E"/>
    <w:multiLevelType w:val="singleLevel"/>
    <w:tmpl w:val="5C21FE0E"/>
    <w:lvl w:ilvl="0">
      <w:start w:val="2"/>
      <w:numFmt w:val="chineseCounting"/>
      <w:suff w:val="nothing"/>
      <w:lvlText w:val="（%1）"/>
      <w:lvlJc w:val="left"/>
    </w:lvl>
  </w:abstractNum>
  <w:abstractNum w:abstractNumId="16" w15:restartNumberingAfterBreak="0">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2"/>
  </w:num>
  <w:num w:numId="4">
    <w:abstractNumId w:val="2"/>
  </w:num>
  <w:num w:numId="5">
    <w:abstractNumId w:val="2"/>
  </w:num>
  <w:num w:numId="6">
    <w:abstractNumId w:val="18"/>
  </w:num>
  <w:num w:numId="7">
    <w:abstractNumId w:val="8"/>
  </w:num>
  <w:num w:numId="8">
    <w:abstractNumId w:val="14"/>
  </w:num>
  <w:num w:numId="9">
    <w:abstractNumId w:val="20"/>
  </w:num>
  <w:num w:numId="10">
    <w:abstractNumId w:val="13"/>
  </w:num>
  <w:num w:numId="11">
    <w:abstractNumId w:val="15"/>
  </w:num>
  <w:num w:numId="12">
    <w:abstractNumId w:val="0"/>
  </w:num>
  <w:num w:numId="13">
    <w:abstractNumId w:val="3"/>
  </w:num>
  <w:num w:numId="14">
    <w:abstractNumId w:val="4"/>
  </w:num>
  <w:num w:numId="15">
    <w:abstractNumId w:val="21"/>
  </w:num>
  <w:num w:numId="16">
    <w:abstractNumId w:val="7"/>
  </w:num>
  <w:num w:numId="17">
    <w:abstractNumId w:val="16"/>
  </w:num>
  <w:num w:numId="18">
    <w:abstractNumId w:val="9"/>
  </w:num>
  <w:num w:numId="19">
    <w:abstractNumId w:val="12"/>
  </w:num>
  <w:num w:numId="20">
    <w:abstractNumId w:val="1"/>
  </w:num>
  <w:num w:numId="21">
    <w:abstractNumId w:val="6"/>
  </w:num>
  <w:num w:numId="22">
    <w:abstractNumId w:val="11"/>
  </w:num>
  <w:num w:numId="23">
    <w:abstractNumId w:val="17"/>
  </w:num>
  <w:num w:numId="24">
    <w:abstractNumId w:val="19"/>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2803"/>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4193"/>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90B"/>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47D"/>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259"/>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69F8"/>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252"/>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426"/>
    <w:rsid w:val="00B67B4E"/>
    <w:rsid w:val="00B67BD4"/>
    <w:rsid w:val="00B70E27"/>
    <w:rsid w:val="00B72E85"/>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6C39"/>
    <w:rsid w:val="00BB7DDB"/>
    <w:rsid w:val="00BC07AA"/>
    <w:rsid w:val="00BC1488"/>
    <w:rsid w:val="00BC2FEF"/>
    <w:rsid w:val="00BC4028"/>
    <w:rsid w:val="00BC6407"/>
    <w:rsid w:val="00BD1560"/>
    <w:rsid w:val="00BD16FF"/>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6D57"/>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20489"/>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A76DD"/>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2643B"/>
  <w15:docId w15:val="{49124E50-60C5-4D49-8B31-ABF6C825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037CB"/>
    <w:pPr>
      <w:widowControl w:val="0"/>
      <w:jc w:val="both"/>
    </w:pPr>
  </w:style>
  <w:style w:type="paragraph" w:styleId="1">
    <w:name w:val="heading 1"/>
    <w:basedOn w:val="a4"/>
    <w:next w:val="a4"/>
    <w:link w:val="10"/>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ab"/>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5"/>
    <w:link w:val="aa"/>
    <w:uiPriority w:val="99"/>
    <w:rsid w:val="0092395F"/>
    <w:rPr>
      <w:sz w:val="18"/>
      <w:szCs w:val="18"/>
    </w:rPr>
  </w:style>
  <w:style w:type="paragraph" w:styleId="ac">
    <w:name w:val="footer"/>
    <w:basedOn w:val="a4"/>
    <w:link w:val="ad"/>
    <w:uiPriority w:val="99"/>
    <w:unhideWhenUsed/>
    <w:rsid w:val="0092395F"/>
    <w:pPr>
      <w:tabs>
        <w:tab w:val="center" w:pos="4153"/>
        <w:tab w:val="right" w:pos="8306"/>
      </w:tabs>
      <w:snapToGrid w:val="0"/>
      <w:jc w:val="left"/>
    </w:pPr>
    <w:rPr>
      <w:sz w:val="18"/>
      <w:szCs w:val="18"/>
    </w:rPr>
  </w:style>
  <w:style w:type="character" w:customStyle="1" w:styleId="ad">
    <w:name w:val="页脚 字符"/>
    <w:basedOn w:val="a5"/>
    <w:link w:val="ac"/>
    <w:uiPriority w:val="99"/>
    <w:rsid w:val="0092395F"/>
    <w:rPr>
      <w:sz w:val="18"/>
      <w:szCs w:val="18"/>
    </w:rPr>
  </w:style>
  <w:style w:type="paragraph" w:styleId="ae">
    <w:name w:val="Balloon Text"/>
    <w:basedOn w:val="a4"/>
    <w:link w:val="af"/>
    <w:uiPriority w:val="99"/>
    <w:semiHidden/>
    <w:unhideWhenUsed/>
    <w:rsid w:val="000676AA"/>
    <w:rPr>
      <w:sz w:val="18"/>
      <w:szCs w:val="18"/>
    </w:rPr>
  </w:style>
  <w:style w:type="character" w:customStyle="1" w:styleId="af">
    <w:name w:val="批注框文本 字符"/>
    <w:basedOn w:val="a5"/>
    <w:link w:val="ae"/>
    <w:uiPriority w:val="99"/>
    <w:semiHidden/>
    <w:rsid w:val="000676AA"/>
    <w:rPr>
      <w:sz w:val="18"/>
      <w:szCs w:val="18"/>
    </w:rPr>
  </w:style>
  <w:style w:type="character" w:styleId="af0">
    <w:name w:val="Placeholder Text"/>
    <w:basedOn w:val="a5"/>
    <w:uiPriority w:val="99"/>
    <w:semiHidden/>
    <w:rsid w:val="008B7E39"/>
    <w:rPr>
      <w:color w:val="808080"/>
    </w:rPr>
  </w:style>
  <w:style w:type="character" w:styleId="af1">
    <w:name w:val="footnote reference"/>
    <w:unhideWhenUsed/>
    <w:qFormat/>
    <w:rsid w:val="00CC22C3"/>
    <w:rPr>
      <w:rFonts w:ascii="Times New Roman" w:eastAsia="宋体" w:hAnsi="Times New Roman" w:cs="Times New Roman"/>
      <w:vertAlign w:val="superscript"/>
    </w:rPr>
  </w:style>
  <w:style w:type="paragraph" w:styleId="af2">
    <w:name w:val="footnote text"/>
    <w:basedOn w:val="a4"/>
    <w:link w:val="af3"/>
    <w:unhideWhenUsed/>
    <w:qFormat/>
    <w:rsid w:val="00CC22C3"/>
    <w:pPr>
      <w:snapToGrid w:val="0"/>
      <w:jc w:val="left"/>
    </w:pPr>
    <w:rPr>
      <w:rFonts w:ascii="Calibri" w:eastAsia="宋体" w:hAnsi="Calibri" w:cs="Times New Roman"/>
      <w:sz w:val="18"/>
      <w:szCs w:val="24"/>
    </w:rPr>
  </w:style>
  <w:style w:type="character" w:customStyle="1" w:styleId="af3">
    <w:name w:val="脚注文本 字符"/>
    <w:basedOn w:val="a5"/>
    <w:link w:val="af2"/>
    <w:qFormat/>
    <w:rsid w:val="00CC22C3"/>
    <w:rPr>
      <w:rFonts w:ascii="Calibri" w:eastAsia="宋体" w:hAnsi="Calibri" w:cs="Times New Roman"/>
      <w:sz w:val="18"/>
      <w:szCs w:val="24"/>
    </w:rPr>
  </w:style>
  <w:style w:type="character" w:customStyle="1" w:styleId="10">
    <w:name w:val="标题 1 字符"/>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2FA8"/>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340F8"/>
    <w:rsid w:val="00637E49"/>
    <w:rsid w:val="00656E21"/>
    <w:rsid w:val="00660FB7"/>
    <w:rsid w:val="00662A61"/>
    <w:rsid w:val="00666964"/>
    <w:rsid w:val="00672BB9"/>
    <w:rsid w:val="00680145"/>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0E8E"/>
    <w:rsid w:val="00CB1B6B"/>
    <w:rsid w:val="00CC1AAA"/>
    <w:rsid w:val="00CE6AB0"/>
    <w:rsid w:val="00CF0507"/>
    <w:rsid w:val="00CF5CDA"/>
    <w:rsid w:val="00D0728A"/>
    <w:rsid w:val="00D260CA"/>
    <w:rsid w:val="00D30032"/>
    <w:rsid w:val="00D376AC"/>
    <w:rsid w:val="00D407BB"/>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6FB3-8F1B-41BF-A952-C68AFDC3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669</Words>
  <Characters>3818</Characters>
  <Application>Microsoft Office Word</Application>
  <DocSecurity>0</DocSecurity>
  <Lines>31</Lines>
  <Paragraphs>8</Paragraphs>
  <ScaleCrop>false</ScaleCrop>
  <Company>shenduxitong</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Donghm</dc:creator>
  <cp:lastModifiedBy>符筱</cp:lastModifiedBy>
  <cp:revision>4</cp:revision>
  <dcterms:created xsi:type="dcterms:W3CDTF">2020-09-04T10:05:00Z</dcterms:created>
  <dcterms:modified xsi:type="dcterms:W3CDTF">2020-10-15T09:32:00Z</dcterms:modified>
</cp:coreProperties>
</file>