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73C0" w:rsidRDefault="000073C0">
      <w:pPr>
        <w:widowControl/>
        <w:jc w:val="left"/>
        <w:rPr>
          <w:rFonts w:ascii="宋体" w:eastAsia="宋体" w:hAnsi="宋体"/>
          <w:sz w:val="30"/>
        </w:rPr>
      </w:pPr>
    </w:p>
    <w:p w:rsidR="000073C0" w:rsidRDefault="000073C0">
      <w:pPr>
        <w:widowControl/>
        <w:jc w:val="left"/>
        <w:rPr>
          <w:rFonts w:ascii="宋体" w:eastAsia="宋体" w:hAnsi="宋体"/>
          <w:sz w:val="30"/>
        </w:rPr>
      </w:pPr>
    </w:p>
    <w:p w:rsidR="000073C0" w:rsidRDefault="000073C0">
      <w:pPr>
        <w:widowControl/>
        <w:jc w:val="left"/>
        <w:rPr>
          <w:rFonts w:ascii="宋体" w:eastAsia="宋体" w:hAnsi="宋体"/>
          <w:sz w:val="30"/>
        </w:rPr>
      </w:pPr>
    </w:p>
    <w:p w:rsidR="000073C0" w:rsidRDefault="000073C0">
      <w:pPr>
        <w:widowControl/>
        <w:jc w:val="left"/>
        <w:rPr>
          <w:rFonts w:ascii="宋体" w:eastAsia="宋体" w:hAnsi="宋体"/>
          <w:sz w:val="30"/>
        </w:rPr>
      </w:pPr>
    </w:p>
    <w:p w:rsidR="000073C0" w:rsidRDefault="000073C0" w:rsidP="000073C0">
      <w:pPr>
        <w:widowControl/>
        <w:spacing w:line="800" w:lineRule="exact"/>
        <w:jc w:val="center"/>
        <w:rPr>
          <w:rFonts w:ascii="宋体" w:eastAsia="宋体" w:hAnsi="宋体"/>
          <w:b/>
          <w:sz w:val="52"/>
        </w:rPr>
      </w:pPr>
      <w:r w:rsidRPr="000073C0">
        <w:rPr>
          <w:rFonts w:ascii="宋体" w:eastAsia="宋体" w:hAnsi="宋体" w:hint="eastAsia"/>
          <w:b/>
          <w:sz w:val="52"/>
        </w:rPr>
        <w:t>博时双月薪定期支付债券型证券投资基金</w:t>
      </w:r>
    </w:p>
    <w:p w:rsidR="000073C0" w:rsidRDefault="000073C0" w:rsidP="000073C0">
      <w:pPr>
        <w:widowControl/>
        <w:spacing w:line="800" w:lineRule="exact"/>
        <w:jc w:val="center"/>
        <w:rPr>
          <w:rFonts w:ascii="宋体" w:eastAsia="宋体" w:hAnsi="宋体"/>
          <w:b/>
          <w:sz w:val="52"/>
        </w:rPr>
      </w:pPr>
      <w:r w:rsidRPr="000073C0">
        <w:rPr>
          <w:rFonts w:ascii="宋体" w:eastAsia="宋体" w:hAnsi="宋体" w:hint="eastAsia"/>
          <w:b/>
          <w:sz w:val="52"/>
        </w:rPr>
        <w:t>更新招募说明书</w:t>
      </w: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52"/>
        </w:rPr>
      </w:pPr>
    </w:p>
    <w:p w:rsidR="000073C0" w:rsidRDefault="000073C0" w:rsidP="000073C0">
      <w:pPr>
        <w:widowControl/>
        <w:spacing w:line="800" w:lineRule="exact"/>
        <w:jc w:val="center"/>
        <w:rPr>
          <w:rFonts w:ascii="宋体" w:eastAsia="宋体" w:hAnsi="宋体"/>
          <w:b/>
          <w:sz w:val="30"/>
        </w:rPr>
      </w:pPr>
      <w:r w:rsidRPr="000073C0">
        <w:rPr>
          <w:rFonts w:ascii="宋体" w:eastAsia="宋体" w:hAnsi="宋体" w:hint="eastAsia"/>
          <w:b/>
          <w:sz w:val="30"/>
        </w:rPr>
        <w:t>基金管理人</w:t>
      </w:r>
      <w:r w:rsidRPr="000073C0">
        <w:rPr>
          <w:rFonts w:ascii="宋体" w:eastAsia="宋体" w:hAnsi="宋体"/>
          <w:b/>
          <w:sz w:val="30"/>
        </w:rPr>
        <w:t>: 博时基金管理有限公司</w:t>
      </w:r>
    </w:p>
    <w:p w:rsidR="000073C0" w:rsidRPr="000073C0" w:rsidRDefault="000073C0" w:rsidP="000073C0">
      <w:pPr>
        <w:widowControl/>
        <w:spacing w:line="800" w:lineRule="exact"/>
        <w:jc w:val="center"/>
        <w:rPr>
          <w:rFonts w:ascii="宋体" w:eastAsia="宋体" w:hAnsi="宋体" w:cstheme="majorBidi"/>
          <w:b/>
          <w:bCs/>
          <w:sz w:val="30"/>
          <w:szCs w:val="32"/>
        </w:rPr>
      </w:pPr>
      <w:r w:rsidRPr="000073C0">
        <w:rPr>
          <w:rFonts w:ascii="宋体" w:eastAsia="宋体" w:hAnsi="宋体" w:hint="eastAsia"/>
          <w:b/>
          <w:sz w:val="30"/>
        </w:rPr>
        <w:t>基金托管人</w:t>
      </w:r>
      <w:r w:rsidRPr="000073C0">
        <w:rPr>
          <w:rFonts w:ascii="宋体" w:eastAsia="宋体" w:hAnsi="宋体"/>
          <w:b/>
          <w:sz w:val="30"/>
        </w:rPr>
        <w:t>: 中国建设银行股份有限公司</w:t>
      </w:r>
      <w:r w:rsidRPr="000073C0">
        <w:rPr>
          <w:rFonts w:ascii="宋体" w:eastAsia="宋体" w:hAnsi="宋体"/>
          <w:b/>
          <w:sz w:val="30"/>
        </w:rPr>
        <w:br w:type="page"/>
      </w:r>
    </w:p>
    <w:p w:rsidR="000073C0" w:rsidRDefault="000073C0" w:rsidP="000073C0">
      <w:pPr>
        <w:pStyle w:val="2"/>
        <w:jc w:val="center"/>
        <w:rPr>
          <w:rFonts w:ascii="宋体" w:eastAsia="宋体" w:hAnsi="宋体"/>
          <w:sz w:val="30"/>
        </w:rPr>
      </w:pPr>
      <w:bookmarkStart w:id="0" w:name="_Toc50743121"/>
      <w:r w:rsidRPr="000073C0">
        <w:rPr>
          <w:rFonts w:ascii="宋体" w:eastAsia="宋体" w:hAnsi="宋体" w:hint="eastAsia"/>
          <w:sz w:val="30"/>
        </w:rPr>
        <w:lastRenderedPageBreak/>
        <w:t>【重要提示】</w:t>
      </w:r>
      <w:bookmarkEnd w:id="0"/>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1、本基金根据</w:t>
      </w:r>
      <w:bookmarkStart w:id="1" w:name="field_2343_approveddate_1"/>
      <w:r w:rsidR="00D82C15">
        <w:rPr>
          <w:sz w:val="21"/>
          <w:szCs w:val="21"/>
        </w:rPr>
        <w:t>2013年06月06日</w:t>
      </w:r>
      <w:bookmarkEnd w:id="1"/>
      <w:r>
        <w:rPr>
          <w:rFonts w:hint="eastAsia"/>
          <w:sz w:val="21"/>
          <w:szCs w:val="21"/>
        </w:rPr>
        <w:t>中国证券监督管理委员会《关于核准博时双月薪定期支付债券型证券投资基金募集的批复》（证监许可</w:t>
      </w:r>
      <w:bookmarkStart w:id="2" w:name="field_2343_lotnumber_1"/>
      <w:r w:rsidR="00D82C15">
        <w:rPr>
          <w:sz w:val="21"/>
          <w:szCs w:val="21"/>
        </w:rPr>
        <w:t>[2013]761</w:t>
      </w:r>
      <w:bookmarkEnd w:id="2"/>
      <w:r>
        <w:rPr>
          <w:rFonts w:hint="eastAsia"/>
          <w:sz w:val="21"/>
          <w:szCs w:val="21"/>
        </w:rPr>
        <w:t>号）和 2013 年 8 月 21日《关于</w:t>
      </w:r>
      <w:bookmarkStart w:id="3" w:name="field_49_productfullname_1"/>
      <w:r w:rsidR="00D82C15">
        <w:rPr>
          <w:rFonts w:hint="eastAsia"/>
          <w:sz w:val="21"/>
          <w:szCs w:val="21"/>
        </w:rPr>
        <w:t>博时双月薪定期支付债券型证券投资基金</w:t>
      </w:r>
      <w:bookmarkEnd w:id="3"/>
      <w:r>
        <w:rPr>
          <w:rFonts w:hint="eastAsia"/>
          <w:sz w:val="21"/>
          <w:szCs w:val="21"/>
        </w:rPr>
        <w:t xml:space="preserve">募集时间安排的确认函》（基金部函【2013】730号）的核准，进行募集。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2、基金管理人保证招募说明书的内容真实、准确、完整。本招募说明书经中国证监会核准，但中国证监会对本基金募集的核准，并不表明其对本基金的价值和收益作出实质性判断或保证，也不表明投资于本基金没有风险。基金管理人依照恪尽职守、诚实信用、谨慎勤勉的原则管理和运用基金财产，但不保证基金一定盈利，也不保证最低收益。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3、本基金投资于固定收益品种，投资者在投资本基金前，需充分了解本基金的产品特性，并承担基金投资中出现的各类风险。投资本基金可能遇到的风险包括：利率风险，本基金持有的信用品种违约带来的信用风险，债券回购风险等等；基金运作风险，包括在本基金的封闭运作期间，基金份额持有人面临不能赎回基金份额的风险，以及基金管理人在基金管理运作过程中产生的基金管理风险，等等。此外，本基金以1元初始面值进行募集，在市场波动等因素的影响下，存在基金份额净值跌破1元初始面值的风险。本基金为债券型基金，预期收益和风险高于货币市场基金，低于混合型基金、股票型基金，属于中低风险/收益的产品。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4、本基金的投资市场主要为证券交易所、全国银行间债券市场等流动性较好的规范型交易场所，主要投资对象为具有良好流动性的金融工具（包括国内依法发行上市的债券和货币市场工具等），同时本基金基于分散投资的原则在行业和个券方面未有高集中度的特征，综合评估在正常市场环境下本基金的流动性风险适中。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5、基金管理人力争向基金持有人定期支付稳定的现金流，但定期支付的现金流不等同于基金的分红；每次支付的现金流数量也可能因投资标的变动、信用违约的发生、融资成本变动等因素发生变化。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6、本基金以向持有人提供稳定的现金流为投资目标，本基金定期提供的现金流的主要来源是所持有的信用债券的票息收入和本金。基金管理人将通过勤勉尽责的研究和投资管理工作，严格控制信用风险；并通过组合中个券权重的控制来分散信用风险；但是本基金无法</w:t>
      </w:r>
      <w:r>
        <w:rPr>
          <w:rFonts w:hint="eastAsia"/>
          <w:sz w:val="21"/>
          <w:szCs w:val="21"/>
        </w:rPr>
        <w:lastRenderedPageBreak/>
        <w:t xml:space="preserve">完全规避信用违约风险，如果组合所持有的信用债券出现违约，将对本基金定期向持有人支付的现金流产生影响。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7、本基金主要投资策略是买入与封闭期相匹配的债券，并持有到期；同时基金管理人将通过正回购，融资买入债券，获得杠杆放大收益，增强投资人的投资收益和现金流收入。本基金总资产和基金净值的比例不超过200%；基金管理人将严格控制杠杆的比例；但是本基金无法完全规避使用杠杆带来的投资风险，包括：当融资成本出现显著持续的上升时，将降低投资人投资收益和现金流收入的风险；无法继续融资时，基金管理人被迫卖出债券导致损失的风险；使用杠杆使得市场风险导致的组合净值波动加大的风险等。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8、本基金的一部分资产将可能投资于中小企业私募债券。由于中小企业私募债券发行门槛低，投资过程中的信用风险也相应增加。有可能出现债券到期后，企业不能按时清偿债务，或者在存续期内评级被下调的风险。中小企业私募债券不能在交易所上市交易，而是通过上证所固定收益证券综合电子平台及深交所综合协议交易平台，或证券公司进行转让，同时，交易所按照申报时间先后顺序对私募债券转让进行确认，对导致私募债券投资者超过200人的转让不予确认。因此，本基金在投资中小企业私募债券的过程中，面临着流动性风险。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9、本基金的业绩比较基准为3年期定期存款利率（税后），每个运作周期首日，3年期定期存款利率根据当日中国人民银行公布并执行的利率水平调整，但本基金的收益水平有可能不能达到或超过同期的目标收益率水平，投资者面临获得低于目标收益率甚至亏损的风险。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10、在本基金的自动赎回期，登记机构自动为基金份额持有人发起当期新增份额的自动赎回业务，基金份额持有人在自动赎回期仅能被动接受新增份额的自动赎回。在自动赎回期T日收市后，本基金净值将以已实现收益（为正时）为上限，进行基金份额的折算。折算后，其折算后新增的份额将被自动赎回。自动赎回期为运作周期内每两个自然月的第3个工作日，共1个工作日。本基金在自动赎回期按基金合同约定的规则为基金份额持有人自动赎回部分基金份额，除此之外，自动赎回期不接受基金份额持有人的主动赎回，亦不接受投资人的申购。本基金每个运作周期的前4个月（含第4个月）为建仓期，不设自动赎回期。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11、基金不同于银行储蓄与债券，基金投资者有可能获得较高的收益，也有可能损失本金。投资有风险，投资者在进行投资决策前，请仔细阅读本基金的招募说明书、《基金合同》及基金产品资料概要等信息披露文件。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lastRenderedPageBreak/>
        <w:t xml:space="preserve">12、基金的过往业绩并不预示其未来表现。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13、基金管理人提醒投资人基金投资的“买者自负”原则，在投资人作出投资决策后，基金运营状况与基金净值变化引致的投资风险，由投资人自行负责。 </w:t>
      </w:r>
    </w:p>
    <w:p w:rsidR="000073C0" w:rsidRDefault="000073C0">
      <w:pPr>
        <w:pStyle w:val="a3"/>
        <w:spacing w:before="0" w:beforeAutospacing="0" w:after="0" w:afterAutospacing="0" w:line="360" w:lineRule="auto"/>
        <w:ind w:firstLine="420"/>
        <w:divId w:val="1495536416"/>
        <w:rPr>
          <w:sz w:val="21"/>
          <w:szCs w:val="21"/>
        </w:rPr>
      </w:pPr>
      <w:r>
        <w:rPr>
          <w:rFonts w:hint="eastAsia"/>
          <w:sz w:val="21"/>
          <w:szCs w:val="21"/>
        </w:rPr>
        <w:t xml:space="preserve">本招募说明书约定的基金产品资料概要的编制、披露及更新要求，将不晚于2020年9月1日起执行。 </w:t>
      </w:r>
    </w:p>
    <w:p w:rsidR="000073C0" w:rsidRPr="000073C0" w:rsidRDefault="000073C0" w:rsidP="000073C0">
      <w:pPr>
        <w:pStyle w:val="a3"/>
        <w:spacing w:before="0" w:beforeAutospacing="0" w:after="0" w:afterAutospacing="0" w:line="360" w:lineRule="auto"/>
        <w:ind w:firstLine="420"/>
        <w:divId w:val="1475683696"/>
        <w:rPr>
          <w:sz w:val="21"/>
          <w:szCs w:val="21"/>
        </w:rPr>
      </w:pPr>
      <w:r>
        <w:rPr>
          <w:rFonts w:hint="eastAsia"/>
          <w:sz w:val="21"/>
          <w:szCs w:val="21"/>
        </w:rPr>
        <w:t>本招募说明书更新所载内容截止日为</w:t>
      </w:r>
      <w:bookmarkStart w:id="4" w:name="field_2343_infoendday_1"/>
      <w:r w:rsidR="00D82C15">
        <w:rPr>
          <w:sz w:val="21"/>
          <w:szCs w:val="21"/>
        </w:rPr>
        <w:t>2020年08月31日</w:t>
      </w:r>
      <w:bookmarkEnd w:id="4"/>
      <w:r>
        <w:rPr>
          <w:rFonts w:hint="eastAsia"/>
          <w:sz w:val="21"/>
          <w:szCs w:val="21"/>
        </w:rPr>
        <w:t>，有关财务数据和净值表现截止日为</w:t>
      </w:r>
      <w:bookmarkStart w:id="5" w:name="field_2343_financeendday_1"/>
      <w:r w:rsidR="00D82C15">
        <w:rPr>
          <w:sz w:val="21"/>
          <w:szCs w:val="21"/>
        </w:rPr>
        <w:t>2020年06月30日</w:t>
      </w:r>
      <w:bookmarkEnd w:id="5"/>
      <w:r>
        <w:rPr>
          <w:rFonts w:hint="eastAsia"/>
          <w:sz w:val="21"/>
          <w:szCs w:val="21"/>
        </w:rPr>
        <w:t xml:space="preserve">。（财务数据未经审计）  </w:t>
      </w:r>
      <w:r w:rsidRPr="000073C0">
        <w:rPr>
          <w:sz w:val="30"/>
        </w:rPr>
        <w:br w:type="page"/>
      </w:r>
    </w:p>
    <w:p w:rsidR="000073C0" w:rsidRDefault="000073C0" w:rsidP="000073C0">
      <w:pPr>
        <w:widowControl/>
        <w:jc w:val="center"/>
        <w:rPr>
          <w:rFonts w:ascii="宋体" w:eastAsia="宋体" w:hAnsi="宋体"/>
          <w:b/>
          <w:sz w:val="28"/>
        </w:rPr>
      </w:pPr>
      <w:r w:rsidRPr="000073C0">
        <w:rPr>
          <w:rFonts w:ascii="宋体" w:eastAsia="宋体" w:hAnsi="宋体" w:hint="eastAsia"/>
          <w:b/>
          <w:sz w:val="28"/>
        </w:rPr>
        <w:lastRenderedPageBreak/>
        <w:t>目录</w:t>
      </w:r>
    </w:p>
    <w:p w:rsidR="000073C0" w:rsidRPr="000073C0" w:rsidRDefault="000073C0" w:rsidP="000073C0">
      <w:pPr>
        <w:pStyle w:val="21"/>
        <w:tabs>
          <w:tab w:val="right" w:leader="dot" w:pos="8290"/>
        </w:tabs>
        <w:spacing w:line="360" w:lineRule="auto"/>
        <w:rPr>
          <w:rFonts w:ascii="宋体" w:eastAsia="宋体" w:hAnsi="宋体"/>
          <w:noProof/>
        </w:rPr>
      </w:pPr>
      <w:r w:rsidRPr="000073C0">
        <w:rPr>
          <w:rFonts w:ascii="宋体" w:eastAsia="宋体" w:hAnsi="宋体"/>
        </w:rPr>
        <w:fldChar w:fldCharType="begin"/>
      </w:r>
      <w:r w:rsidRPr="000073C0">
        <w:rPr>
          <w:rFonts w:ascii="宋体" w:eastAsia="宋体" w:hAnsi="宋体"/>
        </w:rPr>
        <w:instrText xml:space="preserve"> TOC \o "1-2" \f 8 \h \t "2" </w:instrText>
      </w:r>
      <w:r w:rsidRPr="000073C0">
        <w:rPr>
          <w:rFonts w:ascii="宋体" w:eastAsia="宋体" w:hAnsi="宋体"/>
        </w:rPr>
        <w:fldChar w:fldCharType="separate"/>
      </w:r>
      <w:hyperlink w:anchor="_Toc50743121" w:history="1">
        <w:r w:rsidRPr="000073C0">
          <w:rPr>
            <w:rStyle w:val="a5"/>
            <w:rFonts w:ascii="宋体" w:eastAsia="宋体" w:hAnsi="宋体" w:hint="eastAsia"/>
            <w:noProof/>
            <w:u w:val="none"/>
          </w:rPr>
          <w:t>【重要提示】</w:t>
        </w:r>
        <w:r w:rsidRPr="000073C0">
          <w:rPr>
            <w:rFonts w:ascii="宋体" w:eastAsia="宋体" w:hAnsi="宋体"/>
            <w:noProof/>
          </w:rPr>
          <w:tab/>
        </w:r>
        <w:r w:rsidRPr="000073C0">
          <w:rPr>
            <w:rFonts w:ascii="宋体" w:eastAsia="宋体" w:hAnsi="宋体"/>
            <w:noProof/>
          </w:rPr>
          <w:fldChar w:fldCharType="begin"/>
        </w:r>
        <w:r w:rsidRPr="000073C0">
          <w:rPr>
            <w:rFonts w:ascii="宋体" w:eastAsia="宋体" w:hAnsi="宋体"/>
            <w:noProof/>
          </w:rPr>
          <w:instrText xml:space="preserve"> PAGEREF _Toc50743121 \h </w:instrText>
        </w:r>
        <w:r w:rsidRPr="000073C0">
          <w:rPr>
            <w:rFonts w:ascii="宋体" w:eastAsia="宋体" w:hAnsi="宋体"/>
            <w:noProof/>
          </w:rPr>
        </w:r>
        <w:r w:rsidRPr="000073C0">
          <w:rPr>
            <w:rFonts w:ascii="宋体" w:eastAsia="宋体" w:hAnsi="宋体"/>
            <w:noProof/>
          </w:rPr>
          <w:fldChar w:fldCharType="separate"/>
        </w:r>
        <w:r w:rsidR="0023710A">
          <w:rPr>
            <w:rFonts w:ascii="宋体" w:eastAsia="宋体" w:hAnsi="宋体"/>
            <w:noProof/>
          </w:rPr>
          <w:t>2</w:t>
        </w:r>
        <w:r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2" w:history="1">
        <w:r w:rsidR="000073C0" w:rsidRPr="000073C0">
          <w:rPr>
            <w:rStyle w:val="a5"/>
            <w:rFonts w:ascii="宋体" w:eastAsia="宋体" w:hAnsi="宋体" w:hint="eastAsia"/>
            <w:noProof/>
            <w:u w:val="none"/>
          </w:rPr>
          <w:t>第一部分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绪言</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_Toc50743122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6</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3" w:history="1">
        <w:r w:rsidR="000073C0" w:rsidRPr="000073C0">
          <w:rPr>
            <w:rStyle w:val="a5"/>
            <w:rFonts w:ascii="宋体" w:eastAsia="宋体" w:hAnsi="宋体" w:hint="eastAsia"/>
            <w:noProof/>
            <w:u w:val="none"/>
          </w:rPr>
          <w:t>第二部分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释义</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_Toc50743123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7</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4" w:history="1">
        <w:r w:rsidR="000073C0" w:rsidRPr="000073C0">
          <w:rPr>
            <w:rStyle w:val="a5"/>
            <w:rFonts w:ascii="宋体" w:eastAsia="宋体" w:hAnsi="宋体" w:hint="eastAsia"/>
            <w:noProof/>
            <w:u w:val="none"/>
          </w:rPr>
          <w:t>第三部分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基金管理人</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_Toc50743124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12</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5" w:history="1">
        <w:r w:rsidR="000073C0" w:rsidRPr="000073C0">
          <w:rPr>
            <w:rStyle w:val="a5"/>
            <w:rFonts w:ascii="宋体" w:eastAsia="宋体" w:hAnsi="宋体" w:hint="eastAsia"/>
            <w:noProof/>
            <w:u w:val="none"/>
          </w:rPr>
          <w:t>第四部分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基金托管人</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_Toc50743125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28</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6" w:history="1">
        <w:r w:rsidR="000073C0" w:rsidRPr="000073C0">
          <w:rPr>
            <w:rStyle w:val="a5"/>
            <w:rFonts w:ascii="宋体" w:eastAsia="宋体" w:hAnsi="宋体" w:hint="eastAsia"/>
            <w:noProof/>
            <w:u w:val="none"/>
          </w:rPr>
          <w:t>第五部分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相关服务机构</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_Toc50743126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31</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7" w:history="1">
        <w:r w:rsidR="000073C0" w:rsidRPr="000073C0">
          <w:rPr>
            <w:rStyle w:val="a5"/>
            <w:rFonts w:ascii="宋体" w:eastAsia="宋体" w:hAnsi="宋体" w:hint="eastAsia"/>
            <w:noProof/>
            <w:u w:val="none"/>
          </w:rPr>
          <w:t>第六部分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基金的募集与基金合同的生效</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_Toc50743127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59</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8" w:history="1">
        <w:r w:rsidR="000073C0" w:rsidRPr="000073C0">
          <w:rPr>
            <w:rStyle w:val="a5"/>
            <w:rFonts w:ascii="宋体" w:eastAsia="宋体" w:hAnsi="宋体" w:hint="eastAsia"/>
            <w:noProof/>
            <w:u w:val="none"/>
          </w:rPr>
          <w:t>第七部分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基金份额的封闭期和开放期</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_Toc50743128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60</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29" w:history="1">
        <w:r w:rsidR="000073C0" w:rsidRPr="000073C0">
          <w:rPr>
            <w:rStyle w:val="a5"/>
            <w:rFonts w:ascii="宋体" w:eastAsia="宋体" w:hAnsi="宋体" w:hint="eastAsia"/>
            <w:noProof/>
            <w:u w:val="none"/>
          </w:rPr>
          <w:t>第八部分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基金份额的折算</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_Toc50743129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62</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0" w:history="1">
        <w:r w:rsidR="000073C0" w:rsidRPr="000073C0">
          <w:rPr>
            <w:rStyle w:val="a5"/>
            <w:rFonts w:ascii="宋体" w:eastAsia="宋体" w:hAnsi="宋体" w:hint="eastAsia"/>
            <w:noProof/>
            <w:u w:val="none"/>
          </w:rPr>
          <w:t>第九部分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基金份额的申购、赎回与转换</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_Toc50743130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64</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1" w:history="1">
        <w:r w:rsidR="000073C0" w:rsidRPr="000073C0">
          <w:rPr>
            <w:rStyle w:val="a5"/>
            <w:rFonts w:ascii="宋体" w:eastAsia="宋体" w:hAnsi="宋体" w:hint="eastAsia"/>
            <w:noProof/>
            <w:u w:val="none"/>
          </w:rPr>
          <w:t>第十部分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基金的投资</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_Toc50743131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74</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2" w:history="1">
        <w:r w:rsidR="000073C0" w:rsidRPr="000073C0">
          <w:rPr>
            <w:rStyle w:val="a5"/>
            <w:rFonts w:ascii="宋体" w:eastAsia="宋体" w:hAnsi="宋体" w:hint="eastAsia"/>
            <w:noProof/>
            <w:u w:val="none"/>
          </w:rPr>
          <w:t>第十一部分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基金的业绩</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_Toc50743132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82</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3" w:history="1">
        <w:r w:rsidR="000073C0" w:rsidRPr="000073C0">
          <w:rPr>
            <w:rStyle w:val="a5"/>
            <w:rFonts w:ascii="宋体" w:eastAsia="宋体" w:hAnsi="宋体" w:hint="eastAsia"/>
            <w:noProof/>
            <w:u w:val="none"/>
          </w:rPr>
          <w:t>第十二部分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基金的财产</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_Toc50743133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83</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4" w:history="1">
        <w:r w:rsidR="000073C0" w:rsidRPr="000073C0">
          <w:rPr>
            <w:rStyle w:val="a5"/>
            <w:rFonts w:ascii="宋体" w:eastAsia="宋体" w:hAnsi="宋体" w:hint="eastAsia"/>
            <w:noProof/>
            <w:u w:val="none"/>
          </w:rPr>
          <w:t>第十三部分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基金资产的估值</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_Toc50743134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84</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5" w:history="1">
        <w:r w:rsidR="000073C0" w:rsidRPr="000073C0">
          <w:rPr>
            <w:rStyle w:val="a5"/>
            <w:rFonts w:ascii="宋体" w:eastAsia="宋体" w:hAnsi="宋体" w:hint="eastAsia"/>
            <w:noProof/>
            <w:u w:val="none"/>
          </w:rPr>
          <w:t>第十四部分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基金的收益与分配</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_Toc50743135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89</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6" w:history="1">
        <w:r w:rsidR="000073C0" w:rsidRPr="000073C0">
          <w:rPr>
            <w:rStyle w:val="a5"/>
            <w:rFonts w:ascii="宋体" w:eastAsia="宋体" w:hAnsi="宋体" w:hint="eastAsia"/>
            <w:noProof/>
            <w:u w:val="none"/>
          </w:rPr>
          <w:t>第十五部分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基金费用与税收</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_Toc50743136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90</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7" w:history="1">
        <w:r w:rsidR="000073C0" w:rsidRPr="000073C0">
          <w:rPr>
            <w:rStyle w:val="a5"/>
            <w:rFonts w:ascii="宋体" w:eastAsia="宋体" w:hAnsi="宋体" w:hint="eastAsia"/>
            <w:noProof/>
            <w:u w:val="none"/>
          </w:rPr>
          <w:t>第十</w:t>
        </w:r>
        <w:bookmarkStart w:id="6" w:name="_GoBack"/>
        <w:bookmarkEnd w:id="6"/>
        <w:r w:rsidR="000073C0" w:rsidRPr="000073C0">
          <w:rPr>
            <w:rStyle w:val="a5"/>
            <w:rFonts w:ascii="宋体" w:eastAsia="宋体" w:hAnsi="宋体" w:hint="eastAsia"/>
            <w:noProof/>
            <w:u w:val="none"/>
          </w:rPr>
          <w:t>六部分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基金的会计与审计</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_Toc50743137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93</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8" w:history="1">
        <w:r w:rsidR="000073C0" w:rsidRPr="000073C0">
          <w:rPr>
            <w:rStyle w:val="a5"/>
            <w:rFonts w:ascii="宋体" w:eastAsia="宋体" w:hAnsi="宋体" w:hint="eastAsia"/>
            <w:noProof/>
            <w:u w:val="none"/>
          </w:rPr>
          <w:t>第十七部分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基金的信息披露</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_Toc50743138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94</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39" w:history="1">
        <w:r w:rsidR="000073C0" w:rsidRPr="000073C0">
          <w:rPr>
            <w:rStyle w:val="a5"/>
            <w:rFonts w:ascii="宋体" w:eastAsia="宋体" w:hAnsi="宋体" w:hint="eastAsia"/>
            <w:noProof/>
            <w:u w:val="none"/>
          </w:rPr>
          <w:t>第十八部分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风险揭示</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_Toc50743139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100</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40" w:history="1">
        <w:r w:rsidR="000073C0" w:rsidRPr="000073C0">
          <w:rPr>
            <w:rStyle w:val="a5"/>
            <w:rFonts w:ascii="宋体" w:eastAsia="宋体" w:hAnsi="宋体" w:hint="eastAsia"/>
            <w:noProof/>
            <w:u w:val="none"/>
          </w:rPr>
          <w:t>第十九部分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基金合同的变更、终止与基金财产的清算</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_Toc50743140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105</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41" w:history="1">
        <w:r w:rsidR="000073C0" w:rsidRPr="000073C0">
          <w:rPr>
            <w:rStyle w:val="a5"/>
            <w:rFonts w:ascii="宋体" w:eastAsia="宋体" w:hAnsi="宋体" w:hint="eastAsia"/>
            <w:noProof/>
            <w:u w:val="none"/>
          </w:rPr>
          <w:t>第二十部分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基金合同的内容摘要</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_Toc50743141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107</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42" w:history="1">
        <w:r w:rsidR="000073C0" w:rsidRPr="000073C0">
          <w:rPr>
            <w:rStyle w:val="a5"/>
            <w:rFonts w:ascii="宋体" w:eastAsia="宋体" w:hAnsi="宋体" w:hint="eastAsia"/>
            <w:noProof/>
            <w:u w:val="none"/>
          </w:rPr>
          <w:t>第二十一部分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基金托管协议的内容摘要</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_Toc50743142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122</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43" w:history="1">
        <w:r w:rsidR="000073C0" w:rsidRPr="000073C0">
          <w:rPr>
            <w:rStyle w:val="a5"/>
            <w:rFonts w:ascii="宋体" w:eastAsia="宋体" w:hAnsi="宋体" w:hint="eastAsia"/>
            <w:noProof/>
            <w:u w:val="none"/>
          </w:rPr>
          <w:t>第二十二部分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对基金份额持有人的服务</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_Toc50743143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136</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44" w:history="1">
        <w:r w:rsidR="000073C0" w:rsidRPr="000073C0">
          <w:rPr>
            <w:rStyle w:val="a5"/>
            <w:rFonts w:ascii="宋体" w:eastAsia="宋体" w:hAnsi="宋体" w:hint="eastAsia"/>
            <w:noProof/>
            <w:u w:val="none"/>
          </w:rPr>
          <w:t>第二十三部分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其他应披露的事项</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_Toc50743144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138</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45" w:history="1">
        <w:r w:rsidR="000073C0" w:rsidRPr="000073C0">
          <w:rPr>
            <w:rStyle w:val="a5"/>
            <w:rFonts w:ascii="宋体" w:eastAsia="宋体" w:hAnsi="宋体" w:hint="eastAsia"/>
            <w:noProof/>
            <w:u w:val="none"/>
          </w:rPr>
          <w:t>第二十四部分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招募说明书存放及查阅方式</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_Toc50743145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140</w:t>
        </w:r>
        <w:r w:rsidR="000073C0" w:rsidRPr="000073C0">
          <w:rPr>
            <w:rFonts w:ascii="宋体" w:eastAsia="宋体" w:hAnsi="宋体"/>
            <w:noProof/>
          </w:rPr>
          <w:fldChar w:fldCharType="end"/>
        </w:r>
      </w:hyperlink>
    </w:p>
    <w:p w:rsidR="000073C0" w:rsidRPr="000073C0" w:rsidRDefault="00DD4110" w:rsidP="000073C0">
      <w:pPr>
        <w:pStyle w:val="21"/>
        <w:tabs>
          <w:tab w:val="right" w:leader="dot" w:pos="8290"/>
        </w:tabs>
        <w:spacing w:line="360" w:lineRule="auto"/>
        <w:rPr>
          <w:rFonts w:ascii="宋体" w:eastAsia="宋体" w:hAnsi="宋体"/>
          <w:noProof/>
        </w:rPr>
      </w:pPr>
      <w:hyperlink w:anchor="_Toc50743146" w:history="1">
        <w:r w:rsidR="000073C0" w:rsidRPr="000073C0">
          <w:rPr>
            <w:rStyle w:val="a5"/>
            <w:rFonts w:ascii="宋体" w:eastAsia="宋体" w:hAnsi="宋体" w:hint="eastAsia"/>
            <w:noProof/>
            <w:u w:val="none"/>
          </w:rPr>
          <w:t>第二十五部分</w:t>
        </w:r>
        <w:r w:rsidR="000073C0" w:rsidRPr="000073C0">
          <w:rPr>
            <w:rStyle w:val="a5"/>
            <w:rFonts w:ascii="宋体" w:eastAsia="宋体" w:hAnsi="宋体"/>
            <w:noProof/>
            <w:u w:val="none"/>
          </w:rPr>
          <w:t xml:space="preserve">  </w:t>
        </w:r>
        <w:r w:rsidR="000073C0" w:rsidRPr="000073C0">
          <w:rPr>
            <w:rStyle w:val="a5"/>
            <w:rFonts w:ascii="宋体" w:eastAsia="宋体" w:hAnsi="宋体" w:hint="eastAsia"/>
            <w:noProof/>
            <w:u w:val="none"/>
          </w:rPr>
          <w:t>备查文件</w:t>
        </w:r>
        <w:r w:rsidR="000073C0" w:rsidRPr="000073C0">
          <w:rPr>
            <w:rFonts w:ascii="宋体" w:eastAsia="宋体" w:hAnsi="宋体"/>
            <w:noProof/>
          </w:rPr>
          <w:tab/>
        </w:r>
        <w:r w:rsidR="000073C0" w:rsidRPr="000073C0">
          <w:rPr>
            <w:rFonts w:ascii="宋体" w:eastAsia="宋体" w:hAnsi="宋体"/>
            <w:noProof/>
          </w:rPr>
          <w:fldChar w:fldCharType="begin"/>
        </w:r>
        <w:r w:rsidR="000073C0" w:rsidRPr="000073C0">
          <w:rPr>
            <w:rFonts w:ascii="宋体" w:eastAsia="宋体" w:hAnsi="宋体"/>
            <w:noProof/>
          </w:rPr>
          <w:instrText xml:space="preserve"> PAGEREF _Toc50743146 \h </w:instrText>
        </w:r>
        <w:r w:rsidR="000073C0" w:rsidRPr="000073C0">
          <w:rPr>
            <w:rFonts w:ascii="宋体" w:eastAsia="宋体" w:hAnsi="宋体"/>
            <w:noProof/>
          </w:rPr>
        </w:r>
        <w:r w:rsidR="000073C0" w:rsidRPr="000073C0">
          <w:rPr>
            <w:rFonts w:ascii="宋体" w:eastAsia="宋体" w:hAnsi="宋体"/>
            <w:noProof/>
          </w:rPr>
          <w:fldChar w:fldCharType="separate"/>
        </w:r>
        <w:r w:rsidR="0023710A">
          <w:rPr>
            <w:rFonts w:ascii="宋体" w:eastAsia="宋体" w:hAnsi="宋体"/>
            <w:noProof/>
          </w:rPr>
          <w:t>141</w:t>
        </w:r>
        <w:r w:rsidR="000073C0" w:rsidRPr="000073C0">
          <w:rPr>
            <w:rFonts w:ascii="宋体" w:eastAsia="宋体" w:hAnsi="宋体"/>
            <w:noProof/>
          </w:rPr>
          <w:fldChar w:fldCharType="end"/>
        </w:r>
      </w:hyperlink>
    </w:p>
    <w:p w:rsidR="000073C0" w:rsidRPr="000073C0" w:rsidRDefault="000073C0" w:rsidP="000073C0">
      <w:pPr>
        <w:widowControl/>
        <w:spacing w:line="360" w:lineRule="auto"/>
        <w:ind w:leftChars="-1" w:left="-2"/>
        <w:jc w:val="center"/>
        <w:rPr>
          <w:rFonts w:ascii="宋体" w:eastAsia="宋体" w:hAnsi="宋体"/>
          <w:b/>
          <w:sz w:val="28"/>
        </w:rPr>
      </w:pPr>
      <w:r w:rsidRPr="000073C0">
        <w:rPr>
          <w:rFonts w:ascii="宋体" w:eastAsia="宋体" w:hAnsi="宋体"/>
        </w:rPr>
        <w:fldChar w:fldCharType="end"/>
      </w:r>
    </w:p>
    <w:p w:rsidR="000073C0" w:rsidRPr="000073C0" w:rsidRDefault="000073C0">
      <w:pPr>
        <w:widowControl/>
        <w:jc w:val="left"/>
        <w:rPr>
          <w:rFonts w:ascii="宋体" w:eastAsia="宋体" w:hAnsi="宋体"/>
        </w:rPr>
      </w:pPr>
      <w:r w:rsidRPr="000073C0">
        <w:rPr>
          <w:rFonts w:ascii="宋体" w:eastAsia="宋体" w:hAnsi="宋体"/>
        </w:rPr>
        <w:br w:type="page"/>
      </w:r>
    </w:p>
    <w:p w:rsidR="00C31BA6" w:rsidRPr="000073C0" w:rsidRDefault="000073C0" w:rsidP="000073C0">
      <w:pPr>
        <w:pStyle w:val="2"/>
        <w:jc w:val="center"/>
        <w:rPr>
          <w:rFonts w:ascii="宋体" w:eastAsia="宋体" w:hAnsi="宋体"/>
          <w:sz w:val="30"/>
        </w:rPr>
      </w:pPr>
      <w:bookmarkStart w:id="7" w:name="chapter_level1_3_2344"/>
      <w:bookmarkStart w:id="8" w:name="_Toc50743122"/>
      <w:r w:rsidRPr="000073C0">
        <w:rPr>
          <w:rFonts w:ascii="宋体" w:eastAsia="宋体" w:hAnsi="宋体" w:hint="eastAsia"/>
          <w:sz w:val="30"/>
        </w:rPr>
        <w:lastRenderedPageBreak/>
        <w:t>第一部分  绪言</w:t>
      </w:r>
      <w:bookmarkEnd w:id="7"/>
      <w:bookmarkEnd w:id="8"/>
    </w:p>
    <w:p w:rsidR="000073C0" w:rsidRPr="000073C0" w:rsidRDefault="000073C0">
      <w:pPr>
        <w:pStyle w:val="a3"/>
        <w:spacing w:before="0" w:beforeAutospacing="0" w:after="0" w:afterAutospacing="0" w:line="360" w:lineRule="auto"/>
        <w:ind w:firstLine="420"/>
        <w:divId w:val="143157202"/>
        <w:rPr>
          <w:sz w:val="21"/>
          <w:szCs w:val="21"/>
        </w:rPr>
      </w:pPr>
      <w:bookmarkStart w:id="9" w:name="chapter_level1_3_2344_section_1"/>
      <w:bookmarkEnd w:id="9"/>
      <w:r w:rsidRPr="000073C0">
        <w:rPr>
          <w:rFonts w:hint="eastAsia"/>
          <w:sz w:val="21"/>
          <w:szCs w:val="21"/>
        </w:rPr>
        <w:t>《</w:t>
      </w:r>
      <w:bookmarkStart w:id="10" w:name="field_49_productfullname_2"/>
      <w:r w:rsidR="00D82C15">
        <w:rPr>
          <w:rFonts w:hint="eastAsia"/>
          <w:sz w:val="21"/>
          <w:szCs w:val="21"/>
        </w:rPr>
        <w:t>博时双月薪定期支付债券型证券投资基金</w:t>
      </w:r>
      <w:bookmarkEnd w:id="10"/>
      <w:r w:rsidRPr="000073C0">
        <w:rPr>
          <w:rFonts w:hint="eastAsia"/>
          <w:sz w:val="21"/>
          <w:szCs w:val="21"/>
        </w:rPr>
        <w:t>招募说明书》（以下简称“招募说明书”或“本招募说明书”）依照《中华人民共和国证券投资基金法》（以下简称“《基金法》”）、《证券投资基金运作管理办法》（以下简称“《运作办法》”）、《证券投资基金销售管理办法》（以下简称“《销售办法》”）、《公开募集证券投资基金信息披露管理办法》（以下简称“《信息披露办法》”）、《公开募集开放式证券投资基金流动性风险管理规定》（以下简称“《流动性风险管理规定》”）以及《</w:t>
      </w:r>
      <w:bookmarkStart w:id="11" w:name="field_49_productfullname_3"/>
      <w:r w:rsidR="00D82C15">
        <w:rPr>
          <w:rFonts w:hint="eastAsia"/>
          <w:sz w:val="21"/>
          <w:szCs w:val="21"/>
        </w:rPr>
        <w:t>博时双月薪定期支付债券型证券投资基金</w:t>
      </w:r>
      <w:bookmarkEnd w:id="11"/>
      <w:r w:rsidRPr="000073C0">
        <w:rPr>
          <w:rFonts w:hint="eastAsia"/>
          <w:sz w:val="21"/>
          <w:szCs w:val="21"/>
        </w:rPr>
        <w:t xml:space="preserve">基金合同》（以下简称“基金合同”或“《基金合同》”）编写。  </w:t>
      </w:r>
    </w:p>
    <w:p w:rsidR="000073C0" w:rsidRPr="000073C0" w:rsidRDefault="000073C0">
      <w:pPr>
        <w:pStyle w:val="a3"/>
        <w:spacing w:before="0" w:beforeAutospacing="0" w:after="0" w:afterAutospacing="0" w:line="360" w:lineRule="auto"/>
        <w:ind w:firstLine="420"/>
        <w:divId w:val="143157202"/>
        <w:rPr>
          <w:sz w:val="21"/>
          <w:szCs w:val="21"/>
        </w:rPr>
      </w:pPr>
      <w:r w:rsidRPr="000073C0">
        <w:rPr>
          <w:rFonts w:hint="eastAsia"/>
          <w:sz w:val="21"/>
          <w:szCs w:val="21"/>
        </w:rPr>
        <w:t xml:space="preserve">基金管理人承诺本招募说明书不存在任何虚假记载、误导性陈述或重大遗漏，并对其真实性、准确性、完整性承担法律责任。 </w:t>
      </w:r>
    </w:p>
    <w:p w:rsidR="000073C0" w:rsidRPr="000073C0" w:rsidRDefault="00D82C15">
      <w:pPr>
        <w:pStyle w:val="a3"/>
        <w:spacing w:before="0" w:beforeAutospacing="0" w:after="0" w:afterAutospacing="0" w:line="360" w:lineRule="auto"/>
        <w:ind w:firstLine="420"/>
        <w:divId w:val="143157202"/>
        <w:rPr>
          <w:sz w:val="21"/>
          <w:szCs w:val="21"/>
        </w:rPr>
      </w:pPr>
      <w:bookmarkStart w:id="12" w:name="field_49_productfullname_4"/>
      <w:r>
        <w:rPr>
          <w:rFonts w:hint="eastAsia"/>
          <w:sz w:val="21"/>
          <w:szCs w:val="21"/>
        </w:rPr>
        <w:t>博时双月薪定期支付债券型证券投资基金</w:t>
      </w:r>
      <w:bookmarkEnd w:id="12"/>
      <w:r w:rsidR="000073C0" w:rsidRPr="000073C0">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0073C0" w:rsidRPr="000073C0" w:rsidRDefault="000073C0">
      <w:pPr>
        <w:pStyle w:val="a3"/>
        <w:spacing w:before="0" w:beforeAutospacing="0" w:after="0" w:afterAutospacing="0" w:line="360" w:lineRule="auto"/>
        <w:ind w:firstLine="420"/>
        <w:divId w:val="143157202"/>
        <w:rPr>
          <w:sz w:val="21"/>
          <w:szCs w:val="21"/>
        </w:rPr>
      </w:pPr>
      <w:r w:rsidRPr="000073C0">
        <w:rPr>
          <w:rFonts w:hint="eastAsia"/>
          <w:sz w:val="21"/>
          <w:szCs w:val="21"/>
        </w:rPr>
        <w:t xml:space="preserve">本招募说明书根据本基金的基金合同编写，并经中国证券监督管理委员会（以下简称“中国证监会”）核准。基金合同是约定基金合同当事人之间权利、义务的法律文件。基金投资者自依基金合同取得基金份额，即成为基金份额持有人和基金合同的当事人，其持有基金份额的行为本身即表明其对基金合同的承认和接受，并按照《基金法》、基金合同及其他有关规定享有权利、承担义务。基金投资者欲了解基金份额持有人的权利和义务，应详细查阅基金合同。 </w:t>
      </w:r>
    </w:p>
    <w:p w:rsidR="000073C0" w:rsidRPr="000073C0" w:rsidRDefault="000073C0">
      <w:pPr>
        <w:pStyle w:val="a3"/>
        <w:spacing w:before="0" w:beforeAutospacing="0" w:after="0" w:afterAutospacing="0" w:line="360" w:lineRule="auto"/>
        <w:ind w:firstLine="420"/>
        <w:divId w:val="143157202"/>
        <w:rPr>
          <w:sz w:val="21"/>
          <w:szCs w:val="21"/>
        </w:rPr>
      </w:pPr>
      <w:r w:rsidRPr="000073C0">
        <w:rPr>
          <w:rFonts w:hint="eastAsia"/>
          <w:sz w:val="21"/>
          <w:szCs w:val="21"/>
        </w:rPr>
        <w:t xml:space="preserve">投资有风险，投资者认购（或申购）基金时应认真阅读本招募说明书。 </w:t>
      </w:r>
    </w:p>
    <w:p w:rsidR="000073C0" w:rsidRPr="000073C0" w:rsidRDefault="000073C0">
      <w:pPr>
        <w:pStyle w:val="a3"/>
        <w:spacing w:before="0" w:beforeAutospacing="0" w:after="0" w:afterAutospacing="0" w:line="360" w:lineRule="auto"/>
        <w:ind w:firstLine="420"/>
        <w:divId w:val="143157202"/>
        <w:rPr>
          <w:sz w:val="21"/>
          <w:szCs w:val="21"/>
        </w:rPr>
      </w:pPr>
      <w:r w:rsidRPr="000073C0">
        <w:rPr>
          <w:rFonts w:hint="eastAsia"/>
          <w:sz w:val="21"/>
          <w:szCs w:val="21"/>
        </w:rPr>
        <w:t xml:space="preserve">基金的过往业绩并不预示其未来表现。基金管理人管理的其他基金的业绩并不构成新基金业绩表现的保证。 </w:t>
      </w:r>
    </w:p>
    <w:p w:rsidR="000073C0" w:rsidRPr="000073C0" w:rsidRDefault="000073C0">
      <w:pPr>
        <w:pStyle w:val="a3"/>
        <w:spacing w:before="0" w:beforeAutospacing="0" w:after="0" w:afterAutospacing="0" w:line="360" w:lineRule="auto"/>
        <w:ind w:firstLine="420"/>
        <w:divId w:val="143157202"/>
        <w:rPr>
          <w:sz w:val="21"/>
          <w:szCs w:val="21"/>
        </w:rPr>
      </w:pPr>
      <w:r w:rsidRPr="000073C0">
        <w:rPr>
          <w:rFonts w:hint="eastAsia"/>
          <w:sz w:val="21"/>
          <w:szCs w:val="21"/>
        </w:rPr>
        <w:t>基金管理人依照恪尽职守、诚实信用、谨慎勤勉的原则管理和运用基金财产，但不保证</w:t>
      </w:r>
      <w:bookmarkStart w:id="13" w:name="chapter_level1_3_2344_section_1_end"/>
      <w:bookmarkEnd w:id="13"/>
      <w:r w:rsidRPr="000073C0">
        <w:rPr>
          <w:rFonts w:hint="eastAsia"/>
          <w:sz w:val="21"/>
          <w:szCs w:val="21"/>
        </w:rPr>
        <w:t xml:space="preserve">基金一定盈利，也不保证最低收益。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4" w:name="chapter_level1_4_49"/>
      <w:bookmarkStart w:id="15" w:name="_Toc50743123"/>
      <w:r w:rsidRPr="000073C0">
        <w:rPr>
          <w:rFonts w:ascii="宋体" w:eastAsia="宋体" w:hAnsi="宋体" w:hint="eastAsia"/>
          <w:sz w:val="30"/>
        </w:rPr>
        <w:lastRenderedPageBreak/>
        <w:t>第二部分  释义</w:t>
      </w:r>
      <w:bookmarkEnd w:id="14"/>
      <w:bookmarkEnd w:id="15"/>
    </w:p>
    <w:p w:rsidR="000073C0" w:rsidRPr="000073C0" w:rsidRDefault="000073C0">
      <w:pPr>
        <w:pStyle w:val="a3"/>
        <w:spacing w:before="0" w:beforeAutospacing="0" w:after="0" w:afterAutospacing="0" w:line="360" w:lineRule="auto"/>
        <w:ind w:firstLine="420"/>
        <w:divId w:val="636253652"/>
        <w:rPr>
          <w:sz w:val="21"/>
          <w:szCs w:val="21"/>
        </w:rPr>
      </w:pPr>
      <w:bookmarkStart w:id="16" w:name="chapter_level1_4_49_section_1"/>
      <w:bookmarkEnd w:id="16"/>
      <w:r w:rsidRPr="000073C0">
        <w:rPr>
          <w:rFonts w:hint="eastAsia"/>
          <w:sz w:val="21"/>
          <w:szCs w:val="21"/>
        </w:rPr>
        <w:t xml:space="preserve">在本招募说明书中，除非文意另有所指，下列词语或简称具有以下含义：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1、基金或本基金：指</w:t>
      </w:r>
      <w:bookmarkStart w:id="17" w:name="field_49_productfullname_5"/>
      <w:r w:rsidR="00D82C15">
        <w:rPr>
          <w:rFonts w:hint="eastAsia"/>
          <w:sz w:val="21"/>
          <w:szCs w:val="21"/>
        </w:rPr>
        <w:t>博时双月薪定期支付债券型证券投资基金</w:t>
      </w:r>
      <w:bookmarkEnd w:id="17"/>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2、基金管理人：指</w:t>
      </w:r>
      <w:bookmarkStart w:id="18" w:name="field_49_managerorgfullname_1"/>
      <w:r w:rsidR="00D82C15">
        <w:rPr>
          <w:rFonts w:hint="eastAsia"/>
          <w:sz w:val="21"/>
          <w:szCs w:val="21"/>
        </w:rPr>
        <w:t>博时基金管理有限公司</w:t>
      </w:r>
      <w:bookmarkEnd w:id="18"/>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3、基金托管人：指</w:t>
      </w:r>
      <w:bookmarkStart w:id="19" w:name="field_49_trustorgfullname_1"/>
      <w:r w:rsidR="00D82C15">
        <w:rPr>
          <w:rFonts w:hint="eastAsia"/>
          <w:sz w:val="21"/>
          <w:szCs w:val="21"/>
        </w:rPr>
        <w:t>中国建设银行股份有限公司</w:t>
      </w:r>
      <w:bookmarkEnd w:id="19"/>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4、基金合同：指《</w:t>
      </w:r>
      <w:bookmarkStart w:id="20" w:name="field_49_productfullname_6"/>
      <w:r w:rsidR="00D82C15">
        <w:rPr>
          <w:rFonts w:hint="eastAsia"/>
          <w:sz w:val="21"/>
          <w:szCs w:val="21"/>
        </w:rPr>
        <w:t>博时双月薪定期支付债券型证券投资基金</w:t>
      </w:r>
      <w:bookmarkEnd w:id="20"/>
      <w:r w:rsidRPr="000073C0">
        <w:rPr>
          <w:rFonts w:hint="eastAsia"/>
          <w:sz w:val="21"/>
          <w:szCs w:val="21"/>
        </w:rPr>
        <w:t xml:space="preserve">基金合同》及对基金合同的任何有效修订和补充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5、托管协议：指基金管理人与基金托管人就本基金签订之《</w:t>
      </w:r>
      <w:bookmarkStart w:id="21" w:name="field_49_productfullname_7"/>
      <w:r w:rsidR="00D82C15">
        <w:rPr>
          <w:rFonts w:hint="eastAsia"/>
          <w:sz w:val="21"/>
          <w:szCs w:val="21"/>
        </w:rPr>
        <w:t>博时双月薪定期支付债券型证券投资基金</w:t>
      </w:r>
      <w:bookmarkEnd w:id="21"/>
      <w:r w:rsidRPr="000073C0">
        <w:rPr>
          <w:rFonts w:hint="eastAsia"/>
          <w:sz w:val="21"/>
          <w:szCs w:val="21"/>
        </w:rPr>
        <w:t xml:space="preserve">托管协议》及对该托管协议的任何有效修订和补充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6、招募说明书或本招募说明书：指《</w:t>
      </w:r>
      <w:bookmarkStart w:id="22" w:name="field_49_productfullname_8"/>
      <w:r w:rsidR="00D82C15">
        <w:rPr>
          <w:rFonts w:hint="eastAsia"/>
          <w:sz w:val="21"/>
          <w:szCs w:val="21"/>
        </w:rPr>
        <w:t>博时双月薪定期支付债券型证券投资基金</w:t>
      </w:r>
      <w:bookmarkEnd w:id="22"/>
      <w:r w:rsidRPr="000073C0">
        <w:rPr>
          <w:rFonts w:hint="eastAsia"/>
          <w:sz w:val="21"/>
          <w:szCs w:val="21"/>
        </w:rPr>
        <w:t xml:space="preserve">招募说明书》及其更新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7、基金份额发售公告：指《</w:t>
      </w:r>
      <w:bookmarkStart w:id="23" w:name="field_49_productfullname_9"/>
      <w:r w:rsidR="00D82C15">
        <w:rPr>
          <w:rFonts w:hint="eastAsia"/>
          <w:sz w:val="21"/>
          <w:szCs w:val="21"/>
        </w:rPr>
        <w:t>博时双月薪定期支付债券型证券投资基金</w:t>
      </w:r>
      <w:bookmarkEnd w:id="23"/>
      <w:r w:rsidRPr="000073C0">
        <w:rPr>
          <w:rFonts w:hint="eastAsia"/>
          <w:sz w:val="21"/>
          <w:szCs w:val="21"/>
        </w:rPr>
        <w:t xml:space="preserve">基金份额发售公告》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8、法律法规：指中国现行有效并公布实施的法律、行政法规、规范性文件、司法解释、行政规章以及其他对基金合同当事人有约束力的决定、决议、通知等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9、《基金法》：指2003年10月28日经第十届全国人民代表大会常务委员会第五次会议通过，自2004年6月1日起实施的《中华人民共和国证券投资基金法》及颁布机关对其不时做出的修订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10、《销售办法》：指中国证监会2011年6月9日颁布、同年10月1日实施的《证券投资基金销售管理办法》及颁布机关对其不时做出的修订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11、《信息披露办法》：指中国证监会2019年7月26日颁布、同年9月1日实施的《公开募集证券投资基金信息披露管理办法》及颁布机关对其不时做出的修订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12、《运作办法》：指中国证监会2014年7月7日颁布、同年8月8日实施的《公开募集证券投资基金运作管理办法》及颁布机关对其不时做出的修订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13、《流动性风险管理规定》：指中国证监会2017年8月31日颁布、同年10月1日实施的《公开募集开放式证券投资基金流动性风险管理规定》及颁布机关对其不时做出的修订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14、中国证监会：指中国证券监督管理委员会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lastRenderedPageBreak/>
        <w:t xml:space="preserve">15、银行业监督管理机构：指中国人民银行和/或中国银行业监督管理委员会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16、基金合同当事人：指受基金合同约束，根据基金合同享有权利并承担义务的法律主体，包括基金管理人、基金托管人和基金份额持有人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17、个人投资者：指依据有关法律法规规定可投资于证券投资基金的自然人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18、机构投资者：指依法可以投资证券投资基金的、在中华人民共和国境内合法登记并存续或经有关政府部门批准设立并存续的企业法人、事业法人、社会团体或其他组织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19、合格境外机构投资者：指符合《合格境外机构投资者境内证券投资管理办法》及相关法律法规规定可以投资于在中国境内依法募集的证券投资基金的中国境外的机构投资者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20、投资人：指个人投资者、机构投资者和合格境外机构投资者以及法律法规或中国证监会允许购买证券投资基金的其他投资人的合称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21、基金份额持有人：指依基金合同和招募说明书合法取得基金份额的投资人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22、基金销售业务：指基金管理人或销售机构宣传推介基金，发售基金份额，办理基金份额的申购、赎回、转换、转托管及定期定额投资等业务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23、销售机构：指</w:t>
      </w:r>
      <w:bookmarkStart w:id="24" w:name="field_49_managerorgfullname_2"/>
      <w:r w:rsidR="00D82C15">
        <w:rPr>
          <w:rFonts w:hint="eastAsia"/>
          <w:sz w:val="21"/>
          <w:szCs w:val="21"/>
        </w:rPr>
        <w:t>博时基金管理有限公司</w:t>
      </w:r>
      <w:bookmarkEnd w:id="24"/>
      <w:r w:rsidRPr="000073C0">
        <w:rPr>
          <w:rFonts w:hint="eastAsia"/>
          <w:sz w:val="21"/>
          <w:szCs w:val="21"/>
        </w:rPr>
        <w:t xml:space="preserve">以及符合《销售办法》和中国证监会规定的其他条件，取得基金销售业务资格并与基金管理人签订了基金销售服务代理协议，代为办理基金销售业务的机构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 xml:space="preserve">24、登记业务：指基金登记、存管、过户、清算和结算业务，具体内容包括投资人基金账户的建立和管理、基金份额登记、基金销售业务的确认、清算和结算、代理发放红利、建立并保管基金份额持有人名册和办理非交易过户等 </w:t>
      </w:r>
    </w:p>
    <w:p w:rsidR="000073C0" w:rsidRPr="000073C0" w:rsidRDefault="000073C0">
      <w:pPr>
        <w:pStyle w:val="a3"/>
        <w:spacing w:before="0" w:beforeAutospacing="0" w:after="0" w:afterAutospacing="0" w:line="360" w:lineRule="auto"/>
        <w:ind w:firstLine="420"/>
        <w:divId w:val="636253652"/>
        <w:rPr>
          <w:sz w:val="21"/>
          <w:szCs w:val="21"/>
        </w:rPr>
      </w:pPr>
      <w:r w:rsidRPr="000073C0">
        <w:rPr>
          <w:rFonts w:hint="eastAsia"/>
          <w:sz w:val="21"/>
          <w:szCs w:val="21"/>
        </w:rPr>
        <w:t>25、登记机构：指办理登记业务的机构。基金的登记机构为</w:t>
      </w:r>
      <w:bookmarkStart w:id="25" w:name="field_49_managerorgfullname_3"/>
      <w:r w:rsidR="00D82C15">
        <w:rPr>
          <w:rFonts w:hint="eastAsia"/>
          <w:sz w:val="21"/>
          <w:szCs w:val="21"/>
        </w:rPr>
        <w:t>博时基金管理有限公司</w:t>
      </w:r>
      <w:bookmarkEnd w:id="25"/>
      <w:r w:rsidRPr="000073C0">
        <w:rPr>
          <w:rFonts w:hint="eastAsia"/>
          <w:sz w:val="21"/>
          <w:szCs w:val="21"/>
        </w:rPr>
        <w:t>或接受</w:t>
      </w:r>
      <w:bookmarkStart w:id="26" w:name="field_49_managerorgfullname_4"/>
      <w:r w:rsidR="00D82C15">
        <w:rPr>
          <w:rFonts w:hint="eastAsia"/>
          <w:sz w:val="21"/>
          <w:szCs w:val="21"/>
        </w:rPr>
        <w:t>博时基金管理有限公司</w:t>
      </w:r>
      <w:bookmarkEnd w:id="26"/>
      <w:r w:rsidRPr="000073C0">
        <w:rPr>
          <w:rFonts w:hint="eastAsia"/>
          <w:sz w:val="21"/>
          <w:szCs w:val="21"/>
        </w:rPr>
        <w:t>委托代为办</w:t>
      </w:r>
      <w:bookmarkStart w:id="27" w:name="chapter_level1_4_49_section_1_end"/>
      <w:bookmarkEnd w:id="27"/>
      <w:r w:rsidRPr="000073C0">
        <w:rPr>
          <w:rFonts w:hint="eastAsia"/>
          <w:sz w:val="21"/>
          <w:szCs w:val="21"/>
        </w:rPr>
        <w:t xml:space="preserve">理登记业务的机构 </w:t>
      </w:r>
    </w:p>
    <w:p w:rsidR="000073C0" w:rsidRPr="000073C0" w:rsidRDefault="000073C0">
      <w:pPr>
        <w:pStyle w:val="a3"/>
        <w:spacing w:before="0" w:beforeAutospacing="0" w:after="0" w:afterAutospacing="0" w:line="360" w:lineRule="auto"/>
        <w:ind w:firstLine="420"/>
        <w:divId w:val="379520342"/>
        <w:rPr>
          <w:sz w:val="21"/>
          <w:szCs w:val="21"/>
        </w:rPr>
      </w:pPr>
      <w:bookmarkStart w:id="28" w:name="chapter_level1_4_49_section_2"/>
      <w:bookmarkEnd w:id="28"/>
      <w:r w:rsidRPr="000073C0">
        <w:rPr>
          <w:rFonts w:hint="eastAsia"/>
          <w:sz w:val="21"/>
          <w:szCs w:val="21"/>
        </w:rPr>
        <w:t xml:space="preserve">26、基金账户：指登记机构为投资人开立的、记录其持有的、基金管理人所管理的基金份额余额及其变动情况的账户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27、基金交易账户：指销售机构为投资人开立的、记录投资人通过该销售机构办理认购、申购、赎回、转换及转托管等业务导致的基金份额变动及结余情况的账户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28、基金合同生效日：指基金募集达到法律法规规定及基金合同规定的条件，基金管理人向中国证监会办理基金备案手续完毕，并获得中国证监会书面确认的日期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29、基金合同终止日：指基金合同规定的基金合同终止事由出现后，基金财产清算完毕，清算结果报中国证监会备案并予以公告的日期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lastRenderedPageBreak/>
        <w:t xml:space="preserve">30、基金募集期：指自基金份额发售之日起至发售结束之日止的期间，最长不得超过3个月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31、存续期：指基金合同生效至终止之间的不定期期限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32、运作周期：本基金以3年为一个运作周期，每个运作周期为自基金合同生效日（包括基金合同生效日）或每个自由开放期结束之日次日起（包括该日）至3年后的年度对日的前一日止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33、基金份额折算：本基金的份额折算分为自动赎回期的基金份额折算和运作周期开始时的份额折算。自动赎回期的基金份额折算以每个自动赎回期当日为折算基准日，对本基金的基金份额净值做出调整，以已实现收益（为正时）为上限折算基金份额，折算后，基金份额持有人持有的基金份额数按照折算比例相应改变。运作周期开始时的份额折算以每个运作周期的第一个工作日为基准日，折算后，使基金份额净值调整为1.000元，基金份额持有人持有的基金份额数按照折算比例相应改变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34、自动赎回期：自动赎回期为运作周期内每两个自然月的第3个工作日，共1个工作日。本基金在自动赎回期按基金合同约定的规则为基金份额持有人自动赎回折算后新增的基金份额（如有），除此之外，自动赎回期不接受基金份额持有人的主动赎回，亦不接受投资人的申购。本基金每个运作周期的前4个月（含第4个月）为建仓期，不设自动赎回期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35、自由开放期：在每个运作周期结束后进入自由开放期。第一个自由开放期的首日为基金合同生效日3年以后的年度对日，第二个及以后的自由开放期的首日为上一个自由开放期结束次日的3年以后的年度对日；本基金的每个自由开放期为5至20个工作日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36、受限开放期：在首个运作周期中，本基金的受限开放期为本基金基金合同生效日的每一个半年度对日；在第二个及以后的运作周期中，本基金的受限开放期为该运作周期首日的每一个半年度对日；在受限开放期，本基金仅有限度地确认申购、赎回申请；本基金的每个受限开放期为1个工作日。如遇自动赎回期顺延；如顺延后该日属于自由开放期，则该月受限开放期取消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37、年度对日：指某一特定日期在后续日历年度中的对应日期，如该对应日期为非工作日，则顺延至下一个工作日，若该日历年度中不存在对应日期的，则顺延至年度对月次月的第一个工作日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lastRenderedPageBreak/>
        <w:t xml:space="preserve">38、半年度对日：指某一特定日期在后续每6个日历月中最后一个日历月的对应日期，如该对应日期为非工作日，则顺延至下一个工作日，若该日历月中不存在对应日期的，则顺延至该日历月次月第一工作日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39、封闭期：指本基金在每个运作周期内，除自动赎回期及受限开放期以外的期间。在每个封闭期内本基金采取封闭运作模式，基金份额持有人不得申请申购、赎回本基金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40、工作日：指上海证券交易所、深圳证券交易所的正常交易日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41、T日：指销售机构在规定时间受理投资人申购、赎回或其他业务申请的开放日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42、T+n日：指自T日起第n个工作日（不包含T日）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43、开放日：指为投资人办理基金份额申购、赎回或其他业务的工作日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44、开放时间：指开放日基金接受申购、赎回或其他交易的时间段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45、《业务规则》：指《</w:t>
      </w:r>
      <w:bookmarkStart w:id="29" w:name="field_49_managerorgfullname_5"/>
      <w:r w:rsidR="00D82C15">
        <w:rPr>
          <w:rFonts w:hint="eastAsia"/>
          <w:sz w:val="21"/>
          <w:szCs w:val="21"/>
        </w:rPr>
        <w:t>博时基金管理有限公司</w:t>
      </w:r>
      <w:bookmarkEnd w:id="29"/>
      <w:r w:rsidRPr="000073C0">
        <w:rPr>
          <w:rFonts w:hint="eastAsia"/>
          <w:sz w:val="21"/>
          <w:szCs w:val="21"/>
        </w:rPr>
        <w:t xml:space="preserve">开放式基金业务规则》，是规范基金管理人所管理的开放式证券投资基金登记方面的业务规则，由基金管理人和投资人共同遵守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46、认购：指在基金募集期内，投资人根据基金合同和招募说明书的规定申请购买基金份额的行为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47、申购：指基金合同生效后，投资人根据基金合同和招募说明书的规定申请购买基金份额的行为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48、赎回：指基金合同生效后，基金份额持有人按基金合同和招募说明书规定的条件要求将基金份额兑换为现金的行为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49、基金转换：指基金份额持有人按照基金合同和基金管理人届时有效公告规定的条件，申请将其持有基金管理人管理的、某一基金的基金份额转换为基金管理人管理的其他基金基金份额的行为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50、转托管：指基金份额持有人在本基金的不同销售机构之间实施的变更所持基金份额销售机构的操作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51、定期定额投资计划：指投资人通过有关销售机构提出申请，约定每期申购日、扣款金额及扣款方式，由销售机构于每期约定扣款日在投资人指定银行账户内自动完成扣款及受理基金申购申请的一种投资方式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52、巨额赎回：指本基金单个开放日，基金净赎回申请（赎回申请份额总数加上基金转换中转出申请份额总数后扣除申购申请份额总数及基金转换中转入申请份额总数后的余额）超过上一开放日基金总份额的</w:t>
      </w:r>
      <w:bookmarkStart w:id="30" w:name="field_49_mintredeemscale_1"/>
      <w:r w:rsidR="00D82C15">
        <w:rPr>
          <w:sz w:val="21"/>
          <w:szCs w:val="21"/>
        </w:rPr>
        <w:t>20</w:t>
      </w:r>
      <w:bookmarkEnd w:id="30"/>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lastRenderedPageBreak/>
        <w:t xml:space="preserve">53、元：指人民币元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54、私募债券：指中小企业私募债或其他相关主体非公开或定向发行的债券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55、基金收益：指基金投资所得债券利息、买卖证券价差、银行存款利息、已实现的其他合法收入及因运用基金财产带来的成本和费用的节约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56、基金资产总值：指基金拥有的各类有价证券、银行存款本息、基金应收申购款及其他资产的价值总和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57、基金资产净值：指基金资产总值减去基金负债后的价值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58、基金份额净值：指计算日基金资产净值除以计算日基金份额总数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59、基金资产估值：指计算评估基金资产和负债的价值，以确定基金资产净值和基金份额净值的过程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60、指定媒介：指中国证监会指定的用以进行信息披露的全国性报刊及指定互联网网站（包括基金管理人网站、基金托管人网站、中国证监会基金电子披露网站）等媒介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61、不可抗力：指基金合同当事人不能预见、不能避免且不能克服的客观事件。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 xml:space="preserve">62、流动性受限资产：指由于法律法规、监管、合同或操作障碍等原因无法以合理价格予以变现的资产，包括但不限于到期日在10个交易日以上的逆回购与银行定期存款（含协议约定有条件提前支取的银行存款）、资产支持证券、因发行人债务违约无法进行转让或交易的债券等 </w:t>
      </w:r>
    </w:p>
    <w:p w:rsidR="000073C0" w:rsidRPr="000073C0" w:rsidRDefault="000073C0">
      <w:pPr>
        <w:pStyle w:val="a3"/>
        <w:spacing w:before="0" w:beforeAutospacing="0" w:after="0" w:afterAutospacing="0" w:line="360" w:lineRule="auto"/>
        <w:ind w:firstLine="420"/>
        <w:divId w:val="379520342"/>
        <w:rPr>
          <w:sz w:val="21"/>
          <w:szCs w:val="21"/>
        </w:rPr>
      </w:pPr>
      <w:r w:rsidRPr="000073C0">
        <w:rPr>
          <w:rFonts w:hint="eastAsia"/>
          <w:sz w:val="21"/>
          <w:szCs w:val="21"/>
        </w:rPr>
        <w:t>63、基金产品资料概要：指《</w:t>
      </w:r>
      <w:bookmarkStart w:id="31" w:name="field_49_productfullname_10"/>
      <w:r w:rsidR="00D82C15">
        <w:rPr>
          <w:rFonts w:hint="eastAsia"/>
          <w:sz w:val="21"/>
          <w:szCs w:val="21"/>
        </w:rPr>
        <w:t>博时双月薪定期支付债券型证券投资基金</w:t>
      </w:r>
      <w:bookmarkEnd w:id="31"/>
      <w:r w:rsidRPr="000073C0">
        <w:rPr>
          <w:rFonts w:hint="eastAsia"/>
          <w:sz w:val="21"/>
          <w:szCs w:val="21"/>
        </w:rPr>
        <w:t xml:space="preserve">基金产品资料概要》及其更新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32" w:name="chapter_level1_5_53"/>
      <w:bookmarkStart w:id="33" w:name="_Toc50743124"/>
      <w:r w:rsidRPr="000073C0">
        <w:rPr>
          <w:rFonts w:ascii="宋体" w:eastAsia="宋体" w:hAnsi="宋体" w:hint="eastAsia"/>
          <w:sz w:val="30"/>
        </w:rPr>
        <w:lastRenderedPageBreak/>
        <w:t>第三部分  基金管理人</w:t>
      </w:r>
      <w:bookmarkEnd w:id="32"/>
      <w:bookmarkEnd w:id="33"/>
    </w:p>
    <w:p w:rsidR="000073C0" w:rsidRPr="000073C0" w:rsidRDefault="000073C0">
      <w:pPr>
        <w:pStyle w:val="a3"/>
        <w:spacing w:before="0" w:beforeAutospacing="0" w:after="0" w:afterAutospacing="0" w:line="360" w:lineRule="auto"/>
        <w:ind w:firstLine="420"/>
        <w:divId w:val="655954903"/>
        <w:rPr>
          <w:sz w:val="21"/>
          <w:szCs w:val="21"/>
        </w:rPr>
      </w:pPr>
      <w:bookmarkStart w:id="34" w:name="chapter_level1_5_53_section_1"/>
      <w:bookmarkEnd w:id="34"/>
      <w:r w:rsidRPr="000073C0">
        <w:rPr>
          <w:rStyle w:val="a4"/>
          <w:rFonts w:hint="eastAsia"/>
          <w:sz w:val="21"/>
          <w:szCs w:val="21"/>
        </w:rPr>
        <w:t>一、基金管理人概况</w:t>
      </w:r>
    </w:p>
    <w:p w:rsidR="000073C0" w:rsidRPr="000073C0" w:rsidRDefault="000073C0">
      <w:pPr>
        <w:pStyle w:val="a3"/>
        <w:spacing w:before="0" w:beforeAutospacing="0" w:after="0" w:afterAutospacing="0" w:line="360" w:lineRule="auto"/>
        <w:ind w:firstLine="420"/>
        <w:divId w:val="655954903"/>
        <w:rPr>
          <w:sz w:val="21"/>
          <w:szCs w:val="21"/>
        </w:rPr>
      </w:pPr>
      <w:bookmarkStart w:id="35" w:name="field_0_managercompanyinfo_1_start"/>
      <w:bookmarkEnd w:id="35"/>
      <w:r w:rsidRPr="000073C0">
        <w:rPr>
          <w:rFonts w:hint="eastAsia"/>
          <w:sz w:val="21"/>
          <w:szCs w:val="21"/>
        </w:rPr>
        <w:t xml:space="preserve">名称： 博时基金管理有限公司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 xml:space="preserve">住所： 深圳市福田区莲花街道福新社区益田路5999号基金大厦21层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 xml:space="preserve">办公地址： 广东省深圳市福田区益田路5999号基金大厦21层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 xml:space="preserve">法定代表人：江向阳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成立时间：</w:t>
      </w:r>
      <w:r w:rsidR="001E74DB">
        <w:rPr>
          <w:rFonts w:hint="eastAsia"/>
          <w:sz w:val="21"/>
          <w:szCs w:val="21"/>
        </w:rPr>
        <w:t> </w:t>
      </w:r>
      <w:r w:rsidRPr="000073C0">
        <w:rPr>
          <w:rFonts w:hint="eastAsia"/>
          <w:sz w:val="21"/>
          <w:szCs w:val="21"/>
        </w:rPr>
        <w:t xml:space="preserve">1998年7月13日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 xml:space="preserve">注册资本： 2.5亿元人民币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 xml:space="preserve">存续期间： 持续经营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联系人：</w:t>
      </w:r>
      <w:r w:rsidR="001E74DB">
        <w:rPr>
          <w:rFonts w:hint="eastAsia"/>
          <w:sz w:val="21"/>
          <w:szCs w:val="21"/>
        </w:rPr>
        <w:t> </w:t>
      </w:r>
      <w:r w:rsidRPr="000073C0">
        <w:rPr>
          <w:rFonts w:hint="eastAsia"/>
          <w:sz w:val="21"/>
          <w:szCs w:val="21"/>
        </w:rPr>
        <w:t xml:space="preserve">韩强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 xml:space="preserve">联系电话：（0755）8316 9999 </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公司设立了投资决策委员会。投资决策委员会负责指导基金资产的运作、确定基本的投资策略和投资组合的原则。</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央企业务部、互联网金融部、财富管理部、董事会办公室、办公室、人力资源部、财务部、信息技术部、基金运作部、风险管理部和监察法律部。</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0073C0">
        <w:rPr>
          <w:rFonts w:hint="eastAsia"/>
          <w:sz w:val="21"/>
          <w:szCs w:val="21"/>
        </w:rPr>
        <w:lastRenderedPageBreak/>
        <w:t>益总部负责公司所管理资产的固定收益投资管理及相关工作。固定收益总部下设现金管理组、公募基金组、专户组、指数与创新组、国际组和研究组，分别负责各类固定收益资产的研究和投资工作。</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台运作协调、相关信息服务等工作。券商业务部负责券商渠道的开拓和销售服务、大宗交易业务、融券业务、做市商业务、股指期货业务等工作。零售-北京、零售-上海、零售-南方、零售-西部负责公司全国范围内零售客户的渠道销售和服务。央企业务部负责招商局集团签约机构客户、重要中央企业及其财务公司等客户的拓展、合作业务落地与服务等工作。销售管理部负责总行渠道维护，零售产品营销组织、销售督导；营销策划及公募销售支持；营销培训管理；渠道代销支持与服务；零售体系的绩效考核与费用管理等工作。</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宏观策略部负责为投委会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规划部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户合同及备案管理、机构售前支持；专户中台服务与运营支持等工作。</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lastRenderedPageBreak/>
        <w:t>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另设北京分公司和上海分公司，分别负责对驻京、沪人员日常行政管理和对赴京、沪、处理公务人员给予协助。此外，还设有全资子公司博时资本管理有限公司，以及境外子公司博时基金（国际）有限公司。</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截止到2020年6月30日，公司总人数为616人，其中研究员和基金经理超过90%拥有硕士及以上学位。</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公司已经建立健全投资管理制度、风险控制制度、内部监察制度、财务管理制度、人事管理制度、信息披露制度和员工行为准则等公司管理制度体系。</w:t>
      </w:r>
      <w:bookmarkStart w:id="36" w:name="field_0_managercompanyinfo_1_end"/>
      <w:bookmarkEnd w:id="36"/>
    </w:p>
    <w:p w:rsidR="000073C0" w:rsidRPr="000073C0" w:rsidRDefault="000073C0">
      <w:pPr>
        <w:pStyle w:val="a3"/>
        <w:spacing w:before="0" w:beforeAutospacing="0" w:after="0" w:afterAutospacing="0" w:line="360" w:lineRule="auto"/>
        <w:ind w:firstLine="420"/>
        <w:divId w:val="655954903"/>
        <w:rPr>
          <w:sz w:val="21"/>
          <w:szCs w:val="21"/>
        </w:rPr>
      </w:pPr>
      <w:r w:rsidRPr="000073C0">
        <w:rPr>
          <w:rStyle w:val="a4"/>
          <w:rFonts w:hint="eastAsia"/>
          <w:sz w:val="21"/>
          <w:szCs w:val="21"/>
        </w:rPr>
        <w:t>二、主要成员情况</w:t>
      </w:r>
    </w:p>
    <w:p w:rsidR="000073C0" w:rsidRPr="000073C0" w:rsidRDefault="000073C0">
      <w:pPr>
        <w:pStyle w:val="a3"/>
        <w:spacing w:before="0" w:beforeAutospacing="0" w:after="0" w:afterAutospacing="0" w:line="360" w:lineRule="auto"/>
        <w:ind w:firstLine="420"/>
        <w:divId w:val="655954903"/>
        <w:rPr>
          <w:sz w:val="21"/>
          <w:szCs w:val="21"/>
        </w:rPr>
      </w:pPr>
      <w:bookmarkStart w:id="37" w:name="field_0_managerpersoninfo_1_start"/>
      <w:bookmarkEnd w:id="37"/>
      <w:r w:rsidRPr="000073C0">
        <w:rPr>
          <w:rFonts w:hint="eastAsia"/>
          <w:sz w:val="21"/>
          <w:szCs w:val="21"/>
        </w:rPr>
        <w:t>1、基金管理人董事会成员</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江向阳先生，博士。2015年7月起任博时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网信办）主任；中国证监会办公厅副巡视员；中国证监会深圳专员办处长、副专员；中国证监会期货监管部副处长、处长。自2020年1月9日起代为履行博时基金董事长职务。自2020年4月15日起任博时基金管理有限公司董事长。</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lastRenderedPageBreak/>
        <w:t>苏敏女士,分别于1990年7月及2002年12月获得上海财经大学金融专业学士学位和中国科学技术大学工商管理硕士学位。苏女士分别于1998年6月、1999年6月及2008年6月获中国注册会计师协会授予的注册会计师资格、中国资产评估协会授予的注册资产评估师资格及安徽省人力资源和社会保障厅授予的高级会计师职称。苏女士拥有管理金融类公司及上市公司的经验，其经验包括：自2015年9月及2015年12月起任招商局金融集团有限公司总经理及董事；自2016年6月起任招商证券股份有限公司（上海证券交易所上市公司，股票代码：600999；香港联交所上市公司，股票代码：6099）董事；自2014年9月起担任招商银行股份有限公司（上海证券交易所上市公司，股票代码：600036；香港联交所上市公司，股票代码：3968）董事。自2016年1月至2018年8月任招商局资本投资有限责任公司监事；自</w:t>
      </w:r>
      <w:r w:rsidR="000A34B8">
        <w:rPr>
          <w:rFonts w:hint="eastAsia"/>
          <w:sz w:val="21"/>
          <w:szCs w:val="21"/>
        </w:rPr>
        <w:t>2015</w:t>
      </w:r>
      <w:r w:rsidRPr="000073C0">
        <w:rPr>
          <w:rFonts w:hint="eastAsia"/>
          <w:sz w:val="21"/>
          <w:szCs w:val="21"/>
        </w:rPr>
        <w:t>年</w:t>
      </w:r>
      <w:r w:rsidR="000A34B8">
        <w:rPr>
          <w:rFonts w:hint="eastAsia"/>
          <w:sz w:val="21"/>
          <w:szCs w:val="21"/>
        </w:rPr>
        <w:t>11</w:t>
      </w:r>
      <w:r w:rsidRPr="000073C0">
        <w:rPr>
          <w:rFonts w:hint="eastAsia"/>
          <w:sz w:val="21"/>
          <w:szCs w:val="21"/>
        </w:rPr>
        <w:t>月至2018年8月任招商局创新投资管理有限公司董事；自</w:t>
      </w:r>
      <w:r w:rsidR="000A34B8">
        <w:rPr>
          <w:rFonts w:hint="eastAsia"/>
          <w:sz w:val="21"/>
          <w:szCs w:val="21"/>
        </w:rPr>
        <w:t>2015</w:t>
      </w:r>
      <w:r w:rsidRPr="000073C0">
        <w:rPr>
          <w:rFonts w:hint="eastAsia"/>
          <w:sz w:val="21"/>
          <w:szCs w:val="21"/>
        </w:rPr>
        <w:t>年11月至</w:t>
      </w:r>
      <w:r w:rsidR="000A34B8">
        <w:rPr>
          <w:rFonts w:hint="eastAsia"/>
          <w:sz w:val="21"/>
          <w:szCs w:val="21"/>
        </w:rPr>
        <w:t>2017</w:t>
      </w:r>
      <w:r w:rsidRPr="000073C0">
        <w:rPr>
          <w:rFonts w:hint="eastAsia"/>
          <w:sz w:val="21"/>
          <w:szCs w:val="21"/>
        </w:rPr>
        <w:t>年</w:t>
      </w:r>
      <w:r w:rsidR="000A34B8">
        <w:rPr>
          <w:rFonts w:hint="eastAsia"/>
          <w:sz w:val="21"/>
          <w:szCs w:val="21"/>
        </w:rPr>
        <w:t>4</w:t>
      </w:r>
      <w:r w:rsidRPr="000073C0">
        <w:rPr>
          <w:rFonts w:hint="eastAsia"/>
          <w:sz w:val="21"/>
          <w:szCs w:val="21"/>
        </w:rPr>
        <w:t>月任深圳招商启航互联网投资管理有限公司董事长；自2013年5月至2015年</w:t>
      </w:r>
      <w:r w:rsidR="000A34B8">
        <w:rPr>
          <w:rFonts w:hint="eastAsia"/>
          <w:sz w:val="21"/>
          <w:szCs w:val="21"/>
        </w:rPr>
        <w:t>8</w:t>
      </w:r>
      <w:r w:rsidRPr="000073C0">
        <w:rPr>
          <w:rFonts w:hint="eastAsia"/>
          <w:sz w:val="21"/>
          <w:szCs w:val="21"/>
        </w:rPr>
        <w:t>月任中远海运能源运输股份有限公司（上海证券交易所上市公司，股票代码：600026；香港联交所上市公司，股票代码：1138）董事；自2013年6月至2015年12月任中远海运发展股份有限公司（上海证券交易所上市公司，股票代码：601866；香港联交所上市公司，股票代码：2866）董事；自2009年12月至2011年5月担任徽商银行股份有限公司（香港联交所上市公司，股票代码：3698）董事；自2008年3月至2011年9月担任安徽省皖能股份有限公司（深圳证券交易所上市公司，股票代码︰000543）董事。苏女士亦拥有会计等相关管理经验，其经验包括：自2011年3月至2015年8月担任中国海运（集团）总公司总会计师；自2007年5月至2011年4月担任安徽省能源集团有限公司总会计师，并于2010年11月至2011年4月担任该公司副总经理。2018年9月3日起，任博时基金管理有限公司第七届董事会董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王金宝先生，硕士，董事。1988年7月至1995年4月在上海同济大学数学系工作，任教师。1995年4月进入招商证券，先后任上海澳门路营业部总经理、上海地区总部副总经理（主持工作）、投资部总经理、投资部总经理兼固定收益部总经理、股票销售交易部总经理（现更名为机构业务总部）、机构业务董事总经理。2002年10月至2008年7月，任博时基金管理有限公司第二届、第三届监事会监事。2008年7月起，任博时基金管理有限公司第四届至第六届董事会董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lastRenderedPageBreak/>
        <w:t>陈克庆先生，北京大学工商管理硕士。2001年起历任世纪证券投资银行北京总部副总经理，国信证券投行业务部副总经理，华西证券投资银行总部副总经理、董事总经理。2014年加入中国长城资产管理公司，现任投资投行事业部副总经理。</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方瓯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任博时基金管理有限公司第七届董事会董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兼任湘电集团有限公司外部董事；2013年5月至2014年8月，兼任德华安顾人寿保险有限公司（ECNL）董事；2013年6月至今，兼任深圳市昌红科技股份有限公司独立董事。2014年11月起，任博时基金管理有限公司第六届董事会独立董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姜立军先生，1955年生，会计师，工商管理硕士（MBA）。1974年12月参加工作，历任中国远洋运输总公司财务处科员、中国-坦桑尼亚联合海运服务公司财务部经理、日本中铃海运服务公司财务部经理、中远（英国）公司财务部经理、香港益丰船务公司财务部经理、香港-佛罗伦租箱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0073C0">
        <w:rPr>
          <w:rFonts w:hint="eastAsia"/>
          <w:sz w:val="21"/>
          <w:szCs w:val="21"/>
        </w:rPr>
        <w:lastRenderedPageBreak/>
        <w:t>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2、基金管理人监事会成员</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何敏女士，1975年出生，中南财经大学会计学硕士。1999年7月至2006年4月任招商证券股份有限公司财务部会计核算岗，2006年4月至2009年4月任招商证券股份有限公司财务部总经理助理，2009年4月至2019年2月任招商证券股份有限公司财务部副总经理，2019年2月至今任招商证券股份有限公司财务部总经理。2019年4月10日起，任博时基金管理有限公司监事会监事长。</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专职董监事。2017年6月起任博时基金管理有限公司监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0073C0">
        <w:rPr>
          <w:rFonts w:hint="eastAsia"/>
          <w:sz w:val="21"/>
          <w:szCs w:val="21"/>
        </w:rPr>
        <w:lastRenderedPageBreak/>
        <w:t>限公司财务部总经理、天津港财务有限公司常务副总经理。2012年5月筹备天津港（集团）有限公司金融事业部，2011年11月至今任天津港（集团）有限公司金融事业部副部长。2013年3月起，任博时基金管理有限公司第五至六届监事会监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郑波先生，博士，监事。2001年起先后在中国平安保险公司总公司、博时基金管理有限公司工作。现任博时基金管理有限公司公司董事总经理兼人力资源部总经理。2008年7月起，任博时基金管理有限公司第四至六届监事会监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严斌先生，硕士，监事。1997年7月起先后在华侨城集团公司、博时基金管理有限公司工作。现任博时基金管理有限公司财务部总经理。2015年5月起，任博时基金管理有限公司第六届监事会监事。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3、高级管理人员</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江向阳先生，简历同上。</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王德英先生，硕士，副总经理。1995年起先后在北京清华计算机公司任开发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邵凯先生，经济学硕士，副总经理。1997年至1999年在河北省经济开发投资公司从事投资管理工作。2000年8月加入博时基金管理有限公司，历任债券组合经理助理、债券组合经理、社保债券基金基金经理、固定收益部副总经理兼社保债券基金基金经理、固定收益部总经理、固定收益投资总监、社保组合投资经理。现任公司副总经理兼首席固定收益投资官、兼任博时基金（国际）有限公司董事、博时资本管理有限公司董事。</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lastRenderedPageBreak/>
        <w:t>徐卫先生，硕士，副总经理。1993年起先后在深圳市证券管理办公室、中国证监会、摩根士丹利华鑫基金工作。2015年6月加入博时基金管理有限公司，现任公司副总经理兼博时资本管理有限公司董事、博时基金(国际)有限公司董事会主席。</w:t>
      </w:r>
    </w:p>
    <w:p w:rsidR="000073C0" w:rsidRPr="000073C0" w:rsidRDefault="000073C0">
      <w:pPr>
        <w:pStyle w:val="a3"/>
        <w:spacing w:before="0" w:beforeAutospacing="0" w:after="0" w:afterAutospacing="0" w:line="360" w:lineRule="auto"/>
        <w:ind w:firstLine="420"/>
        <w:divId w:val="655954903"/>
        <w:rPr>
          <w:sz w:val="21"/>
          <w:szCs w:val="21"/>
        </w:rPr>
      </w:pPr>
      <w:r w:rsidRPr="000073C0">
        <w:rPr>
          <w:rFonts w:hint="eastAsia"/>
          <w:sz w:val="21"/>
          <w:szCs w:val="21"/>
        </w:rPr>
        <w:t>孙麒清女士，商法学硕士，督察长。曾供职于广东深港律师事务所。2002年加入博时基金管理有限公司，历任监察法律部法律顾问、监察法律部总经理。现任公司督察长，兼任</w:t>
      </w:r>
      <w:bookmarkStart w:id="38" w:name="chapter_level1_5_53_section_1_end"/>
      <w:bookmarkEnd w:id="38"/>
      <w:r w:rsidRPr="000073C0">
        <w:rPr>
          <w:rFonts w:hint="eastAsia"/>
          <w:sz w:val="21"/>
          <w:szCs w:val="21"/>
        </w:rPr>
        <w:t xml:space="preserve">博时基金（国际）有限公司董事、博时资本管理有限公司副董事长。 </w:t>
      </w:r>
      <w:bookmarkStart w:id="39" w:name="field_0_managerpersoninfo_1_end"/>
      <w:bookmarkEnd w:id="39"/>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1361934732"/>
        <w:rPr>
          <w:sz w:val="21"/>
          <w:szCs w:val="21"/>
        </w:rPr>
      </w:pPr>
      <w:bookmarkStart w:id="40" w:name="chapter_level1_5_53_section_2"/>
      <w:bookmarkEnd w:id="40"/>
      <w:r w:rsidRPr="000073C0">
        <w:rPr>
          <w:rFonts w:hint="eastAsia"/>
          <w:sz w:val="21"/>
          <w:szCs w:val="21"/>
        </w:rPr>
        <w:t xml:space="preserve">4、本基金基金经理 </w:t>
      </w:r>
    </w:p>
    <w:p w:rsidR="000073C0" w:rsidRPr="000073C0" w:rsidRDefault="000073C0">
      <w:pPr>
        <w:pStyle w:val="a3"/>
        <w:spacing w:before="0" w:beforeAutospacing="0" w:after="0" w:afterAutospacing="0" w:line="360" w:lineRule="auto"/>
        <w:ind w:firstLine="420"/>
        <w:divId w:val="1361934732"/>
        <w:rPr>
          <w:sz w:val="21"/>
          <w:szCs w:val="21"/>
        </w:rPr>
      </w:pPr>
      <w:bookmarkStart w:id="41" w:name="field_0_fundmanagerresume_1_start"/>
      <w:bookmarkEnd w:id="41"/>
      <w:r w:rsidRPr="000073C0">
        <w:rPr>
          <w:rFonts w:hint="eastAsia"/>
          <w:sz w:val="21"/>
          <w:szCs w:val="21"/>
        </w:rPr>
        <w:t>陈凯杨先生，硕士。2003年起先后在深圳发展银行、博时基金、长城基金工作。2009年1月再次加入博时基金管理有限公司。历任固定收益研究员、特定资产投资经理、博时理财30天债券型证券投资基金(2013年1月28日-2015年9月11日)基金经理、固定收益总部现金管理组投资副总监、博时外服货币市场基金(2015年6月15日-2016年7月20日)、博时岁岁增利一年定期开放债券型证券投资基金(2013年6月26日-2016年12月15日)、博时裕瑞纯债债券型证券投资基金(2015年6月30日-2016年12月15日)、博时裕盈纯债债券型证券投资基金(2015年9月29日-2016年12月15日)、博时裕恒纯债债券型证券投资基金(2015年10月23日-2016年12月15日)、博时裕荣纯债债券型证券投资基金(2015年11月6日-2016年12月15日)、博时裕泰纯债债券型证券投资基金(2015年11月19日-2016年12月27日)、博时裕晟纯债债券型证券投资基金(2015年11月19日-2016年12月27日)、博时裕丰纯债债券型证券投资基金(2015年11月25日-2016年12月27日)、博时裕和纯债债券型证券投资基金(2015年11月27日-2016年12月27日)、博时裕坤纯债债券型证券投资基金(2015年11月30日-2016年12月27日)、博时裕嘉纯债债券型证券投资基金(2015年12月2日-2016年12月27日)、博时裕达纯债债券型证券投资基金(2015年12月3日-2016年12月27日)、博时裕康纯债债券型证券投资基金(2015年12月3日-2016年12月27日)、博时安心收益定期开放债券型证券投资基金(2012年12月6日-2016年12月28日)、博时裕腾纯债债券型证券投资基金(2016年1月18日-2017年5月8日)、博时裕安纯债债券型证券投资基金(2016年3月4日-2017年5月8日)、博时裕新纯债债券型证券投资基金(2016年3月30日-2017年5月8日)、博时裕发纯债债券型证券投资基金(2016年4月6日-2017年5月8日)、博时裕景纯债债券型证券投资基金(2016年4月28日-2017年5月8日)、博时裕乾纯债债券型证券投资基金(2016年1月15日-2017年5月31日)、博时裕通纯债债券型证券投资基金(2016年4月29日-2017年5月31日)、博时安和18个</w:t>
      </w:r>
      <w:r w:rsidRPr="000073C0">
        <w:rPr>
          <w:rFonts w:hint="eastAsia"/>
          <w:sz w:val="21"/>
          <w:szCs w:val="21"/>
        </w:rPr>
        <w:lastRenderedPageBreak/>
        <w:t>月定期开放债券型证券投资基金(2016年1月26日-2017年10月26日)、博时安源18个月定期开放债券型证券投资基金(2016年6月16日-2018年3月8日)、博时安誉18个月定期开放债券型证券投资基金(2015年12月23日-2018年3月15日)、博时安泰18个月定期开放债券型证券投资基金(2016年2月4日-2018年3月15日)、博时安祺一年定期开放债券型证券投资基金(2016年9月29日-2018年3月15日)、博时安诚18个月定期开放债券型证券投资基金(2016年11月10日-2018年5月28日)、博时裕信纯债债券型证券投资基金(2016年10月25日-2018年8月23日)的基金经理、固定收益总部现金管理组负责人、博时现金收益证券投资基金(2015年5月22日-2019年2月25日)、博时裕顺纯债债券型证券投资基金(2016年6月23日-2019年8月19日)、博时安怡6个月定期开放债券型证券投资基金(2016年4月15日-2019年12月16日)、博时月月薪定期支付债券型证券投资基金(2013年7月25日-2020年5月13日)、博时安瑞18个月定期开放债券型证券投资基金(2016年3月30日-2020年5月13日)、博时裕弘纯债债券型证券投资基金(2016年6月17日-2020年5月13日)、博时裕昂纯债债券型证券投资基金(2016年7月15日-2020年5月13日)、博时裕泉纯债债券型证券投资基金(2016年9月7日-2020年5月13日)、博时裕诚纯债债券型证券投资基金(2016年10月31日-2020年5月13日)、博时合惠货币市场基金(2017年5月31日-2020年5月13日)、博时富华纯债债券型证券投资基金(2018年9月19日-2020年5月13日)、博时裕创纯债债券型证券投资基金(2019年3月4日-2020年5月13日)、博时裕盛纯债债券型证券投资基金(2019年3月4日-2020年5月13日)、博时富发纯债债券型证券投资基金(2019年3月4日-2020年5月13日)、博时裕恒纯债债券型证券投资基金(2019年3月11日-2020年5月13日)、博时裕坤纯债3个月定期开放债券型发起式证券投资基金(2019年3月11日-2020年5月13日)、博时裕泰纯债债券型证券投资基金(2019年3月11日-2020年5月13日)、博时裕荣纯债债券型证券投资基金(2019年3月11日-2020年5月13日)、博时裕瑞纯债债券型证券投资基金(2019年3月11日-2020年5月13日)的基金经理。现任公司董事总经理兼固定收益总部公募基金组负责人、博时双月薪定期支付债券型证券投资基金(2013年10月22日—至今)、博时安康18个月定期开放债券型证券投资基金(LOF)(2017年2月17日—至今)、博时富益纯债债券型证券投资基金(2018年5月9日—至今)、博时聚瑞纯债6个月定期开放债券型发起式证券投资基金(2018年11月22日—至今)、博时富乐纯债债券型证券投资基金(2019年9月17日—至今)、博时富添纯债债券型证券投资基金(2019年11月20日—至今)、博时富信纯债债券型证券投资基金(2020</w:t>
      </w:r>
      <w:r w:rsidRPr="000073C0">
        <w:rPr>
          <w:rFonts w:hint="eastAsia"/>
          <w:sz w:val="21"/>
          <w:szCs w:val="21"/>
        </w:rPr>
        <w:lastRenderedPageBreak/>
        <w:t>年3月5日—至今)、博时信用债纯债债券型证券投资基金(2020年3月11日—至今)、博时稳定价值债券投资基金(2020年7月23日—至今)的基金经理。</w:t>
      </w:r>
      <w:bookmarkStart w:id="42" w:name="field_0_fundmanagerresume_1_end"/>
      <w:bookmarkEnd w:id="42"/>
    </w:p>
    <w:p w:rsidR="000073C0" w:rsidRPr="000073C0" w:rsidRDefault="000073C0">
      <w:pPr>
        <w:pStyle w:val="a3"/>
        <w:spacing w:before="0" w:beforeAutospacing="0" w:after="0" w:afterAutospacing="0" w:line="360" w:lineRule="auto"/>
        <w:ind w:firstLine="420"/>
        <w:divId w:val="1361934732"/>
        <w:rPr>
          <w:sz w:val="21"/>
          <w:szCs w:val="21"/>
        </w:rPr>
      </w:pPr>
      <w:bookmarkStart w:id="43" w:name="field_0_fundmanagershis_1_start"/>
      <w:bookmarkEnd w:id="43"/>
      <w:r w:rsidRPr="000073C0">
        <w:rPr>
          <w:rFonts w:hint="eastAsia"/>
          <w:sz w:val="21"/>
          <w:szCs w:val="21"/>
        </w:rPr>
        <w:t>本基金历任基金经理：魏桢（2013年10月22日-2016年4月25</w:t>
      </w:r>
      <w:bookmarkStart w:id="44" w:name="chapter_level1_5_53_section_2_end"/>
      <w:bookmarkEnd w:id="44"/>
      <w:r w:rsidRPr="000073C0">
        <w:rPr>
          <w:rFonts w:hint="eastAsia"/>
          <w:sz w:val="21"/>
          <w:szCs w:val="21"/>
        </w:rPr>
        <w:t>日）。</w:t>
      </w:r>
      <w:bookmarkStart w:id="45" w:name="field_0_fundmanagershis_1_end"/>
      <w:bookmarkEnd w:id="45"/>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1327710378"/>
        <w:rPr>
          <w:sz w:val="21"/>
          <w:szCs w:val="21"/>
        </w:rPr>
      </w:pPr>
      <w:bookmarkStart w:id="46" w:name="chapter_level1_5_53_section_3"/>
      <w:bookmarkStart w:id="47" w:name="field_0_managerpersoninfo2_1_start"/>
      <w:bookmarkEnd w:id="46"/>
      <w:bookmarkEnd w:id="47"/>
      <w:r w:rsidRPr="000073C0">
        <w:rPr>
          <w:rFonts w:hint="eastAsia"/>
          <w:sz w:val="21"/>
          <w:szCs w:val="21"/>
        </w:rPr>
        <w:t xml:space="preserve">5、投资决策委员会成员 </w:t>
      </w:r>
    </w:p>
    <w:p w:rsidR="000073C0" w:rsidRPr="000073C0" w:rsidRDefault="000073C0">
      <w:pPr>
        <w:pStyle w:val="a3"/>
        <w:spacing w:before="0" w:beforeAutospacing="0" w:after="0" w:afterAutospacing="0" w:line="360" w:lineRule="auto"/>
        <w:ind w:firstLine="420"/>
        <w:divId w:val="1327710378"/>
        <w:rPr>
          <w:sz w:val="21"/>
          <w:szCs w:val="21"/>
        </w:rPr>
      </w:pPr>
      <w:r w:rsidRPr="000073C0">
        <w:rPr>
          <w:rFonts w:hint="eastAsia"/>
          <w:sz w:val="21"/>
          <w:szCs w:val="21"/>
        </w:rPr>
        <w:t xml:space="preserve">委员：江向阳、邵凯、黄健斌、张龙、魏凤春、王俊、过钧、黄瑞庆、曾鹏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t xml:space="preserve">江向阳先生，简历同上。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t xml:space="preserve">邵凯先生，简历同上。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t xml:space="preserve">黄健斌先生，简历同上。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t xml:space="preserve">张龙先生，硕士。1996年起先后在长江证券、长盛基金、华夏基金、北京金百朋投资管理有限公司工作。2019年加入博时基金管理有限公司，现任公司投资决策委员会专职委员兼股票投资部总经理。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t xml:space="preserve">魏凤春先生，博士。1993年起先后在山东经济学院、江南信托、清华大学、江南证券、中信建投证券工作。2011年加入博时基金管理有限公司。历任投资经理、博时抗通胀增强回报证券投资基金(2015年8月24日-2016年12月19日)、博时平衡配置混合型证券投资基金(2015年11月30日-2016年12月19日)的基金经理、多元资产管理部总经理、博时颐泽稳健养老目标一年持有期混合型基金中基金（FOF）(2019年3月20日—2020年9月3日)、博时颐泽平衡养老目标三年持有期混合型发起式基金中基金（FOF）(2019年8月28日—2020年9月3日)的基金经理。现任首席宏观策略分析师兼宏观策略部总经理。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t xml:space="preserve">王俊先生，硕士。2008年从上海交通大学硕士研究生毕业后加入博时基金管理有限公司。历任研究员、金融地产与公用事业组组长、研究部副总经理、博时国企改革股票基金（2015.5.20-2016.6.8）、博时丝路主题股票基金（2015.5.22-2016.6.8）、博时沪港深价值优选混合基金（2017.1.25-2018.3.14）、博时沪港深成长企业混合基金（2016.11.9-2019.6.10）的基金经理、研究部总经理。现任研究部研究总监兼博时主题行业混合(LOF)基金（2015.1.22-至今）、博时沪港深优质企业混合基金（2016.11.9-至今）、博时新兴消费主题混合基金（2017.6.5-至今）、博时优势企业混合基金（2019.6.3-至今）、博时研究优选混合基金（2020.3.20-至今）、博时研究精选持有期混合基金(2020.6.24-至今)、博时研究臻选持有期混合基金(2020.6.30-至今)、博时价值臻选持有期混合基金（2020.7.29-至今）的基金经理。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lastRenderedPageBreak/>
        <w:t xml:space="preserve">过钧先生，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债增强债券型证券投资基金（2010.11.24-2013.9.25）、博时亚洲票息收益债券型证券投资基金（2013.2.1-2014.4.2）、博时裕祥分级债券型证券投资基金（2014.1.8-2014.6.10）、博时双债增强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双债增强债券型证券投资基金（2016.10.24-2018.5.5）、博时鑫润灵活配置混合型证券投资基金（2017.2.10-2018.5.21）、博时鑫和灵活配置混合型证券投资基金（2017.12.13-2018.6.16）、博时鑫惠灵活配置混合型证券投资基金（2017.1.10-2018.7.30）的基金经理、固定收益总部公募基金组负责人、博时新价值灵活配置混合型证券投资基金（2016.3.29-2019.4.30）、博时乐臻定期开放混合型证券投资基金（2016.9.29-2019.10.14）、博时转债增强债券型证券投资基金（2019.1.28-2020.4.3）、博时鑫源灵活配置混合型证券投资基金（2016.9.6-2020.7.20）、博时新起点灵活配置混合型证券投资基金（2016.10.17-2020.7.20）、博时鑫瑞灵活配置混合型证券投资基金（2017.2.10-2020.7.20）的基金经理。现任公司董事总经理兼固定收益总部指数与创新组负责人、博时信用债券投资基金（2009.6.10-至今）、博时新收益灵活配置混合型证券投资基金（2016.2.29-至今）、博时中债3-5年进出口行债券指数证券投资基金（2018.12.25-至今）、博时中债3-5年国开行债券指数证券投资基金（2019.7.19-至今）的基金经理。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t xml:space="preserve">黄瑞庆先生，博士。2002年起先后在融通基金、长城基金、长盛基金、财通基金、合众资产管理股份有限公司从事研究、投资、管理等工作。2013年加入博时基金管理有限公司，历任股票投资部ETF及量化组投资副总监、基金经理助理、股票投资部量化投资组投资副总监（主持工作）、股票投资部量化投资组投资总监、博时价值增长混合基金（2015.2.9-2016.10.24）、博时价值增长贰号混合基金（2015.2.9-2016.10.24）、博时特许价值混合基金（2015.2.9-2018.6.21）的基金经理。现任指数与量化投资部总经理兼博时量化平衡混合基金（2017.5.4-至今）、博时量化多策略股票基金（2018.4.3-至今）、博时量化价值股票基金（2018.6.26-至今）的基金经理。 </w:t>
      </w:r>
    </w:p>
    <w:p w:rsidR="000073C0" w:rsidRPr="000073C0" w:rsidRDefault="000073C0" w:rsidP="001E74DB">
      <w:pPr>
        <w:pStyle w:val="a3"/>
        <w:spacing w:before="0" w:beforeAutospacing="0" w:after="0" w:afterAutospacing="0" w:line="360" w:lineRule="auto"/>
        <w:ind w:firstLine="420"/>
        <w:jc w:val="both"/>
        <w:divId w:val="1327710378"/>
        <w:rPr>
          <w:sz w:val="21"/>
          <w:szCs w:val="21"/>
        </w:rPr>
      </w:pPr>
      <w:r w:rsidRPr="000073C0">
        <w:rPr>
          <w:rFonts w:hint="eastAsia"/>
          <w:sz w:val="21"/>
          <w:szCs w:val="21"/>
        </w:rPr>
        <w:lastRenderedPageBreak/>
        <w:t xml:space="preserve">曾鹏先生，硕士。2005年起先后在上投摩根基金、嘉实基金从事研究、投资工作。2012年加入博时基金管理有限公司。历任投资经理、博时灵活配置混合型证券投资基金(2015年2月9日-2016年4月25日)基金经理。现任权益投资总部一体化投研总监兼权益投资主题组负责人、博时新兴成长混合型证券投资基金(2013年1月18日—至今)、博时特许价值混合型证券投资基金(2018年6月21日—至今)、博时科创主题3年封闭运作灵活配置混合型证券投资基金(2019年6月27日—至今)、博时科技创新混合型证券投资基金(2020年4月15日—至今)的基金经理。 </w:t>
      </w:r>
    </w:p>
    <w:p w:rsidR="000073C0" w:rsidRPr="000073C0" w:rsidRDefault="000073C0" w:rsidP="000A34B8">
      <w:pPr>
        <w:pStyle w:val="a3"/>
        <w:spacing w:before="0" w:beforeAutospacing="0" w:after="0" w:afterAutospacing="0" w:line="360" w:lineRule="auto"/>
        <w:ind w:firstLine="420"/>
        <w:jc w:val="both"/>
        <w:divId w:val="1327710378"/>
        <w:rPr>
          <w:sz w:val="21"/>
          <w:szCs w:val="21"/>
        </w:rPr>
      </w:pPr>
      <w:bookmarkStart w:id="48" w:name="chapter_level1_5_53_section_3_end"/>
      <w:bookmarkEnd w:id="48"/>
      <w:r w:rsidRPr="000073C0">
        <w:rPr>
          <w:rFonts w:hint="eastAsia"/>
          <w:sz w:val="21"/>
          <w:szCs w:val="21"/>
        </w:rPr>
        <w:t xml:space="preserve"> 6、上述人员之间均不存在近亲属关系。 </w:t>
      </w:r>
      <w:bookmarkStart w:id="49" w:name="field_0_managerpersoninfo2_1_end"/>
      <w:bookmarkEnd w:id="49"/>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91436848"/>
        <w:rPr>
          <w:sz w:val="21"/>
          <w:szCs w:val="21"/>
        </w:rPr>
      </w:pPr>
      <w:bookmarkStart w:id="50" w:name="chapter_level1_5_53_section_4"/>
      <w:bookmarkEnd w:id="50"/>
      <w:r w:rsidRPr="000073C0">
        <w:rPr>
          <w:rStyle w:val="a4"/>
          <w:rFonts w:hint="eastAsia"/>
          <w:sz w:val="21"/>
          <w:szCs w:val="21"/>
        </w:rPr>
        <w:t>三、基金管理人的职责</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1、依法募集基金，办理或者委托经中国证监会认定的其他机构代为办理基金份额的发售、申购、赎回和登记事宜；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2、办理基金备案手续；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3、自《基金合同》生效之日起,以诚实信用、谨慎勤勉的原则管理和运用基金财产；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4、配备足够的具有专业资格的人员进行基金投资分析、决策，以专业化的经营方式管理和运作基金财产；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6、除依据《基金法》、《基金合同》及其他有关规定外,不得利用基金财产为自己及任何第三人谋取利益，不得委托第三人运作基金财产；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7、依法接受基金托管人的监督；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9、进行基金会计核算并编制基金财务会计报告；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10、编制季度报告、中期报告和年度报告；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11、严格按照《基金法》、《基金合同》及其他有关规定，履行信息披露及报告义务；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lastRenderedPageBreak/>
        <w:t xml:space="preserve">13、按《基金合同》的约定确定基金收益分配方案，及时向基金份额持有人分配基金收益；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14、按规定受理申购与赎回申请，及时、足额支付赎回款项；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15、依据《基金法》、《基金合同》及其他有关规定召集基金份额持有人大会或配合基金托管人、基金份额持有人依法召集基金份额持有人大会；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16、按规定保存基金财产管理业务活动的会计账册、报表、记录和其他相关资料15年以上；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18、组织并参加基金财产清算小组,参与基金财产的保管、清理、估价、变现和分配；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19、面临解散、依法被撤销或者被依法宣告破产时，及时报告中国证监会并通知基金托管人；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20、因违反《基金合同》导致基金财产的损失或损害基金份额持有人合法权益时，应当承担赔偿责任，其赔偿责任不因其退任而免除；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22、当基金管理人将其义务委托第三方处理时，应当对第三方处理有关基金事务的行为承担责任；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23、以基金管理人名义，代表基金份额持有人利益行使诉讼权利或实施其他法律行为；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24、基金管理人在募集期间未能达到基金的备案条件，《基金合同》不能生效，基金管理人承担全部募集费用，将已募集资金并加计银行同期存款利息在基金募集期结束后30日内退还基金认购人；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25、执行生效的基金份额持有人大会的决议；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26、建立并保存基金份额持有人名册；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27、法律法规及中国证监会规定的和《基金合同》约定的其他义务。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Style w:val="a4"/>
          <w:rFonts w:hint="eastAsia"/>
          <w:sz w:val="21"/>
          <w:szCs w:val="21"/>
        </w:rPr>
        <w:t>四、基金管理人的承诺</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1、基金管理人承诺不从事违反《证券法》的行为，并承诺建立健全内部控制制度，采取有效措施，防止违反《证券法》行为的发生；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lastRenderedPageBreak/>
        <w:t xml:space="preserve">2、基金管理人承诺不从事违反《基金法》的行为，并承诺建立健全内部风险控制制度，采取有效措施，防止下列行为的发生：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（1）将基金管理人固有财产或者他人财产混同于基金财产从事证券投资；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（2）不公平地对待管理的不同基金财产；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（3）利用基金财产为基金份额持有人以外的第三人牟取利益；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（4）向基金份额持有人违规承诺收益或者承担损失；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（5）依照法律、行政法规有关规定，由中国证监会规定禁止的其他行为。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3、基金管理人承诺严格遵守基金合同，并承诺建立健全内部控制制度，采取有效措施，防止违反基金合同行为的发生；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4、基金管理人承诺加强人员管理，强化职业操守，督促和约束员工遵守国家有关法律法规及行业规范，诚实信用、勤勉尽责；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5、基金管理人承诺不从事其他法规规定禁止从事的行为。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Style w:val="a4"/>
          <w:rFonts w:hint="eastAsia"/>
          <w:sz w:val="21"/>
          <w:szCs w:val="21"/>
        </w:rPr>
        <w:t>五、基金经理承诺</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1、依照有关法律法规和基金合同的规定，本着谨慎的原则为基金份额持有人谋取最大利益；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2、不利用职务之便为自己、受雇人或任何第三者谋取利益；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3、不泄露在任职期间知悉的有关证券、基金的商业秘密，尚未依法公开的基金投资内容、基金投资计划等信息；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4、不以任何形式为其他组织或个人进行证券交易。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Style w:val="a4"/>
          <w:rFonts w:hint="eastAsia"/>
          <w:sz w:val="21"/>
          <w:szCs w:val="21"/>
        </w:rPr>
        <w:t>六、基金管理人的内部控制制度</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1、风险管理的原则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（1）全面性原则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公司风险管理必须覆盖公司的所有部门和岗位，渗透各项业务过程和业务环节。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（2）独立性原则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公司设立独立的监察部，监察部保持高度的独立性和权威性，负责对公司各部门风险控制工作进行稽核和检查。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（3）相互制约原则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公司及各部门在内部组织结构的设计上要形成一种相互制约的机制，建立不同岗位之间的制衡体系。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lastRenderedPageBreak/>
        <w:t xml:space="preserve">（4）定性和定量相结合原则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建立完备的风险管理指标体系，使风险管理更具客观性和操作性。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2、风险管理和内部风险控制体系结构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（1）董事会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负责制定公司的风险管理政策，对风险管理负完全的和最终的责任。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（2）风险管理委员会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（3）督察长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独立行使督察权利；直接对董事会负责；按季向风险管理委员会提交独立的风险管理报告和风险管理建议。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（4）监察法律部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（5）风险管理部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（6）业务部门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3、风险管理和内部风险控制的措施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（1）建立内控结构，完善内控制度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lastRenderedPageBreak/>
        <w:t xml:space="preserve">公司建立、健全了内控结构，高管人员关于内控有明确的分工，确保各项业务活动有恰当的组织和授权，确保监察活动是独立的，并得到高管人员的支持，同时置备操作手册，并定期更新。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（2）建立相互分离、相互制衡的内控机制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建立、健全了各项制度，做到基金经理分开，投资决策分开，基金交易集中，形成不同部门，不同岗位之间的制衡机制，从制度上减少和防范风险。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（3）建立、健全岗位责任制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建立、健全了岗位责任制，使每个员工都明确自己的任务、职责，并及时将各自工作领域中的风险隐患上报，以防范和减少风险。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（4）建立风险分类、识别、评估、报告、提示程序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（5）建立有效的内部监控系统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建立了足够、有效的内部监控系统，如电脑预警系统、投资监控系统，对可能出现的各种风险进行全面和实时的监控。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（6）使用数量化的风险管理手段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 xml:space="preserve">（7）提供足够的培训 </w:t>
      </w:r>
    </w:p>
    <w:p w:rsidR="000073C0" w:rsidRPr="000073C0" w:rsidRDefault="000073C0">
      <w:pPr>
        <w:pStyle w:val="a3"/>
        <w:spacing w:before="0" w:beforeAutospacing="0" w:after="0" w:afterAutospacing="0" w:line="360" w:lineRule="auto"/>
        <w:ind w:firstLine="420"/>
        <w:divId w:val="91436848"/>
        <w:rPr>
          <w:sz w:val="21"/>
          <w:szCs w:val="21"/>
        </w:rPr>
      </w:pPr>
      <w:r w:rsidRPr="000073C0">
        <w:rPr>
          <w:rFonts w:hint="eastAsia"/>
          <w:sz w:val="21"/>
          <w:szCs w:val="21"/>
        </w:rPr>
        <w:t>制定了完整的培训计划，为所有员工提供足够和适当的培训，使员工明确其职责所在，</w:t>
      </w:r>
      <w:bookmarkStart w:id="51" w:name="chapter_level1_5_53_section_4_end"/>
      <w:bookmarkEnd w:id="51"/>
      <w:r w:rsidRPr="000073C0">
        <w:rPr>
          <w:rFonts w:hint="eastAsia"/>
          <w:sz w:val="21"/>
          <w:szCs w:val="21"/>
        </w:rPr>
        <w:t xml:space="preserve">控制风险。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52" w:name="chapter_level1_6_55"/>
      <w:bookmarkStart w:id="53" w:name="_Toc50743125"/>
      <w:r w:rsidRPr="000073C0">
        <w:rPr>
          <w:rFonts w:ascii="宋体" w:eastAsia="宋体" w:hAnsi="宋体" w:hint="eastAsia"/>
          <w:sz w:val="30"/>
        </w:rPr>
        <w:lastRenderedPageBreak/>
        <w:t>第四部分  基金托管人</w:t>
      </w:r>
      <w:bookmarkEnd w:id="52"/>
      <w:bookmarkEnd w:id="53"/>
    </w:p>
    <w:p w:rsidR="000073C0" w:rsidRPr="000073C0" w:rsidRDefault="000073C0">
      <w:pPr>
        <w:pStyle w:val="a3"/>
        <w:spacing w:before="0" w:beforeAutospacing="0" w:after="0" w:afterAutospacing="0" w:line="360" w:lineRule="auto"/>
        <w:ind w:firstLine="420"/>
        <w:divId w:val="1172523245"/>
        <w:rPr>
          <w:sz w:val="21"/>
          <w:szCs w:val="21"/>
        </w:rPr>
      </w:pPr>
      <w:bookmarkStart w:id="54" w:name="chapter_level1_6_55_section_1"/>
      <w:bookmarkStart w:id="55" w:name="field_0_trustcompanyinfo_1_start"/>
      <w:bookmarkEnd w:id="54"/>
      <w:bookmarkEnd w:id="55"/>
      <w:r w:rsidRPr="000073C0">
        <w:rPr>
          <w:rFonts w:hint="eastAsia"/>
          <w:sz w:val="21"/>
          <w:szCs w:val="21"/>
        </w:rPr>
        <w:t xml:space="preserve">一、基金托管人情况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（一）基本情况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名称：中国建设银行股份有限公司(简称：中国建设银行)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住所：北京市西城区金融大街25号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办公地址：北京市西城区闹市口大街1号院1号楼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法定代表人：田国立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成立时间：2004年09月17日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组织形式：股份有限公司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注册资本：贰仟伍佰亿壹仟零玖拾柒万柒仟肆佰捌拾陆元整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存续期间：持续经营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基金托管资格批文及文号：中国证监会证监基字[1998]12号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联系人：周海新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联系电话：(021)6063 7111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（二）主要人员情况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中国建设银行总行设资产托管业务部，下设综合处、基金市场处、证券保险资产市场处、理财信托股权市场处、全球托管处、养老金托管处、新兴业务处、运营管理处、跨境托管运营处、社保及大客户服务处、托管应用系统支持处、合规监督处等12个职能处室，在安徽合肥设有托管运营中心，在上海设有托管运营中心上海分中心，共有员工300余人。自2007年起，托管部连续聘请外部会计师事务所对托管业务进行内部控制审计，并已经成为常规化的内控工作手段。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 xml:space="preserve">（三）基金托管业务经营情况 </w:t>
      </w:r>
    </w:p>
    <w:p w:rsidR="000073C0" w:rsidRPr="000073C0" w:rsidRDefault="000073C0">
      <w:pPr>
        <w:pStyle w:val="a3"/>
        <w:spacing w:before="0" w:beforeAutospacing="0" w:after="0" w:afterAutospacing="0" w:line="360" w:lineRule="auto"/>
        <w:ind w:firstLine="420"/>
        <w:divId w:val="1172523245"/>
        <w:rPr>
          <w:sz w:val="21"/>
          <w:szCs w:val="21"/>
        </w:rPr>
      </w:pPr>
      <w:r w:rsidRPr="000073C0">
        <w:rPr>
          <w:rFonts w:hint="eastAsia"/>
          <w:sz w:val="21"/>
          <w:szCs w:val="21"/>
        </w:rPr>
        <w:t>作为国内首批开办证券投资基金托管业务的商业银行，中国建设银行一直秉持“以客户为中心”的经营理念，不断加强风险管理和内部控制，严格履行托管人的各项职责，切实维护资产持有人的合法权益，为资产委托人提供高质量的托管服务。经过多年稳步发展，中国建设银行托管资产规模不断扩大，托管业务品种不断增加，已形成包括证券投资基金、社保基金、保险资金、基本养老个人账户、(R)QFII、(R)QDII、企业年金、存托业务等产品在内的托管业务体系，是目前国内托管业务品种最齐全的商业银行之一。截至2020年二季度末，</w:t>
      </w:r>
      <w:r w:rsidRPr="000073C0">
        <w:rPr>
          <w:rFonts w:hint="eastAsia"/>
          <w:sz w:val="21"/>
          <w:szCs w:val="21"/>
        </w:rPr>
        <w:lastRenderedPageBreak/>
        <w:t>中国建设银行已托管1000只证券投资基金。中国建设银行专业高效的托管服务能力和业务水平，赢得了业内的高度认同。中国建设银行先后9次获得《全球托管人》“中国最佳托管银行”、4次获得《财资》“中国最佳次托管银行”、连续多年荣获中央国债登记结算有限责任公司（中债）“优秀资产托管机构”、银行间市场清算所股份有限公司（上清所）“优秀托管银行”奖项，并在2016年被《环球金融》评为中国市场唯一一家“最佳托管银行”、在2017年及2019年分别荣获《亚洲银行家》“最佳托管系统实施奖”、“中国年度托管业</w:t>
      </w:r>
      <w:bookmarkStart w:id="56" w:name="chapter_level1_6_55_section_1_end"/>
      <w:bookmarkEnd w:id="56"/>
      <w:r w:rsidRPr="000073C0">
        <w:rPr>
          <w:rFonts w:hint="eastAsia"/>
          <w:sz w:val="21"/>
          <w:szCs w:val="21"/>
        </w:rPr>
        <w:t xml:space="preserve">务科技实施奖”。 </w:t>
      </w:r>
      <w:bookmarkStart w:id="57" w:name="field_0_trustcompanyinfo_1_end"/>
      <w:bookmarkEnd w:id="57"/>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1691835396"/>
        <w:rPr>
          <w:sz w:val="21"/>
          <w:szCs w:val="21"/>
        </w:rPr>
      </w:pPr>
      <w:bookmarkStart w:id="58" w:name="chapter_level1_6_55_section_2"/>
      <w:bookmarkStart w:id="59" w:name="field_0_trustcontrollawinfo_1_start"/>
      <w:bookmarkEnd w:id="58"/>
      <w:bookmarkEnd w:id="59"/>
      <w:r w:rsidRPr="000073C0">
        <w:rPr>
          <w:rFonts w:hint="eastAsia"/>
          <w:sz w:val="21"/>
          <w:szCs w:val="21"/>
        </w:rPr>
        <w:t xml:space="preserve">二、基金托管人的内部控制制度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（一）内部控制目标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作为基金托管人，中国建设银行严格遵守国家有关托管业务的法律法规、行业监管规章和本行内有关管理规定，守法经营、规范运作、严格检查，确保业务的稳健运行，保证基金财产的安全完整，确保有关信息的真实、准确、完整、及时，保护基金份额持有人的合法权益。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（二）内部控制组织结构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中国建设银行设有风险与内控管理委员会，负责全行风险管理与内部控制工作，对托管业务风险控制工作进行检查指导。资产托管业务部配备了专职内控合规人员负责托管业务的内控合规工作，具有独立行使内控合规工作职权和能力。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（三）内部控制制度及措施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资产托管业务部具备系统、完善的制度控制体系，建立了管理制度、控制制度、岗位职责、业务操作流程，可以保证托管业务的规范操作和顺利进行；业务人员具备从业资格；业务管理严格实行复核、审核、检查制度，授权工作实行集中控制，业务印章按规程保管、存放、使用，账户资料严格保管，制约机制严格有效；业务操作区专门设置，封闭管理，实施音像监控；业务信息由专职信息披露人负责，防止泄密；业务实现自动化操作，防止人为事故的发生，技术系统完整、独立。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三、基金托管人对基金管理人运作基金进行监督的方法和程序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（一）监督方法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依照《基金法》及其配套法规和基金合同的约定，监督所托管基金的投资运作。利用自行开发的“新一代托管应用监督子系统”，严格按照现行法律法规以及基金合同规定，对基金管理人运作基金的投资比例、投资范围、投资组合等情况进行监督。在日常为基金投资运</w:t>
      </w:r>
      <w:r w:rsidRPr="000073C0">
        <w:rPr>
          <w:rFonts w:hint="eastAsia"/>
          <w:sz w:val="21"/>
          <w:szCs w:val="21"/>
        </w:rPr>
        <w:lastRenderedPageBreak/>
        <w:t xml:space="preserve">作所提供的基金清算和核算服务环节中，对基金管理人发送的投资指令、基金管理人对各基金费用的提取与开支情况进行检查监督。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（二）监督流程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1.每工作日按时通过新一代托管应用监督子系统，对各基金投资运作比例控制等情况进行监控，如发现投资异常情况，向基金管理人进行风险提示，与基金管理人进行情况核实，督促其纠正，如有重大异常事项及时报告中国证监会。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 xml:space="preserve">2.收到基金管理人的划款指令后，对指令要素等内容进行核查。 </w:t>
      </w:r>
    </w:p>
    <w:p w:rsidR="000073C0" w:rsidRPr="000073C0" w:rsidRDefault="000073C0">
      <w:pPr>
        <w:pStyle w:val="a3"/>
        <w:spacing w:before="0" w:beforeAutospacing="0" w:after="0" w:afterAutospacing="0" w:line="360" w:lineRule="auto"/>
        <w:ind w:firstLine="420"/>
        <w:divId w:val="1691835396"/>
        <w:rPr>
          <w:sz w:val="21"/>
          <w:szCs w:val="21"/>
        </w:rPr>
      </w:pPr>
      <w:r w:rsidRPr="000073C0">
        <w:rPr>
          <w:rFonts w:hint="eastAsia"/>
          <w:sz w:val="21"/>
          <w:szCs w:val="21"/>
        </w:rPr>
        <w:t>3.通过技术或非技术手段发现基金涉嫌违规交易，电话或书面要求基金管理人进行解释</w:t>
      </w:r>
      <w:bookmarkStart w:id="60" w:name="chapter_level1_6_55_section_2_end"/>
      <w:bookmarkEnd w:id="60"/>
      <w:r w:rsidRPr="000073C0">
        <w:rPr>
          <w:rFonts w:hint="eastAsia"/>
          <w:sz w:val="21"/>
          <w:szCs w:val="21"/>
        </w:rPr>
        <w:t xml:space="preserve">或举证，如有必要将及时报告中国证监会。 </w:t>
      </w:r>
      <w:bookmarkStart w:id="61" w:name="field_0_trustcontrollawinfo_1_end"/>
      <w:bookmarkEnd w:id="61"/>
      <w:r w:rsidRPr="000073C0">
        <w:rPr>
          <w:rFonts w:hint="eastAsia"/>
          <w:sz w:val="21"/>
          <w:szCs w:val="21"/>
        </w:rPr>
        <w:t xml:space="preserve">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62" w:name="chapter_level1_7_56"/>
      <w:bookmarkStart w:id="63" w:name="_Toc50743126"/>
      <w:r w:rsidRPr="000073C0">
        <w:rPr>
          <w:rFonts w:ascii="宋体" w:eastAsia="宋体" w:hAnsi="宋体" w:hint="eastAsia"/>
          <w:sz w:val="30"/>
        </w:rPr>
        <w:lastRenderedPageBreak/>
        <w:t>第五部分  相关服务机构</w:t>
      </w:r>
      <w:bookmarkEnd w:id="62"/>
      <w:bookmarkEnd w:id="63"/>
    </w:p>
    <w:p w:rsidR="000073C0" w:rsidRPr="000073C0" w:rsidRDefault="000073C0">
      <w:pPr>
        <w:pStyle w:val="a3"/>
        <w:spacing w:before="0" w:beforeAutospacing="0" w:after="0" w:afterAutospacing="0" w:line="360" w:lineRule="auto"/>
        <w:ind w:firstLine="420"/>
        <w:divId w:val="211619530"/>
        <w:rPr>
          <w:sz w:val="21"/>
          <w:szCs w:val="21"/>
        </w:rPr>
      </w:pPr>
      <w:bookmarkStart w:id="64" w:name="chapter_level1_7_56_section_1"/>
      <w:bookmarkEnd w:id="64"/>
      <w:r w:rsidRPr="000073C0">
        <w:rPr>
          <w:rFonts w:hint="eastAsia"/>
          <w:b/>
          <w:bCs/>
          <w:sz w:val="21"/>
          <w:szCs w:val="21"/>
        </w:rPr>
        <w:t>一、基金份额销售机构</w:t>
      </w:r>
    </w:p>
    <w:p w:rsidR="000073C0" w:rsidRPr="000073C0" w:rsidRDefault="000073C0">
      <w:pPr>
        <w:pStyle w:val="a3"/>
        <w:spacing w:before="0" w:beforeAutospacing="0" w:after="0" w:afterAutospacing="0" w:line="360" w:lineRule="auto"/>
        <w:ind w:firstLine="420"/>
        <w:divId w:val="211619530"/>
        <w:rPr>
          <w:sz w:val="21"/>
          <w:szCs w:val="21"/>
        </w:rPr>
      </w:pPr>
      <w:r w:rsidRPr="000073C0">
        <w:rPr>
          <w:rFonts w:hint="eastAsia"/>
          <w:sz w:val="21"/>
          <w:szCs w:val="21"/>
        </w:rPr>
        <w:t xml:space="preserve">1、直销机构 </w:t>
      </w:r>
    </w:p>
    <w:p w:rsidR="000073C0" w:rsidRPr="000073C0" w:rsidRDefault="000073C0">
      <w:pPr>
        <w:pStyle w:val="a3"/>
        <w:spacing w:before="0" w:beforeAutospacing="0" w:after="0" w:afterAutospacing="0" w:line="360" w:lineRule="auto"/>
        <w:ind w:firstLine="420"/>
        <w:divId w:val="211619530"/>
        <w:rPr>
          <w:sz w:val="21"/>
          <w:szCs w:val="21"/>
        </w:rPr>
      </w:pPr>
      <w:bookmarkStart w:id="65" w:name="field_0_marketcompanyinfo_1_start"/>
      <w:bookmarkEnd w:id="65"/>
      <w:r w:rsidRPr="000073C0">
        <w:rPr>
          <w:rFonts w:hint="eastAsia"/>
          <w:sz w:val="21"/>
          <w:szCs w:val="21"/>
        </w:rPr>
        <w:t xml:space="preserve">名称：博时基金管理有限公司北京直销中心 </w:t>
      </w:r>
    </w:p>
    <w:p w:rsidR="000073C0" w:rsidRPr="000073C0" w:rsidRDefault="000073C0">
      <w:pPr>
        <w:pStyle w:val="a3"/>
        <w:spacing w:before="0" w:beforeAutospacing="0" w:after="0" w:afterAutospacing="0" w:line="360" w:lineRule="auto"/>
        <w:ind w:firstLine="420"/>
        <w:divId w:val="211619530"/>
        <w:rPr>
          <w:sz w:val="21"/>
          <w:szCs w:val="21"/>
        </w:rPr>
      </w:pPr>
      <w:r w:rsidRPr="000073C0">
        <w:rPr>
          <w:rFonts w:hint="eastAsia"/>
          <w:sz w:val="21"/>
          <w:szCs w:val="21"/>
        </w:rPr>
        <w:t xml:space="preserve">住所：深圳市福田区莲花街道福新社区益田路5999号基金大厦21层 </w:t>
      </w:r>
    </w:p>
    <w:p w:rsidR="000073C0" w:rsidRPr="000073C0" w:rsidRDefault="000073C0">
      <w:pPr>
        <w:pStyle w:val="a3"/>
        <w:spacing w:before="0" w:beforeAutospacing="0" w:after="0" w:afterAutospacing="0" w:line="360" w:lineRule="auto"/>
        <w:ind w:firstLine="420"/>
        <w:divId w:val="211619530"/>
        <w:rPr>
          <w:sz w:val="21"/>
          <w:szCs w:val="21"/>
        </w:rPr>
      </w:pPr>
      <w:r w:rsidRPr="000073C0">
        <w:rPr>
          <w:rFonts w:hint="eastAsia"/>
          <w:sz w:val="21"/>
          <w:szCs w:val="21"/>
        </w:rPr>
        <w:t xml:space="preserve">地址：北京市建国门内大街18号恒基中心1座23层 </w:t>
      </w:r>
    </w:p>
    <w:p w:rsidR="000073C0" w:rsidRPr="000073C0" w:rsidRDefault="000073C0">
      <w:pPr>
        <w:pStyle w:val="a3"/>
        <w:spacing w:before="0" w:beforeAutospacing="0" w:after="0" w:afterAutospacing="0" w:line="360" w:lineRule="auto"/>
        <w:ind w:firstLine="420"/>
        <w:divId w:val="211619530"/>
        <w:rPr>
          <w:sz w:val="21"/>
          <w:szCs w:val="21"/>
        </w:rPr>
      </w:pPr>
      <w:r w:rsidRPr="000073C0">
        <w:rPr>
          <w:rFonts w:hint="eastAsia"/>
          <w:sz w:val="21"/>
          <w:szCs w:val="21"/>
        </w:rPr>
        <w:t xml:space="preserve">电话：010-65187055 </w:t>
      </w:r>
    </w:p>
    <w:p w:rsidR="000073C0" w:rsidRPr="000073C0" w:rsidRDefault="000073C0">
      <w:pPr>
        <w:pStyle w:val="a3"/>
        <w:spacing w:before="0" w:beforeAutospacing="0" w:after="0" w:afterAutospacing="0" w:line="360" w:lineRule="auto"/>
        <w:ind w:firstLine="420"/>
        <w:divId w:val="211619530"/>
        <w:rPr>
          <w:sz w:val="21"/>
          <w:szCs w:val="21"/>
        </w:rPr>
      </w:pPr>
      <w:r w:rsidRPr="000073C0">
        <w:rPr>
          <w:rFonts w:hint="eastAsia"/>
          <w:sz w:val="21"/>
          <w:szCs w:val="21"/>
        </w:rPr>
        <w:t xml:space="preserve">传真：010-65187032、010-65187592 </w:t>
      </w:r>
    </w:p>
    <w:p w:rsidR="000073C0" w:rsidRPr="000073C0" w:rsidRDefault="000073C0">
      <w:pPr>
        <w:pStyle w:val="a3"/>
        <w:spacing w:before="0" w:beforeAutospacing="0" w:after="0" w:afterAutospacing="0" w:line="360" w:lineRule="auto"/>
        <w:ind w:firstLine="420"/>
        <w:divId w:val="211619530"/>
        <w:rPr>
          <w:sz w:val="21"/>
          <w:szCs w:val="21"/>
        </w:rPr>
      </w:pPr>
      <w:r w:rsidRPr="000073C0">
        <w:rPr>
          <w:rFonts w:hint="eastAsia"/>
          <w:sz w:val="21"/>
          <w:szCs w:val="21"/>
        </w:rPr>
        <w:t xml:space="preserve">联系人：韩明亮 </w:t>
      </w:r>
    </w:p>
    <w:p w:rsidR="000073C0" w:rsidRPr="000073C0" w:rsidRDefault="000073C0">
      <w:pPr>
        <w:pStyle w:val="a3"/>
        <w:spacing w:before="0" w:beforeAutospacing="0" w:after="0" w:afterAutospacing="0" w:line="360" w:lineRule="auto"/>
        <w:ind w:firstLine="420"/>
        <w:divId w:val="211619530"/>
        <w:rPr>
          <w:sz w:val="21"/>
          <w:szCs w:val="21"/>
        </w:rPr>
      </w:pPr>
      <w:bookmarkStart w:id="66" w:name="chapter_level1_7_56_section_1_end"/>
      <w:bookmarkEnd w:id="66"/>
      <w:r w:rsidRPr="000073C0">
        <w:rPr>
          <w:rFonts w:hint="eastAsia"/>
          <w:sz w:val="21"/>
          <w:szCs w:val="21"/>
        </w:rPr>
        <w:t xml:space="preserve">博时一线通：95105568（免长途话费） </w:t>
      </w:r>
      <w:bookmarkStart w:id="67" w:name="field_0_marketcompanyinfo_1_end"/>
      <w:bookmarkEnd w:id="67"/>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1081219581"/>
        <w:rPr>
          <w:sz w:val="21"/>
          <w:szCs w:val="21"/>
        </w:rPr>
      </w:pPr>
      <w:bookmarkStart w:id="68" w:name="chapter_level1_7_56_section_2"/>
      <w:bookmarkEnd w:id="68"/>
      <w:r w:rsidRPr="000073C0">
        <w:rPr>
          <w:rFonts w:hint="eastAsia"/>
          <w:sz w:val="21"/>
          <w:szCs w:val="21"/>
        </w:rPr>
        <w:t xml:space="preserve">2、代销机构 </w:t>
      </w:r>
    </w:p>
    <w:p w:rsidR="000073C0" w:rsidRPr="000073C0" w:rsidRDefault="000073C0">
      <w:pPr>
        <w:pStyle w:val="a3"/>
        <w:spacing w:before="0" w:beforeAutospacing="0" w:after="0" w:afterAutospacing="0" w:line="360" w:lineRule="auto"/>
        <w:ind w:firstLine="420"/>
        <w:divId w:val="1081219581"/>
        <w:rPr>
          <w:sz w:val="21"/>
          <w:szCs w:val="21"/>
        </w:rPr>
      </w:pPr>
      <w:bookmarkStart w:id="69" w:name="field_0_allproxysaletables_1_start"/>
      <w:bookmarkEnd w:id="69"/>
      <w:r w:rsidRPr="000073C0">
        <w:rPr>
          <w:rFonts w:hint="eastAsia"/>
          <w:b/>
          <w:bCs/>
          <w:sz w:val="21"/>
          <w:szCs w:val="21"/>
        </w:rPr>
        <w:t>(1)中国农业银行股份有限公司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北京市东城区建国门内大街69号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北京市东城区建国门内大街69号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周慕冰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http://www.abchina.com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(2)中国银行股份有限公司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北京市西城区复兴门内大街1号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北京市西城区复兴门内大街1号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刘连舸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高越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010-66594973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http://www.boc.cn/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(3)中国建设银行股份有限公司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北京市西城区金融大街25号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北京市西城区闹市口大街1号院1号楼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田国立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张静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010－66275654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95533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http://www.ccb.com/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(4)交通银行股份有限公司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上海市银城中路188号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上海市银城中路188号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任德奇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陈旭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021-58781234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021-58408483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95559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http://www.bankcomm.com/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(5)招商银行股份有限公司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深圳市福田区深南大道7088号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深圳市福田区深南大道7088号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李建红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0755－83198888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0755－83195049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95555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http://www.cmbchina.com/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(6)中信银行股份有限公司</w:t>
      </w:r>
    </w:p>
    <w:tbl>
      <w:tblPr>
        <w:tblStyle w:val="ac"/>
        <w:tblW w:w="8353" w:type="dxa"/>
        <w:tblLook w:val="04A0" w:firstRow="1" w:lastRow="0" w:firstColumn="1" w:lastColumn="0" w:noHBand="0" w:noVBand="1"/>
      </w:tblPr>
      <w:tblGrid>
        <w:gridCol w:w="2290"/>
        <w:gridCol w:w="606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北京市东城区朝阳门北大街8号富华大厦C座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北京市东城区朝阳门北大街9号文化大厦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李庆萍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王晓琳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010－89937325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95558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http://bank.ecitic.com/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(7)上海浦东发展银行股份有限公司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上海市中山东一路12号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上海市北京东路689号东银大厦25楼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高国富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吴斌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021－61618888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021－63602431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95528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http://www.spdb.com.cn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(8)中国邮政储蓄银行股份有限公司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北京市西城区金融大街3号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北京市西城区金融大街3号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张金良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陈春林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010－68858117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95580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http://www.psbc.com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(9)广发银行股份有限公司</w:t>
      </w:r>
    </w:p>
    <w:tbl>
      <w:tblPr>
        <w:tblStyle w:val="ac"/>
        <w:tblW w:w="8353" w:type="dxa"/>
        <w:tblLook w:val="04A0" w:firstRow="1" w:lastRow="0" w:firstColumn="1" w:lastColumn="0" w:noHBand="0" w:noVBand="1"/>
      </w:tblPr>
      <w:tblGrid>
        <w:gridCol w:w="2235"/>
        <w:gridCol w:w="611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广州市越秀区农林下路83号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广州市越秀区农林下路83号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王滨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陈泾渭/刘伟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020-38321497/020-38322566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020-38321676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4008308003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http://www.cgbchina.com.cn/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(10)平安银行股份有限公司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深圳市深南东路5047号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深圳市深南东路5047号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谢永林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施艺帆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021-50979384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021-50979507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95511-3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http://bank.pingan.com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(11)上海农村商业银行股份有限公司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上海市浦东新区银城中路8号15-20楼、22-27楼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上海市浦东新区银城中路8号15-20楼、22-27楼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冀光恒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施传荣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021－38576666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021－50105124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021-962999;4006962999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http://www.srcb.com/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(12)北京农村商业银行股份有限公司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北京市西城区月坛南街1号院2号楼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北京市西城区月坛南街1号院2号楼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王金山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鲁娟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010-89198762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010-89198678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96198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http://www.bjrcb.com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(13)南京银行股份有限公司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南京市白下区淮海路50号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南京市玄武区中山路288号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林复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刘晔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025－86775335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025－86775376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95302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http://www.njcb.com.cn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(14)汉口银行股份有限公司</w:t>
      </w:r>
    </w:p>
    <w:tbl>
      <w:tblPr>
        <w:tblStyle w:val="ac"/>
        <w:tblW w:w="8353" w:type="dxa"/>
        <w:tblLook w:val="04A0" w:firstRow="1" w:lastRow="0" w:firstColumn="1" w:lastColumn="0" w:noHBand="0" w:noVBand="1"/>
      </w:tblPr>
      <w:tblGrid>
        <w:gridCol w:w="2290"/>
        <w:gridCol w:w="606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武汉市江汉区建设大道933号汉口银行大厦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武汉市江汉区建设大道933号汉口银行大厦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陈新民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李欣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027-82656704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027-82656236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027-96558（武汉）;4006096558（全国）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http://www.hkbchina.com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(15)江苏银行股份有限公司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南京市洪武北路55号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南京市中华路26号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夏平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田春慧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025-58587018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025-58587038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95319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http://www.jsbchina.cn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(16)大连银行股份有限公司</w:t>
      </w:r>
    </w:p>
    <w:tbl>
      <w:tblPr>
        <w:tblStyle w:val="ac"/>
        <w:tblW w:w="8353" w:type="dxa"/>
        <w:tblLook w:val="04A0" w:firstRow="1" w:lastRow="0" w:firstColumn="1" w:lastColumn="0" w:noHBand="0" w:noVBand="1"/>
      </w:tblPr>
      <w:tblGrid>
        <w:gridCol w:w="2290"/>
        <w:gridCol w:w="606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辽宁省大连市中山区中山路88号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大连市中山区中山路88号天安国际大厦43楼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陈占维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朱珠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0411-82311131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4006640099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http://www.bankofdl.com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(17)东莞农村商业银行股份有限公司</w:t>
      </w:r>
    </w:p>
    <w:tbl>
      <w:tblPr>
        <w:tblStyle w:val="ac"/>
        <w:tblW w:w="8353" w:type="dxa"/>
        <w:tblLook w:val="04A0" w:firstRow="1" w:lastRow="0" w:firstColumn="1" w:lastColumn="0" w:noHBand="0" w:noVBand="1"/>
      </w:tblPr>
      <w:tblGrid>
        <w:gridCol w:w="2290"/>
        <w:gridCol w:w="606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广东省东莞市东城区鸿福东路2号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广东省东莞市东城区鸿福东路2号东莞农商银行大厦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王耀球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杨亢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0769-22866270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0769-22866282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961122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http://www.drcbank.com/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(18)河北银行股份有限公司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河北省石家庄市平安北大街28号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河北省石家庄市平安北大街28号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乔志强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王丽辉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0311-67806407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0311-88627027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400-612-9999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http://www.hebbank.com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(19)嘉兴银行股份有限公司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嘉兴市建国南路409号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嘉兴市建国南路409号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夏林生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顾晓光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0573-82099660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0573-82099660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0573-96528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http://www.jxccb.com/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(20)江苏苏州农村商业银行股份有限公司</w:t>
      </w:r>
    </w:p>
    <w:tbl>
      <w:tblPr>
        <w:tblStyle w:val="ac"/>
        <w:tblW w:w="8353" w:type="dxa"/>
        <w:tblLook w:val="04A0" w:firstRow="1" w:lastRow="0" w:firstColumn="1" w:lastColumn="0" w:noHBand="0" w:noVBand="1"/>
      </w:tblPr>
      <w:tblGrid>
        <w:gridCol w:w="2250"/>
        <w:gridCol w:w="610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江苏省苏州市吴江区中山南路1777号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江苏省苏州市吴江区中山南路1777号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魏礼亚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陆文菁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0512-63969209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0512-63969209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4008696068   0512-96068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www.szrcb.com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(21)西安银行股份有限公司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西安市高新路60号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西安市高新路60号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郭军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白智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029-88992881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029-88992881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4008696779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www.xacbank.com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(22)江苏江南农村商业银行股份有限公司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常州市延陵中路668号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常州市和平中路413号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陆向阳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包静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0519-89995066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0519-89995170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0519-96005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http://www.jnbank.cc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(23)厦门银行股份有限公司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厦门湖滨北路101号厦门银行大厦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厦门湖滨北路101号厦门银行大厦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吴世群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孙瑜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0592-5310251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0592-5061952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4008588888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http://www.xmccb.com/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(24)成都农村商业银行股份有限公司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四川省成都市武侯区科华中路88号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四川省成都市武侯区科华中路88号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陈萍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杨琪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028-85029649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028-85190961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95392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http://www.cdrcb.com/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(25)吉林银行股份有限公司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吉林省长春市经开区东南湖大路1817号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吉林省长春市经开区东南湖大路1817号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唐国兴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孙琦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0431-84999543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0431-84999543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4008896666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http://www.jlbank.com.cn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(26)苏州银行股份有限公司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江苏省苏州市工业园区钟园路728号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江苏省苏州市工业园区钟园路728号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王兰凤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熊志强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0512-69868390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0512-69868370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96067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www.suzhoubank.com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(27)福建海峡银行股份有限公司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福建省福州市台江区江滨中大道358号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福州台江区江滨中大道358号福建海峡银行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俞敏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吴白玫、张翠娟、黄钰雯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0591-87332762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0591-87330926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400-893-9999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www.fjhxbank.com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(28)浙江绍兴瑞丰农村商业银行股份有限公司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浙江绍兴柯桥笛扬路1363号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浙江绍兴柯桥笛扬路1363号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俞俊海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孟建潮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0575-84788101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0575-84788134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400-889-6596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http://www.borf.cn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(29)深圳市新兰德证券投资咨询有限公司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深圳市福田区华强北路赛格科技园4栋10层1006#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北京市西城区宣武门外大街28号富卓大厦A座6层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马勇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张燕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010-58325388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010-58325300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400-166-1188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http://8.jrj.com.cn/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(30)厦门市鑫鼎盛控股有限公司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厦门市思明区鹭江道2号厦门第一广场1501-1504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厦门市思明区鹭江道2号厦门第一广场1501-1504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陈洪生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徐明静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0592-3122716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0592-8060771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400-918-0808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www.xds.com.cn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(31)大河财富基金销售有限公司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贵州省贵阳市南明区新华路110-134号富中国际广场1</w:t>
            </w:r>
            <w:r w:rsidRPr="000073C0">
              <w:rPr>
                <w:rFonts w:hint="eastAsia"/>
              </w:rPr>
              <w:lastRenderedPageBreak/>
              <w:t xml:space="preserve">栋20层1、2号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贵州省贵阳市南明区新华路110-134号富中国际广场1栋20层1、2号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王荻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方凯鑫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0851-88405606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0851-88405599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0851-88235678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www.urainf.com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(32)民商基金销售（上海）有限公司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上海黄浦区北京东路666号H区（东座）6楼A31室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上海市浦东新区张杨路707号生命人寿大厦32楼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贲惠琴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钟伟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020-50206003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020-50206001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020-50206003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www.msftec.com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(33)北京度小满基金销售有限公司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北京市海淀区西北旺东路10号院西区4号楼1层103室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北京市海淀区西北旺东路10号院西区4号楼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葛新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孙博超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010-59403028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010-59403027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95055-4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www.baiyingfund.com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(34)诺亚正行基金销售有限公司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上海市金山区廊下镇漕廊公路7650号205室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上海浦东新区银城中路68号时代金融中心8楼801室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汪静波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方成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021-38602377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021-38509777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400-821-5399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http://www.noah-fund.com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(35)深圳众禄基金销售股份有限公司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深圳市罗湖区梨园路物资控股置地大厦8楼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深圳市罗湖区梨园路物资控股置地大厦8楼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薛峰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童彩平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0755-33227950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0755-33227951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400-678-8887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https://www.zlfund.cn/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(36)上海天天基金销售有限公司</w:t>
      </w:r>
    </w:p>
    <w:tbl>
      <w:tblPr>
        <w:tblStyle w:val="ac"/>
        <w:tblW w:w="8353" w:type="dxa"/>
        <w:tblLook w:val="04A0" w:firstRow="1" w:lastRow="0" w:firstColumn="1" w:lastColumn="0" w:noHBand="0" w:noVBand="1"/>
      </w:tblPr>
      <w:tblGrid>
        <w:gridCol w:w="2263"/>
        <w:gridCol w:w="6090"/>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上海市徐汇区龙田路190号2号楼2层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上海市徐汇区龙田路195号3C座9楼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其实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潘世友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021-54509998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021-64385308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400-181-8188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http://www.1234567.com.cn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(37)上海好买基金销售有限公司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上海市虹口区场中路685弄37号4号楼449室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上海市浦东新区浦东南路1118号鄂尔多斯国际大厦903～906室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杨文斌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张茹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021-20613610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400-700-9665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http://www.howbuy.com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(38)蚂蚁（杭州）基金销售有限公司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杭州市余杭区仓前街道文一西路1218号1栋202室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浙江省杭州市滨江区江南大道3588号恒生大厦12楼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陈柏青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朱晓超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021-60897840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0571-26697013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400-076-6123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http://www.fund123.cn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(39)上海长量基金销售有限公司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上海市浦东新区高翔路526号2幢220室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上海市浦东新区东方路1267号11层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张跃伟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敖玲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021-58788678-8201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021—58787698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400-820-2899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http://www.erichfund.com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(40)浙江同花顺基金销售有限公司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杭州市西湖区文二西路1号元茂大厦903室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浙江省杭州市余杭区五常街道同顺街18号同花顺大楼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凌顺平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吴杰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0571-88911818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0571-86800423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400-877-3772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www.5ifund.com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(41)上海利得基金销售有限公司</w:t>
      </w:r>
    </w:p>
    <w:tbl>
      <w:tblPr>
        <w:tblStyle w:val="ac"/>
        <w:tblW w:w="8353" w:type="dxa"/>
        <w:tblLook w:val="04A0" w:firstRow="1" w:lastRow="0" w:firstColumn="1" w:lastColumn="0" w:noHBand="0" w:noVBand="1"/>
      </w:tblPr>
      <w:tblGrid>
        <w:gridCol w:w="2263"/>
        <w:gridCol w:w="6090"/>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上海市宝山区蕴川路5475号1033室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上海浦东新区峨山路91弄61号10号楼12楼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李兴春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徐鹏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021-50583533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021-50583633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400-921-7755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http://a.leadfund.com.cn/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(42)嘉实财富管理有限公司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上海市浦东新区世纪大道8号上海国金中心办公楼二期46层4609-10单元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北京市朝阳区建国门外大街21号北京国际俱乐部C座写字楼11层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赵学军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余永键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010-85097570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010-65215433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400-021-8850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www.harvestwm.cn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(43)乾道金融信息服务（北京）有限公司</w:t>
      </w:r>
    </w:p>
    <w:tbl>
      <w:tblPr>
        <w:tblStyle w:val="ac"/>
        <w:tblW w:w="8353" w:type="dxa"/>
        <w:tblLook w:val="04A0" w:firstRow="1" w:lastRow="0" w:firstColumn="1" w:lastColumn="0" w:noHBand="0" w:noVBand="1"/>
      </w:tblPr>
      <w:tblGrid>
        <w:gridCol w:w="2358"/>
        <w:gridCol w:w="599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北京市海淀区东北旺村南1号楼7层7117室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北京市西城区德外大街合生财富广场1302室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王兴吉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高雪超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010-62062880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010-82057741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400-088-8080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www.qiandaojr.com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(44)南京苏宁基金销售有限公司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南京市玄武区苏宁大道1-5号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南京市玄武区苏宁大道1-5号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钱燕飞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喻明明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025-66996699-884131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025-66996699-884131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95177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www.snjijin.com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(45)浦领基金销售有限公司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北京市朝阳区望京东园四区2号楼10层1001号04室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北京市朝阳区望京中航资本大厦10层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聂婉君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李艳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010-59497361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010-64788016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400-012-5899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www.zscffund.com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(46)深圳腾元基金销售有限公司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深圳市福田区金田路2028号卓越世纪中心1号楼1806-1808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深圳市福田区金田路2028号卓越世纪中心1号楼1806-1808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曾革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鄢萌莎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0755-33376922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0755-33065516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400-990-8600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www.tenyuanfund.com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(47)通华财富（上海）基金销售有限公司</w:t>
      </w:r>
    </w:p>
    <w:tbl>
      <w:tblPr>
        <w:tblStyle w:val="ac"/>
        <w:tblW w:w="8353" w:type="dxa"/>
        <w:tblLook w:val="04A0" w:firstRow="1" w:lastRow="0" w:firstColumn="1" w:lastColumn="0" w:noHBand="0" w:noVBand="1"/>
      </w:tblPr>
      <w:tblGrid>
        <w:gridCol w:w="2235"/>
        <w:gridCol w:w="611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上海市虹口区同丰路667弄107号201室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上海市浦东新区杨高南路799号陆家嘴世纪金融广场3号楼9楼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马刚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杨徐霆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021-60818249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021-60818280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400-101-9301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https://www.tonghuafund.com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(48)北京恒天明泽基金销售有限公司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北京市北京经济技术开发区宏达北路10号5层5122室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北京市朝阳区东三环中路20号乐成中心A座23层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周斌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马鹏程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010-57756074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010-56810782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400-8980-618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www.chtwm.com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(49)北京汇成基金销售有限公司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北京市西城区西直门外大街1号院2号楼（西环广场T2）19层19C13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北京市西城区西直门外大街1号院2号楼（西环广场T2）19层19C13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王伟刚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丁向坤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010-56282140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010-62680827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400-619-9059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www.hcjijin.com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(50)一路财富（北京）基金销售股份有限公司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北京市西城区车公庄大街9号院5号楼702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北京市西城区阜成门外大街2号万通新世界A座2208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吴雪秀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段京璐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010-88312877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010-88312099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400-001-1566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http://www.yilucaifu.com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(51)北京钱景基金销售有限公司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北京市海淀区丹棱街6号1幢9层1008-1012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北京市海淀区丹棱街6号1幢9层1008-1012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赵荣春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魏争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010-57418829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010-57569671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400-893-6885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www.qianjing.com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(52)北京唐鼎耀华基金销售有限公司</w:t>
      </w:r>
    </w:p>
    <w:tbl>
      <w:tblPr>
        <w:tblStyle w:val="ac"/>
        <w:tblW w:w="8353" w:type="dxa"/>
        <w:tblLook w:val="04A0" w:firstRow="1" w:lastRow="0" w:firstColumn="1" w:lastColumn="0" w:noHBand="0" w:noVBand="1"/>
      </w:tblPr>
      <w:tblGrid>
        <w:gridCol w:w="2290"/>
        <w:gridCol w:w="606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北京市延庆县延庆经济开发区百泉街10号2栋236室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北京市朝阳区亮马桥路甲40号二十一世纪大厦A303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张冠宇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周君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010-53570568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010-59200800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400-819-9868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http://www.tdyhfund.com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(53)北京植信基金销售有限公司</w:t>
      </w:r>
    </w:p>
    <w:tbl>
      <w:tblPr>
        <w:tblStyle w:val="ac"/>
        <w:tblW w:w="8353" w:type="dxa"/>
        <w:tblLook w:val="04A0" w:firstRow="1" w:lastRow="0" w:firstColumn="1" w:lastColumn="0" w:noHBand="0" w:noVBand="1"/>
      </w:tblPr>
      <w:tblGrid>
        <w:gridCol w:w="2263"/>
        <w:gridCol w:w="6090"/>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北京市密云县兴盛南路8号院2号楼106-67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北京市朝阳区建华南路6号 卓明大厦2层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于龙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叶航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010-65166112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010-65166001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4006-802-123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http://www.zhixin-inv.com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(54)海银基金销售有限公司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中国（上海）自由贸易试验区银城中路8号402室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上海市浦东新区银城中路8号4楼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巩巧丽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毛林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021-80133597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021-80133413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400-808-1016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www.fundhaiyin.com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(55)北京广源达信投资管理有限公司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北京市西城区新街口外大街28号C座6层605室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北京市朝阳区望京东园四区13号楼浦项中心B座19层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齐剑辉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王英俊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400-623-6060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010-82055860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400-623-6060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www.niuniufund.com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(56)天津国美基金销售有限公司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天津经济技术开发区南港工业区综合服务区办公楼D座二层202-124室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北京市朝阳区霄云路26号鹏润大厦B座19层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丁东华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郭宝亮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010-59287061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010-59287825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400-111-0889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www.gomefund.com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(57)北京新浪仓石基金销售有限公司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北京市海淀区东北旺西路中关村软件园二期（西扩）N-1、N-2地块新浪总部科研楼5层518室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北京市海淀区西北旺东路10号院东区3号楼为明大厦C座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赵芯蕊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赵芯蕊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010-62675768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010-62676582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010-62675369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www.xincai.com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(58)北京加和基金销售有限公司</w:t>
      </w:r>
    </w:p>
    <w:tbl>
      <w:tblPr>
        <w:tblStyle w:val="ac"/>
        <w:tblW w:w="8353" w:type="dxa"/>
        <w:tblLook w:val="04A0" w:firstRow="1" w:lastRow="0" w:firstColumn="1" w:lastColumn="0" w:noHBand="0" w:noVBand="1"/>
      </w:tblPr>
      <w:tblGrid>
        <w:gridCol w:w="2358"/>
        <w:gridCol w:w="599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北京市西城区车公庄大街4号5号楼1层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北京市西城区车公庄大街4号北礼士路甲129号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徐福星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陈莹莹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010-68998820-8306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010-88381550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400-600-0030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www.bzfunds.com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(59)北京辉腾汇富基金销售有限公司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北京市东城区建国门内大街18号15层办公楼一座1502室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北京市东城区朝阳门北大街8号富华大厦F座12层B室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李振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65181028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65174782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400-829-1218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http://www.htfund.com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(60)上海万得基金销售有限公司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中国（上海）自由贸易试验区福山路33号11楼B座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上海市浦东新区浦明路1500号万得大厦11楼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王廷富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姜吉灵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021-5132 7185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021-6888 2281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400-821-0203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网址： </w:t>
            </w:r>
          </w:p>
        </w:tc>
        <w:tc>
          <w:tcPr>
            <w:tcW w:w="7440" w:type="dxa"/>
            <w:shd w:val="clear" w:color="auto" w:fill="auto"/>
            <w:hideMark/>
          </w:tcPr>
          <w:p w:rsidR="000073C0" w:rsidRPr="000073C0" w:rsidRDefault="000073C0">
            <w:pPr>
              <w:pStyle w:val="a3"/>
            </w:pPr>
            <w:r w:rsidRPr="000073C0">
              <w:rPr>
                <w:rFonts w:hint="eastAsia"/>
              </w:rPr>
              <w:t xml:space="preserve">www.520fund.com.cn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(61)上海联泰基金销售有限公司</w:t>
      </w:r>
    </w:p>
    <w:tbl>
      <w:tblPr>
        <w:tblStyle w:val="ac"/>
        <w:tblW w:w="8353" w:type="dxa"/>
        <w:tblLook w:val="04A0" w:firstRow="1" w:lastRow="0" w:firstColumn="1" w:lastColumn="0" w:noHBand="0" w:noVBand="1"/>
      </w:tblPr>
      <w:tblGrid>
        <w:gridCol w:w="2263"/>
        <w:gridCol w:w="6090"/>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中国（上海）自由贸易试验区富特北路277号3层310室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上海市长宁区福泉北路 518 号 8 座 3 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燕斌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兰敏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021-52822063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021-52975270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400-166-6788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www.66zichan.com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(62)上海汇付金融服务有限公司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上海市黄浦区中山南路100号19层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上海市黄浦区中山南路100号金外滩国际广场19层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冯修敏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黄敏儿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021-33323999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021-33323830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400-820-2819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fund.bundtrade.com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(63)北京坤元基金销售有限公司</w:t>
      </w:r>
    </w:p>
    <w:tbl>
      <w:tblPr>
        <w:tblStyle w:val="ac"/>
        <w:tblW w:w="8353" w:type="dxa"/>
        <w:tblLook w:val="04A0" w:firstRow="1" w:lastRow="0" w:firstColumn="1" w:lastColumn="0" w:noHBand="0" w:noVBand="1"/>
      </w:tblPr>
      <w:tblGrid>
        <w:gridCol w:w="2250"/>
        <w:gridCol w:w="610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北京市延庆县延庆经济开发区百泉街10号2栋871室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北京市东城区建国门内大街8号B座501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李雪松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马镜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010-85264505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010-85264522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010-85264528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http://www.kunyuanfund.com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(64)北京微动利基金销售有限公司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北京市石景山区古城西路113号景山财富中心341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北京市石景山区古城西路113号景山财富中心341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季长军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季长军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010-52609656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010-51957430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400-819-6665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www.buyforyou.com.cn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(65)江西正融基金销售有限公司</w:t>
      </w:r>
    </w:p>
    <w:tbl>
      <w:tblPr>
        <w:tblStyle w:val="ac"/>
        <w:tblW w:w="8353" w:type="dxa"/>
        <w:tblLook w:val="04A0" w:firstRow="1" w:lastRow="0" w:firstColumn="1" w:lastColumn="0" w:noHBand="0" w:noVBand="1"/>
      </w:tblPr>
      <w:tblGrid>
        <w:gridCol w:w="2358"/>
        <w:gridCol w:w="599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江西省南昌市高新开发区紫阳大道绿地新都会38栋商</w:t>
            </w:r>
            <w:r w:rsidRPr="000073C0">
              <w:rPr>
                <w:rFonts w:hint="eastAsia"/>
              </w:rPr>
              <w:lastRenderedPageBreak/>
              <w:t xml:space="preserve">业楼2107室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江西省南昌市高新开发区紫阳大道绿地新都会38栋商业楼2107室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陆雯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胡聪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13879129841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0791-86692502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www.jxzrzg.com.cn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(66)上海基煜基金销售有限公司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上海市崇明县长兴镇路潘园公路1800号2号楼6153室（上海泰和经济发展区）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上海市浦东新区银城中路488号太平金融大厦1503室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王翔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蓝杰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021-65370077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021-55085991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400-820-5369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www.jiyufund.com.cn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(67)上海凯石财富基金销售有限公司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上海市黄浦区西藏南路765号602-115室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上海市黄浦区延安东路1号凯石大厦四楼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陈继武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李晓明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021-63333319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021-63332523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400-643-3389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www.lingxianfund.com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(68)上海中正达广基金销售有限公司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上海市徐汇区龙腾大道2815号302室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上海市徐汇区龙腾大道2815号302室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黄欣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何源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13817792090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021-33768132-802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021-33635338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www.zhongzhengfund.com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(69)北京虹点基金销售有限公司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北京市朝阳区西大望路1号1号楼1603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北京市朝阳区工人体育馆北路甲2号盈科中心B座裙楼二层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董浩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于婷婷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010-56409010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010-56580660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400-618-0707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www.hongdianfund.com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(70)深圳新华信通基金销售有限公司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深圳市前海深港合作区前湾一路1号A栋201室（入驻深圳市前海商务秘书有限公司）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深圳市福田区深南大道2003号华嵘大厦1806单元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韩森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刘雪敏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13760218733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400-000-5767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www.xintongfund.com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(71)深圳富济基金销售有限公司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深圳市福田区福田街道岗厦社区金田路3088号中洲大厦3203A单元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深圳市福田区福田街道岗厦社区金田路3088号中洲大厦3203A单元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祝中村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曾瑶敏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0755-83999907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0755-83999926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0755-83999907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www.fujifund.cn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(72)上海陆金所基金销售有限公司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上海市浦东新区陆家嘴环路1333号14楼09单元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上海市浦东新区陆家嘴环路1333号14楼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郭坚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宁博宇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021-20665952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021-22066653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400-821-9031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www.lufunds.com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(73)珠海盈米基金销售有限公司</w:t>
      </w:r>
    </w:p>
    <w:tbl>
      <w:tblPr>
        <w:tblStyle w:val="ac"/>
        <w:tblW w:w="8353" w:type="dxa"/>
        <w:tblLook w:val="04A0" w:firstRow="1" w:lastRow="0" w:firstColumn="1" w:lastColumn="0" w:noHBand="0" w:noVBand="1"/>
      </w:tblPr>
      <w:tblGrid>
        <w:gridCol w:w="2397"/>
        <w:gridCol w:w="595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珠海市横琴新区宝华路6号105室-3491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广州市海珠区琶洲大道东1号保利国际广场南塔12楼B1201-1203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肖雯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吴煜浩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020-89629099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020-89629011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020-80629066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www.yingmi.cn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(74)和耕传承基金销售有限公司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郑州市郑东新区东风南路康宁街互联网金融大厦602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郑州市郑东新区东风南路康宁街互联网金融大厦602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李淑慧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董亚芳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0371-85518391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0371-85518397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400-360-0000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www.nicaifu.com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(75)南京途牛基金销售有限公司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南京市玄武区玄武大道699-1号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南京市玄武区玄武大道699-32号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宋时琳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张士帅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025-86853969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025-86853999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4007-999-999转3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http://jr.tuniu.com/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(76)奕丰基金销售有限公司</w:t>
      </w:r>
    </w:p>
    <w:tbl>
      <w:tblPr>
        <w:tblStyle w:val="ac"/>
        <w:tblW w:w="8353" w:type="dxa"/>
        <w:tblLook w:val="04A0" w:firstRow="1" w:lastRow="0" w:firstColumn="1" w:lastColumn="0" w:noHBand="0" w:noVBand="1"/>
      </w:tblPr>
      <w:tblGrid>
        <w:gridCol w:w="2347"/>
        <w:gridCol w:w="600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深圳市前海深港合作区前湾一路1号A 栋 201 室（入驻深圳市前海商务秘书有限公司）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深圳市南山区海德三路海岸大厦东座1116室及1307室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TAN YIK KUAN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许雅君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0755-89460502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0755-21674453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0755-89460500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www.ifastps.com.cn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(77)中证金牛（北京）投资咨询有限公司</w:t>
      </w:r>
    </w:p>
    <w:tbl>
      <w:tblPr>
        <w:tblStyle w:val="ac"/>
        <w:tblW w:w="8353" w:type="dxa"/>
        <w:tblLook w:val="04A0" w:firstRow="1" w:lastRow="0" w:firstColumn="1" w:lastColumn="0" w:noHBand="0" w:noVBand="1"/>
      </w:tblPr>
      <w:tblGrid>
        <w:gridCol w:w="2405"/>
        <w:gridCol w:w="594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北京市丰台区东管头1号2号楼2-45室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北京市西城区宣武门外大街甲1号环球财讯中心A座5层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钱昊旻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孙雯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010-59336519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010-59336500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400-890-9998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www.jnlc.com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(78)北京懒猫金融信息服务有限公司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北京市石景山区石景山路31号院盛景国际广场3号楼1119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北京市朝阳区呼家楼安联大厦715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许现良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张苗苗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15110085067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010-87723200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400-150-0882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www.lanmao.com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(79)北京肯特瑞基金销售有限公司</w:t>
      </w:r>
    </w:p>
    <w:tbl>
      <w:tblPr>
        <w:tblStyle w:val="ac"/>
        <w:tblW w:w="8353" w:type="dxa"/>
        <w:tblLook w:val="04A0" w:firstRow="1" w:lastRow="0" w:firstColumn="1" w:lastColumn="0" w:noHBand="0" w:noVBand="1"/>
      </w:tblPr>
      <w:tblGrid>
        <w:gridCol w:w="2358"/>
        <w:gridCol w:w="599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北京市海淀区海淀东三街2号4层401-15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北京市经济开发区科创十一街18号院京东总部A座4层A428室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江卉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徐伯宇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400-098-8511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010-89188000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400-088-8816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http://jr.jd.com/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(80)大连网金基金销售有限公司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辽宁省大连市沙河口区体坛路22号2层202室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辽宁省大连市沙河口区体坛路22号2层202室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卜勇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卜勇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0411-39027800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0411-39027888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400-089-9100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http://www.yibaijin.com/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(81)深圳市金斧子基金销售有限公司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深圳市南山区粤海街道科技园中区科苑路15号科兴科学园B栋3单元11层1108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深圳市南山区粤海街道科技园中区科苑路15号科兴科学园B栋3单元11层1108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赖任军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刘昕霞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0755-29330513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0755-26920530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400-930-0660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www.jfzinv.com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(82)北京蛋卷基金销售有限公司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北京市朝阳区阜通东大街1号院6号楼2单元21层222507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北京市朝阳区阜通东大街1号院6号楼2单元21层222507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钟斐斐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戚晓强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15810005516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010-85659484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400-061-8518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danjuanapp.com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(83)深圳前海凯恩斯基金销售有限公司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深圳市前海深港合作区前湾一路1号A栋201室（入驻深圳市前海商务秘书有限公司）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深圳市福田区深南大道6019号金润大厦23A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高锋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李勇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0755-83655588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0755-83655518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400-804-8688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www.keynesasset.com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(84)深圳前海欧中联合基金销售有限公司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深圳市前海深港合作区前湾一路1号A栋201室（入驻深圳市前海商务秘书有限公司）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深圳市宝安中心区海秀路19号国际西岸商务大厦703、705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梁双凤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梁双凤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0755-23073400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0755-23328531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0755-23073400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http://www.ecpefund.com/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(85)深圳前海财厚基金销售有限公司</w:t>
      </w:r>
    </w:p>
    <w:tbl>
      <w:tblPr>
        <w:tblStyle w:val="ac"/>
        <w:tblW w:w="8353" w:type="dxa"/>
        <w:tblLook w:val="04A0" w:firstRow="1" w:lastRow="0" w:firstColumn="1" w:lastColumn="0" w:noHBand="0" w:noVBand="1"/>
      </w:tblPr>
      <w:tblGrid>
        <w:gridCol w:w="2397"/>
        <w:gridCol w:w="595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深圳市前海深港合作区前湾一路1号A栋201室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深圳市南山区深圳湾科技生态园三区11栋A座3608室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杨艳平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叶见云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0755-86575665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0755-26640652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4001286800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www.caiho.cn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(86)天津万家财富资产管理有限公司</w:t>
      </w:r>
    </w:p>
    <w:tbl>
      <w:tblPr>
        <w:tblStyle w:val="ac"/>
        <w:tblW w:w="8353" w:type="dxa"/>
        <w:tblLook w:val="04A0" w:firstRow="1" w:lastRow="0" w:firstColumn="1" w:lastColumn="0" w:noHBand="0" w:noVBand="1"/>
      </w:tblPr>
      <w:tblGrid>
        <w:gridCol w:w="2220"/>
        <w:gridCol w:w="613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天津自贸区（中心商务区）迎宾大道1988号滨海浙商大厦公寓2-2413室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北京市西城区丰盛胡同28号太平洋保险大厦5层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李修辞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孙雪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010-59013825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010-59013707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010-59013825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http://www.wanjiawealth.com/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(87)洪泰财富（青岛）基金销售有限责任公司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山东省青岛市崂山区香港东路195号9号楼701室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山东省青岛市崂山区海尔路188号浦发银行大厦706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任淑桢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任淑桢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0532-66728591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0532-66728591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400-670-6863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www.hongtaiwealth.com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(88)中国国际期货股份有限公司</w:t>
      </w:r>
    </w:p>
    <w:tbl>
      <w:tblPr>
        <w:tblStyle w:val="ac"/>
        <w:tblW w:w="8353" w:type="dxa"/>
        <w:tblLook w:val="04A0" w:firstRow="1" w:lastRow="0" w:firstColumn="1" w:lastColumn="0" w:noHBand="0" w:noVBand="1"/>
      </w:tblPr>
      <w:tblGrid>
        <w:gridCol w:w="2325"/>
        <w:gridCol w:w="602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北京市朝阳区建国门外光华路14号1幢1层、2层、9层、11层、12层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北京市朝阳区麦子店西路3号新恒基国际大厦15层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王兵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赵森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010-59539864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95162、400-8888-160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http://www.cifco.net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(89)中信建投期货有限公司</w:t>
      </w:r>
    </w:p>
    <w:tbl>
      <w:tblPr>
        <w:tblStyle w:val="ac"/>
        <w:tblW w:w="8353" w:type="dxa"/>
        <w:tblLook w:val="04A0" w:firstRow="1" w:lastRow="0" w:firstColumn="1" w:lastColumn="0" w:noHBand="0" w:noVBand="1"/>
      </w:tblPr>
      <w:tblGrid>
        <w:gridCol w:w="2387"/>
        <w:gridCol w:w="596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重庆市渝中区中山三路107号上站大楼平街11-B，名义层11-A，8-B4，9-B、C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重庆市渝中区中山三路107号皇冠大厦11楼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彭文德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刘芸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023-89769637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023-86769629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400-8877-780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www.cfc108.com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(90)徽商期货有限责任公司</w:t>
      </w:r>
    </w:p>
    <w:tbl>
      <w:tblPr>
        <w:tblStyle w:val="ac"/>
        <w:tblW w:w="8353" w:type="dxa"/>
        <w:tblLook w:val="04A0" w:firstRow="1" w:lastRow="0" w:firstColumn="1" w:lastColumn="0" w:noHBand="0" w:noVBand="1"/>
      </w:tblPr>
      <w:tblGrid>
        <w:gridCol w:w="2397"/>
        <w:gridCol w:w="595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安徽省合肥市芜湖路258号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安徽省合肥市芜湖路258号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吴国华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杨彩格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0551-62865999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0551-62865899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400-887-8707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www.hsqh.net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(91)东海期货有限责任公司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江苏省常州市延陵西路23、25、27、29号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上海市浦东新区东方路1928号东海证券大厦8楼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陈太康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李天雨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021-68757102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021-68757102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95531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www.qh168.com.cn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(92)弘业期货股份有限公司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南京市中华路50号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南京市中华路50号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周剑秋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孙朝旺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025-52278870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025-52313068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400-828-1288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www.ftol.com.cn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(93)和合期货有限公司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山西省太原市迎泽区菜园东街2号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山西省太原市迎泽区菜园东街2号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刘晓洁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关晓婷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0351-7342538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0351-7342538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400-660-4882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http://www.hhqh.com.cn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(94)中国银河证券股份有限公司</w:t>
      </w:r>
    </w:p>
    <w:tbl>
      <w:tblPr>
        <w:tblStyle w:val="ac"/>
        <w:tblW w:w="8353" w:type="dxa"/>
        <w:tblLook w:val="04A0" w:firstRow="1" w:lastRow="0" w:firstColumn="1" w:lastColumn="0" w:noHBand="0" w:noVBand="1"/>
      </w:tblPr>
      <w:tblGrid>
        <w:gridCol w:w="2205"/>
        <w:gridCol w:w="6148"/>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北京市西城区金融大街35号国际企业大厦C座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北京市西城区金融大街35号国际企业大厦C座2－6层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陈共炎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辛国政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010-83574507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010-66568990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95551/4008888888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http://www.chinastock.com.cn/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(95)西南证券股份有限公司</w:t>
      </w:r>
    </w:p>
    <w:tbl>
      <w:tblPr>
        <w:tblStyle w:val="ac"/>
        <w:tblW w:w="8353" w:type="dxa"/>
        <w:tblLook w:val="04A0" w:firstRow="1" w:lastRow="0" w:firstColumn="1" w:lastColumn="0" w:noHBand="0" w:noVBand="1"/>
      </w:tblPr>
      <w:tblGrid>
        <w:gridCol w:w="2302"/>
        <w:gridCol w:w="605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重庆市江北区桥北苑8号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重庆市江北区桥北苑8号西南证券大厦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廖庆轩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周青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023-67616310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023-63786212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4008096096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http://www.swsc.com.cn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(96)上海证券有限责任公司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上海市黄浦区四川中路213号7楼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上海市黄浦区四川中路213号久事商务大厦7楼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李俊杰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魏熠珲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021-53686278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021-53686835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4008918918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https://www.shzq.com/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(97)新时代证券股份有限公司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北京市海淀区北三环西路99号院1号楼15层1501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北京市海淀区北三环西路99号院1号楼15层1501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叶顺德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田芳芳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010-83561000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010-83561001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95399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http://www.xsdzq.cn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(98)华西证券股份有限公司</w:t>
      </w:r>
    </w:p>
    <w:tbl>
      <w:tblPr>
        <w:tblStyle w:val="ac"/>
        <w:tblW w:w="8353" w:type="dxa"/>
        <w:tblLook w:val="04A0" w:firstRow="1" w:lastRow="0" w:firstColumn="1" w:lastColumn="0" w:noHBand="0" w:noVBand="1"/>
      </w:tblPr>
      <w:tblGrid>
        <w:gridCol w:w="2290"/>
        <w:gridCol w:w="606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四川省成都市高新区天府二街198号华西证券大厦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四川省成都市高新区天府二街198号华西证券大厦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杨炯洋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张彬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010-58124967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传真： </w:t>
            </w:r>
          </w:p>
        </w:tc>
        <w:tc>
          <w:tcPr>
            <w:tcW w:w="7440" w:type="dxa"/>
            <w:shd w:val="clear" w:color="auto" w:fill="auto"/>
            <w:hideMark/>
          </w:tcPr>
          <w:p w:rsidR="000073C0" w:rsidRPr="000073C0" w:rsidRDefault="000073C0">
            <w:pPr>
              <w:pStyle w:val="a3"/>
            </w:pPr>
            <w:r w:rsidRPr="000073C0">
              <w:rPr>
                <w:rFonts w:hint="eastAsia"/>
              </w:rPr>
              <w:t xml:space="preserve">028-86150040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95584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http://www.hx168.com.cn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(99)第一创业证券股份有限公司</w:t>
      </w:r>
    </w:p>
    <w:tbl>
      <w:tblPr>
        <w:tblStyle w:val="ac"/>
        <w:tblW w:w="8353" w:type="dxa"/>
        <w:tblLook w:val="04A0" w:firstRow="1" w:lastRow="0" w:firstColumn="1" w:lastColumn="0" w:noHBand="0" w:noVBand="1"/>
      </w:tblPr>
      <w:tblGrid>
        <w:gridCol w:w="2172"/>
        <w:gridCol w:w="6181"/>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深圳市福田区福华一路115号投行大厦20楼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深圳市福田区福华一路115号投行大厦18楼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刘学民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吴军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0755-2383875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0755-25838701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95358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http://www.firstcapital.com.cn/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(100)中国国际金融股份有限公司</w:t>
      </w:r>
    </w:p>
    <w:tbl>
      <w:tblPr>
        <w:tblStyle w:val="ac"/>
        <w:tblW w:w="8353" w:type="dxa"/>
        <w:tblLook w:val="04A0" w:firstRow="1" w:lastRow="0" w:firstColumn="1" w:lastColumn="0" w:noHBand="0" w:noVBand="1"/>
      </w:tblPr>
      <w:tblGrid>
        <w:gridCol w:w="2290"/>
        <w:gridCol w:w="6063"/>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中国北京建国门外大街1号 国贸大厦2座28层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中国北京建国门外大街1号 国贸大厦2座28层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沈如军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任敏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010－65051166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010－65051156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010-65051166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http://www.cicc.com.cn/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(101)东方财富证券股份有限公司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西藏自治区拉萨市柳梧新区国际总部城10栋楼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上海市徐汇区宛平南路88号金座东方财富大厦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陈宏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付佳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021-23586603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021-23586860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95357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http://www.18.cn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(102)粤开证券股份有限公司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广州经济技术开发区科学大道60号开发区金控中心21、22、23层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深圳市福田区深南中路2002号中广核大厦北楼10层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严亦斌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彭莲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0755-83331195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95564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http://www.ykzq.com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(103)华瑞保险销售有限公司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上海市嘉定区南翔镇众仁路399号运通星财富广场1号楼B座13、14层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上海市浦东区向城路288号国华金融大厦8楼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路昊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张爽爽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021-68595976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021-68595766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4001115818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www.huaruisales.com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(104)玄元保险代理有限公司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中国（上海）自由贸易试验区张杨路707号1105室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中国（上海）自由贸易试验区张杨路707号1105室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马永谙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卢亚博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021-50701053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021-50701053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4000808208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www.licaimofang.com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(105)阳光人寿保险股份有限公司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海南省三亚市迎宾路360-1号三亚阳光金融广场16层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北京市朝阳区朝外大街20号联合大厦701A室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李科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王超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010-59053660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010-85632773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95510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http://fund.sinosig.com/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(106)中国人寿保险股份有限公司</w:t>
      </w:r>
    </w:p>
    <w:tbl>
      <w:tblPr>
        <w:tblStyle w:val="ac"/>
        <w:tblW w:w="8353" w:type="dxa"/>
        <w:tblLook w:val="04A0" w:firstRow="1" w:lastRow="0" w:firstColumn="1" w:lastColumn="0" w:noHBand="0" w:noVBand="1"/>
      </w:tblPr>
      <w:tblGrid>
        <w:gridCol w:w="2337"/>
        <w:gridCol w:w="601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中国北京市西城区金融大街16号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中国北京市西城区金融大街16号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王滨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秦泽伟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010-63631539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010-66222276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95519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www.e-chinalife.com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(107)泉州银行股份有限公司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泉州市丰泽区云鹿路3号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泉州市丰泽区云鹿路3号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傅子能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联系人： </w:t>
            </w:r>
          </w:p>
        </w:tc>
        <w:tc>
          <w:tcPr>
            <w:tcW w:w="7440" w:type="dxa"/>
            <w:shd w:val="clear" w:color="auto" w:fill="auto"/>
            <w:hideMark/>
          </w:tcPr>
          <w:p w:rsidR="000073C0" w:rsidRPr="000073C0" w:rsidRDefault="000073C0">
            <w:pPr>
              <w:pStyle w:val="a3"/>
            </w:pPr>
            <w:r w:rsidRPr="000073C0">
              <w:rPr>
                <w:rFonts w:hint="eastAsia"/>
              </w:rPr>
              <w:t xml:space="preserve">董培姗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0595-22551071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0595-22505215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400-889-6312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www.qzccbank.com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(108)广东南粤银行股份有限公司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湛江经济技术开发区乐山路27号财富汇金融中心1层01、02号商铺、2层01号商铺、3层01号商铺、39-45层办公室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湛江经济技术开发区乐山大道60号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蒋丹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吴家团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0759-2631600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0759-2631600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961818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www.gdnybank.com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(109)龙江银行股份有限公司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黑龙江省哈尔滨市道里区友谊路436号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黑龙江省哈尔滨市道里区友谊路436号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张建辉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闫勇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0451-85706107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0451-85706107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4006458888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www.lj-bank.com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(110)青岛农村商业银行股份有限公司</w:t>
      </w:r>
    </w:p>
    <w:tbl>
      <w:tblPr>
        <w:tblStyle w:val="ac"/>
        <w:tblW w:w="8353" w:type="dxa"/>
        <w:tblLook w:val="04A0" w:firstRow="1" w:lastRow="0" w:firstColumn="1" w:lastColumn="0" w:noHBand="0" w:noVBand="1"/>
      </w:tblPr>
      <w:tblGrid>
        <w:gridCol w:w="2378"/>
        <w:gridCol w:w="597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山东省青岛市崂山区秦岭路6号1号楼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山东省青岛市崂山区秦岭路6号1号楼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刘仲生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严菲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0532-66957360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0532-66957229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0532-96668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www.qrcb.com.cn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(111)深圳前海微众银行股份有限公司</w:t>
      </w:r>
    </w:p>
    <w:tbl>
      <w:tblPr>
        <w:tblStyle w:val="ac"/>
        <w:tblW w:w="8353" w:type="dxa"/>
        <w:tblLook w:val="04A0" w:firstRow="1" w:lastRow="0" w:firstColumn="1" w:lastColumn="0" w:noHBand="0" w:noVBand="1"/>
      </w:tblPr>
      <w:tblGrid>
        <w:gridCol w:w="2277"/>
        <w:gridCol w:w="6076"/>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广东省深圳市前海深港合作区前湾一路 1号A栋201室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广东省深圳市南山区田厦国际中心36楼、37楼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顾敏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唐宇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0755-89462525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lastRenderedPageBreak/>
              <w:t xml:space="preserve">传真： </w:t>
            </w:r>
          </w:p>
        </w:tc>
        <w:tc>
          <w:tcPr>
            <w:tcW w:w="7440" w:type="dxa"/>
            <w:shd w:val="clear" w:color="auto" w:fill="auto"/>
            <w:hideMark/>
          </w:tcPr>
          <w:p w:rsidR="000073C0" w:rsidRPr="000073C0" w:rsidRDefault="000073C0">
            <w:pPr>
              <w:pStyle w:val="a3"/>
            </w:pPr>
            <w:r w:rsidRPr="000073C0">
              <w:rPr>
                <w:rFonts w:hint="eastAsia"/>
              </w:rPr>
              <w:t xml:space="preserve">0755-86700688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400-999-8877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http://www.webank.com/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(112)桂林银行股份有限公司</w:t>
      </w:r>
    </w:p>
    <w:tbl>
      <w:tblPr>
        <w:tblStyle w:val="ac"/>
        <w:tblW w:w="8353" w:type="dxa"/>
        <w:tblLook w:val="04A0" w:firstRow="1" w:lastRow="0" w:firstColumn="1" w:lastColumn="0" w:noHBand="0" w:noVBand="1"/>
      </w:tblPr>
      <w:tblGrid>
        <w:gridCol w:w="2314"/>
        <w:gridCol w:w="6039"/>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桂林市中山南路76号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桂林市中山南路76号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王能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周佩玲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0773-3810130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0773-3851691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400-86-96299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www.guilinbank.com.cn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(113)德州银行股份有限公司</w:t>
      </w:r>
    </w:p>
    <w:tbl>
      <w:tblPr>
        <w:tblStyle w:val="ac"/>
        <w:tblW w:w="8353" w:type="dxa"/>
        <w:tblLook w:val="04A0" w:firstRow="1" w:lastRow="0" w:firstColumn="1" w:lastColumn="0" w:noHBand="0" w:noVBand="1"/>
      </w:tblPr>
      <w:tblGrid>
        <w:gridCol w:w="2368"/>
        <w:gridCol w:w="598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山东省德州市三八东路1266号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山东省德州市三八东路1266号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孙玉芝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王方震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0534-2297326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0534-2297327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40084-96588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www.dzbchina.com </w:t>
            </w:r>
          </w:p>
        </w:tc>
      </w:tr>
    </w:tbl>
    <w:p w:rsidR="000073C0" w:rsidRPr="000073C0" w:rsidRDefault="000073C0">
      <w:pPr>
        <w:pStyle w:val="a3"/>
        <w:spacing w:before="0" w:beforeAutospacing="0" w:after="0" w:afterAutospacing="0" w:line="360" w:lineRule="auto"/>
        <w:ind w:firstLine="420"/>
        <w:divId w:val="1081219581"/>
        <w:rPr>
          <w:sz w:val="21"/>
          <w:szCs w:val="21"/>
        </w:rPr>
      </w:pPr>
      <w:r w:rsidRPr="000073C0">
        <w:rPr>
          <w:rFonts w:hint="eastAsia"/>
          <w:b/>
          <w:bCs/>
          <w:sz w:val="21"/>
          <w:szCs w:val="21"/>
        </w:rPr>
        <w:t>(114)中原银行股份有限公司</w:t>
      </w:r>
    </w:p>
    <w:tbl>
      <w:tblPr>
        <w:tblStyle w:val="ac"/>
        <w:tblW w:w="8353" w:type="dxa"/>
        <w:tblLook w:val="04A0" w:firstRow="1" w:lastRow="0" w:firstColumn="1" w:lastColumn="0" w:noHBand="0" w:noVBand="1"/>
      </w:tblPr>
      <w:tblGrid>
        <w:gridCol w:w="2358"/>
        <w:gridCol w:w="5995"/>
      </w:tblGrid>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注册地址： </w:t>
            </w:r>
          </w:p>
        </w:tc>
        <w:tc>
          <w:tcPr>
            <w:tcW w:w="7440" w:type="dxa"/>
            <w:shd w:val="clear" w:color="auto" w:fill="auto"/>
            <w:hideMark/>
          </w:tcPr>
          <w:p w:rsidR="000073C0" w:rsidRPr="000073C0" w:rsidRDefault="000073C0">
            <w:pPr>
              <w:pStyle w:val="a3"/>
            </w:pPr>
            <w:r w:rsidRPr="000073C0">
              <w:rPr>
                <w:rFonts w:hint="eastAsia"/>
              </w:rPr>
              <w:t xml:space="preserve">河南省郑州市郑东新区CBD商务外环路23号中科金座大厦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办公地址： </w:t>
            </w:r>
          </w:p>
        </w:tc>
        <w:tc>
          <w:tcPr>
            <w:tcW w:w="7440" w:type="dxa"/>
            <w:shd w:val="clear" w:color="auto" w:fill="auto"/>
            <w:hideMark/>
          </w:tcPr>
          <w:p w:rsidR="000073C0" w:rsidRPr="000073C0" w:rsidRDefault="000073C0">
            <w:pPr>
              <w:pStyle w:val="a3"/>
            </w:pPr>
            <w:r w:rsidRPr="000073C0">
              <w:rPr>
                <w:rFonts w:hint="eastAsia"/>
              </w:rPr>
              <w:t xml:space="preserve">河南省郑州市郑东新区CBD商务外环路23号中科金座大厦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法定代表人： </w:t>
            </w:r>
          </w:p>
        </w:tc>
        <w:tc>
          <w:tcPr>
            <w:tcW w:w="7440" w:type="dxa"/>
            <w:shd w:val="clear" w:color="auto" w:fill="auto"/>
            <w:hideMark/>
          </w:tcPr>
          <w:p w:rsidR="000073C0" w:rsidRPr="000073C0" w:rsidRDefault="000073C0">
            <w:pPr>
              <w:pStyle w:val="a3"/>
            </w:pPr>
            <w:r w:rsidRPr="000073C0">
              <w:rPr>
                <w:rFonts w:hint="eastAsia"/>
              </w:rPr>
              <w:t xml:space="preserve">窦荣兴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联系人： </w:t>
            </w:r>
          </w:p>
        </w:tc>
        <w:tc>
          <w:tcPr>
            <w:tcW w:w="7440" w:type="dxa"/>
            <w:shd w:val="clear" w:color="auto" w:fill="auto"/>
            <w:hideMark/>
          </w:tcPr>
          <w:p w:rsidR="000073C0" w:rsidRPr="000073C0" w:rsidRDefault="000073C0">
            <w:pPr>
              <w:pStyle w:val="a3"/>
            </w:pPr>
            <w:r w:rsidRPr="000073C0">
              <w:rPr>
                <w:rFonts w:hint="eastAsia"/>
              </w:rPr>
              <w:t xml:space="preserve">牛映雪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电话： </w:t>
            </w:r>
          </w:p>
        </w:tc>
        <w:tc>
          <w:tcPr>
            <w:tcW w:w="7440" w:type="dxa"/>
            <w:shd w:val="clear" w:color="auto" w:fill="auto"/>
            <w:hideMark/>
          </w:tcPr>
          <w:p w:rsidR="000073C0" w:rsidRPr="000073C0" w:rsidRDefault="000073C0">
            <w:pPr>
              <w:pStyle w:val="a3"/>
            </w:pPr>
            <w:r w:rsidRPr="000073C0">
              <w:rPr>
                <w:rFonts w:hint="eastAsia"/>
              </w:rPr>
              <w:t xml:space="preserve">0371-85517710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传真： </w:t>
            </w:r>
          </w:p>
        </w:tc>
        <w:tc>
          <w:tcPr>
            <w:tcW w:w="7440" w:type="dxa"/>
            <w:shd w:val="clear" w:color="auto" w:fill="auto"/>
            <w:hideMark/>
          </w:tcPr>
          <w:p w:rsidR="000073C0" w:rsidRPr="000073C0" w:rsidRDefault="000073C0">
            <w:pPr>
              <w:pStyle w:val="a3"/>
            </w:pPr>
            <w:r w:rsidRPr="000073C0">
              <w:rPr>
                <w:rFonts w:hint="eastAsia"/>
              </w:rPr>
              <w:t xml:space="preserve">0371-85519869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客户服务电话： </w:t>
            </w:r>
          </w:p>
        </w:tc>
        <w:tc>
          <w:tcPr>
            <w:tcW w:w="7440" w:type="dxa"/>
            <w:shd w:val="clear" w:color="auto" w:fill="auto"/>
            <w:hideMark/>
          </w:tcPr>
          <w:p w:rsidR="000073C0" w:rsidRPr="000073C0" w:rsidRDefault="000073C0">
            <w:pPr>
              <w:pStyle w:val="a3"/>
            </w:pPr>
            <w:r w:rsidRPr="000073C0">
              <w:rPr>
                <w:rFonts w:hint="eastAsia"/>
              </w:rPr>
              <w:t xml:space="preserve">95186 </w:t>
            </w:r>
          </w:p>
        </w:tc>
      </w:tr>
      <w:tr w:rsidR="000073C0" w:rsidRPr="000073C0" w:rsidTr="000073C0">
        <w:trPr>
          <w:divId w:val="1081219581"/>
        </w:trPr>
        <w:tc>
          <w:tcPr>
            <w:tcW w:w="3000" w:type="dxa"/>
            <w:shd w:val="clear" w:color="auto" w:fill="auto"/>
            <w:hideMark/>
          </w:tcPr>
          <w:p w:rsidR="000073C0" w:rsidRPr="000073C0" w:rsidRDefault="000073C0">
            <w:pPr>
              <w:pStyle w:val="a3"/>
            </w:pPr>
            <w:r w:rsidRPr="000073C0">
              <w:rPr>
                <w:rFonts w:hint="eastAsia"/>
              </w:rPr>
              <w:t xml:space="preserve">网址： </w:t>
            </w:r>
          </w:p>
        </w:tc>
        <w:tc>
          <w:tcPr>
            <w:tcW w:w="7440" w:type="dxa"/>
            <w:shd w:val="clear" w:color="auto" w:fill="auto"/>
            <w:hideMark/>
          </w:tcPr>
          <w:p w:rsidR="000073C0" w:rsidRPr="000073C0" w:rsidRDefault="000073C0">
            <w:pPr>
              <w:pStyle w:val="a3"/>
            </w:pPr>
            <w:r w:rsidRPr="000073C0">
              <w:rPr>
                <w:rFonts w:hint="eastAsia"/>
              </w:rPr>
              <w:t xml:space="preserve">www.zybank.com.cn </w:t>
            </w:r>
          </w:p>
        </w:tc>
      </w:tr>
    </w:tbl>
    <w:p w:rsidR="000073C0" w:rsidRPr="000073C0" w:rsidRDefault="000073C0">
      <w:pPr>
        <w:divId w:val="1081219581"/>
        <w:rPr>
          <w:rFonts w:ascii="宋体" w:eastAsia="宋体" w:hAnsi="宋体"/>
          <w:sz w:val="24"/>
          <w:szCs w:val="24"/>
        </w:rPr>
      </w:pPr>
      <w:bookmarkStart w:id="70" w:name="chapter_level1_7_56_section_2_end"/>
      <w:bookmarkStart w:id="71" w:name="field_0_allproxysaletables_1_end"/>
      <w:bookmarkEnd w:id="70"/>
      <w:bookmarkEnd w:id="71"/>
    </w:p>
    <w:p w:rsidR="000073C0" w:rsidRPr="000073C0" w:rsidRDefault="000073C0">
      <w:pPr>
        <w:pStyle w:val="a3"/>
        <w:spacing w:before="0" w:beforeAutospacing="0" w:after="0" w:afterAutospacing="0" w:line="360" w:lineRule="auto"/>
        <w:ind w:firstLine="420"/>
        <w:divId w:val="2113091179"/>
        <w:rPr>
          <w:sz w:val="21"/>
          <w:szCs w:val="21"/>
        </w:rPr>
      </w:pPr>
      <w:bookmarkStart w:id="72" w:name="chapter_level1_7_56_section_3"/>
      <w:bookmarkEnd w:id="72"/>
      <w:r w:rsidRPr="000073C0">
        <w:rPr>
          <w:rStyle w:val="a4"/>
          <w:rFonts w:hint="eastAsia"/>
          <w:sz w:val="21"/>
          <w:szCs w:val="21"/>
        </w:rPr>
        <w:t>二、登记机构</w:t>
      </w:r>
    </w:p>
    <w:p w:rsidR="000073C0" w:rsidRPr="000073C0" w:rsidRDefault="000073C0">
      <w:pPr>
        <w:pStyle w:val="a3"/>
        <w:spacing w:before="0" w:beforeAutospacing="0" w:after="0" w:afterAutospacing="0" w:line="360" w:lineRule="auto"/>
        <w:ind w:firstLine="420"/>
        <w:divId w:val="2113091179"/>
        <w:rPr>
          <w:sz w:val="21"/>
          <w:szCs w:val="21"/>
        </w:rPr>
      </w:pPr>
      <w:bookmarkStart w:id="73" w:name="field_0_registercompanyinfo_1_start"/>
      <w:bookmarkEnd w:id="73"/>
      <w:r w:rsidRPr="000073C0">
        <w:rPr>
          <w:rFonts w:hint="eastAsia"/>
          <w:sz w:val="21"/>
          <w:szCs w:val="21"/>
        </w:rPr>
        <w:t xml:space="preserve">名称：博时基金管理有限公司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住所：深圳市福田区莲花街道福新社区益田路5999号基金大厦21层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办公地址：北京市建国门内大街18号恒基中心1座23层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法定代表人：江向阳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lastRenderedPageBreak/>
        <w:t xml:space="preserve">电话：（010）65171166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传真：（010）65187068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联系人：许鹏 </w:t>
      </w:r>
      <w:bookmarkStart w:id="74" w:name="field_0_registercompanyinfo_1_end"/>
      <w:bookmarkEnd w:id="74"/>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Style w:val="a4"/>
          <w:rFonts w:hint="eastAsia"/>
          <w:sz w:val="21"/>
          <w:szCs w:val="21"/>
        </w:rPr>
        <w:t>三、出具法律意见书的律师事务所</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名称：上海市通力律师事务所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注册地址：上海市银城中路68号时代金融中心19楼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办公地址：上海市银城中路68号时代金融中心19楼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电话：021- 31358666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传真：021- 31358600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联系人：安冬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经办律师：吕红、安冬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Style w:val="a4"/>
          <w:rFonts w:hint="eastAsia"/>
          <w:sz w:val="21"/>
          <w:szCs w:val="21"/>
        </w:rPr>
        <w:t>四、审计基金财产的会计师事务所</w:t>
      </w:r>
    </w:p>
    <w:p w:rsidR="000073C0" w:rsidRPr="000073C0" w:rsidRDefault="000073C0">
      <w:pPr>
        <w:pStyle w:val="a3"/>
        <w:spacing w:before="0" w:beforeAutospacing="0" w:after="0" w:afterAutospacing="0" w:line="360" w:lineRule="auto"/>
        <w:ind w:firstLine="420"/>
        <w:divId w:val="2113091179"/>
        <w:rPr>
          <w:sz w:val="21"/>
          <w:szCs w:val="21"/>
        </w:rPr>
      </w:pPr>
      <w:bookmarkStart w:id="75" w:name="field_0_accountingcompanyinfo_1_start"/>
      <w:bookmarkEnd w:id="75"/>
      <w:r w:rsidRPr="000073C0">
        <w:rPr>
          <w:rFonts w:hint="eastAsia"/>
          <w:sz w:val="21"/>
          <w:szCs w:val="21"/>
        </w:rPr>
        <w:t xml:space="preserve">名称：普华永道中天会计师事务所(特殊普通合伙）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住所：中国（上海）自由贸易试验区陆家嘴环路1318号星展银行大厦507单元01室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办公地址：上海市湖滨路202号普华永道中心11楼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执行事务合伙人：李丹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联系电话：（021）23238888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传真：（021）23238800  </w:t>
      </w:r>
    </w:p>
    <w:p w:rsidR="000073C0" w:rsidRPr="000073C0" w:rsidRDefault="000073C0">
      <w:pPr>
        <w:pStyle w:val="a3"/>
        <w:spacing w:before="0" w:beforeAutospacing="0" w:after="0" w:afterAutospacing="0" w:line="360" w:lineRule="auto"/>
        <w:ind w:firstLine="420"/>
        <w:divId w:val="2113091179"/>
        <w:rPr>
          <w:sz w:val="21"/>
          <w:szCs w:val="21"/>
        </w:rPr>
      </w:pPr>
      <w:r w:rsidRPr="000073C0">
        <w:rPr>
          <w:rFonts w:hint="eastAsia"/>
          <w:sz w:val="21"/>
          <w:szCs w:val="21"/>
        </w:rPr>
        <w:t xml:space="preserve">联系人：沈兆杰  </w:t>
      </w:r>
    </w:p>
    <w:p w:rsidR="000073C0" w:rsidRPr="000073C0" w:rsidRDefault="000073C0">
      <w:pPr>
        <w:pStyle w:val="a3"/>
        <w:spacing w:before="0" w:beforeAutospacing="0" w:after="0" w:afterAutospacing="0" w:line="360" w:lineRule="auto"/>
        <w:ind w:firstLine="420"/>
        <w:divId w:val="2113091179"/>
        <w:rPr>
          <w:sz w:val="21"/>
          <w:szCs w:val="21"/>
        </w:rPr>
      </w:pPr>
      <w:bookmarkStart w:id="76" w:name="chapter_level1_7_56_section_3_end"/>
      <w:bookmarkEnd w:id="76"/>
      <w:r w:rsidRPr="000073C0">
        <w:rPr>
          <w:rFonts w:hint="eastAsia"/>
          <w:sz w:val="21"/>
          <w:szCs w:val="21"/>
        </w:rPr>
        <w:t xml:space="preserve">经办注册会计师：张振波、沈兆杰  </w:t>
      </w:r>
      <w:bookmarkStart w:id="77" w:name="field_0_accountingcompanyinfo_1_end"/>
      <w:bookmarkEnd w:id="77"/>
      <w:r w:rsidRPr="000073C0">
        <w:rPr>
          <w:rFonts w:hint="eastAsia"/>
          <w:sz w:val="21"/>
          <w:szCs w:val="21"/>
        </w:rPr>
        <w:t xml:space="preserve">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78" w:name="chapter_level1_9_58"/>
      <w:bookmarkStart w:id="79" w:name="_Toc50743127"/>
      <w:r w:rsidRPr="000073C0">
        <w:rPr>
          <w:rFonts w:ascii="宋体" w:eastAsia="宋体" w:hAnsi="宋体" w:hint="eastAsia"/>
          <w:sz w:val="30"/>
        </w:rPr>
        <w:lastRenderedPageBreak/>
        <w:t>第六部分 基金的募集与基金合同的生效</w:t>
      </w:r>
      <w:bookmarkEnd w:id="78"/>
      <w:bookmarkEnd w:id="79"/>
    </w:p>
    <w:p w:rsidR="000073C0" w:rsidRPr="000073C0" w:rsidRDefault="000073C0">
      <w:pPr>
        <w:pStyle w:val="a3"/>
        <w:spacing w:before="0" w:beforeAutospacing="0" w:after="0" w:afterAutospacing="0" w:line="360" w:lineRule="auto"/>
        <w:ind w:firstLine="420"/>
        <w:divId w:val="1885408681"/>
        <w:rPr>
          <w:sz w:val="21"/>
          <w:szCs w:val="21"/>
        </w:rPr>
      </w:pPr>
      <w:bookmarkStart w:id="80" w:name="chapter_level1_9_58_section_1"/>
      <w:bookmarkEnd w:id="80"/>
      <w:r w:rsidRPr="000073C0">
        <w:rPr>
          <w:rStyle w:val="a4"/>
          <w:rFonts w:hint="eastAsia"/>
          <w:sz w:val="21"/>
          <w:szCs w:val="21"/>
        </w:rPr>
        <w:t>一、基金的募集</w:t>
      </w:r>
    </w:p>
    <w:p w:rsidR="000073C0" w:rsidRPr="000073C0" w:rsidRDefault="000073C0">
      <w:pPr>
        <w:pStyle w:val="a3"/>
        <w:spacing w:before="0" w:beforeAutospacing="0" w:after="0" w:afterAutospacing="0" w:line="360" w:lineRule="auto"/>
        <w:ind w:firstLine="420"/>
        <w:divId w:val="1885408681"/>
        <w:rPr>
          <w:sz w:val="21"/>
          <w:szCs w:val="21"/>
        </w:rPr>
      </w:pPr>
      <w:r w:rsidRPr="000073C0">
        <w:rPr>
          <w:rFonts w:hint="eastAsia"/>
          <w:sz w:val="21"/>
          <w:szCs w:val="21"/>
        </w:rPr>
        <w:t>基金管理人按照《基金法》、《运作办法》、《销售办法》、基金合同及其他有关规定募集本基金，并于</w:t>
      </w:r>
      <w:bookmarkStart w:id="81" w:name="field_2343_approveddate_2"/>
      <w:r w:rsidR="00D82C15">
        <w:rPr>
          <w:sz w:val="21"/>
          <w:szCs w:val="21"/>
        </w:rPr>
        <w:t>2013年06月06日</w:t>
      </w:r>
      <w:bookmarkEnd w:id="81"/>
      <w:r w:rsidRPr="000073C0">
        <w:rPr>
          <w:rFonts w:hint="eastAsia"/>
          <w:sz w:val="21"/>
          <w:szCs w:val="21"/>
        </w:rPr>
        <w:t>获中国证监会《关于核准</w:t>
      </w:r>
      <w:bookmarkStart w:id="82" w:name="field_49_productfullname_11"/>
      <w:r w:rsidR="00D82C15">
        <w:rPr>
          <w:rFonts w:hint="eastAsia"/>
          <w:sz w:val="21"/>
          <w:szCs w:val="21"/>
        </w:rPr>
        <w:t>博时双月薪定期支付债券型证券投资基金</w:t>
      </w:r>
      <w:bookmarkEnd w:id="82"/>
      <w:r w:rsidRPr="000073C0">
        <w:rPr>
          <w:rFonts w:hint="eastAsia"/>
          <w:sz w:val="21"/>
          <w:szCs w:val="21"/>
        </w:rPr>
        <w:t>募集的批复》（证监许可</w:t>
      </w:r>
      <w:bookmarkStart w:id="83" w:name="field_2343_lotnumber_2"/>
      <w:r w:rsidR="00D82C15">
        <w:rPr>
          <w:sz w:val="21"/>
          <w:szCs w:val="21"/>
        </w:rPr>
        <w:t>[2013]761</w:t>
      </w:r>
      <w:bookmarkEnd w:id="83"/>
      <w:r w:rsidRPr="000073C0">
        <w:rPr>
          <w:rFonts w:hint="eastAsia"/>
          <w:sz w:val="21"/>
          <w:szCs w:val="21"/>
        </w:rPr>
        <w:t>号）和2013年8月21日《关于</w:t>
      </w:r>
      <w:bookmarkStart w:id="84" w:name="field_49_productfullname_12"/>
      <w:r w:rsidR="00D82C15">
        <w:rPr>
          <w:rFonts w:hint="eastAsia"/>
          <w:sz w:val="21"/>
          <w:szCs w:val="21"/>
        </w:rPr>
        <w:t>博时双月薪定期支付债券型证券投资基金</w:t>
      </w:r>
      <w:bookmarkEnd w:id="84"/>
      <w:r w:rsidRPr="000073C0">
        <w:rPr>
          <w:rFonts w:hint="eastAsia"/>
          <w:sz w:val="21"/>
          <w:szCs w:val="21"/>
        </w:rPr>
        <w:t>募集时间安排的确认函》（基金部函【2013】730号）核准募集。设立募集期从自</w:t>
      </w:r>
      <w:bookmarkStart w:id="85" w:name="field_58_raisebegindate_1"/>
      <w:r w:rsidR="00D82C15">
        <w:rPr>
          <w:sz w:val="21"/>
          <w:szCs w:val="21"/>
        </w:rPr>
        <w:t>2013年08月29日</w:t>
      </w:r>
      <w:bookmarkEnd w:id="85"/>
      <w:r w:rsidRPr="000073C0">
        <w:rPr>
          <w:rFonts w:hint="eastAsia"/>
          <w:sz w:val="21"/>
          <w:szCs w:val="21"/>
        </w:rPr>
        <w:t>起到</w:t>
      </w:r>
      <w:bookmarkStart w:id="86" w:name="field_58_raiseenddate_1"/>
      <w:r w:rsidR="00D82C15">
        <w:rPr>
          <w:sz w:val="21"/>
          <w:szCs w:val="21"/>
        </w:rPr>
        <w:t>2013年10月18日</w:t>
      </w:r>
      <w:bookmarkEnd w:id="86"/>
      <w:r w:rsidRPr="000073C0">
        <w:rPr>
          <w:rFonts w:hint="eastAsia"/>
          <w:sz w:val="21"/>
          <w:szCs w:val="21"/>
        </w:rPr>
        <w:t>止，共募集</w:t>
      </w:r>
      <w:bookmarkStart w:id="87" w:name="field_58_raisetotal_1"/>
      <w:r w:rsidR="00D82C15">
        <w:rPr>
          <w:sz w:val="21"/>
          <w:szCs w:val="21"/>
        </w:rPr>
        <w:t>238,257,705.59</w:t>
      </w:r>
      <w:bookmarkEnd w:id="87"/>
      <w:r w:rsidRPr="000073C0">
        <w:rPr>
          <w:rFonts w:hint="eastAsia"/>
          <w:sz w:val="21"/>
          <w:szCs w:val="21"/>
        </w:rPr>
        <w:t>份基金份额，有效认购户数为</w:t>
      </w:r>
      <w:bookmarkStart w:id="88" w:name="field_58_effectivetotal_1"/>
      <w:r w:rsidR="00D82C15">
        <w:rPr>
          <w:sz w:val="21"/>
          <w:szCs w:val="21"/>
        </w:rPr>
        <w:t>2,407</w:t>
      </w:r>
      <w:bookmarkEnd w:id="88"/>
      <w:r w:rsidRPr="000073C0">
        <w:rPr>
          <w:rFonts w:hint="eastAsia"/>
          <w:sz w:val="21"/>
          <w:szCs w:val="21"/>
        </w:rPr>
        <w:t xml:space="preserve">户。 </w:t>
      </w:r>
    </w:p>
    <w:p w:rsidR="000073C0" w:rsidRPr="000073C0" w:rsidRDefault="000073C0">
      <w:pPr>
        <w:pStyle w:val="a3"/>
        <w:spacing w:before="0" w:beforeAutospacing="0" w:after="0" w:afterAutospacing="0" w:line="360" w:lineRule="auto"/>
        <w:ind w:firstLine="420"/>
        <w:divId w:val="1885408681"/>
        <w:rPr>
          <w:sz w:val="21"/>
          <w:szCs w:val="21"/>
        </w:rPr>
      </w:pPr>
      <w:r w:rsidRPr="000073C0">
        <w:rPr>
          <w:rFonts w:hint="eastAsia"/>
          <w:sz w:val="21"/>
          <w:szCs w:val="21"/>
        </w:rPr>
        <w:t>本基金运作方式为</w:t>
      </w:r>
      <w:bookmarkStart w:id="89" w:name="field_58_operation_1"/>
      <w:r w:rsidR="00D82C15">
        <w:rPr>
          <w:rFonts w:hint="eastAsia"/>
          <w:sz w:val="21"/>
          <w:szCs w:val="21"/>
        </w:rPr>
        <w:t>契约型定期开放式</w:t>
      </w:r>
      <w:bookmarkEnd w:id="89"/>
      <w:r w:rsidRPr="000073C0">
        <w:rPr>
          <w:rFonts w:hint="eastAsia"/>
          <w:sz w:val="21"/>
          <w:szCs w:val="21"/>
        </w:rPr>
        <w:t>，以定期开放方式运作，存续期间为</w:t>
      </w:r>
      <w:bookmarkStart w:id="90" w:name="field_58_duration_1"/>
      <w:r w:rsidR="00D82C15">
        <w:rPr>
          <w:rFonts w:hint="eastAsia"/>
          <w:sz w:val="21"/>
          <w:szCs w:val="21"/>
        </w:rPr>
        <w:t>不定期</w:t>
      </w:r>
      <w:bookmarkEnd w:id="90"/>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1885408681"/>
        <w:rPr>
          <w:sz w:val="21"/>
          <w:szCs w:val="21"/>
        </w:rPr>
      </w:pPr>
      <w:r w:rsidRPr="000073C0">
        <w:rPr>
          <w:rStyle w:val="a4"/>
          <w:rFonts w:hint="eastAsia"/>
          <w:sz w:val="21"/>
          <w:szCs w:val="21"/>
        </w:rPr>
        <w:t>二、基金合同的生效</w:t>
      </w:r>
    </w:p>
    <w:p w:rsidR="000073C0" w:rsidRPr="000073C0" w:rsidRDefault="000073C0">
      <w:pPr>
        <w:pStyle w:val="a3"/>
        <w:spacing w:before="0" w:beforeAutospacing="0" w:after="0" w:afterAutospacing="0" w:line="360" w:lineRule="auto"/>
        <w:ind w:firstLine="420"/>
        <w:divId w:val="1885408681"/>
        <w:rPr>
          <w:sz w:val="21"/>
          <w:szCs w:val="21"/>
        </w:rPr>
      </w:pPr>
      <w:bookmarkStart w:id="91" w:name="chapter_level1_9_58_section_1_end"/>
      <w:bookmarkEnd w:id="91"/>
      <w:r w:rsidRPr="000073C0">
        <w:rPr>
          <w:rFonts w:hint="eastAsia"/>
          <w:sz w:val="21"/>
          <w:szCs w:val="21"/>
        </w:rPr>
        <w:t>本基金的基金合同已于</w:t>
      </w:r>
      <w:bookmarkStart w:id="92" w:name="field_58_foundday_1"/>
      <w:r w:rsidR="00D82C15">
        <w:rPr>
          <w:sz w:val="21"/>
          <w:szCs w:val="21"/>
        </w:rPr>
        <w:t>2013年10月22日</w:t>
      </w:r>
      <w:bookmarkEnd w:id="92"/>
      <w:r w:rsidRPr="000073C0">
        <w:rPr>
          <w:rFonts w:hint="eastAsia"/>
          <w:sz w:val="21"/>
          <w:szCs w:val="21"/>
        </w:rPr>
        <w:t xml:space="preserve">正式生效。 </w:t>
      </w:r>
    </w:p>
    <w:p w:rsidR="000073C0" w:rsidRPr="000073C0" w:rsidRDefault="000073C0">
      <w:pPr>
        <w:pStyle w:val="a3"/>
        <w:spacing w:before="0" w:beforeAutospacing="0" w:after="0" w:afterAutospacing="0" w:line="360" w:lineRule="auto"/>
        <w:ind w:firstLine="420"/>
        <w:divId w:val="693963858"/>
        <w:rPr>
          <w:sz w:val="21"/>
          <w:szCs w:val="21"/>
        </w:rPr>
      </w:pPr>
      <w:bookmarkStart w:id="93" w:name="chapter_level1_9_58_section_2"/>
      <w:bookmarkEnd w:id="93"/>
      <w:r w:rsidRPr="000073C0">
        <w:rPr>
          <w:rStyle w:val="a4"/>
          <w:rFonts w:hint="eastAsia"/>
          <w:sz w:val="21"/>
          <w:szCs w:val="21"/>
        </w:rPr>
        <w:t>三、基金存续期内的基金份额持有人数量和资金数额</w:t>
      </w:r>
    </w:p>
    <w:p w:rsidR="000073C0" w:rsidRPr="000073C0" w:rsidRDefault="000073C0">
      <w:pPr>
        <w:pStyle w:val="a3"/>
        <w:spacing w:before="0" w:beforeAutospacing="0" w:after="0" w:afterAutospacing="0" w:line="360" w:lineRule="auto"/>
        <w:ind w:firstLine="420"/>
        <w:divId w:val="693963858"/>
        <w:rPr>
          <w:sz w:val="21"/>
          <w:szCs w:val="21"/>
        </w:rPr>
      </w:pPr>
      <w:r w:rsidRPr="000073C0">
        <w:rPr>
          <w:rFonts w:hint="eastAsia"/>
          <w:sz w:val="21"/>
          <w:szCs w:val="21"/>
        </w:rPr>
        <w:t>基金合同生效后的存续期内，基金份额持有人数量不满</w:t>
      </w:r>
      <w:bookmarkStart w:id="94" w:name="field_58_minsubnumber_1"/>
      <w:r w:rsidR="00D82C15">
        <w:rPr>
          <w:sz w:val="21"/>
          <w:szCs w:val="21"/>
        </w:rPr>
        <w:t>200</w:t>
      </w:r>
      <w:bookmarkEnd w:id="94"/>
      <w:r w:rsidRPr="000073C0">
        <w:rPr>
          <w:rFonts w:hint="eastAsia"/>
          <w:sz w:val="21"/>
          <w:szCs w:val="21"/>
        </w:rPr>
        <w:t>人或者基金资产净值低于5000万元，基金管理人应当及时报告中国证监会；基金份额持有人数量连续20个工作日达不到</w:t>
      </w:r>
      <w:bookmarkStart w:id="95" w:name="field_58_minsubnumber_2"/>
      <w:r w:rsidR="00D82C15">
        <w:rPr>
          <w:sz w:val="21"/>
          <w:szCs w:val="21"/>
        </w:rPr>
        <w:t>200</w:t>
      </w:r>
      <w:bookmarkEnd w:id="95"/>
      <w:r w:rsidRPr="000073C0">
        <w:rPr>
          <w:rFonts w:hint="eastAsia"/>
          <w:sz w:val="21"/>
          <w:szCs w:val="21"/>
        </w:rPr>
        <w:t xml:space="preserve">人，或连续20个工作日基金资产净值低于5000万元，基金管理人应当向中国证监会说明出现上述情况的原因并提出解决方案。 </w:t>
      </w:r>
    </w:p>
    <w:p w:rsidR="000073C0" w:rsidRPr="000073C0" w:rsidRDefault="000073C0">
      <w:pPr>
        <w:pStyle w:val="a3"/>
        <w:spacing w:before="0" w:beforeAutospacing="0" w:after="0" w:afterAutospacing="0" w:line="360" w:lineRule="auto"/>
        <w:ind w:firstLine="420"/>
        <w:divId w:val="693963858"/>
        <w:rPr>
          <w:sz w:val="21"/>
          <w:szCs w:val="21"/>
        </w:rPr>
      </w:pPr>
      <w:r w:rsidRPr="000073C0">
        <w:rPr>
          <w:rFonts w:hint="eastAsia"/>
          <w:sz w:val="21"/>
          <w:szCs w:val="21"/>
        </w:rPr>
        <w:t>若在自由开放期结束日次日本基金的份额持有人数量不满</w:t>
      </w:r>
      <w:bookmarkStart w:id="96" w:name="field_58_minsubnumber_3"/>
      <w:r w:rsidR="00D82C15">
        <w:rPr>
          <w:sz w:val="21"/>
          <w:szCs w:val="21"/>
        </w:rPr>
        <w:t>200</w:t>
      </w:r>
      <w:bookmarkEnd w:id="96"/>
      <w:r w:rsidRPr="000073C0">
        <w:rPr>
          <w:rFonts w:hint="eastAsia"/>
          <w:sz w:val="21"/>
          <w:szCs w:val="21"/>
        </w:rPr>
        <w:t xml:space="preserve">人，或者资产净值低于2亿元，基金管理人可以在在履行信息披露义务后终止基金合同而无需召开基金份额持有人大会。本基金将根据基金合同第二十部分的约定进行基金财产清算。 </w:t>
      </w:r>
    </w:p>
    <w:p w:rsidR="000073C0" w:rsidRPr="000073C0" w:rsidRDefault="000073C0">
      <w:pPr>
        <w:pStyle w:val="a3"/>
        <w:spacing w:before="0" w:beforeAutospacing="0" w:after="0" w:afterAutospacing="0" w:line="360" w:lineRule="auto"/>
        <w:ind w:firstLine="420"/>
        <w:divId w:val="693963858"/>
        <w:rPr>
          <w:sz w:val="21"/>
          <w:szCs w:val="21"/>
        </w:rPr>
      </w:pPr>
      <w:r w:rsidRPr="000073C0">
        <w:rPr>
          <w:rFonts w:hint="eastAsia"/>
          <w:sz w:val="21"/>
          <w:szCs w:val="21"/>
        </w:rPr>
        <w:t xml:space="preserve">因基金合同约定，出现基金管理人决定暂停本基金运作周期运作而造成基金份额持有人数量和资产规模不足情况时，基金合同则不需终止。 </w:t>
      </w:r>
    </w:p>
    <w:p w:rsidR="000073C0" w:rsidRPr="000073C0" w:rsidRDefault="000073C0">
      <w:pPr>
        <w:pStyle w:val="a3"/>
        <w:spacing w:before="0" w:beforeAutospacing="0" w:after="0" w:afterAutospacing="0" w:line="360" w:lineRule="auto"/>
        <w:ind w:firstLine="420"/>
        <w:divId w:val="693963858"/>
        <w:rPr>
          <w:sz w:val="21"/>
          <w:szCs w:val="21"/>
        </w:rPr>
      </w:pPr>
      <w:bookmarkStart w:id="97" w:name="chapter_level1_9_58_section_2_end"/>
      <w:bookmarkEnd w:id="97"/>
      <w:r w:rsidRPr="000073C0">
        <w:rPr>
          <w:rFonts w:hint="eastAsia"/>
          <w:sz w:val="21"/>
          <w:szCs w:val="21"/>
        </w:rPr>
        <w:t xml:space="preserve">法律法规另有规定时，从其规定。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98" w:name="chapter_level1_10_7495"/>
      <w:bookmarkStart w:id="99" w:name="_Toc50743128"/>
      <w:r w:rsidRPr="000073C0">
        <w:rPr>
          <w:rFonts w:ascii="宋体" w:eastAsia="宋体" w:hAnsi="宋体" w:hint="eastAsia"/>
          <w:sz w:val="30"/>
        </w:rPr>
        <w:lastRenderedPageBreak/>
        <w:t>第七部分 基金份额的封闭期和开放期</w:t>
      </w:r>
      <w:bookmarkEnd w:id="98"/>
      <w:bookmarkEnd w:id="99"/>
    </w:p>
    <w:p w:rsidR="000073C0" w:rsidRPr="000073C0" w:rsidRDefault="000073C0">
      <w:pPr>
        <w:pStyle w:val="a3"/>
        <w:spacing w:before="0" w:beforeAutospacing="0" w:after="0" w:afterAutospacing="0" w:line="360" w:lineRule="auto"/>
        <w:ind w:firstLine="420"/>
        <w:divId w:val="1868441211"/>
        <w:rPr>
          <w:sz w:val="21"/>
          <w:szCs w:val="21"/>
        </w:rPr>
      </w:pPr>
      <w:bookmarkStart w:id="100" w:name="chapter_level1_10_7495_section_1"/>
      <w:bookmarkEnd w:id="100"/>
      <w:r w:rsidRPr="000073C0">
        <w:rPr>
          <w:rStyle w:val="a4"/>
          <w:rFonts w:hint="eastAsia"/>
          <w:sz w:val="21"/>
          <w:szCs w:val="21"/>
        </w:rPr>
        <w:t>一、本基金的封闭期和开放期</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本基金以定期开放的方式运作。本基金开放期分为自动赎回期、受限开放期和自由开放期，其它时间为封闭期。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本基金以3年为一个运作周期，每个运作周期为自基金合同生效日（包括基金合同生效日）或每个自由开放期结束之日次日起（包括该日）至3年后的年度对日的前一日止。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自动赎回期为运作周期内每两个自然月的第3个工作日，共1个工作日。本基金在自动赎回期按基金合同约定的规则为基金份额持有人自动赎回折算后新增的基金份额。自动赎回期不接受基金份额持有人的主动赎回，亦不接受投资人的申购。本基金每个运作周期的前4个自然月（含第4个自然月）为建仓期，不设自动赎回期。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在每个运作周期结束后进入自由开放期。第一个自由开放期的首日为基金合同生效日3年以后的年度对日，第二个及以后的自由开放期的首日为上一个自由开放期结束次日的3年以后的年度对日。本基金的每个自由开放期为5至20个工作日，具体期间由基金管理人在运作周期结束前公告说明；如出现暂停运作等基金合同规定或法规允许的情形，本基金管理人有权对自由开放期的时间进行调整，并提前公告。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在首个运作周期中，本基金的受限开放期为本基金基金合同生效日的每一个半年度对日；在第二个及以后的运作周期中，本基金的受限开放期为该运作周期首日的每一个半年度对日；在受限开放期，本基金仅有限度地确认申购、赎回申请；本基金的每个受限开放期为1个工作日。如遇自动赎回期顺延；如顺延后该日属于自由开放期，则该月受限开放期取消。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在封闭期内基金份额持有人不得申请申购、赎回本基金。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在自动赎回期T日收市后，本基金净值将以已实现收益（为正时）为上限，进行基金份额的折算；登记机构自动为基金份额持有人发起当期折算新增份额的赎回业务；自动赎回期不接受基金份额持有人的主动赎回，亦不接受投资人的申购。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在受限开放期，本基金仅有限度地确认申购、赎回申请；投资者的净赎回数量占该受限开放期上一日基金份额总数的比例在[0,特定比例]区间内（即大于或等于0，小于或等于特定比例），特定比例的数值由基金管理人于受限开放期开始前依照《信息披露办法》的有关规定在指定媒介上公告；特定比例上限不超过5%；如净赎回数量占比超过特定比例，则对受限开放期的申购申请进行全部确认，对赎回申请的确认按照受限开放期的净赎回额度（即</w:t>
      </w:r>
      <w:r w:rsidRPr="000073C0">
        <w:rPr>
          <w:rFonts w:hint="eastAsia"/>
          <w:sz w:val="21"/>
          <w:szCs w:val="21"/>
        </w:rPr>
        <w:lastRenderedPageBreak/>
        <w:t xml:space="preserve">该受限开放期上一日基金份额总数乘以特定比例）加计受限开放期的申购申请占受限开放期的实际赎回申请的比例进行部分确认。确保净申购数量不大于零，如净申购数量大于零，即发生净申购时，则对受限开放期的赎回申请全部确认，以赎回申请份额为上限对受限开放期的申购申请进行部分确认。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在符合法律规定及基金合同的前提下，基金份额持有人在自由开放期可自由申购、赎回基金份额。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如在自动赎回期、受限开放期和自由开放期内发生不可抗力或其他情形致使基金无法按时开放或需依据《基金合同》暂停申购与赎回业务的，基金管理人有权合理调整申购或赎回业务的办理期间并予以公告。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 xml:space="preserve">如果中国证监会调整有关红利分配政策，基金管理人有权根据新政策制定和调整本基金的收益分配方案和决定是否取消自动赎回期，不需要召开持有人大会。 </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Style w:val="a4"/>
          <w:rFonts w:hint="eastAsia"/>
          <w:sz w:val="21"/>
          <w:szCs w:val="21"/>
        </w:rPr>
        <w:t>二、封闭期和开放期的示例</w:t>
      </w:r>
    </w:p>
    <w:p w:rsidR="000073C0" w:rsidRPr="000073C0" w:rsidRDefault="000073C0">
      <w:pPr>
        <w:pStyle w:val="a3"/>
        <w:spacing w:before="0" w:beforeAutospacing="0" w:after="0" w:afterAutospacing="0" w:line="360" w:lineRule="auto"/>
        <w:ind w:firstLine="420"/>
        <w:divId w:val="1868441211"/>
        <w:rPr>
          <w:sz w:val="21"/>
          <w:szCs w:val="21"/>
        </w:rPr>
      </w:pPr>
      <w:r w:rsidRPr="000073C0">
        <w:rPr>
          <w:rFonts w:hint="eastAsia"/>
          <w:sz w:val="21"/>
          <w:szCs w:val="21"/>
        </w:rPr>
        <w:t>如本基金的《基金合同》于2013年6月3日生效，则本基金的第一个运作周期时间为2013年6月3日到2016年6月2日。假设第一个自由开放期为10个工作日，则第一个自由开放期时间为2016年6月3日到2016年6月16日（假设期间除周末外都是工作日）。假设本基金在第一个自由开放期后进入第二个运作周期，则第二个运作周期的时间为2016年6月17日到2019年6月16日。第一个运作周期的自动赎回期分别为2013年10月10日（假设10月1日至10月7日为节假日，10月8日、10月9日为工作日）、2013年12月4日等运作周期内每两个自然月的第3个工作日。第一个运作周期的受限开放期分别为2013年12月3日、2014年6月3日（假设2014年 6月3日是工作日）等运作周期中基金合同生效日的每一个半年度对日，遇自动赎回期顺延；如顺延后该日属于自由开放期，则</w:t>
      </w:r>
      <w:bookmarkStart w:id="101" w:name="chapter_level1_10_7495_section_1_end"/>
      <w:bookmarkEnd w:id="101"/>
      <w:r w:rsidRPr="000073C0">
        <w:rPr>
          <w:rFonts w:hint="eastAsia"/>
          <w:sz w:val="21"/>
          <w:szCs w:val="21"/>
        </w:rPr>
        <w:t xml:space="preserve">该月受限开放期取消。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02" w:name="chapter_level1_11_7497"/>
      <w:bookmarkStart w:id="103" w:name="_Toc50743129"/>
      <w:r w:rsidRPr="000073C0">
        <w:rPr>
          <w:rFonts w:ascii="宋体" w:eastAsia="宋体" w:hAnsi="宋体" w:hint="eastAsia"/>
          <w:sz w:val="30"/>
        </w:rPr>
        <w:lastRenderedPageBreak/>
        <w:t>第八部分  基金份额的折算</w:t>
      </w:r>
      <w:bookmarkEnd w:id="102"/>
      <w:bookmarkEnd w:id="103"/>
    </w:p>
    <w:p w:rsidR="000073C0" w:rsidRPr="000073C0" w:rsidRDefault="000073C0">
      <w:pPr>
        <w:pStyle w:val="a3"/>
        <w:spacing w:before="0" w:beforeAutospacing="0" w:after="0" w:afterAutospacing="0" w:line="360" w:lineRule="auto"/>
        <w:ind w:firstLine="420"/>
        <w:divId w:val="673723588"/>
        <w:rPr>
          <w:sz w:val="21"/>
          <w:szCs w:val="21"/>
        </w:rPr>
      </w:pPr>
      <w:bookmarkStart w:id="104" w:name="chapter_level1_11_7497_section_1"/>
      <w:bookmarkEnd w:id="104"/>
      <w:r w:rsidRPr="000073C0">
        <w:rPr>
          <w:rStyle w:val="a4"/>
          <w:rFonts w:hint="eastAsia"/>
          <w:sz w:val="21"/>
          <w:szCs w:val="21"/>
        </w:rPr>
        <w:t>一、自动赎回期的基金份额折算</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1、折算基准日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本基金的基金份额折算基准日为每个自动赎回期当日，遇非工作日顺延。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2、折算对象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基金份额折算基准日登记在册的本基金所有份额。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3、折算方式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折算基准日日终，本基金的基金份额净值做出调整，以已实现收益（为正时）为上限折算基金份额。折算后，基金份额持有人持有的基金份额数按照折算比例相应改变。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本基金的基金份额折算公式如下：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本基金的折算比例＝折算基准日基金净值/（折算基准日基金净值-拟强制赎回的金额）基金持有人持有的本基金经折算后的份额数＝基金持有人持有的折算前本基金的份额数×本基金的折算比例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本基金经折算后的份额数采用四舍五入的方式保留到小数点后两位，由此产生的误差计入基金财产。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在实施基金份额折算时，折算日折算前本基金的基金份额净值、本基金的折算比例的具体计算见基金管理人届时发布的相关公告。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4、基金份额折算的公告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（1）基金份额折算提示性公告须最迟于折算基准日前2日在指定媒介公告。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（2）基金份额折算结束后，基金管理人应在2日内在指定媒介公告。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Style w:val="a4"/>
          <w:rFonts w:hint="eastAsia"/>
          <w:sz w:val="21"/>
          <w:szCs w:val="21"/>
        </w:rPr>
        <w:t>二、运作周期开始时的份额折算</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1、折算基准日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本基金的基金份额折算基准日为每个运作周期的第1个工作日（第一个运作周期不折算）。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2、折算对象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基金份额折算基准日登记在册的本基金所有份额。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3、折算方式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lastRenderedPageBreak/>
        <w:t xml:space="preserve">折算基准日日终，本基金的基金份额净值调整为1.000元，折算后，基金份额持有人持有的基金份额数按照折算比例相应改变。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本基金的基金份额折算公式如下：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本基金的折算比例＝折算基准日折算前本基金的基金份额净值/1.000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基金份额持有人持有的本基金经折算后的份额数＝基金份额持有人持有的折算前本基金的份额数×本基金的折算比例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本基金经折算后的份额数采用四舍五入的方式保留到小数点后两位，由此产生的误差计入基金财产。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在实施基金份额折算时，折算日折算前本基金的基金份额净值、本基金的折算比例的具体计算见基金管理人届时发布的相关公告。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4、基金份额折算的公告 </w:t>
      </w:r>
    </w:p>
    <w:p w:rsidR="000073C0" w:rsidRPr="000073C0" w:rsidRDefault="000073C0">
      <w:pPr>
        <w:pStyle w:val="a3"/>
        <w:spacing w:before="0" w:beforeAutospacing="0" w:after="0" w:afterAutospacing="0" w:line="360" w:lineRule="auto"/>
        <w:ind w:firstLine="420"/>
        <w:divId w:val="673723588"/>
        <w:rPr>
          <w:sz w:val="21"/>
          <w:szCs w:val="21"/>
        </w:rPr>
      </w:pPr>
      <w:r w:rsidRPr="000073C0">
        <w:rPr>
          <w:rFonts w:hint="eastAsia"/>
          <w:sz w:val="21"/>
          <w:szCs w:val="21"/>
        </w:rPr>
        <w:t xml:space="preserve">（1）基金份额折算提示性公告须最迟于折算基准日前2日在指定媒介公告。 </w:t>
      </w:r>
    </w:p>
    <w:p w:rsidR="000073C0" w:rsidRPr="000073C0" w:rsidRDefault="000073C0">
      <w:pPr>
        <w:pStyle w:val="a3"/>
        <w:spacing w:before="0" w:beforeAutospacing="0" w:after="0" w:afterAutospacing="0" w:line="360" w:lineRule="auto"/>
        <w:ind w:firstLine="420"/>
        <w:divId w:val="673723588"/>
        <w:rPr>
          <w:sz w:val="21"/>
          <w:szCs w:val="21"/>
        </w:rPr>
      </w:pPr>
      <w:bookmarkStart w:id="105" w:name="chapter_level1_11_7497_section_1_end"/>
      <w:bookmarkEnd w:id="105"/>
      <w:r w:rsidRPr="000073C0">
        <w:rPr>
          <w:rFonts w:hint="eastAsia"/>
          <w:sz w:val="21"/>
          <w:szCs w:val="21"/>
        </w:rPr>
        <w:t xml:space="preserve">（2）基金份额折算结束后，基金管理人应在2日内在指定媒介公告。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06" w:name="chapter_level1_12_59"/>
      <w:bookmarkStart w:id="107" w:name="_Toc50743130"/>
      <w:r w:rsidRPr="000073C0">
        <w:rPr>
          <w:rFonts w:ascii="宋体" w:eastAsia="宋体" w:hAnsi="宋体" w:hint="eastAsia"/>
          <w:sz w:val="30"/>
        </w:rPr>
        <w:lastRenderedPageBreak/>
        <w:t>第九部分  基金份额的申购、赎回与转换</w:t>
      </w:r>
      <w:bookmarkEnd w:id="106"/>
      <w:bookmarkEnd w:id="107"/>
    </w:p>
    <w:p w:rsidR="000073C0" w:rsidRPr="000073C0" w:rsidRDefault="000073C0">
      <w:pPr>
        <w:pStyle w:val="a3"/>
        <w:spacing w:before="0" w:beforeAutospacing="0" w:after="0" w:afterAutospacing="0" w:line="360" w:lineRule="auto"/>
        <w:ind w:firstLine="420"/>
        <w:divId w:val="1598053054"/>
        <w:rPr>
          <w:sz w:val="21"/>
          <w:szCs w:val="21"/>
        </w:rPr>
      </w:pPr>
      <w:bookmarkStart w:id="108" w:name="chapter_level1_12_59_section_1"/>
      <w:bookmarkEnd w:id="108"/>
      <w:r w:rsidRPr="000073C0">
        <w:rPr>
          <w:rStyle w:val="a4"/>
          <w:rFonts w:hint="eastAsia"/>
          <w:sz w:val="21"/>
          <w:szCs w:val="21"/>
        </w:rPr>
        <w:t>一、申购与赎回的场所</w:t>
      </w:r>
    </w:p>
    <w:p w:rsidR="000073C0" w:rsidRPr="000073C0" w:rsidRDefault="000073C0">
      <w:pPr>
        <w:pStyle w:val="a3"/>
        <w:spacing w:before="0" w:beforeAutospacing="0" w:after="0" w:afterAutospacing="0" w:line="360" w:lineRule="auto"/>
        <w:ind w:firstLine="420"/>
        <w:divId w:val="1598053054"/>
        <w:rPr>
          <w:sz w:val="21"/>
          <w:szCs w:val="21"/>
        </w:rPr>
      </w:pPr>
      <w:r w:rsidRPr="000073C0">
        <w:rPr>
          <w:rFonts w:hint="eastAsia"/>
          <w:sz w:val="21"/>
          <w:szCs w:val="21"/>
        </w:rPr>
        <w:t>本基金的申购与赎回将通过销售机构进行。具体的销售网点将由基金管理人在招募说明书或其他相关公告中列明。基金管理人可根据情况变更或增减销售机构，并在基金管理人网站公示。基金投资者应当在销售机构办理基金销售业务的营业场所或按销售机构提供的其他</w:t>
      </w:r>
      <w:bookmarkStart w:id="109" w:name="chapter_level1_12_59_section_1_end"/>
      <w:bookmarkEnd w:id="109"/>
      <w:r w:rsidRPr="000073C0">
        <w:rPr>
          <w:rFonts w:hint="eastAsia"/>
          <w:sz w:val="21"/>
          <w:szCs w:val="21"/>
        </w:rPr>
        <w:t xml:space="preserve">方式办理基金份额的申购与赎回。 </w:t>
      </w:r>
    </w:p>
    <w:p w:rsidR="000073C0" w:rsidRPr="000073C0" w:rsidRDefault="000073C0">
      <w:pPr>
        <w:pStyle w:val="a3"/>
        <w:spacing w:before="0" w:beforeAutospacing="0" w:after="0" w:afterAutospacing="0" w:line="360" w:lineRule="auto"/>
        <w:ind w:firstLine="420"/>
        <w:divId w:val="1732731489"/>
        <w:rPr>
          <w:sz w:val="21"/>
          <w:szCs w:val="21"/>
        </w:rPr>
      </w:pPr>
      <w:bookmarkStart w:id="110" w:name="chapter_level1_12_59_section_2"/>
      <w:bookmarkEnd w:id="110"/>
      <w:r w:rsidRPr="000073C0">
        <w:rPr>
          <w:rStyle w:val="a4"/>
          <w:rFonts w:hint="eastAsia"/>
          <w:sz w:val="21"/>
          <w:szCs w:val="21"/>
        </w:rPr>
        <w:t>二、申购和赎回的开放日及时间</w:t>
      </w:r>
    </w:p>
    <w:p w:rsidR="000073C0" w:rsidRPr="000073C0" w:rsidRDefault="000073C0">
      <w:pPr>
        <w:pStyle w:val="a3"/>
        <w:spacing w:before="0" w:beforeAutospacing="0" w:after="0" w:afterAutospacing="0" w:line="360" w:lineRule="auto"/>
        <w:ind w:firstLine="420"/>
        <w:divId w:val="1732731489"/>
        <w:rPr>
          <w:sz w:val="21"/>
          <w:szCs w:val="21"/>
        </w:rPr>
      </w:pPr>
      <w:r w:rsidRPr="000073C0">
        <w:rPr>
          <w:rFonts w:hint="eastAsia"/>
          <w:sz w:val="21"/>
          <w:szCs w:val="21"/>
        </w:rPr>
        <w:t xml:space="preserve">1、开放日及开放时间 </w:t>
      </w:r>
    </w:p>
    <w:p w:rsidR="000073C0" w:rsidRPr="000073C0" w:rsidRDefault="000073C0">
      <w:pPr>
        <w:pStyle w:val="a3"/>
        <w:spacing w:before="0" w:beforeAutospacing="0" w:after="0" w:afterAutospacing="0" w:line="360" w:lineRule="auto"/>
        <w:ind w:firstLine="420"/>
        <w:divId w:val="1732731489"/>
        <w:rPr>
          <w:sz w:val="21"/>
          <w:szCs w:val="21"/>
        </w:rPr>
      </w:pPr>
      <w:r w:rsidRPr="000073C0">
        <w:rPr>
          <w:rFonts w:hint="eastAsia"/>
          <w:sz w:val="21"/>
          <w:szCs w:val="21"/>
        </w:rPr>
        <w:t xml:space="preserve">投资人在自动赎回期、受限开放期和自由开放期的开放日办理基金份额的申购和赎回，具体办理时间为上海证券交易所、深圳证券交易所的正常交易日的交易时间，但基金管理人根据法律法规、中国证监会的要求或基金合同的规定公告暂停申购、赎回时除外。 </w:t>
      </w:r>
    </w:p>
    <w:p w:rsidR="000073C0" w:rsidRPr="000073C0" w:rsidRDefault="000073C0">
      <w:pPr>
        <w:pStyle w:val="a3"/>
        <w:spacing w:before="0" w:beforeAutospacing="0" w:after="0" w:afterAutospacing="0" w:line="360" w:lineRule="auto"/>
        <w:ind w:firstLine="420"/>
        <w:divId w:val="1732731489"/>
        <w:rPr>
          <w:sz w:val="21"/>
          <w:szCs w:val="21"/>
        </w:rPr>
      </w:pPr>
      <w:r w:rsidRPr="000073C0">
        <w:rPr>
          <w:rFonts w:hint="eastAsia"/>
          <w:sz w:val="21"/>
          <w:szCs w:val="21"/>
        </w:rPr>
        <w:t xml:space="preserve">基金合同生效后，若出现新的证券交易市场、证券交易所交易时间变更或其他特殊情况，基金管理人将视情况对前述开放日及开放时间进行相应的调整，但应在实施日前依照《信息披露办法》的有关规定在指定媒介上公告。 </w:t>
      </w:r>
    </w:p>
    <w:p w:rsidR="000073C0" w:rsidRPr="000073C0" w:rsidRDefault="000073C0">
      <w:pPr>
        <w:pStyle w:val="a3"/>
        <w:spacing w:before="0" w:beforeAutospacing="0" w:after="0" w:afterAutospacing="0" w:line="360" w:lineRule="auto"/>
        <w:ind w:firstLine="420"/>
        <w:divId w:val="1732731489"/>
        <w:rPr>
          <w:sz w:val="21"/>
          <w:szCs w:val="21"/>
        </w:rPr>
      </w:pPr>
      <w:r w:rsidRPr="000073C0">
        <w:rPr>
          <w:rFonts w:hint="eastAsia"/>
          <w:sz w:val="21"/>
          <w:szCs w:val="21"/>
        </w:rPr>
        <w:t xml:space="preserve">2、申购、赎回开始日及业务办理时间 </w:t>
      </w:r>
    </w:p>
    <w:p w:rsidR="000073C0" w:rsidRPr="000073C0" w:rsidRDefault="000073C0">
      <w:pPr>
        <w:pStyle w:val="a3"/>
        <w:spacing w:before="0" w:beforeAutospacing="0" w:after="0" w:afterAutospacing="0" w:line="360" w:lineRule="auto"/>
        <w:ind w:firstLine="420"/>
        <w:divId w:val="1732731489"/>
        <w:rPr>
          <w:sz w:val="21"/>
          <w:szCs w:val="21"/>
        </w:rPr>
      </w:pPr>
      <w:r w:rsidRPr="000073C0">
        <w:rPr>
          <w:rFonts w:hint="eastAsia"/>
          <w:sz w:val="21"/>
          <w:szCs w:val="21"/>
        </w:rPr>
        <w:t xml:space="preserve">本基金仅能在自动赎回期、受限开放期和自由开放期办理申购或赎回业务。其中自动赎回期由登记机构自动为基金份额持有人发起当期折算新增份额的赎回业务，而不接受投资人主动的申购和赎回。在受限开放期，基金份额持有人仅能有限度的申购或赎回。 </w:t>
      </w:r>
    </w:p>
    <w:p w:rsidR="000073C0" w:rsidRPr="000073C0" w:rsidRDefault="000073C0">
      <w:pPr>
        <w:pStyle w:val="a3"/>
        <w:spacing w:before="0" w:beforeAutospacing="0" w:after="0" w:afterAutospacing="0" w:line="360" w:lineRule="auto"/>
        <w:ind w:firstLine="420"/>
        <w:divId w:val="1732731489"/>
        <w:rPr>
          <w:sz w:val="21"/>
          <w:szCs w:val="21"/>
        </w:rPr>
      </w:pPr>
      <w:r w:rsidRPr="000073C0">
        <w:rPr>
          <w:rFonts w:hint="eastAsia"/>
          <w:sz w:val="21"/>
          <w:szCs w:val="21"/>
        </w:rPr>
        <w:t xml:space="preserve">基金管理人应在每次自动赎回期、受限开放期和自由开放期前依照《信息披露办法》的有关规定在指定媒介上公告开放期的开始与结束时间。 </w:t>
      </w:r>
    </w:p>
    <w:p w:rsidR="000073C0" w:rsidRPr="000073C0" w:rsidRDefault="000073C0">
      <w:pPr>
        <w:pStyle w:val="a3"/>
        <w:spacing w:before="0" w:beforeAutospacing="0" w:after="0" w:afterAutospacing="0" w:line="360" w:lineRule="auto"/>
        <w:ind w:firstLine="420"/>
        <w:divId w:val="1732731489"/>
        <w:rPr>
          <w:sz w:val="21"/>
          <w:szCs w:val="21"/>
        </w:rPr>
      </w:pPr>
      <w:r w:rsidRPr="000073C0">
        <w:rPr>
          <w:rFonts w:hint="eastAsia"/>
          <w:sz w:val="21"/>
          <w:szCs w:val="21"/>
        </w:rPr>
        <w:t>基金管理人不得在基金合同约定之外的日期或者时间办理基金份额的申购或者赎回或者转换。在自由开放期内，投资人在基金合同约定之外的日期和时间提出申购、赎回或转换申请且登记机构确认接受的，其基金份额申购、赎回价格为该自由开放期内下一开放日基金份额申购、赎回的价格；在自由开放期最后一个开放日，投资人在基金合同约定之外的时间</w:t>
      </w:r>
      <w:bookmarkStart w:id="111" w:name="chapter_level1_12_59_section_2_end"/>
      <w:bookmarkEnd w:id="111"/>
      <w:r w:rsidRPr="000073C0">
        <w:rPr>
          <w:rFonts w:hint="eastAsia"/>
          <w:sz w:val="21"/>
          <w:szCs w:val="21"/>
        </w:rPr>
        <w:t xml:space="preserve">提出申购、赎回或转换申请的，视为无效申请。 </w:t>
      </w:r>
    </w:p>
    <w:p w:rsidR="000073C0" w:rsidRPr="000073C0" w:rsidRDefault="000073C0">
      <w:pPr>
        <w:pStyle w:val="a3"/>
        <w:spacing w:before="0" w:beforeAutospacing="0" w:after="0" w:afterAutospacing="0" w:line="360" w:lineRule="auto"/>
        <w:ind w:firstLine="420"/>
        <w:divId w:val="612908077"/>
        <w:rPr>
          <w:sz w:val="21"/>
          <w:szCs w:val="21"/>
        </w:rPr>
      </w:pPr>
      <w:bookmarkStart w:id="112" w:name="chapter_level1_12_59_section_3"/>
      <w:bookmarkEnd w:id="112"/>
      <w:r w:rsidRPr="000073C0">
        <w:rPr>
          <w:rFonts w:hint="eastAsia"/>
          <w:b/>
          <w:bCs/>
          <w:sz w:val="21"/>
          <w:szCs w:val="21"/>
        </w:rPr>
        <w:t>三、申购与赎回的原则</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1、“未知价”原则，即申购、赎回价格以申请当日收市后计算的基金份额净值为基准进行计算；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lastRenderedPageBreak/>
        <w:t xml:space="preserve">2、“金额申购、份额赎回”原则，即申购以金额申请，赎回以份额申请；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3、当日的申购与赎回申请可以在基金管理人规定的时间以内撤销；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4、赎回遵循“先进先出”原则，即按照投资人认购、申购的先后次序进行顺序赎回；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5、在每个自动赎回期，基金份额持有人仅能被动接受自动赎回的份额。在自动赎回期T日收市后，本基金净值将以已实现收益（为正时）为上限，进行基金份额的折算，由登记机构自动为基金份额持有人发起当期折算新增份额的赎回业务。自动赎回期为运作周期内每两个自然月的第3个工作日，共1个工作日。本基金在自动赎回期按基金合同约定的规则为基金份额持有人自动赎回折算后新增的基金份额，除此之外，自动赎回期不接受基金份额持有人的主动赎回，亦不接受投资人的申购。本基金每个运作周期的前4个月（含第4个月）为建仓期，不设自动赎回期。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6、在每个受限开放期，本基金将对净赎回、净申购数量进行控制。确保净赎回数量占该受限开放期上一日基金份额总数的比例在[0，特定比例]区间内，该特定比例不超过5%（含），且该特定比例的数值将在受限开放期前通过指定媒介公告。如净赎回数量占比超过特定比例，则对受限开放期的申购申请进行全部确认，对赎回申请的确认按照受限开放期的净赎回额度（即该受限开放期上一日基金份额总数乘以特定比例）加计受限开放期的申购申请占受限开放期的实际赎回申请的比例进行部分确认。确保净申购数量不大于零，如净申购数量大于零，即发生净申购时，则对受限开放期的赎回申请全部确认，以赎回申请份额为上限对受限开放期的申购申请进行部分确认。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基金管理人可在法律法规允许的情况下，对上述原则进行调整。基金管理人必须在新规则开始实施前依照《信息披露办法》的有关规定在指定媒介上公告。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四、申购与赎回的程序</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1、申购和赎回的申请方式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投资人必须根据销售机构规定的程序，在指定开放日的具体业务办理时间内提出申购或赎回的申请。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2、申购和赎回的款项支付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投资人申购基金份额时，必须全额交付申购款项。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投资人赎回申请成功后，基金管理人将在T＋7日（包括该日）内支付赎回款项。在发生巨额赎回时，款项的支付办法参照基金合同有关条款处理。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3、申购和赎回申请的确认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lastRenderedPageBreak/>
        <w:t xml:space="preserve">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则申购款项退还给投资人。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基金销售机构对申购、赎回申请的受理并不代表申请一定成功，而仅代表销售机构确实接收到申请。申购、赎回申请的确认以登记机构或基金管理人的确认结果为准。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五、申购和赎回的数量限制</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1、通过代销机构购买的，首次单笔最低购买金额不低于</w:t>
      </w:r>
      <w:bookmarkStart w:id="113" w:name="field_59_dealerfirstpurminamount_1"/>
      <w:r w:rsidR="00D82C15">
        <w:rPr>
          <w:sz w:val="21"/>
          <w:szCs w:val="21"/>
        </w:rPr>
        <w:t>10</w:t>
      </w:r>
      <w:bookmarkEnd w:id="113"/>
      <w:r w:rsidRPr="000073C0">
        <w:rPr>
          <w:rFonts w:hint="eastAsia"/>
          <w:sz w:val="21"/>
          <w:szCs w:val="21"/>
        </w:rPr>
        <w:t>元，追加购买最低金额为</w:t>
      </w:r>
      <w:bookmarkStart w:id="114" w:name="field_59_dealerlaterpurminamount_1"/>
      <w:r w:rsidR="00D82C15">
        <w:rPr>
          <w:sz w:val="21"/>
          <w:szCs w:val="21"/>
        </w:rPr>
        <w:t>10</w:t>
      </w:r>
      <w:bookmarkEnd w:id="114"/>
      <w:r w:rsidRPr="000073C0">
        <w:rPr>
          <w:rFonts w:hint="eastAsia"/>
          <w:sz w:val="21"/>
          <w:szCs w:val="21"/>
        </w:rPr>
        <w:t xml:space="preserve">元；通过直销机构购买的，首次单笔最低购买金额不低于2万元，在持有份额大于等于2万份的基础上追加购买最低金额为100元，否则追加购买最低金额为20000元；在受限开放期，因为申赎比例限制导致投资人购买金额不满足上述条件的，以登记机构最终确认的购买金额为准。详情请见当地销售机构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在自由开放期，通过代销机构认、申购的投资者的交易账户最低持有基金份额余额为10份，若某笔赎回导致单个交易账户的基金份额余额少于10份时，余额部分基金份额必须一同赎回；通过直销机构认、申购的投资者的交易账户最低持有基金份额余额为10份，若某笔赎回导致单个交易账户的基金份额余额少于10份时，余额部分基金份额必须一同赎回。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4、基金管理人可在法律法规允许的情况下，调整申购金额、赎回份额和账户最低持有余额的数量限制。基金管理人必须在调整实施前依照《信息披露办法》的有关规定在指定媒介上公告。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六、申购费率、赎回费率</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1、本基金的基金份额申购费率最高不超过5％，投资者可以多次申购本基金，申购费率按每笔申购申请单独计算。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本基金的基金份额采用前端收费模式收取基金申购费用。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投资者的申购费用如下： </w:t>
      </w:r>
    </w:p>
    <w:p w:rsidR="000073C0" w:rsidRPr="000073C0" w:rsidRDefault="000073C0">
      <w:pPr>
        <w:pStyle w:val="a3"/>
        <w:spacing w:before="0" w:beforeAutospacing="0" w:after="0" w:afterAutospacing="0" w:line="360" w:lineRule="auto"/>
        <w:ind w:firstLine="420"/>
        <w:jc w:val="center"/>
        <w:divId w:val="612908077"/>
        <w:rPr>
          <w:sz w:val="21"/>
          <w:szCs w:val="21"/>
        </w:rPr>
      </w:pPr>
      <w:r w:rsidRPr="000073C0">
        <w:rPr>
          <w:rFonts w:hint="eastAsia"/>
          <w:sz w:val="21"/>
          <w:szCs w:val="21"/>
        </w:rPr>
        <w:lastRenderedPageBreak/>
        <w:t xml:space="preserve">表格：投资者申购本基金份额的申购费率 </w:t>
      </w:r>
    </w:p>
    <w:tbl>
      <w:tblPr>
        <w:tblStyle w:val="ac"/>
        <w:tblW w:w="5000" w:type="pct"/>
        <w:tblLook w:val="04A0" w:firstRow="1" w:lastRow="0" w:firstColumn="1" w:lastColumn="0" w:noHBand="0" w:noVBand="1"/>
      </w:tblPr>
      <w:tblGrid>
        <w:gridCol w:w="4129"/>
        <w:gridCol w:w="4387"/>
      </w:tblGrid>
      <w:tr w:rsidR="000073C0" w:rsidRPr="000073C0" w:rsidTr="000073C0">
        <w:trPr>
          <w:divId w:val="1680738990"/>
        </w:trPr>
        <w:tc>
          <w:tcPr>
            <w:tcW w:w="2400" w:type="pct"/>
            <w:shd w:val="clear" w:color="auto" w:fill="auto"/>
            <w:hideMark/>
          </w:tcPr>
          <w:p w:rsidR="000073C0" w:rsidRPr="000073C0" w:rsidRDefault="000073C0">
            <w:pPr>
              <w:pStyle w:val="a3"/>
              <w:jc w:val="center"/>
            </w:pPr>
            <w:r w:rsidRPr="000073C0">
              <w:rPr>
                <w:rFonts w:hint="eastAsia"/>
                <w:b/>
                <w:bCs/>
              </w:rPr>
              <w:t>金额（M）</w:t>
            </w:r>
          </w:p>
        </w:tc>
        <w:tc>
          <w:tcPr>
            <w:tcW w:w="2550" w:type="pct"/>
            <w:shd w:val="clear" w:color="auto" w:fill="auto"/>
            <w:hideMark/>
          </w:tcPr>
          <w:p w:rsidR="000073C0" w:rsidRPr="000073C0" w:rsidRDefault="000073C0">
            <w:pPr>
              <w:pStyle w:val="a3"/>
              <w:jc w:val="center"/>
            </w:pPr>
            <w:r w:rsidRPr="000073C0">
              <w:rPr>
                <w:rFonts w:hint="eastAsia"/>
                <w:b/>
                <w:bCs/>
              </w:rPr>
              <w:t>前端申购费率</w:t>
            </w:r>
          </w:p>
        </w:tc>
      </w:tr>
      <w:tr w:rsidR="000073C0" w:rsidRPr="000073C0" w:rsidTr="000073C0">
        <w:trPr>
          <w:divId w:val="1680738990"/>
        </w:trPr>
        <w:tc>
          <w:tcPr>
            <w:tcW w:w="2400" w:type="pct"/>
            <w:shd w:val="clear" w:color="auto" w:fill="auto"/>
            <w:hideMark/>
          </w:tcPr>
          <w:p w:rsidR="000073C0" w:rsidRPr="000073C0" w:rsidRDefault="000073C0">
            <w:pPr>
              <w:pStyle w:val="a3"/>
              <w:jc w:val="center"/>
            </w:pPr>
            <w:r w:rsidRPr="000073C0">
              <w:rPr>
                <w:rFonts w:hint="eastAsia"/>
              </w:rPr>
              <w:t xml:space="preserve">M＜100万元  </w:t>
            </w:r>
          </w:p>
        </w:tc>
        <w:tc>
          <w:tcPr>
            <w:tcW w:w="2550" w:type="pct"/>
            <w:shd w:val="clear" w:color="auto" w:fill="auto"/>
            <w:hideMark/>
          </w:tcPr>
          <w:p w:rsidR="000073C0" w:rsidRPr="000073C0" w:rsidRDefault="000073C0">
            <w:pPr>
              <w:pStyle w:val="a3"/>
              <w:jc w:val="center"/>
            </w:pPr>
            <w:r w:rsidRPr="000073C0">
              <w:rPr>
                <w:rFonts w:hint="eastAsia"/>
              </w:rPr>
              <w:t xml:space="preserve">0.90%  </w:t>
            </w:r>
          </w:p>
        </w:tc>
      </w:tr>
      <w:tr w:rsidR="000073C0" w:rsidRPr="000073C0" w:rsidTr="000073C0">
        <w:trPr>
          <w:divId w:val="1680738990"/>
        </w:trPr>
        <w:tc>
          <w:tcPr>
            <w:tcW w:w="2400" w:type="pct"/>
            <w:shd w:val="clear" w:color="auto" w:fill="auto"/>
            <w:hideMark/>
          </w:tcPr>
          <w:p w:rsidR="000073C0" w:rsidRPr="000073C0" w:rsidRDefault="000073C0">
            <w:pPr>
              <w:pStyle w:val="a3"/>
              <w:jc w:val="center"/>
            </w:pPr>
            <w:r w:rsidRPr="000073C0">
              <w:rPr>
                <w:rFonts w:hint="eastAsia"/>
              </w:rPr>
              <w:t xml:space="preserve">100万元≤M＜300万元  </w:t>
            </w:r>
          </w:p>
        </w:tc>
        <w:tc>
          <w:tcPr>
            <w:tcW w:w="2550" w:type="pct"/>
            <w:shd w:val="clear" w:color="auto" w:fill="auto"/>
            <w:hideMark/>
          </w:tcPr>
          <w:p w:rsidR="000073C0" w:rsidRPr="000073C0" w:rsidRDefault="000073C0">
            <w:pPr>
              <w:pStyle w:val="a3"/>
              <w:jc w:val="center"/>
            </w:pPr>
            <w:r w:rsidRPr="000073C0">
              <w:rPr>
                <w:rFonts w:hint="eastAsia"/>
              </w:rPr>
              <w:t xml:space="preserve">0.60%  </w:t>
            </w:r>
          </w:p>
        </w:tc>
      </w:tr>
      <w:tr w:rsidR="000073C0" w:rsidRPr="000073C0" w:rsidTr="000073C0">
        <w:trPr>
          <w:divId w:val="1680738990"/>
        </w:trPr>
        <w:tc>
          <w:tcPr>
            <w:tcW w:w="2400" w:type="pct"/>
            <w:shd w:val="clear" w:color="auto" w:fill="auto"/>
            <w:hideMark/>
          </w:tcPr>
          <w:p w:rsidR="000073C0" w:rsidRPr="000073C0" w:rsidRDefault="000073C0">
            <w:pPr>
              <w:pStyle w:val="a3"/>
              <w:jc w:val="center"/>
            </w:pPr>
            <w:r w:rsidRPr="000073C0">
              <w:rPr>
                <w:rFonts w:hint="eastAsia"/>
              </w:rPr>
              <w:t xml:space="preserve">300万元≤M＜500万元  </w:t>
            </w:r>
          </w:p>
        </w:tc>
        <w:tc>
          <w:tcPr>
            <w:tcW w:w="2550" w:type="pct"/>
            <w:shd w:val="clear" w:color="auto" w:fill="auto"/>
            <w:hideMark/>
          </w:tcPr>
          <w:p w:rsidR="000073C0" w:rsidRPr="000073C0" w:rsidRDefault="000073C0">
            <w:pPr>
              <w:pStyle w:val="a3"/>
              <w:jc w:val="center"/>
            </w:pPr>
            <w:r w:rsidRPr="000073C0">
              <w:rPr>
                <w:rFonts w:hint="eastAsia"/>
              </w:rPr>
              <w:t xml:space="preserve">0.08%  </w:t>
            </w:r>
          </w:p>
        </w:tc>
      </w:tr>
      <w:tr w:rsidR="000073C0" w:rsidRPr="000073C0" w:rsidTr="000073C0">
        <w:trPr>
          <w:divId w:val="1680738990"/>
        </w:trPr>
        <w:tc>
          <w:tcPr>
            <w:tcW w:w="2400" w:type="pct"/>
            <w:shd w:val="clear" w:color="auto" w:fill="auto"/>
            <w:hideMark/>
          </w:tcPr>
          <w:p w:rsidR="000073C0" w:rsidRPr="000073C0" w:rsidRDefault="000073C0">
            <w:pPr>
              <w:pStyle w:val="a3"/>
              <w:jc w:val="center"/>
            </w:pPr>
            <w:r w:rsidRPr="000073C0">
              <w:rPr>
                <w:rFonts w:hint="eastAsia"/>
              </w:rPr>
              <w:t xml:space="preserve">M≥500万元  </w:t>
            </w:r>
          </w:p>
        </w:tc>
        <w:tc>
          <w:tcPr>
            <w:tcW w:w="2550" w:type="pct"/>
            <w:shd w:val="clear" w:color="auto" w:fill="auto"/>
            <w:hideMark/>
          </w:tcPr>
          <w:p w:rsidR="000073C0" w:rsidRPr="000073C0" w:rsidRDefault="000073C0">
            <w:pPr>
              <w:pStyle w:val="a3"/>
              <w:jc w:val="center"/>
            </w:pPr>
            <w:r w:rsidRPr="000073C0">
              <w:rPr>
                <w:rFonts w:hint="eastAsia"/>
              </w:rPr>
              <w:t xml:space="preserve">1000元/笔  </w:t>
            </w:r>
          </w:p>
        </w:tc>
      </w:tr>
    </w:tbl>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来源：博时基金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本基金的申购费用由投资者承担，主要用于本基金的市场推广、销售、登记等各项费用，不列入基金财产。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本基金在自动赎回期不收取赎回费；在受限开放期，本基金的基金份额赎回费率最高不超过5%，所收取的赎回费，对持续持有期少于7日的投资者收取的赎回费全额计入基金财产，对持续持有期不少于7日的投资者收取的赎回费总额的75%计入基金财产，具体赎回费率见下表： </w:t>
      </w:r>
    </w:p>
    <w:p w:rsidR="000073C0" w:rsidRPr="000073C0" w:rsidRDefault="000073C0">
      <w:pPr>
        <w:pStyle w:val="a3"/>
        <w:spacing w:before="0" w:beforeAutospacing="0" w:after="0" w:afterAutospacing="0" w:line="360" w:lineRule="auto"/>
        <w:ind w:firstLine="420"/>
        <w:jc w:val="center"/>
        <w:divId w:val="612908077"/>
        <w:rPr>
          <w:sz w:val="21"/>
          <w:szCs w:val="21"/>
        </w:rPr>
      </w:pPr>
      <w:r w:rsidRPr="000073C0">
        <w:rPr>
          <w:rFonts w:hint="eastAsia"/>
          <w:sz w:val="21"/>
          <w:szCs w:val="21"/>
        </w:rPr>
        <w:t xml:space="preserve">表格：投资者开放期内赎回费率 </w:t>
      </w:r>
    </w:p>
    <w:tbl>
      <w:tblPr>
        <w:tblStyle w:val="ac"/>
        <w:tblW w:w="5000" w:type="pct"/>
        <w:tblLook w:val="04A0" w:firstRow="1" w:lastRow="0" w:firstColumn="1" w:lastColumn="0" w:noHBand="0" w:noVBand="1"/>
      </w:tblPr>
      <w:tblGrid>
        <w:gridCol w:w="2517"/>
        <w:gridCol w:w="4112"/>
        <w:gridCol w:w="1887"/>
      </w:tblGrid>
      <w:tr w:rsidR="000073C0" w:rsidRPr="000073C0" w:rsidTr="004F08DA">
        <w:trPr>
          <w:divId w:val="1646471318"/>
        </w:trPr>
        <w:tc>
          <w:tcPr>
            <w:tcW w:w="3892" w:type="pct"/>
            <w:gridSpan w:val="2"/>
            <w:shd w:val="clear" w:color="auto" w:fill="auto"/>
            <w:hideMark/>
          </w:tcPr>
          <w:p w:rsidR="000073C0" w:rsidRPr="000073C0" w:rsidRDefault="000073C0">
            <w:pPr>
              <w:pStyle w:val="a3"/>
              <w:ind w:firstLine="527"/>
            </w:pPr>
            <w:r w:rsidRPr="000073C0">
              <w:rPr>
                <w:rFonts w:hint="eastAsia"/>
                <w:b/>
                <w:bCs/>
              </w:rPr>
              <w:t>赎回期间</w:t>
            </w:r>
          </w:p>
        </w:tc>
        <w:tc>
          <w:tcPr>
            <w:tcW w:w="1108" w:type="pct"/>
            <w:shd w:val="clear" w:color="auto" w:fill="auto"/>
            <w:hideMark/>
          </w:tcPr>
          <w:p w:rsidR="000073C0" w:rsidRPr="000073C0" w:rsidRDefault="000073C0">
            <w:pPr>
              <w:pStyle w:val="a3"/>
              <w:ind w:firstLine="422"/>
            </w:pPr>
            <w:r w:rsidRPr="000073C0">
              <w:rPr>
                <w:rFonts w:hint="eastAsia"/>
                <w:b/>
                <w:bCs/>
              </w:rPr>
              <w:t>赎回费率</w:t>
            </w:r>
          </w:p>
        </w:tc>
      </w:tr>
      <w:tr w:rsidR="000073C0" w:rsidRPr="000073C0" w:rsidTr="004F08DA">
        <w:trPr>
          <w:divId w:val="1646471318"/>
        </w:trPr>
        <w:tc>
          <w:tcPr>
            <w:tcW w:w="1478" w:type="pct"/>
            <w:vMerge w:val="restart"/>
            <w:shd w:val="clear" w:color="auto" w:fill="auto"/>
            <w:hideMark/>
          </w:tcPr>
          <w:p w:rsidR="000073C0" w:rsidRPr="000073C0" w:rsidRDefault="000073C0">
            <w:pPr>
              <w:pStyle w:val="a3"/>
              <w:ind w:firstLine="420"/>
            </w:pPr>
            <w:r w:rsidRPr="000073C0">
              <w:rPr>
                <w:rFonts w:hint="eastAsia"/>
              </w:rPr>
              <w:t xml:space="preserve">自由开放期  </w:t>
            </w:r>
          </w:p>
        </w:tc>
        <w:tc>
          <w:tcPr>
            <w:tcW w:w="2414" w:type="pct"/>
            <w:shd w:val="clear" w:color="auto" w:fill="auto"/>
            <w:hideMark/>
          </w:tcPr>
          <w:p w:rsidR="000073C0" w:rsidRPr="000073C0" w:rsidRDefault="000073C0">
            <w:pPr>
              <w:pStyle w:val="a3"/>
              <w:ind w:firstLine="420"/>
            </w:pPr>
            <w:r w:rsidRPr="000073C0">
              <w:rPr>
                <w:rFonts w:hint="eastAsia"/>
              </w:rPr>
              <w:t xml:space="preserve">持有基金份额期限&lt; 7日  </w:t>
            </w:r>
          </w:p>
        </w:tc>
        <w:tc>
          <w:tcPr>
            <w:tcW w:w="1108" w:type="pct"/>
            <w:shd w:val="clear" w:color="auto" w:fill="auto"/>
            <w:hideMark/>
          </w:tcPr>
          <w:p w:rsidR="000073C0" w:rsidRPr="000073C0" w:rsidRDefault="000073C0">
            <w:pPr>
              <w:pStyle w:val="a3"/>
              <w:ind w:firstLine="420"/>
            </w:pPr>
            <w:r w:rsidRPr="000073C0">
              <w:rPr>
                <w:rFonts w:hint="eastAsia"/>
              </w:rPr>
              <w:t xml:space="preserve">1.50%  </w:t>
            </w:r>
          </w:p>
        </w:tc>
      </w:tr>
      <w:tr w:rsidR="000073C0" w:rsidRPr="000073C0" w:rsidTr="004F08DA">
        <w:trPr>
          <w:divId w:val="1646471318"/>
        </w:trPr>
        <w:tc>
          <w:tcPr>
            <w:tcW w:w="1478" w:type="pct"/>
            <w:vMerge/>
            <w:shd w:val="clear" w:color="auto" w:fill="auto"/>
            <w:hideMark/>
          </w:tcPr>
          <w:p w:rsidR="000073C0" w:rsidRPr="000073C0" w:rsidRDefault="000073C0">
            <w:pPr>
              <w:rPr>
                <w:rFonts w:ascii="宋体" w:eastAsia="宋体" w:hAnsi="宋体" w:cs="宋体"/>
                <w:sz w:val="24"/>
                <w:szCs w:val="24"/>
              </w:rPr>
            </w:pPr>
          </w:p>
        </w:tc>
        <w:tc>
          <w:tcPr>
            <w:tcW w:w="2414" w:type="pct"/>
            <w:shd w:val="clear" w:color="auto" w:fill="auto"/>
            <w:hideMark/>
          </w:tcPr>
          <w:p w:rsidR="000073C0" w:rsidRPr="000073C0" w:rsidRDefault="000073C0">
            <w:pPr>
              <w:pStyle w:val="a3"/>
              <w:ind w:firstLine="420"/>
            </w:pPr>
            <w:r w:rsidRPr="000073C0">
              <w:rPr>
                <w:rFonts w:hint="eastAsia"/>
              </w:rPr>
              <w:t xml:space="preserve">持有基金份额期限≥7日  </w:t>
            </w:r>
          </w:p>
        </w:tc>
        <w:tc>
          <w:tcPr>
            <w:tcW w:w="1108" w:type="pct"/>
            <w:shd w:val="clear" w:color="auto" w:fill="auto"/>
            <w:hideMark/>
          </w:tcPr>
          <w:p w:rsidR="000073C0" w:rsidRPr="000073C0" w:rsidRDefault="000073C0">
            <w:pPr>
              <w:pStyle w:val="a3"/>
              <w:ind w:firstLine="420"/>
            </w:pPr>
            <w:r w:rsidRPr="000073C0">
              <w:rPr>
                <w:rFonts w:hint="eastAsia"/>
              </w:rPr>
              <w:t xml:space="preserve">0.00%   </w:t>
            </w:r>
          </w:p>
        </w:tc>
      </w:tr>
      <w:tr w:rsidR="000073C0" w:rsidRPr="000073C0" w:rsidTr="004F08DA">
        <w:trPr>
          <w:divId w:val="1646471318"/>
        </w:trPr>
        <w:tc>
          <w:tcPr>
            <w:tcW w:w="3892" w:type="pct"/>
            <w:gridSpan w:val="2"/>
            <w:shd w:val="clear" w:color="auto" w:fill="auto"/>
            <w:hideMark/>
          </w:tcPr>
          <w:p w:rsidR="000073C0" w:rsidRPr="000073C0" w:rsidRDefault="000073C0">
            <w:pPr>
              <w:pStyle w:val="a3"/>
              <w:ind w:firstLine="420"/>
            </w:pPr>
            <w:r w:rsidRPr="000073C0">
              <w:rPr>
                <w:rFonts w:hint="eastAsia"/>
              </w:rPr>
              <w:t xml:space="preserve">自动赎回期  </w:t>
            </w:r>
          </w:p>
        </w:tc>
        <w:tc>
          <w:tcPr>
            <w:tcW w:w="1108" w:type="pct"/>
            <w:shd w:val="clear" w:color="auto" w:fill="auto"/>
            <w:hideMark/>
          </w:tcPr>
          <w:p w:rsidR="000073C0" w:rsidRPr="000073C0" w:rsidRDefault="000073C0">
            <w:pPr>
              <w:pStyle w:val="a3"/>
              <w:ind w:firstLine="420"/>
            </w:pPr>
            <w:r w:rsidRPr="000073C0">
              <w:rPr>
                <w:rFonts w:hint="eastAsia"/>
              </w:rPr>
              <w:t xml:space="preserve">0.00%   </w:t>
            </w:r>
          </w:p>
        </w:tc>
      </w:tr>
      <w:tr w:rsidR="000073C0" w:rsidRPr="000073C0" w:rsidTr="004F08DA">
        <w:trPr>
          <w:divId w:val="1646471318"/>
        </w:trPr>
        <w:tc>
          <w:tcPr>
            <w:tcW w:w="3892" w:type="pct"/>
            <w:gridSpan w:val="2"/>
            <w:shd w:val="clear" w:color="auto" w:fill="auto"/>
            <w:hideMark/>
          </w:tcPr>
          <w:p w:rsidR="000073C0" w:rsidRPr="000073C0" w:rsidRDefault="000073C0">
            <w:pPr>
              <w:pStyle w:val="a3"/>
              <w:ind w:firstLine="420"/>
            </w:pPr>
            <w:r w:rsidRPr="000073C0">
              <w:rPr>
                <w:rFonts w:hint="eastAsia"/>
              </w:rPr>
              <w:t xml:space="preserve">受限开放期  </w:t>
            </w:r>
          </w:p>
        </w:tc>
        <w:tc>
          <w:tcPr>
            <w:tcW w:w="1108" w:type="pct"/>
            <w:shd w:val="clear" w:color="auto" w:fill="auto"/>
            <w:hideMark/>
          </w:tcPr>
          <w:p w:rsidR="000073C0" w:rsidRPr="000073C0" w:rsidRDefault="000073C0">
            <w:pPr>
              <w:pStyle w:val="a3"/>
              <w:ind w:firstLine="420"/>
            </w:pPr>
            <w:r w:rsidRPr="000073C0">
              <w:rPr>
                <w:rFonts w:hint="eastAsia"/>
              </w:rPr>
              <w:t xml:space="preserve">1.00%   </w:t>
            </w:r>
          </w:p>
        </w:tc>
      </w:tr>
    </w:tbl>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来源：博时基金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本基金的赎回费率由赎回基金份额的基金份额持有人承担，在基金份额持有人赎回基金份额时收取。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3、基金管理人可以在法律法规和基金合同规定范围内调整申购费率和赎回费率。费率如发生变更，基金管理人应在调整前依照《信息披露办法》的有关规定在指定媒介上公告。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八、申购份额与赎回金额的计算方式</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1、本基金申购份额的计算方式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净申购金额=申购金额/（1+申购费率）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申购费用=申购金额-净申购金额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申购份额=净申购金额/申购当日基金份额净值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申购份额的计算结果均按照四舍五入方法，保留到小数点后两位，由此误差产生的损失由基金财产承担，产生的收益归基金财产所有。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lastRenderedPageBreak/>
        <w:t xml:space="preserve">例：假定T日基金份额净值为1.056元，某投资者本次申购本基金份额50万元，对应的本次申购费率为0.90%，该投资者可得到的基金份额为：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净申购金额=500,000/（1+0.90%）＝495,540.14元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申购费用=500,000-495,540.14＝4,459.86元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申购份额=495,540.14/1.056＝469,261.50份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即：投资者投资50万元申购本基金份额，假定申购当日基金份额净值为1.056元，可得到469,261.50份基金份额。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2、赎回金额的计算方式：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赎回总金额=赎回份额′T日基金份额净值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赎回费用=赎回总金额′赎回费率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净赎回金额=赎回总金额-赎回费用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赎回金额计算结果均按照四舍五入方法，保留到小数点后两位，由此误差产生的损失由基金财产承担，产生的收益归基金财产所有。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例：某投资者赎回本基金1万份基金份额，持有1个运作周期，对应的赎回费率为0%，假设赎回当日基金份额净值是1.250元，则其可得到的赎回金额为：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赎回总金额=10,000×1.250=12,500.00 元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赎回费用=12,500×0%=0 元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净赎回金额=12,500-0=12,500.00 元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即：投资者赎回本基金1万份基金份额，持有1个运作周期，假设赎回当日基金份额净值是1.250元，则其可得到的赎回金额为12,500.00元。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3、本基金份额净值的计算：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本基金计算基金份额净值，计算公式为计算日各类别基金资产净值除以计算日发售在外的该类别基金份额总数。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T日基金份额净值= T日基金资产净值/T 日发行在外的基金份额总数。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基金份额净值为计算日基金资产净值除以计算日发行在外的基金份额总数。基金份额净值单位为元，计算结果保留到小数点后 3 位，小数点后第 4 位四舍五入，由此产生的收益或损失由基金财产承担。T日的基金份额净值在当天收市后计算，并按照基金合同约定进行公告。遇特殊情况，经中国证监会同意，可以适当延迟计算或公告。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lastRenderedPageBreak/>
        <w:t xml:space="preserve">4、申购份额余额的处理方式：申购的有效份额为净申购金额除以当日的基金份额净值，有效份额单位为份，上述计算结果均按四舍五入方法，保留到小数点后两位，由此产生的收益或损失由基金财产承担。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5、赎回金额的处理方式：赎回金额单位为元，计算结果均按四舍五入方法，保留到小数点后两位，由此产生的收益或损失由基金财产承担。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6、基金管理人可以根据《基金合同》的相关约定调整费率或收费方式，基金管理人最迟应于新的费率或收费方式实施日前依照《信息披露办法》的有关规定在指定媒介公告。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7、基金管理人可以在不违反法律法规规定及基金合同约定的情形下根据市场情况制定基金促销计划，针对以特定交易方式（如网上交易、电话交易等）等进行基金交易的投资人定期或不定期地开展基金促销活动。在基金促销活动期间，按相关监管部门要求履行必要手续后，基金管理人可以适当调低基金申购费率和基金赎回费率。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九、申购与赎回的登记</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1、经基金销售机构同意，基金投资者提出的申购和赎回申请，在基金管理人规定的时间之前可以撤销。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2、投资者申购基金成功后，登记机构在T+1日为投资者登记权益并办理登记手续，投资者自T+2日（含该日）后有权赎回该部分基金份额。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3、投资者赎回基金成功后，登记机构在T+1日为投资者办理扣除权益的登记手续。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4、基金管理人可以在法律法规允许的范围内，对上述登记办理时间进行调整，但不得实质影响投资者的合法权益，并最迟于开始实施前依照《信息披露办法》的有关规定在指定媒介公告。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十、拒绝或暂停申购的情形</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在开放期发生下列情况时，基金管理人可拒绝或暂停接受投资人的申购申请：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1、因不可抗力导致基金无法正常运作。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2、发生基金合同规定的暂停基金资产估值情况时，基金管理人可暂停接受投资人的申购申请。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3、证券交易所交易时间非正常停市，导致基金管理人无法计算当日基金资产净值。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4、基金管理人认为接受某笔或某些申购申请可能会影响或损害现有基金份额持有人利益或对存量基金份额持有人利益构成潜在重大不利影响时。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lastRenderedPageBreak/>
        <w:t xml:space="preserve">5、基金资产规模过大，使基金管理人无法找到合适的投资品种，或其他可能对基金业绩产生负面影响，从而损害现有基金份额持有人利益的情形。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6、当前一估值日基金资产净值50%以上的资产出现无可参考的活跃市场价格且采用估值技术仍导致公允价值存在重大不确定性时，经与基金托管人协商确认后，基金管理人应当暂停接受基金申购申请。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7、基金管理人接受某笔或者某些申购申请有可能导致单一投资者持有基金份额的比例达到或者超过50%，或者变相规避50%集中度的情形时。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8、法律法规规定或中国证监会认定的其他情形。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发生上述第1、2、3、5、6、8项暂停申购情形时，基金管理人应当根据有关规定在指定媒介上刊登暂停申购公告。如果投资人的申购申请被拒绝，被拒绝的申购款项将退还给投资人。在暂停申购的情况消除时，基金管理人应及时恢复申购业务的办理，且开放期间按暂停申购的期间相应延长。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十一、暂停赎回或延缓支付赎回款项的情形</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在开放期间发生下列情形时，基金管理人可暂停接受投资人的赎回申请或延缓支付赎回款项：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1、因不可抗力导致基金管理人不能支付赎回款项。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2、发生基金合同规定的暂停基金资产估值情况时，基金管理人可暂停接收投资人的赎回申请或延缓支付赎回款项。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3、证券交易所交易时间非正常停市，导致基金管理人无法计算当日基金资产净值。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4、当前一估值日基金资产净值50%以上的资产出现无可参考的活跃市场价格且采用估值技术仍导致公允价值存在重大不确定性时，经与基金托管人协商确认后，基金管理人应当延缓支付赎回款项或暂停接受赎回申请。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5、法律法规规定、基金合同约定或中国证监会认定的其他情形。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发生上述情形时，基金管理人应按规定报中国证监会备案，已确认的赎回申请，基金管理人应足额支付；如暂时不能足额支付，基金管理人可对赎回款项进行延缓支付，但延缓支付最长不得超过20个工作日，并在指定媒介上公告。在暂停赎回的情况消除时，基金管理人应及时恢复赎回业务的办理并公告，且开放期间按暂停赎回的期间相应延长。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十二、巨额赎回的情形及处理方式</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1、巨额赎回的认定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lastRenderedPageBreak/>
        <w:t>若本基金自由开放期内单个开放日内的基金份额净赎回申请（赎回申请份额总数加上基金转换中转出申请份额总数后扣除申购申请份额总数及基金转换中转入申请份额总数后的余额）超过前一开放日的基金总份额的</w:t>
      </w:r>
      <w:bookmarkStart w:id="115" w:name="field_49_mintredeemscale_2"/>
      <w:r w:rsidR="00D82C15">
        <w:rPr>
          <w:sz w:val="21"/>
          <w:szCs w:val="21"/>
        </w:rPr>
        <w:t>20</w:t>
      </w:r>
      <w:bookmarkEnd w:id="115"/>
      <w:r w:rsidRPr="000073C0">
        <w:rPr>
          <w:rFonts w:hint="eastAsia"/>
          <w:sz w:val="21"/>
          <w:szCs w:val="21"/>
        </w:rPr>
        <w:t xml:space="preserve">%，即认为是发生了巨额赎回。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2、巨额赎回的处理方式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当基金出现巨额赎回时，基金管理人可以根据基金当时的资产组合状况决定全额赎回或、延缓支付赎回款项或者部分延期赎回。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（1）全额赎回：当基金管理人认为有能力支付投资人的全部赎回申请时，按正常赎回程序执行。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（2）延缓支付赎回款项：开放期内，发生巨额赎回且不存在单一持有人赎回申请超过上一工作日基金总份额</w:t>
      </w:r>
      <w:bookmarkStart w:id="116" w:name="field_49_mintredeemscale_3"/>
      <w:r w:rsidR="00D82C15">
        <w:rPr>
          <w:sz w:val="21"/>
          <w:szCs w:val="21"/>
        </w:rPr>
        <w:t>20</w:t>
      </w:r>
      <w:bookmarkEnd w:id="116"/>
      <w:r w:rsidRPr="000073C0">
        <w:rPr>
          <w:rFonts w:hint="eastAsia"/>
          <w:sz w:val="21"/>
          <w:szCs w:val="21"/>
        </w:rPr>
        <w:t>%的情况下，基金管理人可以根据第（1）项办理，亦可在对符合法律法规及基金合同的赎回申请全部接受和确认并当日按比例办理支付的赎回份额不得低于前一工作日基金总份额的</w:t>
      </w:r>
      <w:bookmarkStart w:id="117" w:name="field_49_mintredeemscale_4"/>
      <w:r w:rsidR="00D82C15">
        <w:rPr>
          <w:sz w:val="21"/>
          <w:szCs w:val="21"/>
        </w:rPr>
        <w:t>20</w:t>
      </w:r>
      <w:bookmarkEnd w:id="117"/>
      <w:r w:rsidRPr="000073C0">
        <w:rPr>
          <w:rFonts w:hint="eastAsia"/>
          <w:sz w:val="21"/>
          <w:szCs w:val="21"/>
        </w:rPr>
        <w:t xml:space="preserve">%的基础上，其余赎回申请采取延缓支付赎回款项的措施。但对于已接受的赎回申请，如基金管理人认为全额支付投资人的赎回款项有困难或认为全额支付投资人的赎回款项可能会对基金的资产净值造成较大波动的，基金管理人可对赎回款项进行延缓支付，但不得超过20 个工作日。延缓支付的赎回申请以赎回申请当日的基金份额净值为基础计算赎回金额。 如基金管理人无法在20个工作日内支付上述未支付部分的赎回款项，或基金管理人认为在变现过程中由于存在明显损害其他基金份额持有人利益的情形，基金管理人可不经基金份额持有人大会决议，经与基金托管人协商一致，并报中国证监会备案后，终止《基金合同》。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（3）延期办理：开放期内，如果发生巨额赎回且单一持有人赎回申请超过上一工作日基金总份额</w:t>
      </w:r>
      <w:bookmarkStart w:id="118" w:name="field_49_mintredeemscale_5"/>
      <w:r w:rsidR="00D82C15">
        <w:rPr>
          <w:sz w:val="21"/>
          <w:szCs w:val="21"/>
        </w:rPr>
        <w:t>20</w:t>
      </w:r>
      <w:bookmarkEnd w:id="118"/>
      <w:r w:rsidRPr="000073C0">
        <w:rPr>
          <w:rFonts w:hint="eastAsia"/>
          <w:sz w:val="21"/>
          <w:szCs w:val="21"/>
        </w:rPr>
        <w:t>%的情况下，基金管理人可以延期办理赎回申请。在上述情况下，对于单个基金份额持有人当日赎回申请超过上一工作日基金总份额</w:t>
      </w:r>
      <w:bookmarkStart w:id="119" w:name="field_49_mintredeemscale_6"/>
      <w:r w:rsidR="00D82C15">
        <w:rPr>
          <w:sz w:val="21"/>
          <w:szCs w:val="21"/>
        </w:rPr>
        <w:t>20</w:t>
      </w:r>
      <w:bookmarkEnd w:id="119"/>
      <w:r w:rsidRPr="000073C0">
        <w:rPr>
          <w:rFonts w:hint="eastAsia"/>
          <w:sz w:val="21"/>
          <w:szCs w:val="21"/>
        </w:rPr>
        <w:t>%的部分，基金管理人可以进行延期办理。对于此类持有人剩余部分赎回申请以及其他持有人的赎回申请，应当按上述第（1）、（2）项规则办理。对于上述持有人被延期办理的部分，如投资人在提交赎回申请时选择取消赎回的，当日未获办理部分将被撤销；如投资人在提交赎回申请时选择延期赎回或未作明确选择的，将自动转入下一个开放日继续赎回直至办理完毕，因此导致延期办理期限超过开放期的，基金管理人在开放期外为基金份额持有人继续办理赎回申请，开放期间外延期办理的期限最长不可超过20个工作日，开放期外延期办理期间不办理申购亦不接受新的赎回申请。延期的赎回申请无优先权并以下一工作日的基金份额净值为基础计算赎回金额，以此类</w:t>
      </w:r>
      <w:r w:rsidRPr="000073C0">
        <w:rPr>
          <w:rFonts w:hint="eastAsia"/>
          <w:sz w:val="21"/>
          <w:szCs w:val="21"/>
        </w:rPr>
        <w:lastRenderedPageBreak/>
        <w:t xml:space="preserve">推。部分延期赎回不受单笔赎回最低份额的限制。延长期限的最后一个工作日，尚未办理完的赎回申请，基金管理人应按上述第（1）项规则办理。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3、巨额赎回的公告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当发生巨额赎回并延缓支付或延期办理时，基金管理人应当通过邮寄、传真或者招募说明书规定的其他方式在3个交易日内通知基金份额持有人，说明有关处理方法，并在2日内在指定媒介上刊登公告。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b/>
          <w:bCs/>
          <w:sz w:val="21"/>
          <w:szCs w:val="21"/>
        </w:rPr>
        <w:t>十三、暂停申购或赎回的公告和重新开放申购或赎回的公告</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1、发生上述暂停申购或赎回情况的，基金管理人应在规定期限内在指定媒介上刊登暂停公告。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 xml:space="preserve">2、上述暂停申购或赎回情况消除的，基金管理人应于重新开放日公布最近1个开放日的基金份额净值。 </w:t>
      </w:r>
    </w:p>
    <w:p w:rsidR="000073C0" w:rsidRPr="000073C0" w:rsidRDefault="000073C0">
      <w:pPr>
        <w:pStyle w:val="a3"/>
        <w:spacing w:before="0" w:beforeAutospacing="0" w:after="0" w:afterAutospacing="0" w:line="360" w:lineRule="auto"/>
        <w:ind w:firstLine="420"/>
        <w:divId w:val="612908077"/>
        <w:rPr>
          <w:sz w:val="21"/>
          <w:szCs w:val="21"/>
        </w:rPr>
      </w:pPr>
      <w:r w:rsidRPr="000073C0">
        <w:rPr>
          <w:rFonts w:hint="eastAsia"/>
          <w:sz w:val="21"/>
          <w:szCs w:val="21"/>
        </w:rPr>
        <w:t>3、基金管理人可以根据暂停申购或赎回的时间，依照《信息披露办法》的有关规定，最迟于重新开放日在指定媒介上刊登重新开放申购或赎回的公告；也可以根据实际情况在暂</w:t>
      </w:r>
      <w:bookmarkStart w:id="120" w:name="undefined"/>
      <w:bookmarkStart w:id="121" w:name="chapter_level1_12_59_section_3_end"/>
      <w:bookmarkEnd w:id="120"/>
      <w:bookmarkEnd w:id="121"/>
      <w:r w:rsidRPr="000073C0">
        <w:rPr>
          <w:rFonts w:hint="eastAsia"/>
          <w:sz w:val="21"/>
          <w:szCs w:val="21"/>
        </w:rPr>
        <w:t xml:space="preserve">停公告中明确重新开放申购或赎回的时间，届时不再另行发布重新开放的公告。 </w:t>
      </w:r>
    </w:p>
    <w:p w:rsidR="000073C0" w:rsidRPr="000073C0" w:rsidRDefault="000073C0">
      <w:pPr>
        <w:pStyle w:val="a3"/>
        <w:spacing w:before="0" w:beforeAutospacing="0" w:after="0" w:afterAutospacing="0" w:line="360" w:lineRule="auto"/>
        <w:ind w:firstLine="420"/>
        <w:divId w:val="1157958256"/>
        <w:rPr>
          <w:sz w:val="21"/>
          <w:szCs w:val="21"/>
        </w:rPr>
      </w:pPr>
      <w:bookmarkStart w:id="122" w:name="chapter_level1_12_59_section_4"/>
      <w:bookmarkEnd w:id="122"/>
      <w:r w:rsidRPr="000073C0">
        <w:rPr>
          <w:rFonts w:hint="eastAsia"/>
          <w:b/>
          <w:bCs/>
          <w:sz w:val="21"/>
          <w:szCs w:val="21"/>
        </w:rPr>
        <w:t>十四、基金转换</w:t>
      </w:r>
    </w:p>
    <w:p w:rsidR="000073C0" w:rsidRPr="000073C0" w:rsidRDefault="000073C0">
      <w:pPr>
        <w:pStyle w:val="a3"/>
        <w:spacing w:before="0" w:beforeAutospacing="0" w:after="0" w:afterAutospacing="0" w:line="360" w:lineRule="auto"/>
        <w:ind w:firstLine="420"/>
        <w:divId w:val="1157958256"/>
        <w:rPr>
          <w:sz w:val="21"/>
          <w:szCs w:val="21"/>
        </w:rPr>
      </w:pPr>
      <w:r w:rsidRPr="000073C0">
        <w:rPr>
          <w:rFonts w:hint="eastAsia"/>
          <w:sz w:val="21"/>
          <w:szCs w:val="21"/>
        </w:rPr>
        <w:t>基金管理人可以根据相关法律法规以及基金合同的规定决定开办本基金与基金管理人管理的其他基金之间的转换业务，基金转换可以收取一定的转换费，相关规则由基金管理人</w:t>
      </w:r>
      <w:bookmarkStart w:id="123" w:name="chapter_level1_12_59_section_4_end"/>
      <w:bookmarkEnd w:id="123"/>
      <w:r w:rsidRPr="000073C0">
        <w:rPr>
          <w:rFonts w:hint="eastAsia"/>
          <w:sz w:val="21"/>
          <w:szCs w:val="21"/>
        </w:rPr>
        <w:t xml:space="preserve">届时根据相关法律法规及基金合同的规定制定并公告，并提前告知基金托管人与相关机构。 </w:t>
      </w:r>
    </w:p>
    <w:p w:rsidR="000073C0" w:rsidRPr="000073C0" w:rsidRDefault="000073C0">
      <w:pPr>
        <w:pStyle w:val="a3"/>
        <w:spacing w:before="0" w:beforeAutospacing="0" w:after="0" w:afterAutospacing="0" w:line="360" w:lineRule="auto"/>
        <w:ind w:firstLine="420"/>
        <w:divId w:val="2049405668"/>
        <w:rPr>
          <w:sz w:val="21"/>
          <w:szCs w:val="21"/>
        </w:rPr>
      </w:pPr>
      <w:bookmarkStart w:id="124" w:name="chapter_level1_12_59_section_5"/>
      <w:bookmarkEnd w:id="124"/>
      <w:r w:rsidRPr="000073C0">
        <w:rPr>
          <w:rStyle w:val="a4"/>
          <w:rFonts w:hint="eastAsia"/>
          <w:sz w:val="21"/>
          <w:szCs w:val="21"/>
        </w:rPr>
        <w:t>十五、基金的非交易过户</w:t>
      </w:r>
    </w:p>
    <w:p w:rsidR="000073C0" w:rsidRPr="000073C0" w:rsidRDefault="000073C0">
      <w:pPr>
        <w:pStyle w:val="a3"/>
        <w:spacing w:before="0" w:beforeAutospacing="0" w:after="0" w:afterAutospacing="0" w:line="360" w:lineRule="auto"/>
        <w:ind w:firstLine="420"/>
        <w:divId w:val="2049405668"/>
        <w:rPr>
          <w:sz w:val="21"/>
          <w:szCs w:val="21"/>
        </w:rPr>
      </w:pPr>
      <w:r w:rsidRPr="000073C0">
        <w:rPr>
          <w:rFonts w:hint="eastAsia"/>
          <w:sz w:val="21"/>
          <w:szCs w:val="21"/>
        </w:rPr>
        <w:t xml:space="preserve">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 </w:t>
      </w:r>
    </w:p>
    <w:p w:rsidR="000073C0" w:rsidRPr="000073C0" w:rsidRDefault="000073C0">
      <w:pPr>
        <w:pStyle w:val="a3"/>
        <w:spacing w:before="0" w:beforeAutospacing="0" w:after="0" w:afterAutospacing="0" w:line="360" w:lineRule="auto"/>
        <w:ind w:firstLine="420"/>
        <w:divId w:val="2049405668"/>
        <w:rPr>
          <w:sz w:val="21"/>
          <w:szCs w:val="21"/>
        </w:rPr>
      </w:pPr>
      <w:r w:rsidRPr="000073C0">
        <w:rPr>
          <w:rFonts w:hint="eastAsia"/>
          <w:sz w:val="21"/>
          <w:szCs w:val="21"/>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w:t>
      </w:r>
      <w:bookmarkStart w:id="125" w:name="chapter_level1_12_59_section_5_end"/>
      <w:bookmarkEnd w:id="125"/>
      <w:r w:rsidRPr="000073C0">
        <w:rPr>
          <w:rFonts w:hint="eastAsia"/>
          <w:sz w:val="21"/>
          <w:szCs w:val="21"/>
        </w:rPr>
        <w:t xml:space="preserve">的非交易过户申请按基金登记机构的规定办理，并按基金登记机构规定的标准收费。 </w:t>
      </w:r>
    </w:p>
    <w:p w:rsidR="000073C0" w:rsidRPr="000073C0" w:rsidRDefault="000073C0">
      <w:pPr>
        <w:pStyle w:val="a3"/>
        <w:spacing w:before="0" w:beforeAutospacing="0" w:after="0" w:afterAutospacing="0" w:line="360" w:lineRule="auto"/>
        <w:ind w:firstLine="420"/>
        <w:divId w:val="1790733165"/>
        <w:rPr>
          <w:sz w:val="21"/>
          <w:szCs w:val="21"/>
        </w:rPr>
      </w:pPr>
      <w:bookmarkStart w:id="126" w:name="chapter_level1_12_59_section_6"/>
      <w:bookmarkEnd w:id="126"/>
      <w:r w:rsidRPr="000073C0">
        <w:rPr>
          <w:rStyle w:val="a4"/>
          <w:rFonts w:hint="eastAsia"/>
          <w:sz w:val="21"/>
          <w:szCs w:val="21"/>
        </w:rPr>
        <w:t>十六、基金的转托管</w:t>
      </w:r>
    </w:p>
    <w:p w:rsidR="000073C0" w:rsidRPr="000073C0" w:rsidRDefault="000073C0">
      <w:pPr>
        <w:pStyle w:val="a3"/>
        <w:spacing w:before="0" w:beforeAutospacing="0" w:after="0" w:afterAutospacing="0" w:line="360" w:lineRule="auto"/>
        <w:ind w:firstLine="420"/>
        <w:divId w:val="1790733165"/>
        <w:rPr>
          <w:sz w:val="21"/>
          <w:szCs w:val="21"/>
        </w:rPr>
      </w:pPr>
      <w:r w:rsidRPr="000073C0">
        <w:rPr>
          <w:rFonts w:hint="eastAsia"/>
          <w:sz w:val="21"/>
          <w:szCs w:val="21"/>
        </w:rPr>
        <w:lastRenderedPageBreak/>
        <w:t>基金份额持有人可办理已持有基金份额在不同销售机构之间的转托管，基金销售机构可</w:t>
      </w:r>
      <w:bookmarkStart w:id="127" w:name="chapter_level1_12_59_section_6_end"/>
      <w:bookmarkEnd w:id="127"/>
      <w:r w:rsidRPr="000073C0">
        <w:rPr>
          <w:rFonts w:hint="eastAsia"/>
          <w:sz w:val="21"/>
          <w:szCs w:val="21"/>
        </w:rPr>
        <w:t xml:space="preserve">以按照规定的标准收取转托管费。 </w:t>
      </w:r>
    </w:p>
    <w:p w:rsidR="000073C0" w:rsidRPr="000073C0" w:rsidRDefault="000073C0">
      <w:pPr>
        <w:pStyle w:val="a3"/>
        <w:spacing w:before="0" w:beforeAutospacing="0" w:after="0" w:afterAutospacing="0" w:line="360" w:lineRule="auto"/>
        <w:ind w:firstLine="420"/>
        <w:divId w:val="1077290865"/>
        <w:rPr>
          <w:sz w:val="21"/>
          <w:szCs w:val="21"/>
        </w:rPr>
      </w:pPr>
      <w:bookmarkStart w:id="128" w:name="chapter_level1_12_59_section_7"/>
      <w:bookmarkEnd w:id="128"/>
      <w:r w:rsidRPr="000073C0">
        <w:rPr>
          <w:rStyle w:val="a4"/>
          <w:rFonts w:hint="eastAsia"/>
          <w:sz w:val="21"/>
          <w:szCs w:val="21"/>
        </w:rPr>
        <w:t>十七、基金的冻结和解冻</w:t>
      </w:r>
    </w:p>
    <w:p w:rsidR="000073C0" w:rsidRPr="000073C0" w:rsidRDefault="000073C0">
      <w:pPr>
        <w:pStyle w:val="a3"/>
        <w:spacing w:before="0" w:beforeAutospacing="0" w:after="0" w:afterAutospacing="0" w:line="360" w:lineRule="auto"/>
        <w:ind w:firstLine="420"/>
        <w:divId w:val="1077290865"/>
        <w:rPr>
          <w:sz w:val="21"/>
          <w:szCs w:val="21"/>
        </w:rPr>
      </w:pPr>
      <w:r w:rsidRPr="000073C0">
        <w:rPr>
          <w:rFonts w:hint="eastAsia"/>
          <w:sz w:val="21"/>
          <w:szCs w:val="21"/>
        </w:rPr>
        <w:t xml:space="preserve">基金登记机构只受理国家有权机关依法要求的基金份额的冻结与解冻，以及登记机构认可、符合法律法规的其他情况下的冻结与解冻。 </w:t>
      </w:r>
    </w:p>
    <w:p w:rsidR="000073C0" w:rsidRPr="000073C0" w:rsidRDefault="000073C0">
      <w:pPr>
        <w:pStyle w:val="a3"/>
        <w:spacing w:before="0" w:beforeAutospacing="0" w:after="0" w:afterAutospacing="0" w:line="360" w:lineRule="auto"/>
        <w:ind w:firstLine="420"/>
        <w:divId w:val="1077290865"/>
        <w:rPr>
          <w:sz w:val="21"/>
          <w:szCs w:val="21"/>
        </w:rPr>
      </w:pPr>
      <w:bookmarkStart w:id="129" w:name="chapter_level1_12_59_section_7_end"/>
      <w:bookmarkEnd w:id="129"/>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30" w:name="chapter_level1_13_60"/>
      <w:bookmarkStart w:id="131" w:name="_Toc50743131"/>
      <w:r w:rsidRPr="000073C0">
        <w:rPr>
          <w:rFonts w:ascii="宋体" w:eastAsia="宋体" w:hAnsi="宋体" w:hint="eastAsia"/>
          <w:sz w:val="30"/>
        </w:rPr>
        <w:lastRenderedPageBreak/>
        <w:t>第十部分  基金的投资</w:t>
      </w:r>
      <w:bookmarkEnd w:id="130"/>
      <w:bookmarkEnd w:id="131"/>
    </w:p>
    <w:p w:rsidR="000073C0" w:rsidRPr="000073C0" w:rsidRDefault="000073C0">
      <w:pPr>
        <w:pStyle w:val="a3"/>
        <w:spacing w:before="0" w:beforeAutospacing="0" w:after="0" w:afterAutospacing="0" w:line="360" w:lineRule="auto"/>
        <w:ind w:firstLine="420"/>
        <w:divId w:val="1391534783"/>
        <w:rPr>
          <w:sz w:val="21"/>
          <w:szCs w:val="21"/>
        </w:rPr>
      </w:pPr>
      <w:bookmarkStart w:id="132" w:name="chapter_level1_13_60_section_1"/>
      <w:bookmarkEnd w:id="132"/>
      <w:r w:rsidRPr="000073C0">
        <w:rPr>
          <w:rStyle w:val="a4"/>
          <w:rFonts w:hint="eastAsia"/>
          <w:sz w:val="21"/>
          <w:szCs w:val="21"/>
        </w:rPr>
        <w:t>一、投资目标</w:t>
      </w:r>
    </w:p>
    <w:p w:rsidR="000073C0" w:rsidRPr="000073C0" w:rsidRDefault="000073C0">
      <w:pPr>
        <w:pStyle w:val="a3"/>
        <w:spacing w:before="0" w:beforeAutospacing="0" w:after="0" w:afterAutospacing="0" w:line="360" w:lineRule="auto"/>
        <w:ind w:firstLine="420"/>
        <w:divId w:val="1391534783"/>
        <w:rPr>
          <w:sz w:val="21"/>
          <w:szCs w:val="21"/>
        </w:rPr>
      </w:pPr>
      <w:bookmarkStart w:id="133" w:name="field_60_investmenttarget_1_start"/>
      <w:bookmarkEnd w:id="133"/>
      <w:r w:rsidRPr="000073C0">
        <w:rPr>
          <w:rFonts w:hint="eastAsia"/>
          <w:sz w:val="21"/>
          <w:szCs w:val="21"/>
        </w:rPr>
        <w:t xml:space="preserve">在谨慎投资的前提下，本基金力争为投资人提供稳定的现金流收入，争取实现超过业绩比较基准的投资回报。 </w:t>
      </w:r>
      <w:bookmarkStart w:id="134" w:name="field_60_investmenttarget_1_end"/>
      <w:bookmarkEnd w:id="134"/>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Style w:val="a4"/>
          <w:rFonts w:hint="eastAsia"/>
          <w:sz w:val="21"/>
          <w:szCs w:val="21"/>
        </w:rPr>
        <w:t>二、投资范围</w:t>
      </w:r>
    </w:p>
    <w:p w:rsidR="000073C0" w:rsidRPr="000073C0" w:rsidRDefault="000073C0">
      <w:pPr>
        <w:pStyle w:val="a3"/>
        <w:spacing w:before="0" w:beforeAutospacing="0" w:after="0" w:afterAutospacing="0" w:line="360" w:lineRule="auto"/>
        <w:ind w:firstLine="420"/>
        <w:divId w:val="1391534783"/>
        <w:rPr>
          <w:sz w:val="21"/>
          <w:szCs w:val="21"/>
        </w:rPr>
      </w:pPr>
      <w:bookmarkStart w:id="135" w:name="field_60_investmentrange_1_start"/>
      <w:bookmarkEnd w:id="135"/>
      <w:r w:rsidRPr="000073C0">
        <w:rPr>
          <w:rFonts w:hint="eastAsia"/>
          <w:sz w:val="21"/>
          <w:szCs w:val="21"/>
        </w:rPr>
        <w:t xml:space="preserve">本基金的投资范围为具有良好流动性的金融工具，包括国内依法发行上市的国家债券、金融债券、次级债券、中央银行票据、企业债券、公司债券、中期票据、私募债券、短期融资券及超级短期融资券、可分离交易债券的纯债、资产支持证券、回购和银行定期存款等金融工具以及法律法规或中国证监会允许基金投资的其他固定收益类金融工具（但须符合中国证监会的相关规定）。其中，私募债券指中小企业私募债或其他相关主体非公开或定向发行的债券。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本基金不直接从二级市场买入股票、权证等权益类证券，不参与一级市场的新股申购或增发新股以及可分离交易债券（可分离交易债券的纯债部分除外），也不投资可转换债券。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本基金投资于债券资产比例不低于基金资产的80%，但在每次自由开放期前三个月、自由开放期及自由开放期结束后三个月的期间内，基金投资不受上述比例限制。自由开放期内现金或者到期日在一年以内的政府债券不低于基金资产净值的5%，在封闭期、自动赎回期和受限开放期内，本基金不受上述5%的限制。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如法律法规或监管机构以后允许基金投资商业票据或其他品种，基金管理人可以将其纳入投资范围。    </w:t>
      </w:r>
      <w:bookmarkStart w:id="136" w:name="field_60_investmentrange_1_end"/>
      <w:bookmarkEnd w:id="136"/>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Style w:val="a4"/>
          <w:rFonts w:hint="eastAsia"/>
          <w:sz w:val="21"/>
          <w:szCs w:val="21"/>
        </w:rPr>
        <w:t>三、投资策略</w:t>
      </w:r>
    </w:p>
    <w:p w:rsidR="000073C0" w:rsidRPr="000073C0" w:rsidRDefault="000073C0">
      <w:pPr>
        <w:pStyle w:val="a3"/>
        <w:spacing w:before="0" w:beforeAutospacing="0" w:after="0" w:afterAutospacing="0" w:line="360" w:lineRule="auto"/>
        <w:ind w:firstLine="420"/>
        <w:divId w:val="1391534783"/>
        <w:rPr>
          <w:sz w:val="21"/>
          <w:szCs w:val="21"/>
        </w:rPr>
      </w:pPr>
      <w:bookmarkStart w:id="137" w:name="field_60_investmentstrategy_1_start"/>
      <w:bookmarkEnd w:id="137"/>
      <w:r w:rsidRPr="000073C0">
        <w:rPr>
          <w:rFonts w:hint="eastAsia"/>
          <w:sz w:val="21"/>
          <w:szCs w:val="21"/>
        </w:rPr>
        <w:t xml:space="preserve">1、运作周期的投资策略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（1）资产配置策略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本基金为债券型基金，基金的投资范围为：国内依法发行上市的国家债券、金融债券、次级债券、中央银行票据、企业债券、公司债券、中期票据、私募债券、短期融资券及超级短期融资券、可分离交易债券的纯债、资产支持证券、回购和银行定期存款等金融工具以及法律法规或中国证监会允许基金投资的其他固定收益类金融工具（但须符合中国证监会的相关规定）。本基金不直接从二级市场买入股票等权益类资产和权证，不参与一级市场的新股</w:t>
      </w:r>
      <w:r w:rsidRPr="000073C0">
        <w:rPr>
          <w:rFonts w:hint="eastAsia"/>
          <w:sz w:val="21"/>
          <w:szCs w:val="21"/>
        </w:rPr>
        <w:lastRenderedPageBreak/>
        <w:t xml:space="preserve">申购或增发新股以及可分离交易债券（可分离交易债券的纯债部分除外），也不投资可转换债券。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在以上战略性资产配置的基础上，本基金通过自上而下和自下而上相结合、定性分析和定量分析相补充的方法，确定资产在非信用类固定收益类证券（国家债券、中央银行票据等）和信用类固定收益类证券之间的配置比例。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（2）固定收益类证券投资策略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本基金的主要投资策略是买入与封闭期相匹配的债券，并持有到期，或者是持有回售期与封闭期相匹配的债券，获得本金和票息收入；同时，根据所持债券信用状况变化，进行必要的动态调整；对于本基金投资的固定收益类证券，主要从四个层次进行独立、客观、综合的考量，以筛选出合适的投资标的。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第一，基于全部公开信息对已经上市或待上市债券的发行主体进行研究，内容主要涉及发行人的股东背景、行业地位及发展趋势、担保方式及担保资产、外部增信质量、自由现金流量动态、债务压力、再融资能力等，并从以上角度对发行主体进行精细化分析和归类，规避同一信用等级中外部评级偏高以及信用风险偏高的个券，甄选同一信用评级中内生资质及外部增信好的个券，纳入债券池。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第二，使用基金管理人内部的信用评估体系对备选个券进行评分，着重考察发行人的偿债能力、现金管理能力、盈利能力三个核心要素。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第三，对市场同类可比债券、信用收益率曲线、市场交易活跃度、机构需求进行偏好分析，对个券进行流动性风险、信用风险的综合定价，判断其合理估值水平。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第四，根据市场结构与需求特征，在前三个层次的分析基础上，对个券进行深入的跟踪分析，发掘其中被市场低估的品种，在控制流动性风险的前提下，对低估品种进行择机配置和交易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（3）杠杆投资策略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本基金通过正回购，融资买入债券，通过杠杆作用，力争为投资者实现更高的投资收益和现金流收入。本基金将在谨慎投资的前提下运用融资杠杆，严格控制融资杠杆的风险，本基金基金总资产和基金净资产的比例不超过200%。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（4）中小企业私募债的投资策略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针对中小企业私募债券，本基金以持有到期，获得本金和票息收入为主要投资策略，同时，密切关注债券的信用风险变化，力争在控制风险的前提下，获得较高收益。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lastRenderedPageBreak/>
        <w:t xml:space="preserve">2、自由开放期投资策略 </w:t>
      </w:r>
    </w:p>
    <w:p w:rsidR="000073C0" w:rsidRPr="000073C0" w:rsidRDefault="000073C0">
      <w:pPr>
        <w:pStyle w:val="a3"/>
        <w:spacing w:before="0" w:beforeAutospacing="0" w:after="0" w:afterAutospacing="0" w:line="360" w:lineRule="auto"/>
        <w:ind w:firstLine="420"/>
        <w:divId w:val="1391534783"/>
        <w:rPr>
          <w:sz w:val="21"/>
          <w:szCs w:val="21"/>
        </w:rPr>
      </w:pPr>
      <w:r w:rsidRPr="000073C0">
        <w:rPr>
          <w:rFonts w:hint="eastAsia"/>
          <w:sz w:val="21"/>
          <w:szCs w:val="21"/>
        </w:rPr>
        <w:t xml:space="preserve">自由开放期内，本基金为保持较高的组合流动性，方便投资人安排投资，在遵守本基金有关投资限制与投资比例的前提下，将主要投资于高流动性的投资品种。 </w:t>
      </w:r>
      <w:bookmarkStart w:id="138" w:name="field_60_investmentstrategy_1_end"/>
      <w:bookmarkEnd w:id="138"/>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2137023927"/>
        <w:rPr>
          <w:sz w:val="21"/>
          <w:szCs w:val="21"/>
        </w:rPr>
      </w:pPr>
      <w:bookmarkStart w:id="139" w:name="chapter_level1_13_60_section_1_end"/>
      <w:bookmarkStart w:id="140" w:name="chapter_level1_13_60_section_2"/>
      <w:bookmarkEnd w:id="139"/>
      <w:bookmarkEnd w:id="140"/>
      <w:r w:rsidRPr="000073C0">
        <w:rPr>
          <w:rFonts w:hint="eastAsia"/>
          <w:b/>
          <w:bCs/>
          <w:sz w:val="21"/>
          <w:szCs w:val="21"/>
        </w:rPr>
        <w:t>四、投资决策流程</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投资决策委员会是本基金的最高决策机构，定期或遇重大事件时就投资管理业务的重大问题进行讨论，并对本基金投资做方向性指导。基金经理、研究员、交易员等各司其责，相互制衡。具体的投资流程为：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1、投资决策委员会定期召开会议，确定本基金的总投资思路和投资原则；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2、宏观策略部基于自上而下的研究为本基金提供总的资产配置建议；研究部行业研究员为行业研究与分析提供支持；固定收益部数量及信用分析员为固定收益类投资决策提供依据；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3、股票投资部、固定收益部定期召开投资例会，根据投资决策委员会的决定，结合市场和个券的变化，制定具体的投资策略；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4、基金经理依据投委会的决定，参考研究员的投资建议，结合风险控制和业绩评估的反馈意见，根据市场情况，制定并实施具体的投资组合方案；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5、基金经理向交易员下达指令，交易员执行后向基金经理反馈；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6、监察法律部对投资的全过程进行合规风险监控；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7、风险管理部通过行使风险管理职能，测算、分析和监控投资风险,根据风险限额管理政策防范超预期风险；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8、风险管理部对基金投资进行风险调整业绩评估，定期与基金经理讨论收益和风险预算。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b/>
          <w:bCs/>
          <w:sz w:val="21"/>
          <w:szCs w:val="21"/>
        </w:rPr>
        <w:t>五、投资限制</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1、组合限制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基金的投资组合应遵循以下限制：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本基金投资于债券资产比例不低于基金资产的80%，本基金投资于中小企业私募债券比例合计不高于基金资产的30%，但在每次自由开放期前三个月、自由开放期及自由开放期结束后三个月的期间内，基金投资不受上述比例限制；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lastRenderedPageBreak/>
        <w:t xml:space="preserve">（2）自由开放期内保持不低于基金资产净值5％的现金或者到期日在一年以内的政府债券，在自动赎回期、受限开放期和封闭期内，本基金不受上述5%的限制；其中，现金不包括结算备付金、存出保证金、应收申购款等；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（3）本基金管理人管理的全部基金持有一家公司发行的证券，不超过该证券的10％；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（4）本基金投资于同一原始权益人的各类资产支持证券的比例，不得超过基金资产净值的10％；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（5）本基金持有的全部资产支持证券，其市值不得超过基金资产净值的20％；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（6）本基金持有的同一（指同一信用级别）资产支持证券的比例，不得超过该资产支持证券规模的10％；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（7）本基金管理人管理的全部基金投资于同一原始权益人的各类资产支持证券，不得超过其各类资产支持证券合计规模的10％；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（8）本基金应投资于信用级别评级为BBB以上（含BBB）的资产支持证券。基金持有资产支持证券期间，如果其信用等级下降、不再符合投资标准，应在评级报告发布之日起3个月内予以全部卖出；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（9）本基金进入全国银行间同业市场进行债券回购的资金余额不得超过基金资产净值的40%；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（10）本基金持有单只中小企业私募债券，其市值不得超过本基金资产净值的10%；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（11）本基金投资中小企业私募债券的剩余期限，不得超过本基金运作周期的剩余期限；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（12）本基金基金总资产和基金净资产的比例不超过200%；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（13）开放期内，本基金主动投资于流动性受限资产的市值合计不得超过基金资产净值的15%。封闭期不受此限；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因证券市场波动、基金规模变动等基金管理人之外的因素致使基金不符合前款所规定比例限制的，基金管理人不得主动新增流动性受限资产的投资；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（14）本基金与私募类证券资管产品及中国证监会认定的其他主体为交易对手开展逆回购交易的，可接受质押品的资质要求应当与基金合同约定的投资范围保持一致；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（15）法律法规及中国证监会规定的和《基金合同》约定的其他投资限制。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除（2）、（8）、（13）、（14）外，因证券市场波动、证券发行人合并、基金规模变动等基金管理人之外的因素致使基金投资比例不符合上述规定投资比例的，基金管理人应当在10个交易日内进行调整。法律法规另有规定的，从其规定。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lastRenderedPageBreak/>
        <w:t xml:space="preserve">基金管理人应当自基金合同生效之日起6个月内使基金的投资组合比例符合基金合同的有关约定。基金托管人对基金的投资的监督与检查自基金合同生效之日起开始。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如果法律法规对上述投资组合比例限制进行变更的，以变更后的规定为准。法律法规或监管部门取消上述限制，如适用于本基金，基金管理人在履行适当程序后，则本基金投资不再受相关限制。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2、禁止行为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为维护基金份额持有人的合法权益，基金财产不得用于下列投资或者活动：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（1）承销证券；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（2）向他人贷款或者提供担保；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（3）从事承担无限责任的投资；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（4）买卖其他基金份额，但是国务院另有规定的除外；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（5）向其基金管理人、基金托管人出资或者买卖其基金管理人、基金托管人发行的股票或者债券；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（6）买卖与其基金管理人、基金托管人有控股关系的股东或者与其基金管理人、基金托管人有其他重大利害关系的公司发行的证券或者承销期内承销的证券；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（7）从事内幕交易、操纵证券交易价格及其他不正当的证券交易活动；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（8）依照法律法规有关规定，由中国证监会规定禁止的其他活动。 </w:t>
      </w:r>
    </w:p>
    <w:p w:rsidR="000073C0" w:rsidRPr="000073C0" w:rsidRDefault="000073C0">
      <w:pPr>
        <w:pStyle w:val="a3"/>
        <w:spacing w:before="0" w:beforeAutospacing="0" w:after="0" w:afterAutospacing="0" w:line="360" w:lineRule="auto"/>
        <w:ind w:firstLine="420"/>
        <w:divId w:val="2137023927"/>
        <w:rPr>
          <w:sz w:val="21"/>
          <w:szCs w:val="21"/>
        </w:rPr>
      </w:pPr>
      <w:r w:rsidRPr="000073C0">
        <w:rPr>
          <w:rFonts w:hint="eastAsia"/>
          <w:sz w:val="21"/>
          <w:szCs w:val="21"/>
        </w:rPr>
        <w:t xml:space="preserve">法律法规或监管部门取消上述限制，如适用于本基金，则本基金投资不再受相关限制。 </w:t>
      </w:r>
    </w:p>
    <w:p w:rsidR="000073C0" w:rsidRPr="000073C0" w:rsidRDefault="000073C0">
      <w:pPr>
        <w:pStyle w:val="a3"/>
        <w:spacing w:before="0" w:beforeAutospacing="0" w:after="0" w:afterAutospacing="0" w:line="360" w:lineRule="auto"/>
        <w:ind w:firstLine="420"/>
        <w:divId w:val="2137023927"/>
        <w:rPr>
          <w:sz w:val="21"/>
          <w:szCs w:val="21"/>
        </w:rPr>
      </w:pPr>
      <w:bookmarkStart w:id="141" w:name="chapter_level1_13_60_section_2_end"/>
      <w:bookmarkEnd w:id="141"/>
      <w:r w:rsidRPr="000073C0">
        <w:rPr>
          <w:rFonts w:hint="eastAsia"/>
          <w:b/>
          <w:bCs/>
          <w:sz w:val="21"/>
          <w:szCs w:val="21"/>
        </w:rPr>
        <w:t>六、业绩比较基准</w:t>
      </w:r>
    </w:p>
    <w:p w:rsidR="000073C0" w:rsidRPr="000073C0" w:rsidRDefault="000073C0">
      <w:pPr>
        <w:pStyle w:val="a3"/>
        <w:spacing w:before="0" w:beforeAutospacing="0" w:after="0" w:afterAutospacing="0" w:line="360" w:lineRule="auto"/>
        <w:ind w:firstLine="420"/>
        <w:divId w:val="73668861"/>
        <w:rPr>
          <w:sz w:val="21"/>
          <w:szCs w:val="21"/>
        </w:rPr>
      </w:pPr>
      <w:bookmarkStart w:id="142" w:name="chapter_level1_13_60_section_3"/>
      <w:bookmarkEnd w:id="142"/>
      <w:r w:rsidRPr="000073C0">
        <w:rPr>
          <w:rFonts w:hint="eastAsia"/>
          <w:sz w:val="21"/>
          <w:szCs w:val="21"/>
        </w:rPr>
        <w:t xml:space="preserve">本基金的业绩比较基准为：3年期定期存款利率（税后）。每个运作周期首日，3年期定期存款利率根据当日中国人民银行公布并执行的利率水平调整。  </w:t>
      </w:r>
    </w:p>
    <w:p w:rsidR="000073C0" w:rsidRPr="000073C0" w:rsidRDefault="000073C0">
      <w:pPr>
        <w:pStyle w:val="a3"/>
        <w:spacing w:before="0" w:beforeAutospacing="0" w:after="0" w:afterAutospacing="0" w:line="360" w:lineRule="auto"/>
        <w:ind w:firstLine="420"/>
        <w:divId w:val="73668861"/>
        <w:rPr>
          <w:sz w:val="21"/>
          <w:szCs w:val="21"/>
        </w:rPr>
      </w:pPr>
      <w:r w:rsidRPr="000073C0">
        <w:rPr>
          <w:rFonts w:hint="eastAsia"/>
          <w:sz w:val="21"/>
          <w:szCs w:val="21"/>
        </w:rPr>
        <w:t xml:space="preserve">本基金选择3年期定期存款利率（税后）作为业绩比较基准主要考虑如下： </w:t>
      </w:r>
    </w:p>
    <w:p w:rsidR="000073C0" w:rsidRPr="000073C0" w:rsidRDefault="000073C0">
      <w:pPr>
        <w:pStyle w:val="a3"/>
        <w:spacing w:before="0" w:beforeAutospacing="0" w:after="0" w:afterAutospacing="0" w:line="360" w:lineRule="auto"/>
        <w:ind w:firstLine="420"/>
        <w:divId w:val="73668861"/>
        <w:rPr>
          <w:sz w:val="21"/>
          <w:szCs w:val="21"/>
        </w:rPr>
      </w:pPr>
      <w:r w:rsidRPr="000073C0">
        <w:rPr>
          <w:rFonts w:hint="eastAsia"/>
          <w:sz w:val="21"/>
          <w:szCs w:val="21"/>
        </w:rPr>
        <w:t xml:space="preserve">1、本基金是债券型基金，主要以持有到期策略投资于各类固定收益类金融工具，以3年期定期存款利率（税后）作为业绩比较基准，符合本基金的风险收益特征。 </w:t>
      </w:r>
    </w:p>
    <w:p w:rsidR="000073C0" w:rsidRPr="000073C0" w:rsidRDefault="000073C0">
      <w:pPr>
        <w:pStyle w:val="a3"/>
        <w:spacing w:before="0" w:beforeAutospacing="0" w:after="0" w:afterAutospacing="0" w:line="360" w:lineRule="auto"/>
        <w:ind w:firstLine="420"/>
        <w:divId w:val="73668861"/>
        <w:rPr>
          <w:sz w:val="21"/>
          <w:szCs w:val="21"/>
        </w:rPr>
      </w:pPr>
      <w:r w:rsidRPr="000073C0">
        <w:rPr>
          <w:rFonts w:hint="eastAsia"/>
          <w:sz w:val="21"/>
          <w:szCs w:val="21"/>
        </w:rPr>
        <w:t xml:space="preserve">2、业绩比较基准中的“3年期定期存款利率”，与本基金运作周期的时间一致。 </w:t>
      </w:r>
    </w:p>
    <w:p w:rsidR="000073C0" w:rsidRPr="000073C0" w:rsidRDefault="000073C0">
      <w:pPr>
        <w:pStyle w:val="a3"/>
        <w:spacing w:before="0" w:beforeAutospacing="0" w:after="0" w:afterAutospacing="0" w:line="360" w:lineRule="auto"/>
        <w:ind w:firstLine="420"/>
        <w:divId w:val="73668861"/>
        <w:rPr>
          <w:sz w:val="21"/>
          <w:szCs w:val="21"/>
        </w:rPr>
      </w:pPr>
      <w:r w:rsidRPr="000073C0">
        <w:rPr>
          <w:rFonts w:hint="eastAsia"/>
          <w:sz w:val="21"/>
          <w:szCs w:val="21"/>
        </w:rPr>
        <w:t xml:space="preserve">3、本基金以实现稳定的现金流入和资产的保值增值为投资目标，采用与运作周期时间长度相同的定期存款利率的一定倍数作为业绩比较基准与本基金的投资目标一致。 </w:t>
      </w:r>
    </w:p>
    <w:p w:rsidR="000073C0" w:rsidRPr="000073C0" w:rsidRDefault="000073C0">
      <w:pPr>
        <w:pStyle w:val="a3"/>
        <w:spacing w:before="0" w:beforeAutospacing="0" w:after="0" w:afterAutospacing="0" w:line="360" w:lineRule="auto"/>
        <w:ind w:firstLine="420"/>
        <w:divId w:val="73668861"/>
        <w:rPr>
          <w:sz w:val="21"/>
          <w:szCs w:val="21"/>
        </w:rPr>
      </w:pPr>
      <w:r w:rsidRPr="000073C0">
        <w:rPr>
          <w:rFonts w:hint="eastAsia"/>
          <w:sz w:val="21"/>
          <w:szCs w:val="21"/>
        </w:rPr>
        <w:t xml:space="preserve">综上所述，选择3年期定期存款利率（税后）作为本基金的业绩比较基准，能比较贴切体现和衡量本基金的投资周期、投资目标、投资策略以及投资业绩。 </w:t>
      </w:r>
    </w:p>
    <w:p w:rsidR="000073C0" w:rsidRPr="000073C0" w:rsidRDefault="000073C0">
      <w:pPr>
        <w:pStyle w:val="a3"/>
        <w:spacing w:before="0" w:beforeAutospacing="0" w:after="0" w:afterAutospacing="0" w:line="360" w:lineRule="auto"/>
        <w:ind w:firstLine="420"/>
        <w:divId w:val="73668861"/>
        <w:rPr>
          <w:sz w:val="21"/>
          <w:szCs w:val="21"/>
        </w:rPr>
      </w:pPr>
      <w:r w:rsidRPr="000073C0">
        <w:rPr>
          <w:rFonts w:hint="eastAsia"/>
          <w:sz w:val="21"/>
          <w:szCs w:val="21"/>
        </w:rPr>
        <w:lastRenderedPageBreak/>
        <w:t>如果今后法律法规发生变化，或者有更权威的、更能为市场普遍接受的业绩比较基准推出，或者是市场上出现更加适合用于本基金的业绩基准的指数时，本基金管理人在与基金托管人协商一致，本基金管理人可以在报中国证监会备案后调整或变更业绩比较基准并及时公</w:t>
      </w:r>
      <w:bookmarkStart w:id="143" w:name="chapter_level1_13_60_section_3_end"/>
      <w:bookmarkEnd w:id="143"/>
      <w:r w:rsidRPr="000073C0">
        <w:rPr>
          <w:rFonts w:hint="eastAsia"/>
          <w:sz w:val="21"/>
          <w:szCs w:val="21"/>
        </w:rPr>
        <w:t xml:space="preserve">告，而无须召开基金份额持有人大会。 </w:t>
      </w:r>
    </w:p>
    <w:p w:rsidR="000073C0" w:rsidRPr="000073C0" w:rsidRDefault="000073C0">
      <w:pPr>
        <w:pStyle w:val="a3"/>
        <w:spacing w:before="0" w:beforeAutospacing="0" w:after="0" w:afterAutospacing="0" w:line="360" w:lineRule="auto"/>
        <w:ind w:firstLine="420"/>
        <w:divId w:val="487981147"/>
        <w:rPr>
          <w:sz w:val="21"/>
          <w:szCs w:val="21"/>
        </w:rPr>
      </w:pPr>
      <w:bookmarkStart w:id="144" w:name="chapter_level1_13_60_section_4"/>
      <w:bookmarkEnd w:id="144"/>
      <w:r w:rsidRPr="000073C0">
        <w:rPr>
          <w:rStyle w:val="a4"/>
          <w:rFonts w:hint="eastAsia"/>
          <w:sz w:val="21"/>
          <w:szCs w:val="21"/>
        </w:rPr>
        <w:t>七、风险收益特征</w:t>
      </w:r>
    </w:p>
    <w:p w:rsidR="000073C0" w:rsidRPr="000073C0" w:rsidRDefault="000073C0">
      <w:pPr>
        <w:pStyle w:val="a3"/>
        <w:spacing w:before="0" w:beforeAutospacing="0" w:after="0" w:afterAutospacing="0" w:line="360" w:lineRule="auto"/>
        <w:ind w:firstLine="420"/>
        <w:divId w:val="487981147"/>
        <w:rPr>
          <w:sz w:val="21"/>
          <w:szCs w:val="21"/>
        </w:rPr>
      </w:pPr>
      <w:bookmarkStart w:id="145" w:name="field_60_riskyield_1_start"/>
      <w:bookmarkEnd w:id="145"/>
      <w:r w:rsidRPr="000073C0">
        <w:rPr>
          <w:rFonts w:hint="eastAsia"/>
          <w:sz w:val="21"/>
          <w:szCs w:val="21"/>
        </w:rPr>
        <w:t xml:space="preserve">本基金为债券型基金，预期收益和预期风险高于货币市场基金，低于混合型基金、股票型基金，属于中低风险/收益的产品。  </w:t>
      </w:r>
      <w:bookmarkStart w:id="146" w:name="field_60_riskyield_1_end"/>
      <w:bookmarkEnd w:id="146"/>
      <w:r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487981147"/>
        <w:rPr>
          <w:sz w:val="21"/>
          <w:szCs w:val="21"/>
        </w:rPr>
      </w:pPr>
      <w:r w:rsidRPr="000073C0">
        <w:rPr>
          <w:rStyle w:val="a4"/>
          <w:rFonts w:hint="eastAsia"/>
          <w:sz w:val="21"/>
          <w:szCs w:val="21"/>
        </w:rPr>
        <w:t>八、基金管理人代表基金行使债权人权利的处理原则及方法</w:t>
      </w:r>
    </w:p>
    <w:p w:rsidR="000073C0" w:rsidRPr="000073C0" w:rsidRDefault="000073C0">
      <w:pPr>
        <w:pStyle w:val="a3"/>
        <w:spacing w:before="0" w:beforeAutospacing="0" w:after="0" w:afterAutospacing="0" w:line="360" w:lineRule="auto"/>
        <w:ind w:firstLine="420"/>
        <w:divId w:val="487981147"/>
        <w:rPr>
          <w:sz w:val="21"/>
          <w:szCs w:val="21"/>
        </w:rPr>
      </w:pPr>
      <w:r w:rsidRPr="000073C0">
        <w:rPr>
          <w:rFonts w:hint="eastAsia"/>
          <w:sz w:val="21"/>
          <w:szCs w:val="21"/>
        </w:rPr>
        <w:t xml:space="preserve">1.基金管理人按照国家有关规定代表基金独立行使债权人权利，保护基金份额持有人的利益； </w:t>
      </w:r>
    </w:p>
    <w:p w:rsidR="000073C0" w:rsidRPr="000073C0" w:rsidRDefault="000073C0">
      <w:pPr>
        <w:pStyle w:val="a3"/>
        <w:spacing w:before="0" w:beforeAutospacing="0" w:after="0" w:afterAutospacing="0" w:line="360" w:lineRule="auto"/>
        <w:ind w:firstLine="420"/>
        <w:divId w:val="487981147"/>
        <w:rPr>
          <w:sz w:val="21"/>
          <w:szCs w:val="21"/>
        </w:rPr>
      </w:pPr>
      <w:r w:rsidRPr="000073C0">
        <w:rPr>
          <w:rFonts w:hint="eastAsia"/>
          <w:sz w:val="21"/>
          <w:szCs w:val="21"/>
        </w:rPr>
        <w:t xml:space="preserve">2.有利于基金财产的安全与增值； </w:t>
      </w:r>
    </w:p>
    <w:p w:rsidR="000073C0" w:rsidRPr="000073C0" w:rsidRDefault="000073C0">
      <w:pPr>
        <w:pStyle w:val="a3"/>
        <w:spacing w:before="0" w:beforeAutospacing="0" w:after="0" w:afterAutospacing="0" w:line="360" w:lineRule="auto"/>
        <w:ind w:firstLine="420"/>
        <w:divId w:val="487981147"/>
        <w:rPr>
          <w:sz w:val="21"/>
          <w:szCs w:val="21"/>
        </w:rPr>
      </w:pPr>
      <w:r w:rsidRPr="000073C0">
        <w:rPr>
          <w:rFonts w:hint="eastAsia"/>
          <w:sz w:val="21"/>
          <w:szCs w:val="21"/>
        </w:rPr>
        <w:t xml:space="preserve">3.不通过关联交易为自身、雇员、授权代理人或任何存在利害关系的第三人牟取任何不当利益。 </w:t>
      </w:r>
    </w:p>
    <w:p w:rsidR="000073C0" w:rsidRPr="000073C0" w:rsidRDefault="000073C0">
      <w:pPr>
        <w:pStyle w:val="a3"/>
        <w:spacing w:before="0" w:beforeAutospacing="0" w:after="0" w:afterAutospacing="0" w:line="360" w:lineRule="auto"/>
        <w:ind w:firstLine="420"/>
        <w:divId w:val="487981147"/>
        <w:rPr>
          <w:sz w:val="21"/>
          <w:szCs w:val="21"/>
        </w:rPr>
      </w:pPr>
      <w:r w:rsidRPr="000073C0">
        <w:rPr>
          <w:rStyle w:val="a4"/>
          <w:rFonts w:hint="eastAsia"/>
          <w:sz w:val="21"/>
          <w:szCs w:val="21"/>
        </w:rPr>
        <w:t>九、基金的融资、融券</w:t>
      </w:r>
    </w:p>
    <w:p w:rsidR="000073C0" w:rsidRPr="000073C0" w:rsidRDefault="000073C0">
      <w:pPr>
        <w:pStyle w:val="a3"/>
        <w:spacing w:before="0" w:beforeAutospacing="0" w:after="0" w:afterAutospacing="0" w:line="360" w:lineRule="auto"/>
        <w:ind w:firstLine="420"/>
        <w:divId w:val="487981147"/>
        <w:rPr>
          <w:sz w:val="21"/>
          <w:szCs w:val="21"/>
        </w:rPr>
      </w:pPr>
      <w:bookmarkStart w:id="147" w:name="chapter_level1_13_60_section_4_end"/>
      <w:bookmarkEnd w:id="147"/>
      <w:r w:rsidRPr="000073C0">
        <w:rPr>
          <w:rFonts w:hint="eastAsia"/>
          <w:sz w:val="21"/>
          <w:szCs w:val="21"/>
        </w:rPr>
        <w:t xml:space="preserve">本基金可以按照国家的有关规定进行融资、融券。 </w:t>
      </w:r>
    </w:p>
    <w:p w:rsidR="000073C0" w:rsidRPr="000073C0" w:rsidRDefault="000073C0">
      <w:pPr>
        <w:pStyle w:val="a3"/>
        <w:spacing w:before="0" w:beforeAutospacing="0" w:after="0" w:afterAutospacing="0" w:line="360" w:lineRule="auto"/>
        <w:ind w:firstLine="420"/>
        <w:divId w:val="1808425862"/>
        <w:rPr>
          <w:sz w:val="21"/>
          <w:szCs w:val="21"/>
        </w:rPr>
      </w:pPr>
      <w:bookmarkStart w:id="148" w:name="chapter_level1_13_60_section_5"/>
      <w:bookmarkStart w:id="149" w:name="chapter_level1_13_60_section_5_end"/>
      <w:bookmarkEnd w:id="148"/>
      <w:bookmarkEnd w:id="149"/>
      <w:r w:rsidRPr="000073C0">
        <w:rPr>
          <w:rStyle w:val="a4"/>
          <w:rFonts w:hint="eastAsia"/>
          <w:sz w:val="21"/>
          <w:szCs w:val="21"/>
        </w:rPr>
        <w:t>十、基金投资组合报告</w:t>
      </w:r>
    </w:p>
    <w:p w:rsidR="000073C0" w:rsidRPr="000073C0" w:rsidRDefault="000073C0">
      <w:pPr>
        <w:pStyle w:val="a3"/>
        <w:spacing w:before="0" w:beforeAutospacing="0" w:after="0" w:afterAutospacing="0" w:line="360" w:lineRule="auto"/>
        <w:ind w:firstLine="420"/>
        <w:divId w:val="813177192"/>
        <w:rPr>
          <w:sz w:val="21"/>
          <w:szCs w:val="21"/>
        </w:rPr>
      </w:pPr>
      <w:bookmarkStart w:id="150" w:name="chapter_level1_13_60_section_6"/>
      <w:bookmarkEnd w:id="150"/>
      <w:r w:rsidRPr="000073C0">
        <w:rPr>
          <w:rFonts w:hint="eastAsia"/>
          <w:sz w:val="21"/>
          <w:szCs w:val="21"/>
        </w:rPr>
        <w:t xml:space="preserve">基金管理人的董事会及董事保证本报告所载资料不存在虚假记载、误导性陈述或重大遗漏，并对其内容的真实性、准确性和完整性承担个别及连带责任。 </w:t>
      </w:r>
    </w:p>
    <w:p w:rsidR="000073C0" w:rsidRPr="000073C0" w:rsidRDefault="000073C0">
      <w:pPr>
        <w:pStyle w:val="a3"/>
        <w:spacing w:before="0" w:beforeAutospacing="0" w:after="0" w:afterAutospacing="0" w:line="360" w:lineRule="auto"/>
        <w:ind w:firstLine="420"/>
        <w:divId w:val="813177192"/>
        <w:rPr>
          <w:sz w:val="21"/>
          <w:szCs w:val="21"/>
        </w:rPr>
      </w:pPr>
      <w:r w:rsidRPr="000073C0">
        <w:rPr>
          <w:rFonts w:hint="eastAsia"/>
          <w:sz w:val="21"/>
          <w:szCs w:val="21"/>
        </w:rPr>
        <w:t xml:space="preserve">基金托管人根据基金合同规定，复核了本报告中的净值表现和投资组合报告等内容，保证复核内容不存在虚假记载、误导性陈述或者重大遗漏。 </w:t>
      </w:r>
    </w:p>
    <w:p w:rsidR="000073C0" w:rsidRPr="000073C0" w:rsidRDefault="000073C0">
      <w:pPr>
        <w:pStyle w:val="a3"/>
        <w:spacing w:before="0" w:beforeAutospacing="0" w:after="0" w:afterAutospacing="0" w:line="360" w:lineRule="auto"/>
        <w:ind w:firstLine="420"/>
        <w:divId w:val="813177192"/>
        <w:rPr>
          <w:sz w:val="21"/>
          <w:szCs w:val="21"/>
        </w:rPr>
      </w:pPr>
      <w:r w:rsidRPr="000073C0">
        <w:rPr>
          <w:rFonts w:hint="eastAsia"/>
          <w:sz w:val="21"/>
          <w:szCs w:val="21"/>
        </w:rPr>
        <w:t>本投资组合报告所载数据截至</w:t>
      </w:r>
      <w:bookmarkStart w:id="151" w:name="field_2343_financeendday_2"/>
      <w:r w:rsidR="00D82C15">
        <w:rPr>
          <w:sz w:val="21"/>
          <w:szCs w:val="21"/>
        </w:rPr>
        <w:t>2020年06月30日</w:t>
      </w:r>
      <w:bookmarkEnd w:id="151"/>
      <w:r w:rsidRPr="000073C0">
        <w:rPr>
          <w:rFonts w:hint="eastAsia"/>
          <w:sz w:val="21"/>
          <w:szCs w:val="21"/>
        </w:rPr>
        <w:t xml:space="preserve">。本报告财务数据未经审计师审计。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1 报告期末基金资产组合情况</w:t>
      </w:r>
    </w:p>
    <w:tbl>
      <w:tblPr>
        <w:tblStyle w:val="ac"/>
        <w:tblW w:w="5000" w:type="pct"/>
        <w:tblLook w:val="04A0" w:firstRow="1" w:lastRow="0" w:firstColumn="1" w:lastColumn="0" w:noHBand="0" w:noVBand="1"/>
      </w:tblPr>
      <w:tblGrid>
        <w:gridCol w:w="727"/>
        <w:gridCol w:w="3296"/>
        <w:gridCol w:w="2282"/>
        <w:gridCol w:w="2211"/>
      </w:tblGrid>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序号</w:t>
            </w:r>
          </w:p>
        </w:tc>
        <w:tc>
          <w:tcPr>
            <w:tcW w:w="442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项目</w:t>
            </w:r>
          </w:p>
        </w:tc>
        <w:tc>
          <w:tcPr>
            <w:tcW w:w="253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金额(元)</w:t>
            </w:r>
          </w:p>
        </w:tc>
        <w:tc>
          <w:tcPr>
            <w:tcW w:w="279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占基金总资产的比例(%)</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权益投资</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05536004"/>
        </w:trPr>
        <w:tc>
          <w:tcPr>
            <w:tcW w:w="855" w:type="dxa"/>
            <w:shd w:val="clear" w:color="auto" w:fill="auto"/>
            <w:vAlign w:val="center"/>
            <w:hideMark/>
          </w:tcPr>
          <w:p w:rsidR="000073C0" w:rsidRPr="000A34B8" w:rsidRDefault="000073C0">
            <w:pPr>
              <w:rPr>
                <w:rFonts w:ascii="宋体" w:eastAsia="宋体" w:hAnsi="宋体" w:cs="宋体"/>
                <w:szCs w:val="21"/>
              </w:rPr>
            </w:pP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其中：股票</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2</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基金投资</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3</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固定收益投资</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655,360,041.80</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95.66</w:t>
            </w:r>
          </w:p>
        </w:tc>
      </w:tr>
      <w:tr w:rsidR="000073C0" w:rsidRPr="000A34B8" w:rsidTr="00F628AC">
        <w:trPr>
          <w:divId w:val="1805536004"/>
        </w:trPr>
        <w:tc>
          <w:tcPr>
            <w:tcW w:w="855" w:type="dxa"/>
            <w:shd w:val="clear" w:color="auto" w:fill="auto"/>
            <w:vAlign w:val="center"/>
            <w:hideMark/>
          </w:tcPr>
          <w:p w:rsidR="000073C0" w:rsidRPr="000A34B8" w:rsidRDefault="000073C0">
            <w:pPr>
              <w:rPr>
                <w:rFonts w:ascii="宋体" w:eastAsia="宋体" w:hAnsi="宋体" w:cs="宋体"/>
                <w:szCs w:val="21"/>
              </w:rPr>
            </w:pP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其中：债券</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610,169,041.80</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89.06</w:t>
            </w:r>
          </w:p>
        </w:tc>
      </w:tr>
      <w:tr w:rsidR="000073C0" w:rsidRPr="000A34B8" w:rsidTr="00F628AC">
        <w:trPr>
          <w:divId w:val="1805536004"/>
        </w:trPr>
        <w:tc>
          <w:tcPr>
            <w:tcW w:w="855" w:type="dxa"/>
            <w:shd w:val="clear" w:color="auto" w:fill="auto"/>
            <w:vAlign w:val="center"/>
            <w:hideMark/>
          </w:tcPr>
          <w:p w:rsidR="000073C0" w:rsidRPr="000A34B8" w:rsidRDefault="000073C0">
            <w:pPr>
              <w:rPr>
                <w:rFonts w:ascii="宋体" w:eastAsia="宋体" w:hAnsi="宋体" w:cs="宋体"/>
                <w:szCs w:val="21"/>
              </w:rPr>
            </w:pPr>
          </w:p>
        </w:tc>
        <w:tc>
          <w:tcPr>
            <w:tcW w:w="4425" w:type="dxa"/>
            <w:shd w:val="clear" w:color="auto" w:fill="auto"/>
            <w:vAlign w:val="center"/>
            <w:hideMark/>
          </w:tcPr>
          <w:p w:rsidR="000073C0" w:rsidRPr="000A34B8" w:rsidRDefault="000073C0">
            <w:pPr>
              <w:pStyle w:val="a3"/>
              <w:ind w:firstLine="626"/>
              <w:rPr>
                <w:sz w:val="21"/>
                <w:szCs w:val="21"/>
              </w:rPr>
            </w:pPr>
            <w:r w:rsidRPr="000A34B8">
              <w:rPr>
                <w:rFonts w:hint="eastAsia"/>
                <w:sz w:val="21"/>
                <w:szCs w:val="21"/>
              </w:rPr>
              <w:t>资产支持证券</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45,191,000.00</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6.60</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4</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贵金属投资</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5</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金融衍生品投资</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lastRenderedPageBreak/>
              <w:t>6</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买入返售金融资产</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05536004"/>
        </w:trPr>
        <w:tc>
          <w:tcPr>
            <w:tcW w:w="855" w:type="dxa"/>
            <w:shd w:val="clear" w:color="auto" w:fill="auto"/>
            <w:vAlign w:val="center"/>
            <w:hideMark/>
          </w:tcPr>
          <w:p w:rsidR="000073C0" w:rsidRPr="000A34B8" w:rsidRDefault="000073C0">
            <w:pPr>
              <w:rPr>
                <w:rFonts w:ascii="宋体" w:eastAsia="宋体" w:hAnsi="宋体" w:cs="宋体"/>
                <w:szCs w:val="21"/>
              </w:rPr>
            </w:pP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其中：买断式回购的买入返售金融资产</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7</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银行存款和结算备付金合计</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12,446,422.03</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1.82</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8</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其他各项资产</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17,297,714.62</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2.52</w:t>
            </w:r>
          </w:p>
        </w:tc>
      </w:tr>
      <w:tr w:rsidR="000073C0" w:rsidRPr="000A34B8" w:rsidTr="00F628AC">
        <w:trPr>
          <w:divId w:val="1805536004"/>
        </w:trPr>
        <w:tc>
          <w:tcPr>
            <w:tcW w:w="85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9</w:t>
            </w:r>
          </w:p>
        </w:tc>
        <w:tc>
          <w:tcPr>
            <w:tcW w:w="4425" w:type="dxa"/>
            <w:shd w:val="clear" w:color="auto" w:fill="auto"/>
            <w:vAlign w:val="center"/>
            <w:hideMark/>
          </w:tcPr>
          <w:p w:rsidR="000073C0" w:rsidRPr="000A34B8" w:rsidRDefault="000073C0">
            <w:pPr>
              <w:pStyle w:val="a3"/>
              <w:rPr>
                <w:sz w:val="21"/>
                <w:szCs w:val="21"/>
              </w:rPr>
            </w:pPr>
            <w:r w:rsidRPr="000A34B8">
              <w:rPr>
                <w:rFonts w:hint="eastAsia"/>
                <w:sz w:val="21"/>
                <w:szCs w:val="21"/>
              </w:rPr>
              <w:t>合计</w:t>
            </w:r>
          </w:p>
        </w:tc>
        <w:tc>
          <w:tcPr>
            <w:tcW w:w="253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685,104,178.45</w:t>
            </w:r>
          </w:p>
        </w:tc>
        <w:tc>
          <w:tcPr>
            <w:tcW w:w="279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100.00</w:t>
            </w:r>
          </w:p>
        </w:tc>
      </w:tr>
    </w:tbl>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2 报告期末按行业分类的股票投资组合</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本基金本报告期末未持有股票。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3 报告期末按公允价值占基金资产净值比例大小排序的前十名股票投资明细</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本基金本报告期末未持有股票。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4 报告期末按债券品种分类的债券投资组合</w:t>
      </w:r>
    </w:p>
    <w:tbl>
      <w:tblPr>
        <w:tblStyle w:val="ac"/>
        <w:tblW w:w="5000" w:type="pct"/>
        <w:tblLook w:val="04A0" w:firstRow="1" w:lastRow="0" w:firstColumn="1" w:lastColumn="0" w:noHBand="0" w:noVBand="1"/>
      </w:tblPr>
      <w:tblGrid>
        <w:gridCol w:w="685"/>
        <w:gridCol w:w="2376"/>
        <w:gridCol w:w="3174"/>
        <w:gridCol w:w="2281"/>
      </w:tblGrid>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序号</w:t>
            </w:r>
          </w:p>
        </w:tc>
        <w:tc>
          <w:tcPr>
            <w:tcW w:w="312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债券品种</w:t>
            </w:r>
          </w:p>
        </w:tc>
        <w:tc>
          <w:tcPr>
            <w:tcW w:w="381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公允价值(元)</w:t>
            </w:r>
          </w:p>
        </w:tc>
        <w:tc>
          <w:tcPr>
            <w:tcW w:w="28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占基金资产净值比例(％)</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国家债券</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2</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央行票据</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3</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金融债券</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rPr>
                <w:rFonts w:ascii="宋体" w:eastAsia="宋体" w:hAnsi="宋体" w:cs="宋体"/>
                <w:szCs w:val="21"/>
              </w:rPr>
            </w:pP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其中：政策性金融债</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4</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企业债券</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293,267,741.80</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68.85</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5</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企业短期融资券</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6</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中期票据</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316,901,300.00</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74.40</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7</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可转债（可交换债）</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8</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同业存单</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9</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其他</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844317713"/>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10</w:t>
            </w:r>
          </w:p>
        </w:tc>
        <w:tc>
          <w:tcPr>
            <w:tcW w:w="3120" w:type="dxa"/>
            <w:shd w:val="clear" w:color="auto" w:fill="auto"/>
            <w:vAlign w:val="center"/>
            <w:hideMark/>
          </w:tcPr>
          <w:p w:rsidR="000073C0" w:rsidRPr="000A34B8" w:rsidRDefault="000073C0">
            <w:pPr>
              <w:pStyle w:val="a3"/>
              <w:rPr>
                <w:sz w:val="21"/>
                <w:szCs w:val="21"/>
              </w:rPr>
            </w:pPr>
            <w:r w:rsidRPr="000A34B8">
              <w:rPr>
                <w:rFonts w:hint="eastAsia"/>
                <w:sz w:val="21"/>
                <w:szCs w:val="21"/>
              </w:rPr>
              <w:t>合计</w:t>
            </w:r>
          </w:p>
        </w:tc>
        <w:tc>
          <w:tcPr>
            <w:tcW w:w="38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610,169,041.80</w:t>
            </w:r>
          </w:p>
        </w:tc>
        <w:tc>
          <w:tcPr>
            <w:tcW w:w="289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143.24</w:t>
            </w:r>
          </w:p>
        </w:tc>
      </w:tr>
    </w:tbl>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5 报告期末按公允价值占基金资产净值比例大小排序的前五名债券投资明细</w:t>
      </w:r>
    </w:p>
    <w:tbl>
      <w:tblPr>
        <w:tblStyle w:val="ac"/>
        <w:tblW w:w="5000" w:type="pct"/>
        <w:tblLook w:val="04A0" w:firstRow="1" w:lastRow="0" w:firstColumn="1" w:lastColumn="0" w:noHBand="0" w:noVBand="1"/>
      </w:tblPr>
      <w:tblGrid>
        <w:gridCol w:w="642"/>
        <w:gridCol w:w="1463"/>
        <w:gridCol w:w="1970"/>
        <w:gridCol w:w="1218"/>
        <w:gridCol w:w="1953"/>
        <w:gridCol w:w="1270"/>
      </w:tblGrid>
      <w:tr w:rsidR="000073C0" w:rsidRPr="000A34B8" w:rsidTr="00F628AC">
        <w:trPr>
          <w:divId w:val="326637512"/>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序号</w:t>
            </w:r>
          </w:p>
        </w:tc>
        <w:tc>
          <w:tcPr>
            <w:tcW w:w="16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债券代码</w:t>
            </w:r>
          </w:p>
        </w:tc>
        <w:tc>
          <w:tcPr>
            <w:tcW w:w="277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债券名称</w:t>
            </w:r>
          </w:p>
        </w:tc>
        <w:tc>
          <w:tcPr>
            <w:tcW w:w="141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数量(张)</w:t>
            </w:r>
          </w:p>
        </w:tc>
        <w:tc>
          <w:tcPr>
            <w:tcW w:w="222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公允价值(元)</w:t>
            </w:r>
          </w:p>
        </w:tc>
        <w:tc>
          <w:tcPr>
            <w:tcW w:w="172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占基金资产净值比例(％)</w:t>
            </w:r>
          </w:p>
        </w:tc>
      </w:tr>
      <w:tr w:rsidR="000073C0" w:rsidRPr="000A34B8" w:rsidTr="00F628AC">
        <w:trPr>
          <w:divId w:val="326637512"/>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w:t>
            </w:r>
          </w:p>
        </w:tc>
        <w:tc>
          <w:tcPr>
            <w:tcW w:w="16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101901639</w:t>
            </w:r>
          </w:p>
        </w:tc>
        <w:tc>
          <w:tcPr>
            <w:tcW w:w="277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19天津环城MTN001</w:t>
            </w:r>
          </w:p>
        </w:tc>
        <w:tc>
          <w:tcPr>
            <w:tcW w:w="14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340,000</w:t>
            </w:r>
          </w:p>
        </w:tc>
        <w:tc>
          <w:tcPr>
            <w:tcW w:w="222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34,374,000.00</w:t>
            </w:r>
          </w:p>
        </w:tc>
        <w:tc>
          <w:tcPr>
            <w:tcW w:w="172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8.07</w:t>
            </w:r>
          </w:p>
        </w:tc>
      </w:tr>
      <w:tr w:rsidR="000073C0" w:rsidRPr="000A34B8" w:rsidTr="00F628AC">
        <w:trPr>
          <w:divId w:val="326637512"/>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2</w:t>
            </w:r>
          </w:p>
        </w:tc>
        <w:tc>
          <w:tcPr>
            <w:tcW w:w="16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152341</w:t>
            </w:r>
          </w:p>
        </w:tc>
        <w:tc>
          <w:tcPr>
            <w:tcW w:w="277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19赣城投</w:t>
            </w:r>
          </w:p>
        </w:tc>
        <w:tc>
          <w:tcPr>
            <w:tcW w:w="14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330,000</w:t>
            </w:r>
          </w:p>
        </w:tc>
        <w:tc>
          <w:tcPr>
            <w:tcW w:w="222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33,491,700.00</w:t>
            </w:r>
          </w:p>
        </w:tc>
        <w:tc>
          <w:tcPr>
            <w:tcW w:w="172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7.86</w:t>
            </w:r>
          </w:p>
        </w:tc>
      </w:tr>
      <w:tr w:rsidR="000073C0" w:rsidRPr="000A34B8" w:rsidTr="00F628AC">
        <w:trPr>
          <w:divId w:val="326637512"/>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3</w:t>
            </w:r>
          </w:p>
        </w:tc>
        <w:tc>
          <w:tcPr>
            <w:tcW w:w="16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101901699</w:t>
            </w:r>
          </w:p>
        </w:tc>
        <w:tc>
          <w:tcPr>
            <w:tcW w:w="277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19金霞经开MTN001</w:t>
            </w:r>
          </w:p>
        </w:tc>
        <w:tc>
          <w:tcPr>
            <w:tcW w:w="14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310,000</w:t>
            </w:r>
          </w:p>
        </w:tc>
        <w:tc>
          <w:tcPr>
            <w:tcW w:w="222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31,207,700.00</w:t>
            </w:r>
          </w:p>
        </w:tc>
        <w:tc>
          <w:tcPr>
            <w:tcW w:w="172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7.33</w:t>
            </w:r>
          </w:p>
        </w:tc>
      </w:tr>
      <w:tr w:rsidR="000073C0" w:rsidRPr="000A34B8" w:rsidTr="00F628AC">
        <w:trPr>
          <w:divId w:val="326637512"/>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4</w:t>
            </w:r>
          </w:p>
        </w:tc>
        <w:tc>
          <w:tcPr>
            <w:tcW w:w="16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101901719</w:t>
            </w:r>
          </w:p>
        </w:tc>
        <w:tc>
          <w:tcPr>
            <w:tcW w:w="277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19武清经开MTN002</w:t>
            </w:r>
          </w:p>
        </w:tc>
        <w:tc>
          <w:tcPr>
            <w:tcW w:w="14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300,000</w:t>
            </w:r>
          </w:p>
        </w:tc>
        <w:tc>
          <w:tcPr>
            <w:tcW w:w="222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31,089,000.00</w:t>
            </w:r>
          </w:p>
        </w:tc>
        <w:tc>
          <w:tcPr>
            <w:tcW w:w="172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7.30</w:t>
            </w:r>
          </w:p>
        </w:tc>
      </w:tr>
      <w:tr w:rsidR="000073C0" w:rsidRPr="000A34B8" w:rsidTr="00F628AC">
        <w:trPr>
          <w:divId w:val="326637512"/>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5</w:t>
            </w:r>
          </w:p>
        </w:tc>
        <w:tc>
          <w:tcPr>
            <w:tcW w:w="16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101901647</w:t>
            </w:r>
          </w:p>
        </w:tc>
        <w:tc>
          <w:tcPr>
            <w:tcW w:w="277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19赣州开投MTN001</w:t>
            </w:r>
          </w:p>
        </w:tc>
        <w:tc>
          <w:tcPr>
            <w:tcW w:w="141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300,000</w:t>
            </w:r>
          </w:p>
        </w:tc>
        <w:tc>
          <w:tcPr>
            <w:tcW w:w="2220"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30,687,000.00</w:t>
            </w:r>
          </w:p>
        </w:tc>
        <w:tc>
          <w:tcPr>
            <w:tcW w:w="1725" w:type="dxa"/>
            <w:shd w:val="clear" w:color="auto" w:fill="auto"/>
            <w:vAlign w:val="center"/>
            <w:hideMark/>
          </w:tcPr>
          <w:p w:rsidR="000073C0" w:rsidRPr="000A34B8" w:rsidRDefault="000073C0">
            <w:pPr>
              <w:pStyle w:val="a3"/>
              <w:jc w:val="right"/>
              <w:rPr>
                <w:sz w:val="21"/>
                <w:szCs w:val="21"/>
              </w:rPr>
            </w:pPr>
            <w:r w:rsidRPr="000A34B8">
              <w:rPr>
                <w:rFonts w:hint="eastAsia"/>
                <w:sz w:val="21"/>
                <w:szCs w:val="21"/>
              </w:rPr>
              <w:t>7.20</w:t>
            </w:r>
          </w:p>
        </w:tc>
      </w:tr>
    </w:tbl>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6报告期末按公允价值占基金资产净值比例大小排序的前十名资产支持证券投资明细</w:t>
      </w:r>
    </w:p>
    <w:tbl>
      <w:tblPr>
        <w:tblStyle w:val="ac"/>
        <w:tblW w:w="5000" w:type="pct"/>
        <w:tblLook w:val="04A0" w:firstRow="1" w:lastRow="0" w:firstColumn="1" w:lastColumn="0" w:noHBand="0" w:noVBand="1"/>
      </w:tblPr>
      <w:tblGrid>
        <w:gridCol w:w="652"/>
        <w:gridCol w:w="1359"/>
        <w:gridCol w:w="1520"/>
        <w:gridCol w:w="1705"/>
        <w:gridCol w:w="1974"/>
        <w:gridCol w:w="1306"/>
      </w:tblGrid>
      <w:tr w:rsidR="000073C0" w:rsidRPr="000A34B8" w:rsidTr="00F628AC">
        <w:trPr>
          <w:divId w:val="1924492212"/>
        </w:trPr>
        <w:tc>
          <w:tcPr>
            <w:tcW w:w="79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序号</w:t>
            </w:r>
          </w:p>
        </w:tc>
        <w:tc>
          <w:tcPr>
            <w:tcW w:w="16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证券代码</w:t>
            </w:r>
          </w:p>
        </w:tc>
        <w:tc>
          <w:tcPr>
            <w:tcW w:w="220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证券名称</w:t>
            </w:r>
          </w:p>
        </w:tc>
        <w:tc>
          <w:tcPr>
            <w:tcW w:w="198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数量(份)</w:t>
            </w:r>
          </w:p>
        </w:tc>
        <w:tc>
          <w:tcPr>
            <w:tcW w:w="2220"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公允价值(元)</w:t>
            </w:r>
          </w:p>
        </w:tc>
        <w:tc>
          <w:tcPr>
            <w:tcW w:w="1725" w:type="dxa"/>
            <w:shd w:val="clear" w:color="auto" w:fill="auto"/>
            <w:vAlign w:val="center"/>
            <w:hideMark/>
          </w:tcPr>
          <w:p w:rsidR="000073C0" w:rsidRPr="000A34B8" w:rsidRDefault="000073C0">
            <w:pPr>
              <w:pStyle w:val="a3"/>
              <w:jc w:val="center"/>
              <w:rPr>
                <w:sz w:val="21"/>
                <w:szCs w:val="21"/>
              </w:rPr>
            </w:pPr>
            <w:r w:rsidRPr="000A34B8">
              <w:rPr>
                <w:rFonts w:hint="eastAsia"/>
                <w:sz w:val="21"/>
                <w:szCs w:val="21"/>
              </w:rPr>
              <w:t>占基金资产净值比例(％)</w:t>
            </w:r>
          </w:p>
        </w:tc>
      </w:tr>
      <w:tr w:rsidR="000073C0" w:rsidRPr="000A34B8" w:rsidTr="000073C0">
        <w:trPr>
          <w:divId w:val="1924492212"/>
        </w:trPr>
        <w:tc>
          <w:tcPr>
            <w:tcW w:w="795" w:type="dxa"/>
            <w:shd w:val="clear" w:color="auto" w:fill="auto"/>
            <w:hideMark/>
          </w:tcPr>
          <w:p w:rsidR="000073C0" w:rsidRPr="000A34B8" w:rsidRDefault="000073C0">
            <w:pPr>
              <w:pStyle w:val="a3"/>
              <w:jc w:val="center"/>
              <w:rPr>
                <w:sz w:val="21"/>
                <w:szCs w:val="21"/>
              </w:rPr>
            </w:pPr>
            <w:r w:rsidRPr="000A34B8">
              <w:rPr>
                <w:rFonts w:hint="eastAsia"/>
                <w:sz w:val="21"/>
                <w:szCs w:val="21"/>
              </w:rPr>
              <w:t>1</w:t>
            </w:r>
          </w:p>
        </w:tc>
        <w:tc>
          <w:tcPr>
            <w:tcW w:w="1680" w:type="dxa"/>
            <w:shd w:val="clear" w:color="auto" w:fill="auto"/>
            <w:hideMark/>
          </w:tcPr>
          <w:p w:rsidR="000073C0" w:rsidRPr="000A34B8" w:rsidRDefault="000073C0">
            <w:pPr>
              <w:pStyle w:val="a3"/>
              <w:jc w:val="center"/>
              <w:rPr>
                <w:sz w:val="21"/>
                <w:szCs w:val="21"/>
              </w:rPr>
            </w:pPr>
            <w:r w:rsidRPr="000A34B8">
              <w:rPr>
                <w:rFonts w:hint="eastAsia"/>
                <w:sz w:val="21"/>
                <w:szCs w:val="21"/>
              </w:rPr>
              <w:t>165375</w:t>
            </w:r>
          </w:p>
        </w:tc>
        <w:tc>
          <w:tcPr>
            <w:tcW w:w="2205" w:type="dxa"/>
            <w:shd w:val="clear" w:color="auto" w:fill="auto"/>
            <w:hideMark/>
          </w:tcPr>
          <w:p w:rsidR="000073C0" w:rsidRPr="000A34B8" w:rsidRDefault="000073C0">
            <w:pPr>
              <w:pStyle w:val="a3"/>
              <w:jc w:val="center"/>
              <w:rPr>
                <w:sz w:val="21"/>
                <w:szCs w:val="21"/>
              </w:rPr>
            </w:pPr>
            <w:r w:rsidRPr="000A34B8">
              <w:rPr>
                <w:rFonts w:hint="eastAsia"/>
                <w:sz w:val="21"/>
                <w:szCs w:val="21"/>
              </w:rPr>
              <w:t>19中骏1A</w:t>
            </w:r>
          </w:p>
        </w:tc>
        <w:tc>
          <w:tcPr>
            <w:tcW w:w="1980" w:type="dxa"/>
            <w:shd w:val="clear" w:color="auto" w:fill="auto"/>
            <w:hideMark/>
          </w:tcPr>
          <w:p w:rsidR="000073C0" w:rsidRPr="000A34B8" w:rsidRDefault="000073C0">
            <w:pPr>
              <w:pStyle w:val="a3"/>
              <w:jc w:val="right"/>
              <w:rPr>
                <w:sz w:val="21"/>
                <w:szCs w:val="21"/>
              </w:rPr>
            </w:pPr>
            <w:r w:rsidRPr="000A34B8">
              <w:rPr>
                <w:rFonts w:hint="eastAsia"/>
                <w:sz w:val="21"/>
                <w:szCs w:val="21"/>
              </w:rPr>
              <w:t>200,000.00</w:t>
            </w:r>
          </w:p>
        </w:tc>
        <w:tc>
          <w:tcPr>
            <w:tcW w:w="2220" w:type="dxa"/>
            <w:shd w:val="clear" w:color="auto" w:fill="auto"/>
            <w:hideMark/>
          </w:tcPr>
          <w:p w:rsidR="000073C0" w:rsidRPr="000A34B8" w:rsidRDefault="000073C0">
            <w:pPr>
              <w:pStyle w:val="a3"/>
              <w:jc w:val="right"/>
              <w:rPr>
                <w:sz w:val="21"/>
                <w:szCs w:val="21"/>
              </w:rPr>
            </w:pPr>
            <w:r w:rsidRPr="000A34B8">
              <w:rPr>
                <w:rFonts w:hint="eastAsia"/>
                <w:sz w:val="21"/>
                <w:szCs w:val="21"/>
              </w:rPr>
              <w:t>20,074,000.00</w:t>
            </w:r>
          </w:p>
        </w:tc>
        <w:tc>
          <w:tcPr>
            <w:tcW w:w="1725" w:type="dxa"/>
            <w:shd w:val="clear" w:color="auto" w:fill="auto"/>
            <w:hideMark/>
          </w:tcPr>
          <w:p w:rsidR="000073C0" w:rsidRPr="000A34B8" w:rsidRDefault="000073C0">
            <w:pPr>
              <w:pStyle w:val="a3"/>
              <w:jc w:val="right"/>
              <w:rPr>
                <w:sz w:val="21"/>
                <w:szCs w:val="21"/>
              </w:rPr>
            </w:pPr>
            <w:r w:rsidRPr="000A34B8">
              <w:rPr>
                <w:rFonts w:hint="eastAsia"/>
                <w:sz w:val="21"/>
                <w:szCs w:val="21"/>
              </w:rPr>
              <w:t>4.71</w:t>
            </w:r>
          </w:p>
        </w:tc>
      </w:tr>
      <w:tr w:rsidR="000073C0" w:rsidRPr="000A34B8" w:rsidTr="000073C0">
        <w:trPr>
          <w:divId w:val="1924492212"/>
        </w:trPr>
        <w:tc>
          <w:tcPr>
            <w:tcW w:w="795" w:type="dxa"/>
            <w:shd w:val="clear" w:color="auto" w:fill="auto"/>
            <w:hideMark/>
          </w:tcPr>
          <w:p w:rsidR="000073C0" w:rsidRPr="000A34B8" w:rsidRDefault="000073C0">
            <w:pPr>
              <w:pStyle w:val="a3"/>
              <w:jc w:val="center"/>
              <w:rPr>
                <w:sz w:val="21"/>
                <w:szCs w:val="21"/>
              </w:rPr>
            </w:pPr>
            <w:r w:rsidRPr="000A34B8">
              <w:rPr>
                <w:rFonts w:hint="eastAsia"/>
                <w:sz w:val="21"/>
                <w:szCs w:val="21"/>
              </w:rPr>
              <w:t>2</w:t>
            </w:r>
          </w:p>
        </w:tc>
        <w:tc>
          <w:tcPr>
            <w:tcW w:w="1680" w:type="dxa"/>
            <w:shd w:val="clear" w:color="auto" w:fill="auto"/>
            <w:hideMark/>
          </w:tcPr>
          <w:p w:rsidR="000073C0" w:rsidRPr="000A34B8" w:rsidRDefault="000073C0">
            <w:pPr>
              <w:pStyle w:val="a3"/>
              <w:jc w:val="center"/>
              <w:rPr>
                <w:sz w:val="21"/>
                <w:szCs w:val="21"/>
              </w:rPr>
            </w:pPr>
            <w:r w:rsidRPr="000A34B8">
              <w:rPr>
                <w:rFonts w:hint="eastAsia"/>
                <w:sz w:val="21"/>
                <w:szCs w:val="21"/>
              </w:rPr>
              <w:t>138247</w:t>
            </w:r>
          </w:p>
        </w:tc>
        <w:tc>
          <w:tcPr>
            <w:tcW w:w="2205" w:type="dxa"/>
            <w:shd w:val="clear" w:color="auto" w:fill="auto"/>
            <w:hideMark/>
          </w:tcPr>
          <w:p w:rsidR="000073C0" w:rsidRPr="000A34B8" w:rsidRDefault="000073C0">
            <w:pPr>
              <w:pStyle w:val="a3"/>
              <w:jc w:val="center"/>
              <w:rPr>
                <w:sz w:val="21"/>
                <w:szCs w:val="21"/>
              </w:rPr>
            </w:pPr>
            <w:r w:rsidRPr="000A34B8">
              <w:rPr>
                <w:rFonts w:hint="eastAsia"/>
                <w:sz w:val="21"/>
                <w:szCs w:val="21"/>
              </w:rPr>
              <w:t>粤湾01优</w:t>
            </w:r>
          </w:p>
        </w:tc>
        <w:tc>
          <w:tcPr>
            <w:tcW w:w="1980" w:type="dxa"/>
            <w:shd w:val="clear" w:color="auto" w:fill="auto"/>
            <w:hideMark/>
          </w:tcPr>
          <w:p w:rsidR="000073C0" w:rsidRPr="000A34B8" w:rsidRDefault="000073C0">
            <w:pPr>
              <w:pStyle w:val="a3"/>
              <w:jc w:val="right"/>
              <w:rPr>
                <w:sz w:val="21"/>
                <w:szCs w:val="21"/>
              </w:rPr>
            </w:pPr>
            <w:r w:rsidRPr="000A34B8">
              <w:rPr>
                <w:rFonts w:hint="eastAsia"/>
                <w:sz w:val="21"/>
                <w:szCs w:val="21"/>
              </w:rPr>
              <w:t>100,000.00</w:t>
            </w:r>
          </w:p>
        </w:tc>
        <w:tc>
          <w:tcPr>
            <w:tcW w:w="2220" w:type="dxa"/>
            <w:shd w:val="clear" w:color="auto" w:fill="auto"/>
            <w:hideMark/>
          </w:tcPr>
          <w:p w:rsidR="000073C0" w:rsidRPr="000A34B8" w:rsidRDefault="000073C0">
            <w:pPr>
              <w:pStyle w:val="a3"/>
              <w:jc w:val="right"/>
              <w:rPr>
                <w:sz w:val="21"/>
                <w:szCs w:val="21"/>
              </w:rPr>
            </w:pPr>
            <w:r w:rsidRPr="000A34B8">
              <w:rPr>
                <w:rFonts w:hint="eastAsia"/>
                <w:sz w:val="21"/>
                <w:szCs w:val="21"/>
              </w:rPr>
              <w:t>10,029,000.00</w:t>
            </w:r>
          </w:p>
        </w:tc>
        <w:tc>
          <w:tcPr>
            <w:tcW w:w="1725" w:type="dxa"/>
            <w:shd w:val="clear" w:color="auto" w:fill="auto"/>
            <w:hideMark/>
          </w:tcPr>
          <w:p w:rsidR="000073C0" w:rsidRPr="000A34B8" w:rsidRDefault="000073C0">
            <w:pPr>
              <w:pStyle w:val="a3"/>
              <w:jc w:val="right"/>
              <w:rPr>
                <w:sz w:val="21"/>
                <w:szCs w:val="21"/>
              </w:rPr>
            </w:pPr>
            <w:r w:rsidRPr="000A34B8">
              <w:rPr>
                <w:rFonts w:hint="eastAsia"/>
                <w:sz w:val="21"/>
                <w:szCs w:val="21"/>
              </w:rPr>
              <w:t>2.35</w:t>
            </w:r>
          </w:p>
        </w:tc>
      </w:tr>
      <w:tr w:rsidR="000073C0" w:rsidRPr="000A34B8" w:rsidTr="000073C0">
        <w:trPr>
          <w:divId w:val="1924492212"/>
        </w:trPr>
        <w:tc>
          <w:tcPr>
            <w:tcW w:w="795" w:type="dxa"/>
            <w:shd w:val="clear" w:color="auto" w:fill="auto"/>
            <w:hideMark/>
          </w:tcPr>
          <w:p w:rsidR="000073C0" w:rsidRPr="000A34B8" w:rsidRDefault="000073C0">
            <w:pPr>
              <w:pStyle w:val="a3"/>
              <w:jc w:val="center"/>
              <w:rPr>
                <w:sz w:val="21"/>
                <w:szCs w:val="21"/>
              </w:rPr>
            </w:pPr>
            <w:r w:rsidRPr="000A34B8">
              <w:rPr>
                <w:rFonts w:hint="eastAsia"/>
                <w:sz w:val="21"/>
                <w:szCs w:val="21"/>
              </w:rPr>
              <w:lastRenderedPageBreak/>
              <w:t>3</w:t>
            </w:r>
          </w:p>
        </w:tc>
        <w:tc>
          <w:tcPr>
            <w:tcW w:w="1680" w:type="dxa"/>
            <w:shd w:val="clear" w:color="auto" w:fill="auto"/>
            <w:hideMark/>
          </w:tcPr>
          <w:p w:rsidR="000073C0" w:rsidRPr="000A34B8" w:rsidRDefault="000073C0">
            <w:pPr>
              <w:pStyle w:val="a3"/>
              <w:jc w:val="center"/>
              <w:rPr>
                <w:sz w:val="21"/>
                <w:szCs w:val="21"/>
              </w:rPr>
            </w:pPr>
            <w:r w:rsidRPr="000A34B8">
              <w:rPr>
                <w:rFonts w:hint="eastAsia"/>
                <w:sz w:val="21"/>
                <w:szCs w:val="21"/>
              </w:rPr>
              <w:t>138458</w:t>
            </w:r>
          </w:p>
        </w:tc>
        <w:tc>
          <w:tcPr>
            <w:tcW w:w="2205" w:type="dxa"/>
            <w:shd w:val="clear" w:color="auto" w:fill="auto"/>
            <w:hideMark/>
          </w:tcPr>
          <w:p w:rsidR="000073C0" w:rsidRPr="000A34B8" w:rsidRDefault="000073C0">
            <w:pPr>
              <w:pStyle w:val="a3"/>
              <w:jc w:val="center"/>
              <w:rPr>
                <w:sz w:val="21"/>
                <w:szCs w:val="21"/>
              </w:rPr>
            </w:pPr>
            <w:r w:rsidRPr="000A34B8">
              <w:rPr>
                <w:rFonts w:hint="eastAsia"/>
                <w:sz w:val="21"/>
                <w:szCs w:val="21"/>
              </w:rPr>
              <w:t>奥发06优</w:t>
            </w:r>
          </w:p>
        </w:tc>
        <w:tc>
          <w:tcPr>
            <w:tcW w:w="1980" w:type="dxa"/>
            <w:shd w:val="clear" w:color="auto" w:fill="auto"/>
            <w:hideMark/>
          </w:tcPr>
          <w:p w:rsidR="000073C0" w:rsidRPr="000A34B8" w:rsidRDefault="000073C0">
            <w:pPr>
              <w:pStyle w:val="a3"/>
              <w:jc w:val="right"/>
              <w:rPr>
                <w:sz w:val="21"/>
                <w:szCs w:val="21"/>
              </w:rPr>
            </w:pPr>
            <w:r w:rsidRPr="000A34B8">
              <w:rPr>
                <w:rFonts w:hint="eastAsia"/>
                <w:sz w:val="21"/>
                <w:szCs w:val="21"/>
              </w:rPr>
              <w:t>100,000.00</w:t>
            </w:r>
          </w:p>
        </w:tc>
        <w:tc>
          <w:tcPr>
            <w:tcW w:w="2220" w:type="dxa"/>
            <w:shd w:val="clear" w:color="auto" w:fill="auto"/>
            <w:hideMark/>
          </w:tcPr>
          <w:p w:rsidR="000073C0" w:rsidRPr="000A34B8" w:rsidRDefault="000073C0">
            <w:pPr>
              <w:pStyle w:val="a3"/>
              <w:jc w:val="right"/>
              <w:rPr>
                <w:sz w:val="21"/>
                <w:szCs w:val="21"/>
              </w:rPr>
            </w:pPr>
            <w:r w:rsidRPr="000A34B8">
              <w:rPr>
                <w:rFonts w:hint="eastAsia"/>
                <w:sz w:val="21"/>
                <w:szCs w:val="21"/>
              </w:rPr>
              <w:t>10,028,000.00</w:t>
            </w:r>
          </w:p>
        </w:tc>
        <w:tc>
          <w:tcPr>
            <w:tcW w:w="1725" w:type="dxa"/>
            <w:shd w:val="clear" w:color="auto" w:fill="auto"/>
            <w:hideMark/>
          </w:tcPr>
          <w:p w:rsidR="000073C0" w:rsidRPr="000A34B8" w:rsidRDefault="000073C0">
            <w:pPr>
              <w:pStyle w:val="a3"/>
              <w:jc w:val="right"/>
              <w:rPr>
                <w:sz w:val="21"/>
                <w:szCs w:val="21"/>
              </w:rPr>
            </w:pPr>
            <w:r w:rsidRPr="000A34B8">
              <w:rPr>
                <w:rFonts w:hint="eastAsia"/>
                <w:sz w:val="21"/>
                <w:szCs w:val="21"/>
              </w:rPr>
              <w:t>2.35</w:t>
            </w:r>
          </w:p>
        </w:tc>
      </w:tr>
      <w:tr w:rsidR="000073C0" w:rsidRPr="000A34B8" w:rsidTr="000073C0">
        <w:trPr>
          <w:divId w:val="1924492212"/>
        </w:trPr>
        <w:tc>
          <w:tcPr>
            <w:tcW w:w="795" w:type="dxa"/>
            <w:shd w:val="clear" w:color="auto" w:fill="auto"/>
            <w:hideMark/>
          </w:tcPr>
          <w:p w:rsidR="000073C0" w:rsidRPr="000A34B8" w:rsidRDefault="000073C0">
            <w:pPr>
              <w:pStyle w:val="a3"/>
              <w:jc w:val="center"/>
              <w:rPr>
                <w:sz w:val="21"/>
                <w:szCs w:val="21"/>
              </w:rPr>
            </w:pPr>
            <w:r w:rsidRPr="000A34B8">
              <w:rPr>
                <w:rFonts w:hint="eastAsia"/>
                <w:sz w:val="21"/>
                <w:szCs w:val="21"/>
              </w:rPr>
              <w:t>4</w:t>
            </w:r>
          </w:p>
        </w:tc>
        <w:tc>
          <w:tcPr>
            <w:tcW w:w="1680" w:type="dxa"/>
            <w:shd w:val="clear" w:color="auto" w:fill="auto"/>
            <w:hideMark/>
          </w:tcPr>
          <w:p w:rsidR="000073C0" w:rsidRPr="000A34B8" w:rsidRDefault="000073C0">
            <w:pPr>
              <w:pStyle w:val="a3"/>
              <w:jc w:val="center"/>
              <w:rPr>
                <w:sz w:val="21"/>
                <w:szCs w:val="21"/>
              </w:rPr>
            </w:pPr>
            <w:r w:rsidRPr="000A34B8">
              <w:rPr>
                <w:rFonts w:hint="eastAsia"/>
                <w:sz w:val="21"/>
                <w:szCs w:val="21"/>
              </w:rPr>
              <w:t>139857</w:t>
            </w:r>
          </w:p>
        </w:tc>
        <w:tc>
          <w:tcPr>
            <w:tcW w:w="2205" w:type="dxa"/>
            <w:shd w:val="clear" w:color="auto" w:fill="auto"/>
            <w:hideMark/>
          </w:tcPr>
          <w:p w:rsidR="000073C0" w:rsidRPr="000A34B8" w:rsidRDefault="000073C0">
            <w:pPr>
              <w:pStyle w:val="a3"/>
              <w:jc w:val="center"/>
              <w:rPr>
                <w:sz w:val="21"/>
                <w:szCs w:val="21"/>
              </w:rPr>
            </w:pPr>
            <w:r w:rsidRPr="000A34B8">
              <w:rPr>
                <w:rFonts w:hint="eastAsia"/>
                <w:sz w:val="21"/>
                <w:szCs w:val="21"/>
              </w:rPr>
              <w:t>华联05优</w:t>
            </w:r>
          </w:p>
        </w:tc>
        <w:tc>
          <w:tcPr>
            <w:tcW w:w="1980" w:type="dxa"/>
            <w:shd w:val="clear" w:color="auto" w:fill="auto"/>
            <w:hideMark/>
          </w:tcPr>
          <w:p w:rsidR="000073C0" w:rsidRPr="000A34B8" w:rsidRDefault="000073C0">
            <w:pPr>
              <w:pStyle w:val="a3"/>
              <w:jc w:val="right"/>
              <w:rPr>
                <w:sz w:val="21"/>
                <w:szCs w:val="21"/>
              </w:rPr>
            </w:pPr>
            <w:r w:rsidRPr="000A34B8">
              <w:rPr>
                <w:rFonts w:hint="eastAsia"/>
                <w:sz w:val="21"/>
                <w:szCs w:val="21"/>
              </w:rPr>
              <w:t>50,000.00</w:t>
            </w:r>
          </w:p>
        </w:tc>
        <w:tc>
          <w:tcPr>
            <w:tcW w:w="2220" w:type="dxa"/>
            <w:shd w:val="clear" w:color="auto" w:fill="auto"/>
            <w:hideMark/>
          </w:tcPr>
          <w:p w:rsidR="000073C0" w:rsidRPr="000A34B8" w:rsidRDefault="000073C0">
            <w:pPr>
              <w:pStyle w:val="a3"/>
              <w:jc w:val="right"/>
              <w:rPr>
                <w:sz w:val="21"/>
                <w:szCs w:val="21"/>
              </w:rPr>
            </w:pPr>
            <w:r w:rsidRPr="000A34B8">
              <w:rPr>
                <w:rFonts w:hint="eastAsia"/>
                <w:sz w:val="21"/>
                <w:szCs w:val="21"/>
              </w:rPr>
              <w:t>5,060,000.00</w:t>
            </w:r>
          </w:p>
        </w:tc>
        <w:tc>
          <w:tcPr>
            <w:tcW w:w="1725" w:type="dxa"/>
            <w:shd w:val="clear" w:color="auto" w:fill="auto"/>
            <w:hideMark/>
          </w:tcPr>
          <w:p w:rsidR="000073C0" w:rsidRPr="000A34B8" w:rsidRDefault="000073C0">
            <w:pPr>
              <w:pStyle w:val="a3"/>
              <w:jc w:val="right"/>
              <w:rPr>
                <w:sz w:val="21"/>
                <w:szCs w:val="21"/>
              </w:rPr>
            </w:pPr>
            <w:r w:rsidRPr="000A34B8">
              <w:rPr>
                <w:rFonts w:hint="eastAsia"/>
                <w:sz w:val="21"/>
                <w:szCs w:val="21"/>
              </w:rPr>
              <w:t>1.19</w:t>
            </w:r>
          </w:p>
        </w:tc>
      </w:tr>
    </w:tbl>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7 报告期末按公允价值占基金资产净值比例大小排序的前五名贵金属投资明细</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本基金本报告期末未持有贵金属。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8报告期末按公允价值占基金资产净值比例大小排序的前五名权证投资明细</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本基金本报告期末未持有权证。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9报告期末本基金投资的股指期货交易情况说明</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本基金本报告期末未持有股指期货。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10报告期末本基金投资的国债期货交易情况说明</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本基金本报告期末未持仓国债期货。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Style w:val="a4"/>
          <w:rFonts w:hint="eastAsia"/>
          <w:b w:val="0"/>
          <w:sz w:val="21"/>
          <w:szCs w:val="21"/>
        </w:rPr>
        <w:t>11投资组合报告附注</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11.1报告期内基金投资的前十名证券的发行主体没有被监管部门立案调查，或在报告编制日前一年内受到公开谴责、处罚。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11.2报告期内基金投资的前十名股票中，没有投资超出基金合同规定备选股票库之外的股票。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11.3其他资产构成</w:t>
      </w:r>
    </w:p>
    <w:tbl>
      <w:tblPr>
        <w:tblStyle w:val="ac"/>
        <w:tblW w:w="5000" w:type="pct"/>
        <w:tblLook w:val="04A0" w:firstRow="1" w:lastRow="0" w:firstColumn="1" w:lastColumn="0" w:noHBand="0" w:noVBand="1"/>
      </w:tblPr>
      <w:tblGrid>
        <w:gridCol w:w="1384"/>
        <w:gridCol w:w="3969"/>
        <w:gridCol w:w="3163"/>
      </w:tblGrid>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序号</w:t>
            </w:r>
          </w:p>
        </w:tc>
        <w:tc>
          <w:tcPr>
            <w:tcW w:w="3969" w:type="dxa"/>
            <w:shd w:val="clear" w:color="auto" w:fill="auto"/>
            <w:hideMark/>
          </w:tcPr>
          <w:p w:rsidR="000073C0" w:rsidRPr="000A34B8" w:rsidRDefault="000073C0">
            <w:pPr>
              <w:pStyle w:val="a3"/>
              <w:jc w:val="center"/>
              <w:rPr>
                <w:sz w:val="21"/>
                <w:szCs w:val="21"/>
              </w:rPr>
            </w:pPr>
            <w:r w:rsidRPr="000A34B8">
              <w:rPr>
                <w:rFonts w:hint="eastAsia"/>
                <w:sz w:val="21"/>
                <w:szCs w:val="21"/>
              </w:rPr>
              <w:t>名称</w:t>
            </w:r>
          </w:p>
        </w:tc>
        <w:tc>
          <w:tcPr>
            <w:tcW w:w="3163" w:type="dxa"/>
            <w:shd w:val="clear" w:color="auto" w:fill="auto"/>
            <w:hideMark/>
          </w:tcPr>
          <w:p w:rsidR="000073C0" w:rsidRPr="000A34B8" w:rsidRDefault="000073C0">
            <w:pPr>
              <w:pStyle w:val="a3"/>
              <w:jc w:val="center"/>
              <w:rPr>
                <w:sz w:val="21"/>
                <w:szCs w:val="21"/>
              </w:rPr>
            </w:pPr>
            <w:r w:rsidRPr="000A34B8">
              <w:rPr>
                <w:rFonts w:hint="eastAsia"/>
                <w:sz w:val="21"/>
                <w:szCs w:val="21"/>
              </w:rPr>
              <w:t>金额(元)</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1</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存出保证金</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1,813.25</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2</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应收证券清算款</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3</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应收股利</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4</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应收利息</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17,295,901.37</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5</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应收申购款</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6</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其他应收款</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7</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待摊费用</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8</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其他</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w:t>
            </w:r>
          </w:p>
        </w:tc>
      </w:tr>
      <w:tr w:rsidR="000073C0" w:rsidRPr="000A34B8" w:rsidTr="00F628AC">
        <w:trPr>
          <w:divId w:val="148717180"/>
        </w:trPr>
        <w:tc>
          <w:tcPr>
            <w:tcW w:w="1384" w:type="dxa"/>
            <w:shd w:val="clear" w:color="auto" w:fill="auto"/>
            <w:hideMark/>
          </w:tcPr>
          <w:p w:rsidR="000073C0" w:rsidRPr="000A34B8" w:rsidRDefault="000073C0">
            <w:pPr>
              <w:pStyle w:val="a3"/>
              <w:jc w:val="center"/>
              <w:rPr>
                <w:sz w:val="21"/>
                <w:szCs w:val="21"/>
              </w:rPr>
            </w:pPr>
            <w:r w:rsidRPr="000A34B8">
              <w:rPr>
                <w:rFonts w:hint="eastAsia"/>
                <w:sz w:val="21"/>
                <w:szCs w:val="21"/>
              </w:rPr>
              <w:t>9</w:t>
            </w:r>
          </w:p>
        </w:tc>
        <w:tc>
          <w:tcPr>
            <w:tcW w:w="3969" w:type="dxa"/>
            <w:shd w:val="clear" w:color="auto" w:fill="auto"/>
            <w:hideMark/>
          </w:tcPr>
          <w:p w:rsidR="000073C0" w:rsidRPr="000A34B8" w:rsidRDefault="000073C0">
            <w:pPr>
              <w:pStyle w:val="a3"/>
              <w:rPr>
                <w:sz w:val="21"/>
                <w:szCs w:val="21"/>
              </w:rPr>
            </w:pPr>
            <w:r w:rsidRPr="000A34B8">
              <w:rPr>
                <w:rFonts w:hint="eastAsia"/>
                <w:sz w:val="21"/>
                <w:szCs w:val="21"/>
              </w:rPr>
              <w:t>合计</w:t>
            </w:r>
          </w:p>
        </w:tc>
        <w:tc>
          <w:tcPr>
            <w:tcW w:w="3163" w:type="dxa"/>
            <w:shd w:val="clear" w:color="auto" w:fill="auto"/>
            <w:hideMark/>
          </w:tcPr>
          <w:p w:rsidR="000073C0" w:rsidRPr="000A34B8" w:rsidRDefault="000073C0">
            <w:pPr>
              <w:pStyle w:val="a3"/>
              <w:jc w:val="right"/>
              <w:rPr>
                <w:sz w:val="21"/>
                <w:szCs w:val="21"/>
              </w:rPr>
            </w:pPr>
            <w:r w:rsidRPr="000A34B8">
              <w:rPr>
                <w:rFonts w:hint="eastAsia"/>
                <w:sz w:val="21"/>
                <w:szCs w:val="21"/>
              </w:rPr>
              <w:t>17,297,714.62</w:t>
            </w:r>
          </w:p>
        </w:tc>
      </w:tr>
    </w:tbl>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11.4报告期末持有的处于转股期的可转换债券明细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本基金本报告期末未持有可转换债券。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11.5报告期末前十名股票中存在流通受限情况的说明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本基金本报告期末未持有股票。  </w:t>
      </w:r>
    </w:p>
    <w:p w:rsidR="000073C0" w:rsidRPr="000A34B8" w:rsidRDefault="000073C0">
      <w:pPr>
        <w:pStyle w:val="a3"/>
        <w:spacing w:before="0" w:beforeAutospacing="0" w:after="0" w:afterAutospacing="0" w:line="360" w:lineRule="auto"/>
        <w:ind w:firstLine="420"/>
        <w:divId w:val="813177192"/>
        <w:rPr>
          <w:sz w:val="21"/>
          <w:szCs w:val="21"/>
        </w:rPr>
      </w:pPr>
      <w:r w:rsidRPr="000A34B8">
        <w:rPr>
          <w:rFonts w:hint="eastAsia"/>
          <w:sz w:val="21"/>
          <w:szCs w:val="21"/>
        </w:rPr>
        <w:t xml:space="preserve"> 11.6投资组合报告附注的其他文字描述部分  </w:t>
      </w:r>
    </w:p>
    <w:p w:rsidR="000073C0" w:rsidRPr="000073C0" w:rsidRDefault="000073C0">
      <w:pPr>
        <w:pStyle w:val="a3"/>
        <w:spacing w:before="0" w:beforeAutospacing="0" w:after="0" w:afterAutospacing="0" w:line="360" w:lineRule="auto"/>
        <w:ind w:firstLine="420"/>
        <w:divId w:val="813177192"/>
        <w:rPr>
          <w:sz w:val="21"/>
          <w:szCs w:val="21"/>
        </w:rPr>
      </w:pPr>
      <w:bookmarkStart w:id="152" w:name="chapter_level1_13_60_section_6_end"/>
      <w:bookmarkEnd w:id="152"/>
      <w:r w:rsidRPr="000A34B8">
        <w:rPr>
          <w:rFonts w:hint="eastAsia"/>
          <w:sz w:val="21"/>
          <w:szCs w:val="21"/>
        </w:rPr>
        <w:t> 由于四舍五入的原因，分项之和与合计项之间可能存在尾差。</w:t>
      </w:r>
      <w:r w:rsidRPr="00F628AC">
        <w:rPr>
          <w:rFonts w:hint="eastAsia"/>
          <w:sz w:val="21"/>
          <w:szCs w:val="21"/>
        </w:rPr>
        <w:t> </w:t>
      </w:r>
      <w:r w:rsidRPr="000073C0">
        <w:rPr>
          <w:rFonts w:hint="eastAsia"/>
          <w:sz w:val="21"/>
          <w:szCs w:val="21"/>
        </w:rPr>
        <w:t xml:space="preserve">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53" w:name="chapter_level1_14_3500"/>
      <w:bookmarkStart w:id="154" w:name="_Toc50743132"/>
      <w:r w:rsidRPr="000073C0">
        <w:rPr>
          <w:rFonts w:ascii="宋体" w:eastAsia="宋体" w:hAnsi="宋体" w:hint="eastAsia"/>
          <w:sz w:val="30"/>
        </w:rPr>
        <w:lastRenderedPageBreak/>
        <w:t>第十一部分 基金的业绩</w:t>
      </w:r>
      <w:bookmarkEnd w:id="153"/>
      <w:bookmarkEnd w:id="154"/>
    </w:p>
    <w:p w:rsidR="000073C0" w:rsidRPr="000073C0" w:rsidRDefault="000073C0">
      <w:pPr>
        <w:pStyle w:val="a3"/>
        <w:spacing w:before="0" w:beforeAutospacing="0" w:after="0" w:afterAutospacing="0" w:line="360" w:lineRule="auto"/>
        <w:ind w:firstLine="420"/>
        <w:divId w:val="1864589457"/>
        <w:rPr>
          <w:sz w:val="21"/>
          <w:szCs w:val="21"/>
        </w:rPr>
      </w:pPr>
      <w:bookmarkStart w:id="155" w:name="chapter_level1_14_3500_section_1"/>
      <w:bookmarkEnd w:id="155"/>
      <w:r w:rsidRPr="000073C0">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人在做出投资决策前应仔细阅读本基金的招募说明书。 </w:t>
      </w:r>
    </w:p>
    <w:p w:rsidR="000073C0" w:rsidRPr="000073C0" w:rsidRDefault="000073C0">
      <w:pPr>
        <w:pStyle w:val="a3"/>
        <w:spacing w:before="0" w:beforeAutospacing="0" w:after="0" w:afterAutospacing="0" w:line="360" w:lineRule="auto"/>
        <w:ind w:firstLine="420"/>
        <w:divId w:val="1864589457"/>
        <w:rPr>
          <w:sz w:val="21"/>
          <w:szCs w:val="21"/>
        </w:rPr>
      </w:pPr>
      <w:r w:rsidRPr="000073C0">
        <w:rPr>
          <w:rFonts w:hint="eastAsia"/>
          <w:sz w:val="21"/>
          <w:szCs w:val="21"/>
        </w:rPr>
        <w:t xml:space="preserve">历史各时间段基金份额净值增长率及其与同期业绩比较基准收益率的比较： </w:t>
      </w:r>
    </w:p>
    <w:p w:rsidR="000073C0" w:rsidRPr="000073C0" w:rsidRDefault="000073C0">
      <w:pPr>
        <w:pStyle w:val="a3"/>
        <w:spacing w:before="0" w:beforeAutospacing="0" w:after="0" w:afterAutospacing="0" w:line="360" w:lineRule="auto"/>
        <w:ind w:firstLine="420"/>
        <w:divId w:val="1864589457"/>
        <w:rPr>
          <w:sz w:val="21"/>
          <w:szCs w:val="21"/>
        </w:rPr>
      </w:pPr>
      <w:bookmarkStart w:id="156" w:name="field_0_indatatable_1_start"/>
      <w:bookmarkEnd w:id="156"/>
      <w:r w:rsidRPr="000073C0">
        <w:rPr>
          <w:rFonts w:hint="eastAsia"/>
          <w:sz w:val="21"/>
          <w:szCs w:val="21"/>
        </w:rPr>
        <w:t xml:space="preserve">  </w:t>
      </w:r>
    </w:p>
    <w:tbl>
      <w:tblPr>
        <w:tblStyle w:val="ac"/>
        <w:tblW w:w="0" w:type="auto"/>
        <w:tblLook w:val="04A0" w:firstRow="1" w:lastRow="0" w:firstColumn="1" w:lastColumn="0" w:noHBand="0" w:noVBand="1"/>
      </w:tblPr>
      <w:tblGrid>
        <w:gridCol w:w="2421"/>
        <w:gridCol w:w="994"/>
        <w:gridCol w:w="1062"/>
        <w:gridCol w:w="1192"/>
        <w:gridCol w:w="1260"/>
        <w:gridCol w:w="846"/>
        <w:gridCol w:w="741"/>
      </w:tblGrid>
      <w:tr w:rsidR="000073C0" w:rsidRPr="000073C0" w:rsidTr="00F628AC">
        <w:trPr>
          <w:divId w:val="1864589457"/>
        </w:trPr>
        <w:tc>
          <w:tcPr>
            <w:tcW w:w="0" w:type="auto"/>
            <w:shd w:val="clear" w:color="auto" w:fill="auto"/>
            <w:vAlign w:val="center"/>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期间 </w:t>
            </w:r>
          </w:p>
        </w:tc>
        <w:tc>
          <w:tcPr>
            <w:tcW w:w="0" w:type="auto"/>
            <w:shd w:val="clear" w:color="auto" w:fill="auto"/>
            <w:vAlign w:val="center"/>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①净值增长率 </w:t>
            </w:r>
          </w:p>
        </w:tc>
        <w:tc>
          <w:tcPr>
            <w:tcW w:w="0" w:type="auto"/>
            <w:shd w:val="clear" w:color="auto" w:fill="auto"/>
            <w:vAlign w:val="center"/>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②净值增长率标准差 </w:t>
            </w:r>
          </w:p>
        </w:tc>
        <w:tc>
          <w:tcPr>
            <w:tcW w:w="0" w:type="auto"/>
            <w:shd w:val="clear" w:color="auto" w:fill="auto"/>
            <w:vAlign w:val="center"/>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③业绩比较基准收益率 </w:t>
            </w:r>
          </w:p>
        </w:tc>
        <w:tc>
          <w:tcPr>
            <w:tcW w:w="0" w:type="auto"/>
            <w:shd w:val="clear" w:color="auto" w:fill="auto"/>
            <w:vAlign w:val="center"/>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④业绩比较基准收益率标准差 </w:t>
            </w:r>
          </w:p>
        </w:tc>
        <w:tc>
          <w:tcPr>
            <w:tcW w:w="0" w:type="auto"/>
            <w:shd w:val="clear" w:color="auto" w:fill="auto"/>
            <w:vAlign w:val="center"/>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①-③ </w:t>
            </w:r>
          </w:p>
        </w:tc>
        <w:tc>
          <w:tcPr>
            <w:tcW w:w="0" w:type="auto"/>
            <w:shd w:val="clear" w:color="auto" w:fill="auto"/>
            <w:vAlign w:val="center"/>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②-④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2013.10.22-2013.12.31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0.60%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0.05%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0.83%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-0.23%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0.04%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2014.01.01-2014.12.31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16.01%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0.20%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4.22%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11.79%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0.19%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2015.01.01-2015.12.31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16.19%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0.15%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3.37%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12.82%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0.14%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2016.01.01-2016.12.31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6.54%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0.16%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2.75%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3.79%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0.15%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2017.01.01-2017.12.31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0.18%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0.06%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2.75%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-2.57%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0.05%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2018.01.01-2018.12.31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8.98%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0.10%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2.75%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6.23%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0.09%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2019.01.01-2019.12.31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4.95%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0.07%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2.75%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2.20%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0.06%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2020.01.01-2020.06.30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4.10%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1.37%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2.73%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0.10% </w:t>
            </w:r>
          </w:p>
        </w:tc>
      </w:tr>
      <w:tr w:rsidR="000073C0" w:rsidRPr="000073C0" w:rsidTr="000073C0">
        <w:trPr>
          <w:divId w:val="1864589457"/>
        </w:trPr>
        <w:tc>
          <w:tcPr>
            <w:tcW w:w="0" w:type="auto"/>
            <w:shd w:val="clear" w:color="auto" w:fill="auto"/>
            <w:hideMark/>
          </w:tcPr>
          <w:p w:rsidR="000073C0" w:rsidRPr="000073C0" w:rsidRDefault="000073C0">
            <w:pPr>
              <w:jc w:val="center"/>
              <w:rPr>
                <w:rFonts w:ascii="宋体" w:eastAsia="宋体" w:hAnsi="宋体" w:cs="宋体"/>
                <w:sz w:val="24"/>
                <w:szCs w:val="24"/>
              </w:rPr>
            </w:pPr>
            <w:r w:rsidRPr="000073C0">
              <w:rPr>
                <w:rFonts w:ascii="宋体" w:eastAsia="宋体" w:hAnsi="宋体" w:hint="eastAsia"/>
              </w:rPr>
              <w:t xml:space="preserve">2013.10.22-2020.06.30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72.34%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0.13%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20.78%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0.01%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51.56% </w:t>
            </w:r>
          </w:p>
        </w:tc>
        <w:tc>
          <w:tcPr>
            <w:tcW w:w="0" w:type="auto"/>
            <w:shd w:val="clear" w:color="auto" w:fill="auto"/>
            <w:hideMark/>
          </w:tcPr>
          <w:p w:rsidR="000073C0" w:rsidRPr="000073C0" w:rsidRDefault="000073C0" w:rsidP="00F628AC">
            <w:pPr>
              <w:jc w:val="right"/>
              <w:rPr>
                <w:rFonts w:ascii="宋体" w:eastAsia="宋体" w:hAnsi="宋体" w:cs="宋体"/>
                <w:sz w:val="24"/>
                <w:szCs w:val="24"/>
              </w:rPr>
            </w:pPr>
            <w:r w:rsidRPr="000073C0">
              <w:rPr>
                <w:rFonts w:ascii="宋体" w:eastAsia="宋体" w:hAnsi="宋体" w:hint="eastAsia"/>
              </w:rPr>
              <w:t xml:space="preserve">0.12% </w:t>
            </w:r>
          </w:p>
        </w:tc>
      </w:tr>
    </w:tbl>
    <w:p w:rsidR="000073C0" w:rsidRPr="000073C0" w:rsidRDefault="000073C0">
      <w:pPr>
        <w:pStyle w:val="a3"/>
        <w:spacing w:before="0" w:beforeAutospacing="0" w:after="0" w:afterAutospacing="0" w:line="360" w:lineRule="auto"/>
        <w:ind w:firstLine="420"/>
        <w:divId w:val="1864589457"/>
        <w:rPr>
          <w:sz w:val="21"/>
          <w:szCs w:val="21"/>
        </w:rPr>
      </w:pPr>
      <w:bookmarkStart w:id="157" w:name="chapter_level1_14_3500_section_1_end"/>
      <w:bookmarkStart w:id="158" w:name="field_0_indatatable_1_end"/>
      <w:bookmarkEnd w:id="157"/>
      <w:bookmarkEnd w:id="158"/>
      <w:r w:rsidRPr="000073C0">
        <w:rPr>
          <w:rFonts w:hint="eastAsia"/>
          <w:sz w:val="21"/>
          <w:szCs w:val="21"/>
        </w:rPr>
        <w:t xml:space="preserve">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59" w:name="chapter_level1_15_62"/>
      <w:bookmarkStart w:id="160" w:name="_Toc50743133"/>
      <w:r w:rsidRPr="000073C0">
        <w:rPr>
          <w:rFonts w:ascii="宋体" w:eastAsia="宋体" w:hAnsi="宋体" w:hint="eastAsia"/>
          <w:sz w:val="30"/>
        </w:rPr>
        <w:lastRenderedPageBreak/>
        <w:t>第十二部分  基金的财产</w:t>
      </w:r>
      <w:bookmarkEnd w:id="159"/>
      <w:bookmarkEnd w:id="160"/>
    </w:p>
    <w:p w:rsidR="000073C0" w:rsidRPr="000073C0" w:rsidRDefault="000073C0">
      <w:pPr>
        <w:pStyle w:val="a3"/>
        <w:spacing w:before="0" w:beforeAutospacing="0" w:after="0" w:afterAutospacing="0" w:line="360" w:lineRule="auto"/>
        <w:ind w:firstLine="420"/>
        <w:divId w:val="1840777352"/>
        <w:rPr>
          <w:sz w:val="21"/>
          <w:szCs w:val="21"/>
        </w:rPr>
      </w:pPr>
      <w:bookmarkStart w:id="161" w:name="chapter_level1_15_62_section_1"/>
      <w:bookmarkEnd w:id="161"/>
      <w:r w:rsidRPr="000073C0">
        <w:rPr>
          <w:rStyle w:val="a4"/>
          <w:rFonts w:hint="eastAsia"/>
          <w:sz w:val="21"/>
          <w:szCs w:val="21"/>
        </w:rPr>
        <w:t>一、基金资产总值</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Fonts w:hint="eastAsia"/>
          <w:sz w:val="21"/>
          <w:szCs w:val="21"/>
        </w:rPr>
        <w:t xml:space="preserve">基金资产总值是指购买的各类证券及票据价值、银行存款本息和基金应收的申购基金款以及其他投资所形成的价值总和。 </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Style w:val="a4"/>
          <w:rFonts w:hint="eastAsia"/>
          <w:sz w:val="21"/>
          <w:szCs w:val="21"/>
        </w:rPr>
        <w:t>二、基金资产净值</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Fonts w:hint="eastAsia"/>
          <w:sz w:val="21"/>
          <w:szCs w:val="21"/>
        </w:rPr>
        <w:t xml:space="preserve">基金资产净值是指基金资产总值减去基金负债后的价值。 </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Style w:val="a4"/>
          <w:rFonts w:hint="eastAsia"/>
          <w:sz w:val="21"/>
          <w:szCs w:val="21"/>
        </w:rPr>
        <w:t>三、基金财产的账户</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Fonts w:hint="eastAsia"/>
          <w:sz w:val="21"/>
          <w:szCs w:val="21"/>
        </w:rPr>
        <w:t xml:space="preserve">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 </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Style w:val="a4"/>
          <w:rFonts w:hint="eastAsia"/>
          <w:sz w:val="21"/>
          <w:szCs w:val="21"/>
        </w:rPr>
        <w:t>四、基金财产的保管和处分</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Fonts w:hint="eastAsia"/>
          <w:sz w:val="21"/>
          <w:szCs w:val="21"/>
        </w:rPr>
        <w:t xml:space="preserve">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 </w:t>
      </w:r>
    </w:p>
    <w:p w:rsidR="000073C0" w:rsidRPr="000073C0" w:rsidRDefault="000073C0">
      <w:pPr>
        <w:pStyle w:val="a3"/>
        <w:spacing w:before="0" w:beforeAutospacing="0" w:after="0" w:afterAutospacing="0" w:line="360" w:lineRule="auto"/>
        <w:ind w:firstLine="420"/>
        <w:divId w:val="1840777352"/>
        <w:rPr>
          <w:sz w:val="21"/>
          <w:szCs w:val="21"/>
        </w:rPr>
      </w:pPr>
      <w:r w:rsidRPr="000073C0">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w:t>
      </w:r>
      <w:bookmarkStart w:id="162" w:name="chapter_level1_15_62_section_1_end"/>
      <w:bookmarkEnd w:id="162"/>
      <w:r w:rsidRPr="000073C0">
        <w:rPr>
          <w:rFonts w:hint="eastAsia"/>
          <w:sz w:val="21"/>
          <w:szCs w:val="21"/>
        </w:rPr>
        <w:t xml:space="preserve">得相互抵销。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63" w:name="chapter_level1_16_63"/>
      <w:bookmarkStart w:id="164" w:name="_Toc50743134"/>
      <w:r w:rsidRPr="000073C0">
        <w:rPr>
          <w:rFonts w:ascii="宋体" w:eastAsia="宋体" w:hAnsi="宋体" w:hint="eastAsia"/>
          <w:sz w:val="30"/>
        </w:rPr>
        <w:lastRenderedPageBreak/>
        <w:t>第十三部分  基金资产的估值</w:t>
      </w:r>
      <w:bookmarkEnd w:id="163"/>
      <w:bookmarkEnd w:id="164"/>
    </w:p>
    <w:p w:rsidR="000073C0" w:rsidRPr="000073C0" w:rsidRDefault="000073C0">
      <w:pPr>
        <w:pStyle w:val="a3"/>
        <w:spacing w:before="0" w:beforeAutospacing="0" w:after="0" w:afterAutospacing="0" w:line="360" w:lineRule="auto"/>
        <w:ind w:firstLine="420"/>
        <w:divId w:val="1674988529"/>
        <w:rPr>
          <w:sz w:val="21"/>
          <w:szCs w:val="21"/>
        </w:rPr>
      </w:pPr>
      <w:bookmarkStart w:id="165" w:name="chapter_level1_16_63_section_1"/>
      <w:bookmarkEnd w:id="165"/>
      <w:r w:rsidRPr="000073C0">
        <w:rPr>
          <w:rStyle w:val="a4"/>
          <w:rFonts w:hint="eastAsia"/>
          <w:sz w:val="21"/>
          <w:szCs w:val="21"/>
        </w:rPr>
        <w:t>一、估值日</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本基金的估值日为本基金相关的证券交易场所的交易日以及国家法律法规规定需要对外披露基金净值的非交易日。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Style w:val="a4"/>
          <w:rFonts w:hint="eastAsia"/>
          <w:sz w:val="21"/>
          <w:szCs w:val="21"/>
        </w:rPr>
        <w:t>二、估值对象</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基金所拥有的债券和银行存款本息、应收款项、其它投资等资产及负债。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Style w:val="a4"/>
          <w:rFonts w:hint="eastAsia"/>
          <w:sz w:val="21"/>
          <w:szCs w:val="21"/>
        </w:rPr>
        <w:t>三、估值方法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(一)估值日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本基金的估值日为本基金相关的证券交易场所的正常营业日以及国家法律法规规定需要对外披露基金净值的非营业日。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(二)估值方法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1、证券交易所上市的有价证券的估值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1）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2）交易所上市的债券，采用估值技术确定公允价值。对在交易所市场上市交易的不含权债券，选取第三方估值机构提供的相应品种当日的估值净价估值；对在交易所市场上市交易的含权债券，选取第三方估值机构提供的相应品种当日的唯一估值净价或推荐估值净价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（3）交易所上市不存在活跃市场的非固定收益类有价证券，采用估值技术确定公允价值。交易所上市的资产支持证券，采用估值技术确定公允价值，在估值技术难以可靠计量公允价值的情况下，按成本估值。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2、处于未上市期间的有价证券应区分如下情况处理：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（1）送股、转增股、配股和公开增发的新股，按估值日在证券交易所挂牌的同一股票的估值方法估值；该日无交易的，以最近一日的市价（收盘价）估值；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lastRenderedPageBreak/>
        <w:t xml:space="preserve">（2）首次公开发行未上市的股票、债券和权证，采用估值技术确定公允价值，在估值技术难以可靠计量公允价值的情况下，按成本估值；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（3）首次公开发行有明确锁定期的股票，同一股票在交易所上市后，按交易所上市的同一股票的估值方法估值；非公开发行有明确锁定期的股票，按监管机构或行业协会有关规定确定公允价值。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3、全国银行间债券市场交易的债券、资产支持证券等固定收益品种，采用估值技术确定公允价值。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4、同一债券同时在两个或两个以上市场交易的，按债券所处的市场分别估值。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5、本基金投资股指期货合约，一般以估值当日结算价进行估值，估值当日无结算价的，且最近交易日后经济环境未发生重大变化的，采用最近交易日结算价估值。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6、中小企业私募债券，采用估值技术确定公允价值。在估值技术难以可靠计量公允价值的情况下，按成本估值。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7、如有确凿证据表明按上述方法进行估值不能客观反映其公允价值的，基金管理人可根据具体情况与基金托管人商定后，按最能反映公允价值的价格估值。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8、相关法律法规以及监管部门有强制规定的，从其规定。如有新增事项，按国家最新规定估值。   </w:t>
      </w:r>
    </w:p>
    <w:p w:rsidR="000073C0" w:rsidRPr="000073C0" w:rsidRDefault="000073C0">
      <w:pPr>
        <w:pStyle w:val="a3"/>
        <w:spacing w:before="0" w:beforeAutospacing="0" w:after="0" w:afterAutospacing="0" w:line="360" w:lineRule="auto"/>
        <w:ind w:firstLine="420"/>
        <w:divId w:val="1674988529"/>
        <w:rPr>
          <w:sz w:val="21"/>
          <w:szCs w:val="21"/>
        </w:rPr>
      </w:pPr>
      <w:r w:rsidRPr="000073C0">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0073C0" w:rsidRPr="000073C0" w:rsidRDefault="000073C0" w:rsidP="000A34B8">
      <w:pPr>
        <w:pStyle w:val="a3"/>
        <w:spacing w:before="0" w:beforeAutospacing="0" w:after="0" w:afterAutospacing="0" w:line="360" w:lineRule="auto"/>
        <w:ind w:firstLine="420"/>
        <w:divId w:val="1674988529"/>
        <w:rPr>
          <w:sz w:val="21"/>
          <w:szCs w:val="21"/>
        </w:rPr>
      </w:pPr>
      <w:r w:rsidRPr="000A34B8">
        <w:rPr>
          <w:sz w:val="21"/>
          <w:szCs w:val="21"/>
        </w:rPr>
        <w:t xml:space="preserve">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 </w:t>
      </w:r>
      <w:bookmarkStart w:id="166" w:name="chapter_level1_16_63_section_1_end"/>
      <w:bookmarkEnd w:id="166"/>
    </w:p>
    <w:p w:rsidR="000073C0" w:rsidRPr="000073C0" w:rsidRDefault="000073C0">
      <w:pPr>
        <w:pStyle w:val="a3"/>
        <w:spacing w:before="0" w:beforeAutospacing="0" w:after="0" w:afterAutospacing="0" w:line="360" w:lineRule="auto"/>
        <w:ind w:firstLine="420"/>
        <w:divId w:val="137379531"/>
        <w:rPr>
          <w:sz w:val="21"/>
          <w:szCs w:val="21"/>
        </w:rPr>
      </w:pPr>
      <w:bookmarkStart w:id="167" w:name="chapter_level1_16_63_section_2"/>
      <w:bookmarkEnd w:id="167"/>
      <w:r w:rsidRPr="000073C0">
        <w:rPr>
          <w:rStyle w:val="a4"/>
          <w:rFonts w:hint="eastAsia"/>
          <w:sz w:val="21"/>
          <w:szCs w:val="21"/>
        </w:rPr>
        <w:t>四、估值程序</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1、基金份额净值是按照每个工作日闭市后，基金资产净值除以当日基金份额的余额数量计算，精确到</w:t>
      </w:r>
      <w:bookmarkStart w:id="168" w:name="field_63_netdecimalvalue_1"/>
      <w:r w:rsidR="00D82C15">
        <w:rPr>
          <w:sz w:val="21"/>
          <w:szCs w:val="21"/>
        </w:rPr>
        <w:t>0.001</w:t>
      </w:r>
      <w:bookmarkEnd w:id="168"/>
      <w:r w:rsidRPr="000073C0">
        <w:rPr>
          <w:rFonts w:hint="eastAsia"/>
          <w:sz w:val="21"/>
          <w:szCs w:val="21"/>
        </w:rPr>
        <w:t xml:space="preserve">元，小数点后第4位四舍五入。国家另有规定的，从其规定。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每个工作日计算基金资产净值及基金份额净值，并按规定公告。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2、基金管理人应每个工作日对基金资产估值。但基金管理人根据法律法规或基金合同的规定暂停估值时除外。基金管理人每个工作日对基金资产估值后，将基金份额净值结果发</w:t>
      </w:r>
      <w:r w:rsidRPr="000073C0">
        <w:rPr>
          <w:rFonts w:hint="eastAsia"/>
          <w:sz w:val="21"/>
          <w:szCs w:val="21"/>
        </w:rPr>
        <w:lastRenderedPageBreak/>
        <w:t xml:space="preserve">送基金托管人，经基金托管人复核无误后，由基金管理人依据基金合同和有关法律法规的规定对外公布。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Style w:val="a4"/>
          <w:rFonts w:hint="eastAsia"/>
          <w:sz w:val="21"/>
          <w:szCs w:val="21"/>
        </w:rPr>
        <w:t>五、估值错误的处理</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基金管理人和基金托管人将采取必要、适当、合理的措施确保基金资产估值的准确性、及时性。当基金份额净值小数点后</w:t>
      </w:r>
      <w:bookmarkStart w:id="169" w:name="field_63_netdecimal_1"/>
      <w:r w:rsidR="00D82C15">
        <w:rPr>
          <w:sz w:val="21"/>
          <w:szCs w:val="21"/>
        </w:rPr>
        <w:t>3</w:t>
      </w:r>
      <w:bookmarkEnd w:id="169"/>
      <w:r w:rsidRPr="000073C0">
        <w:rPr>
          <w:rFonts w:hint="eastAsia"/>
          <w:sz w:val="21"/>
          <w:szCs w:val="21"/>
        </w:rPr>
        <w:t>位以内（含第</w:t>
      </w:r>
      <w:bookmarkStart w:id="170" w:name="field_63_netdecimal_2"/>
      <w:r w:rsidR="00D82C15">
        <w:rPr>
          <w:sz w:val="21"/>
          <w:szCs w:val="21"/>
        </w:rPr>
        <w:t>3</w:t>
      </w:r>
      <w:bookmarkEnd w:id="170"/>
      <w:r w:rsidRPr="000073C0">
        <w:rPr>
          <w:rFonts w:hint="eastAsia"/>
          <w:sz w:val="21"/>
          <w:szCs w:val="21"/>
        </w:rPr>
        <w:t xml:space="preserve">位）发生估值错误时，视为基金份额净值错误。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基金合同的当事人应按照以下约定处理：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1、估值错误类型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上述估值错误的主要类型包括但不限于：资料申报差错、数据传输差错、数据计算差错、系统故障差错、下达指令差错等。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2、估值错误处理原则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（2）估值错误的责任方对有关当事人的直接损失负责，不对间接损失负责，并且仅对估值错误的有关直接当事人负责，不对第三方负责。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w:t>
      </w:r>
      <w:r w:rsidRPr="000073C0">
        <w:rPr>
          <w:rFonts w:hint="eastAsia"/>
          <w:sz w:val="21"/>
          <w:szCs w:val="21"/>
        </w:rPr>
        <w:lastRenderedPageBreak/>
        <w:t xml:space="preserve">偿额加上已经获得的不当得利返还的总和超过其实际损失的差额部分支付给估值错误责任方。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（4）估值错误调整采用尽量恢复至假设未发生估值错误的正确情形的方式。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3、估值错误处理程序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估值错误被发现后，有关的当事人应当及时进行处理，处理的程序如下：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（1）查明估值错误发生的原因，列明所有的当事人，并根据估值错误发生的原因确定估值错误的责任方；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（2）根据估值错误处理原则或当事人协商的方法对因估值错误造成的损失进行评估；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（3）根据估值错误处理原则或当事人协商的方法由估值错误的责任方进行更正和赔偿损失；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（4）根据估值错误处理的方法，需要修改基金登记机构交易数据的，由基金登记机构进行更正，并就估值错误的更正向有关当事人进行确认。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4、基金份额净值估值错误处理的方法如下：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（1）基金份额净值计算出现错误时，基金管理人应当立即予以纠正，通报基金托管人，并采取合理的措施防止损失进一步扩大。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（2）错误偏差达到基金份额净值的0.25%时，基金管理人应当通报基金托管人并报中国证监会备案；错误偏差达到基金份额净值的0.5%时，基金管理人应当公告。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（3）前述内容如法律法规或监管机关另有规定的，从其规定处理。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Style w:val="a4"/>
          <w:rFonts w:hint="eastAsia"/>
          <w:sz w:val="21"/>
          <w:szCs w:val="21"/>
        </w:rPr>
        <w:t>六、暂停估值的情形</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1、基金投资所涉及的证券交易市场遇法定节假日或因其他原因暂停营业时；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2、因不可抗力致使基金管理人、基金托管人无法准确评估基金资产价值时；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3、占基金相当比例的投资品种的估值出现重大转变，而基金管理人为保障投资人的利益，决定延迟估值；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4、当前一估值日基金资产净值50%以上的资产出现无可参考的活跃市场价格且采用估值技术仍导致公允价值存在重大不确定性时，经与基金托管人协商一致，应当暂停估值；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 xml:space="preserve">5、法律法规、中国证监会和基金合同认定的其它情形。 </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Style w:val="a4"/>
          <w:rFonts w:hint="eastAsia"/>
          <w:sz w:val="21"/>
          <w:szCs w:val="21"/>
        </w:rPr>
        <w:t>七、基金净值的确认</w:t>
      </w:r>
    </w:p>
    <w:p w:rsidR="000073C0" w:rsidRPr="000073C0" w:rsidRDefault="000073C0">
      <w:pPr>
        <w:pStyle w:val="a3"/>
        <w:spacing w:before="0" w:beforeAutospacing="0" w:after="0" w:afterAutospacing="0" w:line="360" w:lineRule="auto"/>
        <w:ind w:firstLine="420"/>
        <w:divId w:val="137379531"/>
        <w:rPr>
          <w:sz w:val="21"/>
          <w:szCs w:val="21"/>
        </w:rPr>
      </w:pPr>
      <w:r w:rsidRPr="000073C0">
        <w:rPr>
          <w:rFonts w:hint="eastAsia"/>
          <w:sz w:val="21"/>
          <w:szCs w:val="21"/>
        </w:rPr>
        <w:t>用于基金信息披露的基金资产净值和基金份额净值由基金管理人负责计算，基金托管人负责进行复核。基金管理人应于每个工作日交易结束后计算当日的基金资产净值和基金份额</w:t>
      </w:r>
      <w:r w:rsidRPr="000073C0">
        <w:rPr>
          <w:rFonts w:hint="eastAsia"/>
          <w:sz w:val="21"/>
          <w:szCs w:val="21"/>
        </w:rPr>
        <w:lastRenderedPageBreak/>
        <w:t>净值并发送给基金托管人。基金托管人对净值计算结果复核确认后发送给基金管理人，由基</w:t>
      </w:r>
      <w:bookmarkStart w:id="171" w:name="chapter_level1_16_63_section_2_end"/>
      <w:bookmarkEnd w:id="171"/>
      <w:r w:rsidRPr="000073C0">
        <w:rPr>
          <w:rFonts w:hint="eastAsia"/>
          <w:sz w:val="21"/>
          <w:szCs w:val="21"/>
        </w:rPr>
        <w:t xml:space="preserve">金管理人依据基金合同和有关法律法规的规定予以公布。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72" w:name="chapter_level1_17_64"/>
      <w:bookmarkStart w:id="173" w:name="_Toc50743135"/>
      <w:r w:rsidRPr="000073C0">
        <w:rPr>
          <w:rFonts w:ascii="宋体" w:eastAsia="宋体" w:hAnsi="宋体" w:hint="eastAsia"/>
          <w:sz w:val="30"/>
        </w:rPr>
        <w:lastRenderedPageBreak/>
        <w:t>第十四部分  基金的收益与分配</w:t>
      </w:r>
      <w:bookmarkEnd w:id="172"/>
      <w:bookmarkEnd w:id="173"/>
    </w:p>
    <w:p w:rsidR="000073C0" w:rsidRPr="000073C0" w:rsidRDefault="000073C0">
      <w:pPr>
        <w:pStyle w:val="a3"/>
        <w:spacing w:before="0" w:beforeAutospacing="0" w:after="0" w:afterAutospacing="0" w:line="360" w:lineRule="auto"/>
        <w:ind w:firstLine="420"/>
        <w:divId w:val="432364766"/>
        <w:rPr>
          <w:sz w:val="21"/>
          <w:szCs w:val="21"/>
        </w:rPr>
      </w:pPr>
      <w:bookmarkStart w:id="174" w:name="chapter_level1_17_64_section_1"/>
      <w:bookmarkEnd w:id="174"/>
      <w:r w:rsidRPr="000073C0">
        <w:rPr>
          <w:rFonts w:hint="eastAsia"/>
          <w:sz w:val="21"/>
          <w:szCs w:val="21"/>
        </w:rPr>
        <w:t xml:space="preserve">本基金不进行收益分配。  </w:t>
      </w:r>
    </w:p>
    <w:p w:rsidR="000073C0" w:rsidRPr="000073C0" w:rsidRDefault="000073C0">
      <w:pPr>
        <w:pStyle w:val="a3"/>
        <w:spacing w:before="0" w:beforeAutospacing="0" w:after="0" w:afterAutospacing="0" w:line="360" w:lineRule="auto"/>
        <w:ind w:firstLine="420"/>
        <w:divId w:val="432364766"/>
        <w:rPr>
          <w:sz w:val="21"/>
          <w:szCs w:val="21"/>
        </w:rPr>
      </w:pPr>
      <w:r w:rsidRPr="000073C0">
        <w:rPr>
          <w:rFonts w:hint="eastAsia"/>
          <w:sz w:val="21"/>
          <w:szCs w:val="21"/>
        </w:rPr>
        <w:t>如果中国证监会调整有关红利分配政策，基金管理人有权根据新政策制定和调整本基金</w:t>
      </w:r>
      <w:bookmarkStart w:id="175" w:name="chapter_level1_17_64_section_1_end"/>
      <w:bookmarkEnd w:id="175"/>
      <w:r w:rsidRPr="000073C0">
        <w:rPr>
          <w:rFonts w:hint="eastAsia"/>
          <w:sz w:val="21"/>
          <w:szCs w:val="21"/>
        </w:rPr>
        <w:t xml:space="preserve">的收益分配方案和决定是否取消自动赎回期，不需要召开基金份额持有人大会。 </w:t>
      </w:r>
    </w:p>
    <w:p w:rsidR="000073C0" w:rsidRPr="000073C0" w:rsidRDefault="000073C0">
      <w:pPr>
        <w:pStyle w:val="a3"/>
        <w:spacing w:before="0" w:beforeAutospacing="0" w:after="0" w:afterAutospacing="0" w:line="360" w:lineRule="auto"/>
        <w:ind w:firstLine="420"/>
        <w:divId w:val="512034693"/>
        <w:rPr>
          <w:sz w:val="21"/>
          <w:szCs w:val="21"/>
        </w:rPr>
      </w:pPr>
      <w:bookmarkStart w:id="176" w:name="chapter_level1_17_64_section_2"/>
      <w:bookmarkStart w:id="177" w:name="chapter_level1_17_64_section_2_end"/>
      <w:bookmarkEnd w:id="176"/>
      <w:bookmarkEnd w:id="177"/>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78" w:name="chapter_level1_18_65"/>
      <w:bookmarkStart w:id="179" w:name="_Toc50743136"/>
      <w:r w:rsidRPr="000073C0">
        <w:rPr>
          <w:rFonts w:ascii="宋体" w:eastAsia="宋体" w:hAnsi="宋体" w:hint="eastAsia"/>
          <w:sz w:val="30"/>
        </w:rPr>
        <w:lastRenderedPageBreak/>
        <w:t>第十五部分  基金费用与税收</w:t>
      </w:r>
      <w:bookmarkEnd w:id="178"/>
      <w:bookmarkEnd w:id="179"/>
    </w:p>
    <w:p w:rsidR="000073C0" w:rsidRPr="000073C0" w:rsidRDefault="000073C0">
      <w:pPr>
        <w:pStyle w:val="a3"/>
        <w:spacing w:before="0" w:beforeAutospacing="0" w:after="0" w:afterAutospacing="0" w:line="360" w:lineRule="auto"/>
        <w:ind w:firstLine="420"/>
        <w:divId w:val="381442898"/>
        <w:rPr>
          <w:sz w:val="21"/>
          <w:szCs w:val="21"/>
        </w:rPr>
      </w:pPr>
      <w:bookmarkStart w:id="180" w:name="chapter_level1_18_65_section_1"/>
      <w:bookmarkEnd w:id="180"/>
      <w:r w:rsidRPr="000073C0">
        <w:rPr>
          <w:rFonts w:hint="eastAsia"/>
          <w:b/>
          <w:bCs/>
          <w:sz w:val="21"/>
          <w:szCs w:val="21"/>
        </w:rPr>
        <w:t>一、与运作有关的费用</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b/>
          <w:bCs/>
          <w:sz w:val="21"/>
          <w:szCs w:val="21"/>
        </w:rPr>
        <w:t>（一）、基金费用的种类</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1、基金管理人的管理费；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2、基金托管人的托管费；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3、《基金合同》生效后与基金相关的信息披露费用，法律法规、中国证监会另有规定的除外；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4、《基金合同》生效后与基金相关的会计师费、律师费和诉讼费；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5、基金份额持有人大会费用；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6、基金的证券交易费用；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7、基金的银行汇划费用；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8、基金的开户费用和账户维护费；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9、按照国家有关规定和《基金合同》约定，可以在基金财产中列支的其他费用。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b/>
          <w:bCs/>
          <w:sz w:val="21"/>
          <w:szCs w:val="21"/>
        </w:rPr>
        <w:t>（二）、基金费用计提方法、计提标准和支付方式</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1、基金管理人的管理费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本基金的管理费按前一日基金资产净值的</w:t>
      </w:r>
      <w:bookmarkStart w:id="181" w:name="field_0_managementrate_1"/>
      <w:r w:rsidR="00D82C15">
        <w:rPr>
          <w:sz w:val="21"/>
          <w:szCs w:val="21"/>
        </w:rPr>
        <w:t>0.70</w:t>
      </w:r>
      <w:bookmarkEnd w:id="181"/>
      <w:r w:rsidRPr="000073C0">
        <w:rPr>
          <w:rFonts w:hint="eastAsia"/>
          <w:sz w:val="21"/>
          <w:szCs w:val="21"/>
        </w:rPr>
        <w:t xml:space="preserve">%年费率计提。管理费的计算方法如下：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H＝E×</w:t>
      </w:r>
      <w:bookmarkStart w:id="182" w:name="field_0_managementrate_2"/>
      <w:r w:rsidR="00D82C15">
        <w:rPr>
          <w:sz w:val="21"/>
          <w:szCs w:val="21"/>
        </w:rPr>
        <w:t>0.70</w:t>
      </w:r>
      <w:bookmarkEnd w:id="182"/>
      <w:r w:rsidRPr="000073C0">
        <w:rPr>
          <w:rFonts w:hint="eastAsia"/>
          <w:sz w:val="21"/>
          <w:szCs w:val="21"/>
        </w:rPr>
        <w:t xml:space="preserve"> %÷当年天数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H为每日应计提的基金管理费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E为前一日的基金资产净值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基金管理费每日计提，按月支付。由托管人根据与管理人核对一致的财务数据，自动在月初5个工作日内、按照指定的账户路径进行资金支付，管理人无需再出具资金划拨指令。若遇法定节假日、休息日等，支付日期顺延。费用自动扣划后，管理人应进行核对，如发现数据不符，及时联系托管人协商解决。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若遇法定节假日、休息日或不可抗力致使无法按时支付的，顺延至最近可支付日支付。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2、基金托管人的托管费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本基金的托管费按前一日基金资产净值的</w:t>
      </w:r>
      <w:bookmarkStart w:id="183" w:name="field_0_trusteerate_1"/>
      <w:r w:rsidR="00D82C15">
        <w:rPr>
          <w:sz w:val="21"/>
          <w:szCs w:val="21"/>
        </w:rPr>
        <w:t>0.20</w:t>
      </w:r>
      <w:bookmarkEnd w:id="183"/>
      <w:r w:rsidRPr="000073C0">
        <w:rPr>
          <w:rFonts w:hint="eastAsia"/>
          <w:sz w:val="21"/>
          <w:szCs w:val="21"/>
        </w:rPr>
        <w:t xml:space="preserve">%的年费率计提。托管费的计算方法如下：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H＝E×</w:t>
      </w:r>
      <w:bookmarkStart w:id="184" w:name="field_0_trusteerate_2"/>
      <w:r w:rsidR="00D82C15">
        <w:rPr>
          <w:sz w:val="21"/>
          <w:szCs w:val="21"/>
        </w:rPr>
        <w:t>0.20</w:t>
      </w:r>
      <w:bookmarkEnd w:id="184"/>
      <w:r w:rsidRPr="000073C0">
        <w:rPr>
          <w:rFonts w:hint="eastAsia"/>
          <w:sz w:val="21"/>
          <w:szCs w:val="21"/>
        </w:rPr>
        <w:t xml:space="preserve">%÷当年天数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H为每日应计提的基金托管费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lastRenderedPageBreak/>
        <w:t xml:space="preserve">E为前一日的基金资产净值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基金托管费每日计提，按月支付。由托管人根据与管理人核对一致的财务数据，自动在月初5个工作日内、按照指定的账户路径进行资金支付，管理人无需再出具资金划拨指令。若遇法定节假日、休息日等，支付日期顺延。费用自动扣划后，管理人应进行核对，如发现数据不符，及时联系托管人协商解决。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若遇法定节假日、休息日或不可抗力致使无法按时支付的，顺延至最近可支付日支付。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上述“（一）、基金费用的种类中第3-8项费用”，根据有关法规及相应协议规定，按费用实际支出金额列入当期费用，由基金托管人从基金财产中支付。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二、与基金销售有关的费用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1、本基金的基金份额申购费率最高不超过5％，投资者可以多次申购本基金，申购费率按每笔申购申请单独计算。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本基金的基金份额采用前端收费模式收取基金申购费用。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投资者的申购费用如下： </w:t>
      </w:r>
    </w:p>
    <w:p w:rsidR="000073C0" w:rsidRPr="000073C0" w:rsidRDefault="000073C0">
      <w:pPr>
        <w:pStyle w:val="a3"/>
        <w:spacing w:before="0" w:beforeAutospacing="0" w:after="0" w:afterAutospacing="0" w:line="360" w:lineRule="auto"/>
        <w:ind w:firstLine="420"/>
        <w:jc w:val="center"/>
        <w:divId w:val="381442898"/>
        <w:rPr>
          <w:sz w:val="21"/>
          <w:szCs w:val="21"/>
        </w:rPr>
      </w:pPr>
      <w:r w:rsidRPr="000073C0">
        <w:rPr>
          <w:rFonts w:hint="eastAsia"/>
          <w:sz w:val="21"/>
          <w:szCs w:val="21"/>
        </w:rPr>
        <w:t xml:space="preserve">表格：投资者申购本基金份额的申购费率 </w:t>
      </w:r>
    </w:p>
    <w:tbl>
      <w:tblPr>
        <w:tblStyle w:val="ac"/>
        <w:tblW w:w="5000" w:type="pct"/>
        <w:tblLook w:val="04A0" w:firstRow="1" w:lastRow="0" w:firstColumn="1" w:lastColumn="0" w:noHBand="0" w:noVBand="1"/>
      </w:tblPr>
      <w:tblGrid>
        <w:gridCol w:w="4129"/>
        <w:gridCol w:w="4387"/>
      </w:tblGrid>
      <w:tr w:rsidR="000073C0" w:rsidRPr="000073C0" w:rsidTr="000073C0">
        <w:trPr>
          <w:divId w:val="938491658"/>
        </w:trPr>
        <w:tc>
          <w:tcPr>
            <w:tcW w:w="2400" w:type="pct"/>
            <w:shd w:val="clear" w:color="auto" w:fill="auto"/>
            <w:hideMark/>
          </w:tcPr>
          <w:p w:rsidR="000073C0" w:rsidRPr="000073C0" w:rsidRDefault="000073C0">
            <w:pPr>
              <w:pStyle w:val="a3"/>
              <w:jc w:val="center"/>
            </w:pPr>
            <w:r w:rsidRPr="000073C0">
              <w:rPr>
                <w:rFonts w:hint="eastAsia"/>
                <w:b/>
                <w:bCs/>
              </w:rPr>
              <w:t>金额（M）</w:t>
            </w:r>
          </w:p>
        </w:tc>
        <w:tc>
          <w:tcPr>
            <w:tcW w:w="2550" w:type="pct"/>
            <w:shd w:val="clear" w:color="auto" w:fill="auto"/>
            <w:hideMark/>
          </w:tcPr>
          <w:p w:rsidR="000073C0" w:rsidRPr="000073C0" w:rsidRDefault="000073C0">
            <w:pPr>
              <w:pStyle w:val="a3"/>
              <w:jc w:val="center"/>
            </w:pPr>
            <w:r w:rsidRPr="000073C0">
              <w:rPr>
                <w:rFonts w:hint="eastAsia"/>
                <w:b/>
                <w:bCs/>
              </w:rPr>
              <w:t>前端申购费率</w:t>
            </w:r>
          </w:p>
        </w:tc>
      </w:tr>
      <w:tr w:rsidR="000073C0" w:rsidRPr="000073C0" w:rsidTr="000073C0">
        <w:trPr>
          <w:divId w:val="938491658"/>
        </w:trPr>
        <w:tc>
          <w:tcPr>
            <w:tcW w:w="2400" w:type="pct"/>
            <w:shd w:val="clear" w:color="auto" w:fill="auto"/>
            <w:hideMark/>
          </w:tcPr>
          <w:p w:rsidR="000073C0" w:rsidRPr="000073C0" w:rsidRDefault="000073C0">
            <w:pPr>
              <w:pStyle w:val="a3"/>
              <w:jc w:val="center"/>
            </w:pPr>
            <w:r w:rsidRPr="000073C0">
              <w:rPr>
                <w:rFonts w:hint="eastAsia"/>
              </w:rPr>
              <w:t xml:space="preserve">M＜100万元  </w:t>
            </w:r>
          </w:p>
        </w:tc>
        <w:tc>
          <w:tcPr>
            <w:tcW w:w="2550" w:type="pct"/>
            <w:shd w:val="clear" w:color="auto" w:fill="auto"/>
            <w:hideMark/>
          </w:tcPr>
          <w:p w:rsidR="000073C0" w:rsidRPr="000073C0" w:rsidRDefault="000073C0">
            <w:pPr>
              <w:pStyle w:val="a3"/>
              <w:jc w:val="center"/>
            </w:pPr>
            <w:r w:rsidRPr="000073C0">
              <w:rPr>
                <w:rFonts w:hint="eastAsia"/>
              </w:rPr>
              <w:t xml:space="preserve">0.90%  </w:t>
            </w:r>
          </w:p>
        </w:tc>
      </w:tr>
      <w:tr w:rsidR="000073C0" w:rsidRPr="000073C0" w:rsidTr="000073C0">
        <w:trPr>
          <w:divId w:val="938491658"/>
        </w:trPr>
        <w:tc>
          <w:tcPr>
            <w:tcW w:w="2400" w:type="pct"/>
            <w:shd w:val="clear" w:color="auto" w:fill="auto"/>
            <w:hideMark/>
          </w:tcPr>
          <w:p w:rsidR="000073C0" w:rsidRPr="000073C0" w:rsidRDefault="000073C0">
            <w:pPr>
              <w:pStyle w:val="a3"/>
              <w:jc w:val="center"/>
            </w:pPr>
            <w:r w:rsidRPr="000073C0">
              <w:rPr>
                <w:rFonts w:hint="eastAsia"/>
              </w:rPr>
              <w:t xml:space="preserve">100万元≤M＜300万元  </w:t>
            </w:r>
          </w:p>
        </w:tc>
        <w:tc>
          <w:tcPr>
            <w:tcW w:w="2550" w:type="pct"/>
            <w:shd w:val="clear" w:color="auto" w:fill="auto"/>
            <w:hideMark/>
          </w:tcPr>
          <w:p w:rsidR="000073C0" w:rsidRPr="000073C0" w:rsidRDefault="000073C0">
            <w:pPr>
              <w:pStyle w:val="a3"/>
              <w:jc w:val="center"/>
            </w:pPr>
            <w:r w:rsidRPr="000073C0">
              <w:rPr>
                <w:rFonts w:hint="eastAsia"/>
              </w:rPr>
              <w:t xml:space="preserve">0.60%  </w:t>
            </w:r>
          </w:p>
        </w:tc>
      </w:tr>
      <w:tr w:rsidR="000073C0" w:rsidRPr="000073C0" w:rsidTr="000073C0">
        <w:trPr>
          <w:divId w:val="938491658"/>
        </w:trPr>
        <w:tc>
          <w:tcPr>
            <w:tcW w:w="2400" w:type="pct"/>
            <w:shd w:val="clear" w:color="auto" w:fill="auto"/>
            <w:hideMark/>
          </w:tcPr>
          <w:p w:rsidR="000073C0" w:rsidRPr="000073C0" w:rsidRDefault="000073C0">
            <w:pPr>
              <w:pStyle w:val="a3"/>
              <w:jc w:val="center"/>
            </w:pPr>
            <w:r w:rsidRPr="000073C0">
              <w:rPr>
                <w:rFonts w:hint="eastAsia"/>
              </w:rPr>
              <w:t xml:space="preserve">300万元≤M＜500万元  </w:t>
            </w:r>
          </w:p>
        </w:tc>
        <w:tc>
          <w:tcPr>
            <w:tcW w:w="2550" w:type="pct"/>
            <w:shd w:val="clear" w:color="auto" w:fill="auto"/>
            <w:hideMark/>
          </w:tcPr>
          <w:p w:rsidR="000073C0" w:rsidRPr="000073C0" w:rsidRDefault="000073C0">
            <w:pPr>
              <w:pStyle w:val="a3"/>
              <w:jc w:val="center"/>
            </w:pPr>
            <w:r w:rsidRPr="000073C0">
              <w:rPr>
                <w:rFonts w:hint="eastAsia"/>
              </w:rPr>
              <w:t xml:space="preserve">0.08%  </w:t>
            </w:r>
          </w:p>
        </w:tc>
      </w:tr>
      <w:tr w:rsidR="000073C0" w:rsidRPr="000073C0" w:rsidTr="000073C0">
        <w:trPr>
          <w:divId w:val="938491658"/>
        </w:trPr>
        <w:tc>
          <w:tcPr>
            <w:tcW w:w="2400" w:type="pct"/>
            <w:shd w:val="clear" w:color="auto" w:fill="auto"/>
            <w:hideMark/>
          </w:tcPr>
          <w:p w:rsidR="000073C0" w:rsidRPr="000073C0" w:rsidRDefault="000073C0">
            <w:pPr>
              <w:pStyle w:val="a3"/>
              <w:jc w:val="center"/>
            </w:pPr>
            <w:r w:rsidRPr="000073C0">
              <w:rPr>
                <w:rFonts w:hint="eastAsia"/>
              </w:rPr>
              <w:t xml:space="preserve">M≥500万元  </w:t>
            </w:r>
          </w:p>
        </w:tc>
        <w:tc>
          <w:tcPr>
            <w:tcW w:w="2550" w:type="pct"/>
            <w:shd w:val="clear" w:color="auto" w:fill="auto"/>
            <w:hideMark/>
          </w:tcPr>
          <w:p w:rsidR="000073C0" w:rsidRPr="000073C0" w:rsidRDefault="000073C0">
            <w:pPr>
              <w:pStyle w:val="a3"/>
              <w:jc w:val="center"/>
            </w:pPr>
            <w:r w:rsidRPr="000073C0">
              <w:rPr>
                <w:rFonts w:hint="eastAsia"/>
              </w:rPr>
              <w:t xml:space="preserve">1000元/笔  </w:t>
            </w:r>
          </w:p>
        </w:tc>
      </w:tr>
    </w:tbl>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来源：博时基金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本基金的申购费用由投资者承担，主要用于本基金的市场推广、销售、登记等各项费用，不列入基金财产。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2、本基金在自动赎回期不收取赎回费；在受限开放期，本基金的基金份额赎回费率最高不超过5%，所收取的赎回费，对持续持有期少于7日的投资者收取的赎回费全额计入基金财产，对持续持有期不少于7日的投资者收取的赎回费总额的75%计入基金财产，具体赎回费率见下表： </w:t>
      </w:r>
    </w:p>
    <w:p w:rsidR="000073C0" w:rsidRPr="000073C0" w:rsidRDefault="000073C0">
      <w:pPr>
        <w:pStyle w:val="a3"/>
        <w:spacing w:before="0" w:beforeAutospacing="0" w:after="0" w:afterAutospacing="0" w:line="360" w:lineRule="auto"/>
        <w:ind w:firstLine="420"/>
        <w:jc w:val="center"/>
        <w:divId w:val="381442898"/>
        <w:rPr>
          <w:sz w:val="21"/>
          <w:szCs w:val="21"/>
        </w:rPr>
      </w:pPr>
      <w:r w:rsidRPr="000073C0">
        <w:rPr>
          <w:rFonts w:hint="eastAsia"/>
          <w:sz w:val="21"/>
          <w:szCs w:val="21"/>
        </w:rPr>
        <w:t xml:space="preserve">表格：投资者开放期内赎回费率 </w:t>
      </w:r>
    </w:p>
    <w:tbl>
      <w:tblPr>
        <w:tblStyle w:val="ac"/>
        <w:tblW w:w="5000" w:type="pct"/>
        <w:tblLook w:val="04A0" w:firstRow="1" w:lastRow="0" w:firstColumn="1" w:lastColumn="0" w:noHBand="0" w:noVBand="1"/>
      </w:tblPr>
      <w:tblGrid>
        <w:gridCol w:w="2235"/>
        <w:gridCol w:w="3970"/>
        <w:gridCol w:w="2311"/>
      </w:tblGrid>
      <w:tr w:rsidR="000073C0" w:rsidRPr="000073C0" w:rsidTr="004F08DA">
        <w:trPr>
          <w:divId w:val="690885283"/>
        </w:trPr>
        <w:tc>
          <w:tcPr>
            <w:tcW w:w="3643" w:type="pct"/>
            <w:gridSpan w:val="2"/>
            <w:shd w:val="clear" w:color="auto" w:fill="auto"/>
            <w:hideMark/>
          </w:tcPr>
          <w:p w:rsidR="000073C0" w:rsidRPr="000073C0" w:rsidRDefault="000073C0">
            <w:pPr>
              <w:pStyle w:val="a3"/>
              <w:ind w:firstLine="527"/>
            </w:pPr>
            <w:r w:rsidRPr="000073C0">
              <w:rPr>
                <w:rFonts w:hint="eastAsia"/>
                <w:b/>
                <w:bCs/>
              </w:rPr>
              <w:t>赎回期间</w:t>
            </w:r>
          </w:p>
        </w:tc>
        <w:tc>
          <w:tcPr>
            <w:tcW w:w="1357" w:type="pct"/>
            <w:shd w:val="clear" w:color="auto" w:fill="auto"/>
            <w:hideMark/>
          </w:tcPr>
          <w:p w:rsidR="000073C0" w:rsidRPr="000073C0" w:rsidRDefault="000073C0">
            <w:pPr>
              <w:pStyle w:val="a3"/>
              <w:ind w:firstLine="422"/>
            </w:pPr>
            <w:r w:rsidRPr="000073C0">
              <w:rPr>
                <w:rFonts w:hint="eastAsia"/>
                <w:b/>
                <w:bCs/>
              </w:rPr>
              <w:t>赎回费率</w:t>
            </w:r>
          </w:p>
        </w:tc>
      </w:tr>
      <w:tr w:rsidR="000073C0" w:rsidRPr="000073C0" w:rsidTr="004F08DA">
        <w:trPr>
          <w:divId w:val="690885283"/>
        </w:trPr>
        <w:tc>
          <w:tcPr>
            <w:tcW w:w="1312" w:type="pct"/>
            <w:vMerge w:val="restart"/>
            <w:shd w:val="clear" w:color="auto" w:fill="auto"/>
            <w:hideMark/>
          </w:tcPr>
          <w:p w:rsidR="000073C0" w:rsidRPr="000073C0" w:rsidRDefault="000073C0">
            <w:pPr>
              <w:pStyle w:val="a3"/>
              <w:ind w:firstLine="420"/>
            </w:pPr>
            <w:r w:rsidRPr="000073C0">
              <w:rPr>
                <w:rFonts w:hint="eastAsia"/>
              </w:rPr>
              <w:t xml:space="preserve">自由开放期  </w:t>
            </w:r>
          </w:p>
        </w:tc>
        <w:tc>
          <w:tcPr>
            <w:tcW w:w="2331" w:type="pct"/>
            <w:shd w:val="clear" w:color="auto" w:fill="auto"/>
            <w:hideMark/>
          </w:tcPr>
          <w:p w:rsidR="000073C0" w:rsidRPr="000073C0" w:rsidRDefault="000073C0">
            <w:pPr>
              <w:pStyle w:val="a3"/>
              <w:ind w:firstLine="420"/>
            </w:pPr>
            <w:r w:rsidRPr="000073C0">
              <w:rPr>
                <w:rFonts w:hint="eastAsia"/>
              </w:rPr>
              <w:t xml:space="preserve">持有基金份额期限&lt; 7日  </w:t>
            </w:r>
          </w:p>
        </w:tc>
        <w:tc>
          <w:tcPr>
            <w:tcW w:w="1357" w:type="pct"/>
            <w:shd w:val="clear" w:color="auto" w:fill="auto"/>
            <w:hideMark/>
          </w:tcPr>
          <w:p w:rsidR="000073C0" w:rsidRPr="000073C0" w:rsidRDefault="000073C0">
            <w:pPr>
              <w:pStyle w:val="a3"/>
              <w:ind w:firstLine="420"/>
            </w:pPr>
            <w:r w:rsidRPr="000073C0">
              <w:rPr>
                <w:rFonts w:hint="eastAsia"/>
              </w:rPr>
              <w:t xml:space="preserve">1.50%  </w:t>
            </w:r>
          </w:p>
        </w:tc>
      </w:tr>
      <w:tr w:rsidR="000073C0" w:rsidRPr="000073C0" w:rsidTr="004F08DA">
        <w:trPr>
          <w:divId w:val="690885283"/>
        </w:trPr>
        <w:tc>
          <w:tcPr>
            <w:tcW w:w="1312" w:type="pct"/>
            <w:vMerge/>
            <w:shd w:val="clear" w:color="auto" w:fill="auto"/>
            <w:hideMark/>
          </w:tcPr>
          <w:p w:rsidR="000073C0" w:rsidRPr="000073C0" w:rsidRDefault="000073C0">
            <w:pPr>
              <w:rPr>
                <w:rFonts w:ascii="宋体" w:eastAsia="宋体" w:hAnsi="宋体" w:cs="宋体"/>
                <w:sz w:val="24"/>
                <w:szCs w:val="24"/>
              </w:rPr>
            </w:pPr>
          </w:p>
        </w:tc>
        <w:tc>
          <w:tcPr>
            <w:tcW w:w="2331" w:type="pct"/>
            <w:shd w:val="clear" w:color="auto" w:fill="auto"/>
            <w:hideMark/>
          </w:tcPr>
          <w:p w:rsidR="000073C0" w:rsidRPr="000073C0" w:rsidRDefault="000073C0">
            <w:pPr>
              <w:pStyle w:val="a3"/>
              <w:ind w:firstLine="420"/>
            </w:pPr>
            <w:r w:rsidRPr="000073C0">
              <w:rPr>
                <w:rFonts w:hint="eastAsia"/>
              </w:rPr>
              <w:t xml:space="preserve">持有基金份额期限≥7日  </w:t>
            </w:r>
          </w:p>
        </w:tc>
        <w:tc>
          <w:tcPr>
            <w:tcW w:w="1357" w:type="pct"/>
            <w:shd w:val="clear" w:color="auto" w:fill="auto"/>
            <w:hideMark/>
          </w:tcPr>
          <w:p w:rsidR="000073C0" w:rsidRPr="000073C0" w:rsidRDefault="000073C0">
            <w:pPr>
              <w:pStyle w:val="a3"/>
              <w:ind w:firstLine="420"/>
            </w:pPr>
            <w:r w:rsidRPr="000073C0">
              <w:rPr>
                <w:rFonts w:hint="eastAsia"/>
              </w:rPr>
              <w:t xml:space="preserve">0.00%   </w:t>
            </w:r>
          </w:p>
        </w:tc>
      </w:tr>
      <w:tr w:rsidR="000073C0" w:rsidRPr="000073C0" w:rsidTr="004F08DA">
        <w:trPr>
          <w:divId w:val="690885283"/>
        </w:trPr>
        <w:tc>
          <w:tcPr>
            <w:tcW w:w="3643" w:type="pct"/>
            <w:gridSpan w:val="2"/>
            <w:shd w:val="clear" w:color="auto" w:fill="auto"/>
            <w:hideMark/>
          </w:tcPr>
          <w:p w:rsidR="000073C0" w:rsidRPr="000073C0" w:rsidRDefault="000073C0">
            <w:pPr>
              <w:pStyle w:val="a3"/>
              <w:ind w:firstLine="420"/>
            </w:pPr>
            <w:r w:rsidRPr="000073C0">
              <w:rPr>
                <w:rFonts w:hint="eastAsia"/>
              </w:rPr>
              <w:t xml:space="preserve">自动赎回期  </w:t>
            </w:r>
          </w:p>
        </w:tc>
        <w:tc>
          <w:tcPr>
            <w:tcW w:w="1357" w:type="pct"/>
            <w:shd w:val="clear" w:color="auto" w:fill="auto"/>
            <w:hideMark/>
          </w:tcPr>
          <w:p w:rsidR="000073C0" w:rsidRPr="000073C0" w:rsidRDefault="000073C0">
            <w:pPr>
              <w:pStyle w:val="a3"/>
              <w:ind w:firstLine="420"/>
            </w:pPr>
            <w:r w:rsidRPr="000073C0">
              <w:rPr>
                <w:rFonts w:hint="eastAsia"/>
              </w:rPr>
              <w:t xml:space="preserve">0.00%   </w:t>
            </w:r>
          </w:p>
        </w:tc>
      </w:tr>
      <w:tr w:rsidR="000073C0" w:rsidRPr="000073C0" w:rsidTr="004F08DA">
        <w:trPr>
          <w:divId w:val="690885283"/>
        </w:trPr>
        <w:tc>
          <w:tcPr>
            <w:tcW w:w="3643" w:type="pct"/>
            <w:gridSpan w:val="2"/>
            <w:shd w:val="clear" w:color="auto" w:fill="auto"/>
            <w:hideMark/>
          </w:tcPr>
          <w:p w:rsidR="000073C0" w:rsidRPr="000073C0" w:rsidRDefault="000073C0">
            <w:pPr>
              <w:pStyle w:val="a3"/>
              <w:ind w:firstLine="420"/>
            </w:pPr>
            <w:r w:rsidRPr="000073C0">
              <w:rPr>
                <w:rFonts w:hint="eastAsia"/>
              </w:rPr>
              <w:t xml:space="preserve">受限开放期  </w:t>
            </w:r>
          </w:p>
        </w:tc>
        <w:tc>
          <w:tcPr>
            <w:tcW w:w="1357" w:type="pct"/>
            <w:shd w:val="clear" w:color="auto" w:fill="auto"/>
            <w:hideMark/>
          </w:tcPr>
          <w:p w:rsidR="000073C0" w:rsidRPr="000073C0" w:rsidRDefault="000073C0">
            <w:pPr>
              <w:pStyle w:val="a3"/>
              <w:ind w:firstLine="420"/>
            </w:pPr>
            <w:r w:rsidRPr="000073C0">
              <w:rPr>
                <w:rFonts w:hint="eastAsia"/>
              </w:rPr>
              <w:t xml:space="preserve">1.00%   </w:t>
            </w:r>
          </w:p>
        </w:tc>
      </w:tr>
    </w:tbl>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lastRenderedPageBreak/>
        <w:t xml:space="preserve">来源：博时基金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本基金的赎回费率由赎回基金份额的基金份额持有人承担，在基金份额持有人赎回基金份额时收取。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3、基金管理人可以在法律法规和基金合同规定范围内调整申购费率和赎回费率。费率如发生变更，基金管理人应在调整前依照《信息披露办法》的有关规定在指定媒介上公告。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b/>
          <w:bCs/>
          <w:sz w:val="21"/>
          <w:szCs w:val="21"/>
        </w:rPr>
        <w:t>三、不列入基金费用的项目</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下列费用不列入基金费用：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1、基金管理人和基金托管人因未履行或未完全履行义务导致的费用支出或基金财产的损失；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2、基金管理人和基金托管人处理与基金运作无关的事项发生的费用；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3、《基金合同》生效前的相关费用；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sz w:val="21"/>
          <w:szCs w:val="21"/>
        </w:rPr>
        <w:t xml:space="preserve">4、其他根据相关法律法规及中国证监会的有关规定不得列入基金费用的项目。 </w:t>
      </w:r>
    </w:p>
    <w:p w:rsidR="000073C0" w:rsidRPr="000073C0" w:rsidRDefault="000073C0">
      <w:pPr>
        <w:pStyle w:val="a3"/>
        <w:spacing w:before="0" w:beforeAutospacing="0" w:after="0" w:afterAutospacing="0" w:line="360" w:lineRule="auto"/>
        <w:ind w:firstLine="420"/>
        <w:divId w:val="381442898"/>
        <w:rPr>
          <w:sz w:val="21"/>
          <w:szCs w:val="21"/>
        </w:rPr>
      </w:pPr>
      <w:r w:rsidRPr="000073C0">
        <w:rPr>
          <w:rFonts w:hint="eastAsia"/>
          <w:b/>
          <w:bCs/>
          <w:sz w:val="21"/>
          <w:szCs w:val="21"/>
        </w:rPr>
        <w:t>四、基金税收</w:t>
      </w:r>
    </w:p>
    <w:p w:rsidR="000073C0" w:rsidRPr="000073C0" w:rsidRDefault="000073C0">
      <w:pPr>
        <w:pStyle w:val="a3"/>
        <w:spacing w:before="0" w:beforeAutospacing="0" w:after="0" w:afterAutospacing="0" w:line="360" w:lineRule="auto"/>
        <w:ind w:firstLine="420"/>
        <w:divId w:val="381442898"/>
        <w:rPr>
          <w:sz w:val="21"/>
          <w:szCs w:val="21"/>
        </w:rPr>
      </w:pPr>
      <w:bookmarkStart w:id="185" w:name="chapter_level1_18_65_section_1_end"/>
      <w:bookmarkEnd w:id="185"/>
      <w:r w:rsidRPr="000073C0">
        <w:rPr>
          <w:rFonts w:hint="eastAsia"/>
          <w:sz w:val="21"/>
          <w:szCs w:val="21"/>
        </w:rPr>
        <w:t xml:space="preserve">本基金运作过程中涉及的各纳税主体，其纳税义务按国家税收法律、法规执行。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86" w:name="chapter_level1_19_66"/>
      <w:bookmarkStart w:id="187" w:name="_Toc50743137"/>
      <w:r w:rsidRPr="000073C0">
        <w:rPr>
          <w:rFonts w:ascii="宋体" w:eastAsia="宋体" w:hAnsi="宋体" w:hint="eastAsia"/>
          <w:sz w:val="30"/>
        </w:rPr>
        <w:lastRenderedPageBreak/>
        <w:t>第十六部分  基金的会计与审计</w:t>
      </w:r>
      <w:bookmarkEnd w:id="186"/>
      <w:bookmarkEnd w:id="187"/>
    </w:p>
    <w:p w:rsidR="000073C0" w:rsidRPr="000073C0" w:rsidRDefault="000073C0">
      <w:pPr>
        <w:pStyle w:val="a3"/>
        <w:spacing w:before="0" w:beforeAutospacing="0" w:after="0" w:afterAutospacing="0" w:line="360" w:lineRule="auto"/>
        <w:ind w:firstLine="420"/>
        <w:divId w:val="684554481"/>
        <w:rPr>
          <w:sz w:val="21"/>
          <w:szCs w:val="21"/>
        </w:rPr>
      </w:pPr>
      <w:bookmarkStart w:id="188" w:name="chapter_level1_19_66_section_1"/>
      <w:bookmarkEnd w:id="188"/>
      <w:r w:rsidRPr="000073C0">
        <w:rPr>
          <w:rStyle w:val="a4"/>
          <w:rFonts w:hint="eastAsia"/>
          <w:sz w:val="21"/>
          <w:szCs w:val="21"/>
        </w:rPr>
        <w:t>一、基金会计政策</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1、基金管理人为本基金的基金会计责任方；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2、基金的会计年度为公历年度的1月1日至12月31日；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3、基金核算以人民币为记账本位币，以人民币元为记账单位；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4、会计制度执行国家有关会计制度；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5、本基金独立建账、独立核算；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6、基金管理人及基金托管人各自保留完整的会计账目、凭证并进行日常的会计核算，按照有关规定编制基金会计报表；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7、基金托管人每月与基金管理人就基金的会计核算、报表编制等进行核对并以书面方式确认。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Style w:val="a4"/>
          <w:rFonts w:hint="eastAsia"/>
          <w:sz w:val="21"/>
          <w:szCs w:val="21"/>
        </w:rPr>
        <w:t>二、基金的年度审计</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1、基金管理人聘请与基金管理人、基金托管人相互独立的具有证券、期货相关业务资格的会计师事务所及其注册会计师对本基金的年度财务报表进行审计。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 xml:space="preserve">2、会计师事务所更换经办注册会计师，应事先征得基金管理人同意。 </w:t>
      </w:r>
    </w:p>
    <w:p w:rsidR="000073C0" w:rsidRPr="000073C0" w:rsidRDefault="000073C0">
      <w:pPr>
        <w:pStyle w:val="a3"/>
        <w:spacing w:before="0" w:beforeAutospacing="0" w:after="0" w:afterAutospacing="0" w:line="360" w:lineRule="auto"/>
        <w:ind w:firstLine="420"/>
        <w:divId w:val="684554481"/>
        <w:rPr>
          <w:sz w:val="21"/>
          <w:szCs w:val="21"/>
        </w:rPr>
      </w:pPr>
      <w:r w:rsidRPr="000073C0">
        <w:rPr>
          <w:rFonts w:hint="eastAsia"/>
          <w:sz w:val="21"/>
          <w:szCs w:val="21"/>
        </w:rPr>
        <w:t>3、基金管理人认为有充足理由更换会计师事务所，须通报基金托管人。更换会计师事</w:t>
      </w:r>
      <w:bookmarkStart w:id="189" w:name="chapter_level1_19_66_section_1_end"/>
      <w:bookmarkEnd w:id="189"/>
      <w:r w:rsidRPr="000073C0">
        <w:rPr>
          <w:rFonts w:hint="eastAsia"/>
          <w:sz w:val="21"/>
          <w:szCs w:val="21"/>
        </w:rPr>
        <w:t xml:space="preserve">务所需按照《信息披露办法》的有关规定在指定媒介公告。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90" w:name="chapter_level1_20_67"/>
      <w:bookmarkStart w:id="191" w:name="_Toc50743138"/>
      <w:r w:rsidRPr="000073C0">
        <w:rPr>
          <w:rFonts w:ascii="宋体" w:eastAsia="宋体" w:hAnsi="宋体" w:hint="eastAsia"/>
          <w:sz w:val="30"/>
        </w:rPr>
        <w:lastRenderedPageBreak/>
        <w:t>第十七部分  基金的信息披露</w:t>
      </w:r>
      <w:bookmarkEnd w:id="190"/>
      <w:bookmarkEnd w:id="191"/>
    </w:p>
    <w:p w:rsidR="000073C0" w:rsidRPr="000073C0" w:rsidRDefault="000073C0">
      <w:pPr>
        <w:pStyle w:val="a3"/>
        <w:spacing w:before="0" w:beforeAutospacing="0" w:after="0" w:afterAutospacing="0" w:line="360" w:lineRule="auto"/>
        <w:ind w:firstLine="420"/>
        <w:divId w:val="1844470178"/>
        <w:rPr>
          <w:sz w:val="21"/>
          <w:szCs w:val="21"/>
        </w:rPr>
      </w:pPr>
      <w:bookmarkStart w:id="192" w:name="chapter_level1_20_67_section_1"/>
      <w:bookmarkEnd w:id="192"/>
      <w:r w:rsidRPr="000073C0">
        <w:rPr>
          <w:rStyle w:val="a4"/>
          <w:rFonts w:hint="eastAsia"/>
          <w:sz w:val="21"/>
          <w:szCs w:val="21"/>
        </w:rPr>
        <w:t>一、本基金的信息披露应符合《基金法》、《运作办法》、《信息披露办法》、《基金合同》及其他有关规定。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Style w:val="a4"/>
          <w:rFonts w:hint="eastAsia"/>
          <w:sz w:val="21"/>
          <w:szCs w:val="21"/>
        </w:rPr>
        <w:t>二、信息披露义务人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Style w:val="a4"/>
          <w:rFonts w:hint="eastAsia"/>
          <w:sz w:val="21"/>
          <w:szCs w:val="21"/>
        </w:rPr>
        <w:t>三、本基金信息披露义务人承诺公开披露的基金信息，不得有下列行为：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1、虚假记载、误导性陈述或者重大遗漏；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2、对证券投资业绩进行预测；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3、违规承诺收益或者承担损失；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4、诋毁其他基金管理人、基金托管人或者基金销售机构；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5、登载任何自然人、法人和非法人组织的祝贺性、恭维性或推荐性的文字；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Fonts w:hint="eastAsia"/>
          <w:sz w:val="21"/>
          <w:szCs w:val="21"/>
        </w:rPr>
        <w:t xml:space="preserve">6、中国证监会禁止的其他行为。 </w:t>
      </w:r>
    </w:p>
    <w:p w:rsidR="000073C0" w:rsidRPr="000073C0" w:rsidRDefault="000073C0">
      <w:pPr>
        <w:pStyle w:val="a3"/>
        <w:spacing w:before="0" w:beforeAutospacing="0" w:after="0" w:afterAutospacing="0" w:line="360" w:lineRule="auto"/>
        <w:ind w:firstLine="420"/>
        <w:divId w:val="1844470178"/>
        <w:rPr>
          <w:sz w:val="21"/>
          <w:szCs w:val="21"/>
        </w:rPr>
      </w:pPr>
      <w:r w:rsidRPr="000073C0">
        <w:rPr>
          <w:rStyle w:val="a4"/>
          <w:rFonts w:hint="eastAsia"/>
          <w:sz w:val="21"/>
          <w:szCs w:val="21"/>
        </w:rPr>
        <w:t>四、本基金公开披露的信息应采用中文文本。如同时采用外文文本的，基金信息披露义务人应保证不同文本的内容一致。不同文本之间发生歧义的，以中文文本为准。 </w:t>
      </w:r>
    </w:p>
    <w:p w:rsidR="000073C0" w:rsidRPr="000073C0" w:rsidRDefault="000073C0">
      <w:pPr>
        <w:pStyle w:val="a3"/>
        <w:spacing w:before="0" w:beforeAutospacing="0" w:after="0" w:afterAutospacing="0" w:line="360" w:lineRule="auto"/>
        <w:ind w:firstLine="420"/>
        <w:divId w:val="1844470178"/>
        <w:rPr>
          <w:sz w:val="21"/>
          <w:szCs w:val="21"/>
        </w:rPr>
      </w:pPr>
      <w:bookmarkStart w:id="193" w:name="chapter_level1_20_67_section_1_end"/>
      <w:bookmarkEnd w:id="193"/>
      <w:r w:rsidRPr="000073C0">
        <w:rPr>
          <w:rFonts w:hint="eastAsia"/>
          <w:sz w:val="21"/>
          <w:szCs w:val="21"/>
        </w:rPr>
        <w:t xml:space="preserve">本基金公开披露的信息采用阿拉伯数字；除特别说明外，货币单位为人民币元。 </w:t>
      </w:r>
    </w:p>
    <w:p w:rsidR="000073C0" w:rsidRPr="000073C0" w:rsidRDefault="000073C0">
      <w:pPr>
        <w:pStyle w:val="a3"/>
        <w:spacing w:before="0" w:beforeAutospacing="0" w:after="0" w:afterAutospacing="0" w:line="360" w:lineRule="auto"/>
        <w:ind w:firstLine="420"/>
        <w:divId w:val="1522430557"/>
        <w:rPr>
          <w:sz w:val="21"/>
          <w:szCs w:val="21"/>
        </w:rPr>
      </w:pPr>
      <w:bookmarkStart w:id="194" w:name="chapter_level1_20_67_section_2"/>
      <w:bookmarkEnd w:id="194"/>
      <w:r w:rsidRPr="000073C0">
        <w:rPr>
          <w:rStyle w:val="a4"/>
          <w:rFonts w:hint="eastAsia"/>
          <w:sz w:val="21"/>
          <w:szCs w:val="21"/>
        </w:rPr>
        <w:t>五、公开披露的基金信息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公开披露的基金信息包括：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（一）基金招募说明书、《基金合同》、基金托管协议、基金产品资料概要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lastRenderedPageBreak/>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3、基金托管协议是界定基金托管人和基金管理人在基金财产保管及基金运作监督等活动中的权利、义务关系的法律文件。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5、基金募集申请经中国证监会核准后，基金管理人在基金份额发售的3日前，将基金招募说明书、《基金合同》摘要登载在指定报刊上；基金管理人、基金托管人应当将《基金合同》、基金托管协议登载在网站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（二）基金份额发售公告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基金管理人应当就基金份额发售的具体事宜编制基金份额发售公告，并在披露招募说明书的当日登载于指定报刊和网站上。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（三）《基金合同》生效公告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基金管理人应当在收到中国证监会确认文件的次日在指定报刊和网站上登载《基金合同》生效公告。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（四）基金净值信息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本基金封闭期内，基金管理人应当至少每周在指定网站披露一次基金份额净值和基金份额累计净值。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在开放期内，基金管理人应当在不晚于每个开放日的次日，通过指定网站、基金销售机构网站或营业网点披露开放日的基金份额净值和基金份额累计净值。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基金管理人应在不晚于半年度和年度最后一日的次日，在指定网站披露半年度和年度最后一日的基金份额净值和基金份额累计净值。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lastRenderedPageBreak/>
        <w:t xml:space="preserve">（五）基金份额申购、赎回价格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基金管理人应当在《基金合同》、招募说明书等信息披露文件上载明基金份额申购、赎回价格的计算方式及有关申购、赎回费率，并保证投资者能够在基金销售机构网站或营业网点查阅或者复制前述信息资料。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（六）基金定期报告，包括基金年度报告、基金中期报告和基金季度报告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基金管理人应当在上半年结束之日起两个月内，编制完成基金中期报告，将中期报告登载在指定网站上，并将中期报告提示性公告登载在指定报刊上。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基金管理人应当在每个季度结束之日起15个工作日内，编制完成基金季度报告，将季度报告登载在指定网站上，并将季度报告提示性公告登载在指定报刊上。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《基金合同》生效不足2个月的，基金管理人可以不编制当期季度报告、中期报告或者年度报告。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本基金持续运作过程中,应当在基金年度报告和中期报告中披露基金组合资产情况及其流动性风险分析等。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（七）临时报告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本基金发生重大事件，有关信息披露义务人应当在2日内编制临时报告书，并登载在指定报刊和指定网站上。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前款所称重大事件，是指可能对基金份额持有人权益或者基金份额的价格产生重大影响的下列事件：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1、基金份额持有人大会的召开及决定的事项；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2、基金合同终止、基金清算；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3、转换基金运作方式、基金合并；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4、更换基金管理人、基金托管人、基金份额登记机构，基金改聘会计师事务所；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lastRenderedPageBreak/>
        <w:t xml:space="preserve">5、基金管理人委托基金服务机构代为办理基金的份额登记、核算、估值等事项，基金托管人委托基金服务机构代为办理基金的核算、估值、复核等事项；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6、基金管理人、基金托管人的法定名称、住所发生变更；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7、基金管理人变更持有百分之五以上股权的股东、基金管理人的实际控制人变更；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8、基金募集期延长；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9、基金管理人的高级管理人员、基金经理和基金托管人专门基金托管部门负责人发生变动；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11、涉及基金财产、基金管理业务、基金托管业务的诉讼或仲裁；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中国证监会另有规定的除外；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14、基金收益分配事项；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15、管理费、托管费、销售服务费、申购费、赎回费等费用计提标准、计提方式和费率发生变更；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16、基金份额净值计价错误达基金份额净值百分之零点五；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17、本基金开始办理申购、赎回；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18、本基金发生巨额赎回并延缓支付或延期办理；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19、本基金暂停接受申购、赎回申请或重新接受申购、赎回申请；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20、在受限开放期，本基金可确认的净赎回申请数额占该受限开放期前一日基金份额的比例区间；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21、调整基金份额类别设置；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22、基金份额折算；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23、发生涉及基金申购、赎回事项调整或潜在影响投资者赎回等重大事项时；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lastRenderedPageBreak/>
        <w:t xml:space="preserve">24、基金信息披露义务人认为可能对基金份额持有人权益或者基金份额的价格产生重大影响的其他事项或中国证监会规定的其他事项。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（八）澄清公告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在《基金合同》存续期限内，任何公共媒体中出现的或者在市场上流传的消息可能对基金份额价格产生误导性影响或者引起较大波动的，以及可能损害基金份额持有人权益的，相关信息披露义务人知悉后应当立即对该消息进行公开澄清，并将有关情况立即报告中国证监会。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（九）基金份额持有人大会决议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基金份额持有人大会决定的事项，应当依法报国务院证券监督管理机构核准或者备案，并予以公告。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（十）清算报告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基金终止运作的，基金管理人应当依法组织基金财产清算小组对基金财产进行清算并作出清算报告。基金财产清算小组应当将清算报告登载在指定网站上，并将清算报告提示性公告登载在指定报刊上。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（十一）投资于中小企业私募债券的信息披露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1、基金管理人应当在基金投资中小企业私募债券后两个交易日内，在中国证监会指定媒介披露所投资中小企业私募债券的名称、数量、期限、收益率等信息。 </w:t>
      </w:r>
    </w:p>
    <w:p w:rsidR="000073C0" w:rsidRPr="000073C0" w:rsidRDefault="000073C0">
      <w:pPr>
        <w:pStyle w:val="a3"/>
        <w:spacing w:before="0" w:beforeAutospacing="0" w:after="0" w:afterAutospacing="0" w:line="360" w:lineRule="auto"/>
        <w:ind w:firstLine="420"/>
        <w:divId w:val="1522430557"/>
        <w:rPr>
          <w:sz w:val="21"/>
          <w:szCs w:val="21"/>
        </w:rPr>
      </w:pPr>
      <w:r w:rsidRPr="000073C0">
        <w:rPr>
          <w:rFonts w:hint="eastAsia"/>
          <w:sz w:val="21"/>
          <w:szCs w:val="21"/>
        </w:rPr>
        <w:t xml:space="preserve">2、基金管理人应当在季度报告、中期报告、年度报告等定期报告和招募说明书（更新）等文件中披露中小企业私募债券的投资情况。 </w:t>
      </w:r>
    </w:p>
    <w:p w:rsidR="000073C0" w:rsidRPr="000073C0" w:rsidRDefault="000073C0">
      <w:pPr>
        <w:pStyle w:val="a3"/>
        <w:spacing w:before="0" w:beforeAutospacing="0" w:after="0" w:afterAutospacing="0" w:line="360" w:lineRule="auto"/>
        <w:ind w:firstLine="420"/>
        <w:divId w:val="1522430557"/>
        <w:rPr>
          <w:sz w:val="21"/>
          <w:szCs w:val="21"/>
        </w:rPr>
      </w:pPr>
      <w:bookmarkStart w:id="195" w:name="chapter_level1_20_67_section_2_end"/>
      <w:bookmarkEnd w:id="195"/>
      <w:r w:rsidRPr="000073C0">
        <w:rPr>
          <w:rFonts w:hint="eastAsia"/>
          <w:sz w:val="21"/>
          <w:szCs w:val="21"/>
        </w:rPr>
        <w:t xml:space="preserve">（十二）中国证监会规定的其他信息。 </w:t>
      </w:r>
    </w:p>
    <w:p w:rsidR="000073C0" w:rsidRPr="000073C0" w:rsidRDefault="000073C0">
      <w:pPr>
        <w:pStyle w:val="a3"/>
        <w:spacing w:before="0" w:beforeAutospacing="0" w:after="0" w:afterAutospacing="0" w:line="360" w:lineRule="auto"/>
        <w:ind w:firstLine="420"/>
        <w:divId w:val="634264704"/>
        <w:rPr>
          <w:sz w:val="21"/>
          <w:szCs w:val="21"/>
        </w:rPr>
      </w:pPr>
      <w:bookmarkStart w:id="196" w:name="chapter_level1_20_67_section_3"/>
      <w:bookmarkEnd w:id="196"/>
      <w:r w:rsidRPr="000073C0">
        <w:rPr>
          <w:rStyle w:val="a4"/>
          <w:rFonts w:hint="eastAsia"/>
          <w:sz w:val="21"/>
          <w:szCs w:val="21"/>
        </w:rPr>
        <w:t>六、信息披露事务管理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 xml:space="preserve">基金管理人、基金托管人应当建立健全信息披露管理制度，指定专门部门及高级管理人员负责管理信息披露事务。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 xml:space="preserve">基金信息披露义务人公开披露基金信息，应当符合中国证监会相关基金信息披露内容与格式准则等法规的规定。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 xml:space="preserve">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lastRenderedPageBreak/>
        <w:t xml:space="preserve">基金管理人、基金托管人应当在指定报刊中选择一家报刊披露本基金信息。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 xml:space="preserve">基金管理人、基金托管人应当向中国证监会基金电子披露网站报送拟披露的基金信息，并保证相关报送信息的真实、准确、完整、及时。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 xml:space="preserve">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Style w:val="a4"/>
          <w:rFonts w:hint="eastAsia"/>
          <w:sz w:val="21"/>
          <w:szCs w:val="21"/>
        </w:rPr>
        <w:t>七、信息披露文件的存放与查阅 </w:t>
      </w:r>
    </w:p>
    <w:p w:rsidR="000073C0" w:rsidRPr="000073C0" w:rsidRDefault="000073C0">
      <w:pPr>
        <w:pStyle w:val="a3"/>
        <w:spacing w:before="0" w:beforeAutospacing="0" w:after="0" w:afterAutospacing="0" w:line="360" w:lineRule="auto"/>
        <w:ind w:firstLine="420"/>
        <w:divId w:val="634264704"/>
        <w:rPr>
          <w:sz w:val="21"/>
          <w:szCs w:val="21"/>
        </w:rPr>
      </w:pPr>
      <w:r w:rsidRPr="000073C0">
        <w:rPr>
          <w:rFonts w:hint="eastAsia"/>
          <w:sz w:val="21"/>
          <w:szCs w:val="21"/>
        </w:rPr>
        <w:t>依法必须披露的信息发布后，基金管理人、基金托管人应当按照相关法律法规规定将信</w:t>
      </w:r>
      <w:bookmarkStart w:id="197" w:name="chapter_level1_20_67_section_3_end"/>
      <w:bookmarkEnd w:id="197"/>
      <w:r w:rsidRPr="000073C0">
        <w:rPr>
          <w:rFonts w:hint="eastAsia"/>
          <w:sz w:val="21"/>
          <w:szCs w:val="21"/>
        </w:rPr>
        <w:t xml:space="preserve">息置备于公司住所，以供公众查阅、复制。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198" w:name="chapter_level1_21_68"/>
      <w:bookmarkStart w:id="199" w:name="_Toc50743139"/>
      <w:r w:rsidRPr="000073C0">
        <w:rPr>
          <w:rFonts w:ascii="宋体" w:eastAsia="宋体" w:hAnsi="宋体" w:hint="eastAsia"/>
          <w:sz w:val="30"/>
        </w:rPr>
        <w:lastRenderedPageBreak/>
        <w:t>第十八部分  风险揭示</w:t>
      </w:r>
      <w:bookmarkEnd w:id="198"/>
      <w:bookmarkEnd w:id="199"/>
    </w:p>
    <w:p w:rsidR="000073C0" w:rsidRPr="000073C0" w:rsidRDefault="000073C0">
      <w:pPr>
        <w:pStyle w:val="a3"/>
        <w:spacing w:before="0" w:beforeAutospacing="0" w:after="0" w:afterAutospacing="0" w:line="360" w:lineRule="auto"/>
        <w:ind w:firstLine="420"/>
        <w:divId w:val="1213886100"/>
        <w:rPr>
          <w:sz w:val="21"/>
          <w:szCs w:val="21"/>
        </w:rPr>
      </w:pPr>
      <w:bookmarkStart w:id="200" w:name="chapter_level1_21_68_section_1"/>
      <w:bookmarkEnd w:id="200"/>
      <w:r w:rsidRPr="000073C0">
        <w:rPr>
          <w:rFonts w:hint="eastAsia"/>
          <w:b/>
          <w:bCs/>
          <w:sz w:val="21"/>
          <w:szCs w:val="21"/>
        </w:rPr>
        <w:t>一、投资于本基金的主要风险</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1、市场风险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证券市场价格受到经济因素、政治因素、投资心理和交易制度等各种因素的影响，导致基金收益水平变化而产生风险，主要包括：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（1）政策风险。因国家宏观政策（如货币政策、财政政策、行业政策、地区发展政策等）发生变化，导致市场价格波动而产生风险。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（2）经济周期风险。随经济运行的周期性变化，证券市场的收益水平也呈周期性变化。基金投资于债券，收益水平也会随之变化，从而产生风险。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3）利率风险。利率直接影响着债券的价格和收益率，影响着企业的融资成本和利润。基金投资于债券，其收益水平会受到利率变化的影响。在利率上升时，基金持有的债券价格下降，如基金组合久期较长，则将造成基金资产的损失。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（4）购买力风险。基金的利润将主要通过现金形式来分配，而现金可能因为通货膨胀的影响而导致购买力下降，从而使基金的实际收益下降。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5）再投资风险。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（6）信用风险。基金所投资债券的发行人如出现违约、无法支付到期本息，或由于债券发行人信用等级降低导致债券价格下降，将造成基金资产损失。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7）债券回购风险。债券回购为提升整体基金组合收益提供了可能，但也存在一定的风险。债券回购的主要风险包括信用风险、投资风险及波动性加大的风险，其中，信用风险指回购交易中交易对手在回购到期时，不能偿还全部或部分证券或价款，造成基金净值损失的风险；投资风险是指在进行回购操作时，回购利率大于债券投资收益而导致的风险以及由于回购操作导致投资总量放大，致使整个组合风险放大的风险；而波动性加大的风险是指在进行回购操作时，在对基金组合收益进行放大的同时，也对基金组合的波动性（标准差）进行了放大，即基金组合的风险将会加大。回购比例越高，风险暴露程度也就越高，对基金净值造成损失的可能性也就越大。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lastRenderedPageBreak/>
        <w:t xml:space="preserve">2、管理风险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基金运作过程中由于基金投资策略、人为因素、管理系统设置不当造成操作失误或公司内部失控而可能产生的损失。管理风险包括：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（1）决策风险：指基金投资的投资策略制定、投资决策执行和投资绩效监督检查过程中，由于决策失误而给基金资产造成的可能的损失；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（2）操作风险：指基金投资决策执行中，由于投资指令不明晰、交易操作失误等人为因素而可能导致的损失；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（3）技术风险：是指公司管理信息系统设置不当等因素而可能造成的损失。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3、流动性风险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在开放式基金交易过程中，可能会发生巨额赎回的情形。巨额赎回可能会产生基金仓位调整的困难，导致流动性风险，甚至影响基金份额净值。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（1）基金申购、赎回安排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（2）拟投资市场、行业及资产的流动性风险评估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本基金的投资市场主要为证券交易所、全国银行间债券市场等流动性较好的规范型交易场所，主要投资对象为具有良好流动性的金融工具（包括国内依法发行上市的债券和货币市场工具等），同时本基金基于分散投资的原则在行业和个券方面未有高集中度的特征，综合评估在正常市场环境下本基金的流动性风险适中。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（3）巨额赎回情形下的流动性风险管理措施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措施。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（4）实施备用的流动性风险管理工具的情形、 程序及对投资者的潜在影响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lastRenderedPageBreak/>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4、合规性风险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指基金管理或运作过程中，违反国家法律、法规的规定，或者基金投资违反法规及基金合同有关规定的风险。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5、本基金特有风险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1）根据本基金投资范围的规定，本基金主要投资于各类固定收益证券，无法完全规避发债主体特别是短期融资券、中期票据、公司债、企业债的发债主体的信用质量变化造成的信用风险；另外，如果持有的信用债出现信用违约风险，将给基金净值带来较大的负面影响和波动。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2）本基金开放期内单个开放日出现巨额赎回的，基金管理人对符合法律法规及《基金合同》约定的赎回申请应于当日全部予以办理和确认。基金经理会对可能出现的巨额赎回情况进行充分准备并做好流动性管理，但当基金在单个开放日出现巨额赎回被全部确认时，赎回的基金份额持有人仍有可能存在延缓支付赎回款项的风险，未赎回的基金份额持有人仍有可能承担短期内变现而带来的冲击成本对基金净资产产生的负面影响。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（3）在《基金合同》生效后的存续期内，若满足《基金合同》第四部分中约定的基金暂停运作的情况，基金管理人将暂停本基金的运作。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（4）在每个开放期的最后一日日终，如出现《基金合同》第二十部分约定的资产规模过小、持有人人数较少等情形的，《基金合同》将终止。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5）本基金以向持有人提供稳定的现金流为投资目标，本基金定期提供的现金流的主要来源是所持有的信用债券的票息收入和本金。基金管理人将通过勤勉尽责的研究和投资管理工作，严格控制信用风险；并通过组合中个券权重的控制来分散信用风险；但是本基金无</w:t>
      </w:r>
      <w:r w:rsidRPr="000073C0">
        <w:rPr>
          <w:rFonts w:hint="eastAsia"/>
          <w:sz w:val="21"/>
          <w:szCs w:val="21"/>
        </w:rPr>
        <w:lastRenderedPageBreak/>
        <w:t xml:space="preserve">法完全规避信用违约风险，如果组合所持有的信用债券出现违约，将对本基金定期向持有人支付的现金流产生影响。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6）本基金主要投资策略是买入与封闭期相匹配的债券，并持有到期；同时基金管理人将通过正回购，融资买入债券，获得杠杆放大收益，增强投资人的投资收益和现金流收入。本基金总资产和基金净值的比例不超过200%；基金管理人将严格控制杠杆的比例；但是本基金无法完全规避使用杠杆带来的投资风险，包括：当融资成本出现显著持续的上升时，将降低投资人投资收益和现金流收入的风险；无法继续融资时，基金管理人被迫卖出债券导致损失的风险；使用杠杆使得市场风险导致的组合净值波动加大的风险等。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7）本基金的一部分资产将可能投资于中小企业私募债券。由于中小企业私募债券发行门槛低，投资过程中的信用风险也相应增加。有可能出现债券到期后，企业不能按时清偿债务，或者在存续期内评级被下调的风险。中小企业私募债券不能在交易所上市交易，而是通过上证所固定收益证券综合电子平台及深交所综合协议交易平台，或证券公司进行转让，同时，交易所按照申报时间先后顺序对私募债券转让进行确认，对导致私募债券投资者超过200人的转让不予确认。因此，本基金在投资中小企业私募债券的过程中，面临着流动性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6、其他风险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（1）随着符合本基金投资理念的新投资工具的出现和发展，如果投资于这些工具，基金可能会面临一些特殊的风险；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（2）因技术因素而产生的风险，如计算机系统不可靠产生的风险；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（3）因基金业务快速发展而在制度建设、人员配备、内控制度建立等方面不完善而产生的风险；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（4）因人为因素而产生的风险、如内幕交易、欺诈行为等产生的风险；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（5）对主要业务人员如基金经理的依赖而可能产生的风险；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（6）战争、自然灾害等不可抗力可能导致基金资产的损失，影响基金收益水平，从而带来风险；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（7）其他意外导致的风险。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b/>
          <w:bCs/>
          <w:sz w:val="21"/>
          <w:szCs w:val="21"/>
        </w:rPr>
        <w:t>二、声明</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t xml:space="preserve">1、投资者投资于本基金，须自行承担投资风险； </w:t>
      </w:r>
    </w:p>
    <w:p w:rsidR="000073C0" w:rsidRPr="000073C0" w:rsidRDefault="000073C0">
      <w:pPr>
        <w:pStyle w:val="a3"/>
        <w:spacing w:before="0" w:beforeAutospacing="0" w:after="0" w:afterAutospacing="0" w:line="360" w:lineRule="auto"/>
        <w:ind w:firstLine="420"/>
        <w:divId w:val="1213886100"/>
        <w:rPr>
          <w:sz w:val="21"/>
          <w:szCs w:val="21"/>
        </w:rPr>
      </w:pPr>
      <w:r w:rsidRPr="000073C0">
        <w:rPr>
          <w:rFonts w:hint="eastAsia"/>
          <w:sz w:val="21"/>
          <w:szCs w:val="21"/>
        </w:rPr>
        <w:lastRenderedPageBreak/>
        <w:t>2、除基金管理人直接办理本基金的销售外，本基金还通过中国建设银行等基金代销机</w:t>
      </w:r>
      <w:bookmarkStart w:id="201" w:name="chapter_level1_21_68_section_1_end"/>
      <w:bookmarkEnd w:id="201"/>
      <w:r w:rsidRPr="000073C0">
        <w:rPr>
          <w:rFonts w:hint="eastAsia"/>
          <w:sz w:val="21"/>
          <w:szCs w:val="21"/>
        </w:rPr>
        <w:t xml:space="preserve">构代理销售，基金管理人与基金代销机构都不能保证其收益或本金安全。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202" w:name="chapter_level1_22_69"/>
      <w:bookmarkStart w:id="203" w:name="_Toc50743140"/>
      <w:r w:rsidRPr="000073C0">
        <w:rPr>
          <w:rFonts w:ascii="宋体" w:eastAsia="宋体" w:hAnsi="宋体" w:hint="eastAsia"/>
          <w:sz w:val="30"/>
        </w:rPr>
        <w:lastRenderedPageBreak/>
        <w:t>第十九部分  基金合同的变更、终止与基金财产的清算</w:t>
      </w:r>
      <w:bookmarkEnd w:id="202"/>
      <w:bookmarkEnd w:id="203"/>
    </w:p>
    <w:p w:rsidR="000073C0" w:rsidRPr="000073C0" w:rsidRDefault="000073C0">
      <w:pPr>
        <w:pStyle w:val="a3"/>
        <w:spacing w:before="0" w:beforeAutospacing="0" w:after="0" w:afterAutospacing="0" w:line="360" w:lineRule="auto"/>
        <w:ind w:firstLine="420"/>
        <w:divId w:val="251864471"/>
        <w:rPr>
          <w:sz w:val="21"/>
          <w:szCs w:val="21"/>
        </w:rPr>
      </w:pPr>
      <w:bookmarkStart w:id="204" w:name="chapter_level1_22_69_section_1"/>
      <w:bookmarkEnd w:id="204"/>
      <w:r w:rsidRPr="000073C0">
        <w:rPr>
          <w:rStyle w:val="a4"/>
          <w:rFonts w:hint="eastAsia"/>
          <w:sz w:val="21"/>
          <w:szCs w:val="21"/>
        </w:rPr>
        <w:t>一、《基金合同》的变更</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1、变更基金合同涉及法律法规规定或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2、关于《基金合同》变更的基金份额持有人大会决议经中国证监会核准或出具无异议意见后方可执行，自决议生效后两日内在指定媒介公告。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Style w:val="a4"/>
          <w:rFonts w:hint="eastAsia"/>
          <w:sz w:val="21"/>
          <w:szCs w:val="21"/>
        </w:rPr>
        <w:t>二、《基金合同》的终止事由</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有下列情形之一的，《基金合同》应当终止：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1、基金份额持有人大会决定终止的；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2、基金管理人、基金托管人职责终止，在6个月内没有新基金管理人、新基金托管人承接的；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3、若在自由开放期最后一日次日本基金的份额持有人数量不满200人，或者在自由开放期最后一日次日基金资产净值加上当日申购的基金份额对应的资产净值或减去当日赎回的基金份额对应的资产净值低于2亿元，基金管理人可以在在履行信息披露义务后终止基金合同而无需召开基金份额持有人大会。本基金将根据基金合同第二十部分的约定进行基金财产清算；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4、《基金合同》约定的其他情形；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5、相关法律法规和中国证监会规定的其他情况。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Style w:val="a4"/>
          <w:rFonts w:hint="eastAsia"/>
          <w:sz w:val="21"/>
          <w:szCs w:val="21"/>
        </w:rPr>
        <w:t>三、基金财产的清算</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3、基金财产清算小组职责：基金财产清算小组负责基金财产的保管、清理、估价、变现和分配。基金财产清算小组可以依法进行必要的民事活动。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4、基金财产清算程序：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lastRenderedPageBreak/>
        <w:t xml:space="preserve">（1）《基金合同》终止情形出现时，由基金财产清算小组统一接管基金；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（2）对基金财产和债权债务进行清理和确认；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（3）对基金财产进行估值和变现；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（4）制作清算报告；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（5）聘请会计师事务所对清算报告进行外部审计，聘请律师事务所对清算报告出具法律意见书；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（6）将清算报告报中国证监会备案并公告；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（7）对基金剩余财产进行分配。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5、基金财产清算的期限为6个月。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Style w:val="a4"/>
          <w:rFonts w:hint="eastAsia"/>
          <w:sz w:val="21"/>
          <w:szCs w:val="21"/>
        </w:rPr>
        <w:t>四、清算费用</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清算费用是指基金财产清算小组在进行基金清算过程中发生的所有合理费用，清算费用由基金财产清算小组优先从基金财产中支付。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Style w:val="a4"/>
          <w:rFonts w:hint="eastAsia"/>
          <w:sz w:val="21"/>
          <w:szCs w:val="21"/>
        </w:rPr>
        <w:t>五、基金财产清算剩余资产的分配</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Style w:val="a4"/>
          <w:rFonts w:hint="eastAsia"/>
          <w:sz w:val="21"/>
          <w:szCs w:val="21"/>
        </w:rPr>
        <w:t>六、基金财产清算的公告</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0073C0" w:rsidRPr="000073C0" w:rsidRDefault="000073C0">
      <w:pPr>
        <w:pStyle w:val="a3"/>
        <w:spacing w:before="0" w:beforeAutospacing="0" w:after="0" w:afterAutospacing="0" w:line="360" w:lineRule="auto"/>
        <w:ind w:firstLine="420"/>
        <w:divId w:val="251864471"/>
        <w:rPr>
          <w:sz w:val="21"/>
          <w:szCs w:val="21"/>
        </w:rPr>
      </w:pPr>
      <w:r w:rsidRPr="000073C0">
        <w:rPr>
          <w:rStyle w:val="a4"/>
          <w:rFonts w:hint="eastAsia"/>
          <w:sz w:val="21"/>
          <w:szCs w:val="21"/>
        </w:rPr>
        <w:t>七、基金财产清算账册及文件的保存</w:t>
      </w:r>
    </w:p>
    <w:p w:rsidR="000073C0" w:rsidRPr="000073C0" w:rsidRDefault="000073C0">
      <w:pPr>
        <w:pStyle w:val="a3"/>
        <w:spacing w:before="0" w:beforeAutospacing="0" w:after="0" w:afterAutospacing="0" w:line="360" w:lineRule="auto"/>
        <w:ind w:firstLine="420"/>
        <w:divId w:val="251864471"/>
        <w:rPr>
          <w:sz w:val="21"/>
          <w:szCs w:val="21"/>
        </w:rPr>
      </w:pPr>
      <w:bookmarkStart w:id="205" w:name="chapter_level1_22_69_section_1_end"/>
      <w:bookmarkEnd w:id="205"/>
      <w:r w:rsidRPr="000073C0">
        <w:rPr>
          <w:rFonts w:hint="eastAsia"/>
          <w:sz w:val="21"/>
          <w:szCs w:val="21"/>
        </w:rPr>
        <w:t xml:space="preserve">基金财产清算账册及有关文件由基金托管人保存15年以上。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206" w:name="chapter_level1_23_71"/>
      <w:bookmarkStart w:id="207" w:name="_Toc50743141"/>
      <w:r w:rsidRPr="000073C0">
        <w:rPr>
          <w:rFonts w:ascii="宋体" w:eastAsia="宋体" w:hAnsi="宋体" w:hint="eastAsia"/>
          <w:sz w:val="30"/>
        </w:rPr>
        <w:lastRenderedPageBreak/>
        <w:t>第二十部分  基金合同的内容摘要</w:t>
      </w:r>
      <w:bookmarkEnd w:id="206"/>
      <w:bookmarkEnd w:id="207"/>
    </w:p>
    <w:p w:rsidR="000073C0" w:rsidRPr="000073C0" w:rsidRDefault="000073C0">
      <w:pPr>
        <w:pStyle w:val="a3"/>
        <w:spacing w:before="0" w:beforeAutospacing="0" w:after="0" w:afterAutospacing="0" w:line="360" w:lineRule="auto"/>
        <w:ind w:firstLine="420"/>
        <w:divId w:val="931474323"/>
        <w:rPr>
          <w:sz w:val="21"/>
          <w:szCs w:val="21"/>
        </w:rPr>
      </w:pPr>
      <w:bookmarkStart w:id="208" w:name="chapter_level1_23_71_section_1"/>
      <w:bookmarkEnd w:id="208"/>
      <w:r w:rsidRPr="000073C0">
        <w:rPr>
          <w:rStyle w:val="a4"/>
          <w:rFonts w:hint="eastAsia"/>
          <w:sz w:val="21"/>
          <w:szCs w:val="21"/>
        </w:rPr>
        <w:t>一、基金份额持有人、基金管理人和基金托管人的权利、义务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（一）基金份额持有人的权利、义务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每份基金份额具有同等的合法权益。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1、根据《基金法》、《运作办法》及其他有关规定，基金份额持有人的权利包括但不限于：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（1）分享基金财产收益；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（2）参与分配清算后的剩余基金财产；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（3）依法申请赎回其持有的基金份额；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（4）按照规定要求召开基金份额持有人大会；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（5）出席或者委派代表出席基金份额持有人大会，对基金份额持有人大会审议事项行使表决权；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（6）查阅或者复制公开披露的基金信息资料；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（7）监督基金管理人的投资运作；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（8）对基金管理人、基金托管人、基金销售机构损害其合法权益的行为依法提起诉讼或仲裁；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（9）法律法规及中国证监会规定的和《基金合同》约定的其他权利。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2、根据《基金法》、《运作办法》及其他有关规定，基金份额持有人的义务包括但不限于：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（1）认真阅读并遵守《基金合同》；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（2）了解所投资基金产品，了解自身风险承受能力，自行承担投资风险；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（3）关注基金信息披露，及时行使权利和履行义务；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（4）缴纳基金认购、申购款项及法律法规和《基金合同》所规定的费用；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（5）在其持有的基金份额范围内，承担基金亏损或者《基金合同》终止的有限责任；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（6）不从事任何有损基金及其他《基金合同》当事人合法权益的活动；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（7）执行生效的基金份额持有人大会的决定；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（8）返还在基金交易过程中因任何原因获得的不当得利；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（9）法律法规及中国证监会规定的和《基金合同》约定的其他义务。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（二）基金管理人的权利、义务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1、根据《基金法》、《运作办法》及其他有关规定，基金管理人的权利包括但不限于：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（1）依法募集基金；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（2）自《基金合同》生效之日起，根据法律法规和《基金合同》独立运用并管理基金财产；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（3）依照《基金合同》收取基金管理费以及法律法规规定或中国证监会批准的其他费用；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（4）销售基金份额；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（5）召集基金份额持有人大会；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（7）在基金托管人更换时，提名新的基金托管人；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（8）选择、更换基金销售机构，对基金销售机构的相关行为进行监督和处理；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（9）担任或委托其他符合条件的机构担任基金登记机构办理基金登记业务并获得《基金合同》规定的费用；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（10）依据《基金合同》及有关法律规定决定基金收益的分配方案；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（11）在《基金合同》约定的范围内，拒绝或暂停受理申购与赎回申请；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（12）依照法律法规为基金的利益行使因基金财产投资于证券所产生的权利；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（13）在法律法规允许的前提下，为基金的利益依法为基金进行融资融券；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（14）以基金管理人的名义，代表基金份额持有人的利益行使诉讼权利或者实施其他法律行为；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（15）选择、更换律师事务所、会计师事务所、证券经纪商或其他为基金提供服务的外部机构；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（16）在符合有关法律、法规的前提下，制订和调整有关基金认购、申购、赎回、转换和非交易过户的业务规则；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（17）法律法规及中国证监会规定的和《基金合同》约定的其他权利。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2、根据《基金法》、《运作办法》及其他有关规定，基金管理人的义务包括但不限于：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（1）依法募集基金，办理或者委托经中国证监会认定的其他机构代为办理基金份额的发售、申购、赎回和登记事宜；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（2）办理基金备案手续；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（3）自《基金合同》生效之日起，以诚实信用、谨慎勤勉的原则管理和运用基金财产；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（4）配备足够的具有专业资格的人员进行基金投资分析、决策，以专业化的经营方式管理和运作基金财产；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（6）除依据《基金法》、《基金合同》及其他有关规定外,不得利用基金财产为自己及任何第三人谋取利益，不得委托第三人运作基金财产；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（7）依法接受基金托管人的监督；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（9）进行基金会计核算并编制基金财务会计报告；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（10）编制季度报告、中期报告和年度报告；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（11）严格按照《基金法》、《基金合同》及其他有关规定，履行信息披露及报告义务；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（13）按《基金合同》的约定确定基金收益分配方案，及时向基金份额持有人分配基金收益；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（14）按规定受理申购与赎回申请，及时、足额支付赎回款项；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（15）依据《基金法》、《基金合同》及其他有关规定召集基金份额持有人大会或配合基金托管人、基金份额持有人依法召集基金份额持有人大会；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（16）按规定保存基金财产管理业务活动的会计账册、报表、记录和其他相关资料15年以上；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（18）组织并参加基金财产清算小组,参与基金财产的保管、清理、估价、变现和分配；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（19）面临解散、依法被撤销或者被依法宣告破产时，及时报告中国证监会并通知基金托管人；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（20）因违反《基金合同》导致基金财产的损失或损害基金份额持有人合法权益时，应当承担赔偿责任，其赔偿责任不因其退任而免除；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（22）当基金管理人将其义务委托第三方处理时，应当对第三方处理有关基金事务的行为承担责任；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（23）以基金管理人名义，代表基金份额持有人利益行使诉讼权利或实施其他法律行为；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（24）基金管理人在募集期间未能达到基金的备案条件，《基金合同》不能生效，基金管理人承担全部募集费用，将已募集资金并加计银行同期存款利息在基金募集期结束后30日内退还基金认购人；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（25）执行生效的基金份额持有人大会的决议；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（26）建立并保存基金份额持有人名册；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（27）法律法规及中国证监会规定的和《基金合同》约定的其他义务。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（三）基金托管人的权利、义务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1、根据《基金法》、《运作办法》及其他有关规定，基金托管人的权利包括但不限于：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（1）自《基金合同》生效之日起，依法律法规和《基金合同》的规定安全保管基金财产；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（2）依《基金合同》约定获得基金托管费以及法律法规规定或监管部门批准的其他费用；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（4）根据相关市场规则，为基金开设证券账户、为基金办理证券交易资金清算；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（5）提议召开或召集基金份额持有人大会；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（6）在基金管理人更换时，提名新的基金管理人；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（7）法律法规及中国证监会规定的和《基金合同》约定的其他权利。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2、根据《基金法》、《运作办法》及其他有关规定，基金托管人的义务包括但不限于：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（1）以诚实信用、勤勉尽责的原则持有并安全保管基金财产；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（2）设立专门的基金托管部门，具有符合要求的营业场所，配备足够的、合格的熟悉基金托管业务的专职人员，负责基金财产托管事宜；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（4）除依据《基金法》、《基金合同》及其他有关规定外，不得利用基金财产为自己及任何第三人谋取利益，不得委托第三人托管基金财产；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（5）保管由基金管理人代表基金签订的与基金有关的重大合同及有关凭证；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（6）按规定开设基金财产的资金账户和证券账户,按照《基金合同》的约定，根据基金管理人的投资指令，及时办理清算、交割事宜；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（7）保守基金商业秘密，除《基金法》、《基金合同》及其他有关规定另有规定外，在基金信息公开披露前予以保密，不得向他人泄露；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（8）复核、审查基金管理人计算的基金资产净值、基金份额净值、基金份额申购、赎回价格；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（9）办理与基金托管业务活动有关的信息披露事项；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（11）保存基金托管业务活动的记录、账册、报表和其他相关资料15年以上；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（12）建立并保存基金份额持有人名册；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（13）按规定制作相关账册并与基金管理人核对；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（14）依据基金管理人的指令或有关规定向基金份额持有人支付基金收益和赎回款项；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（15）依据《基金法》、《基金合同》及其他有关规定，召集基金份额持有人大会或配合基金管理人、基金份额持有人依法召集基金份额持有人大会；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（16）按照法律法规和《基金合同》的规定监督基金管理人的投资运作；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（17）参加基金财产清算小组，参与基金财产的保管、清理、估价、变现和分配；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（18）面临解散、依法被撤销或者被依法宣告破产时，及时报告中国证监会和银行监管机构，并通知基金管理人；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（19）因违反《基金合同》导致基金财产损失时，应承担赔偿责任，其赔偿责任不因其退任而免除；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（21）执行生效的基金份额持有人大会的决定；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（22）法律法规及中国证监会规定的和《基金合同》约定的其他义务。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Style w:val="a4"/>
          <w:rFonts w:hint="eastAsia"/>
          <w:sz w:val="21"/>
          <w:szCs w:val="21"/>
        </w:rPr>
        <w:t>二、基金份额持有人大会召集、议事及表决的程序和规则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（一）召开事由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1、当出现或需要决定下列事由之一的，应当召开基金份额持有人大会：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（1）终止《基金合同》，基金合同另有约定的除外；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（2）更换基金管理人；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（3）更换基金托管人；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（4）转换基金运作方式；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（5）提高基金管理人、基金托管人的报酬标准和提高销售服务费；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（6）变更基金类别；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（7）本基金与其他基金的合并；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（8）变更基金投资目标、范围或策略；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（9）变更基金份额持有人大会程序；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（10）基金管理人或基金托管人要求召开基金份额持有人大会；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（12）对基金当事人权利和义务产生重大影响的其他事项；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（13）法律法规、《基金合同》或中国证监会规定的其他应当召开基金份额持有人大会的事项。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2、以下情况可由基金管理人和基金托管人协商后修改，不需召开基金份额持有人大会：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（1）调低基金管理费、基金托管费和销售服务费；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（2）法律法规要求增加的基金费用的收取；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（3）在法律法规和《基金合同》规定的范围内调整本基金的申购费率、调低赎回费率；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（4）因相应的法律法规发生变动而应当对《基金合同》进行修改；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（5）对《基金合同》的修改对基金份额持有人利益无实质性不利影响或修改不涉及《基金合同》当事人权利义务关系发生重大变化；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（6）调整本基金份额类别的设置；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（7）按照法律法规和《基金合同》规定不需召开基金份额持有人大会的以外的其他情形。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若在自由开放期最后一日次日本基金的份额持有人数量不满200人，或者在自由开放期最后一日次日基金资产净值加上当日申购的基金份额对应的资产净值或减去当日赎回的基金份额对应的资产净值低于2亿元，基金管理人可以在在履行信息披露义务后终止基金合同而无需召开基金份额持有人大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本基金将根据基金合同第二十部分的约定进行基金财产清算。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（二）会议召集人及召集方式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1、除法律法规规定或《基金合同》另有约定外，基金份额持有人大会由基金管理人召集；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2、基金管理人未按规定召集或不能召集时，由基金托管人召集；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3、基金托管人认为有必要召开基金份额持有人大会的，应当向基金管理人提出书面提议。基金管理人应当自收到书面提议之日起10日内决定是否召集，并书面告知基金托管人。</w:t>
      </w:r>
      <w:r w:rsidRPr="000073C0">
        <w:rPr>
          <w:rFonts w:hint="eastAsia"/>
          <w:sz w:val="21"/>
          <w:szCs w:val="21"/>
        </w:rPr>
        <w:lastRenderedPageBreak/>
        <w:t xml:space="preserve">基金管理人决定召集的，应当自出具书面决定之日起60日内召开；基金管理人决定不召集，基金托管人仍认为有必要召开的，应当由基金托管人自行召集；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6、基金份额持有人会议的召集人负责选择确定开会时间、地点、方式和权益登记日。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（三）召开基金份额持有人大会的通知时间、通知内容、通知方式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1、召开基金份额持有人大会，召集人应于会议召开前30日，在指定媒介公告。基金份额持有人大会通知应至少载明以下内容：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（1）会议召开的时间、地点和会议形式；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（2）会议拟审议的事项、议事程序和表决方式；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（3）有权出席基金份额持有人大会的基金份额持有人的权益登记日；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（4）授权委托证明的内容要求（包括但不限于代理人身份，代理权限和代理有效期限等）、送达时间和地点；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（5）会务常设联系人姓名及联系电话；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（6）出席会议者必须准备的文件和必须履行的手续；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（7）召集人需要通知的其他事项。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（四）基金份额持有人出席会议的方式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基金份额持有人大会可通过现场开会方式、通讯开会方式等法律法规或中国证监会允许的其他方式召开，会议的召开方式由会议召集人确定。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托管人不派代表列席的，不影响表决效力。现场开会同时符合以下条件时，可以进行基金份额持有人大会议程：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（2）经核对，汇总到会者出示的在权益登记日持有基金份额的凭证显示，有效的基金份额不少于本基金在权益登记日基金总份额的50%（含50%）。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在同时符合以下条件时，通讯开会的方式视为有效：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（1）会议召集人按《基金合同》约定公布会议通知后，在2个工作日内连续公布相关提示性公告；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w:t>
      </w:r>
      <w:r w:rsidRPr="000073C0">
        <w:rPr>
          <w:rFonts w:hint="eastAsia"/>
          <w:sz w:val="21"/>
          <w:szCs w:val="21"/>
        </w:rPr>
        <w:lastRenderedPageBreak/>
        <w:t xml:space="preserve">额持有人的书面表决意见；基金托管人或基金管理人经通知不参加收取书面表决意见的，不影响表决效力；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（3）本人直接出具书面意见或授权他人代表出具书面意见的，基金份额持有人所持有的基金份额不小于在权益登记日基金总份额的50%（含50%）；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在法律法规和监管机关允许的情况下，本基金的基金份额持有人亦可采用其他非书面方式授权其代理人出席基金份额持有人大会；在会议召开方式上，本基金亦可采用其他非现场方式或者以现场方式与非现场方式相结合的方式召开基金份额持有人大会，会议程序比照现场开会和通讯方式开会的程序进行。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（五）议事内容与程序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1、议事内容及提案权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基金份额持有人大会的召集人发出召集会议的通知后，对原有提案的修改应当在基金份额持有人大会召开前及时公告。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基金份额持有人大会不得对未事先公告的议事内容进行表决。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2、议事程序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（1）现场开会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50%以上（含50%）选举产生一名基金份额持有人作为该次基金份额持有人大会的主持人。基金管理人和基金托管人拒不出席或主持基金份额持有人大会，不影响基金份额持有人大会作出的决议的效力。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会议召集人应当制作出席会议人员的签名册。签名册载明参加会议人员姓名（或单位名称）、身份证明文件号码、持有或代表有表决权的基金份额、委托人姓名（或单位名称）和联系方式等事项。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（2）通讯开会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（六）表决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基金份额持有人所持每份基金份额有一票表决权。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基金份额持有人大会决议分为一般决议和特别决议：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1、一般决议，一般决议须经参加大会的基金份额持有人或其代理人所持表决权的50%以上（含50%）通过方为有效；除下列第2项所规定的须以特别决议通过事项以外的其他事项均以一般决议的方式通过。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特别决议，特别决议应当经参加大会的基金份额持有人或其代理人所持表决权的三分之二以上（含三分之二）通过方可做出。转换基金运作方式、更换基金管理人或者基金托管人、终止《基金合同》以特别决议通过方为有效。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基金份额持有人大会采取记名方式进行投票表决。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基金份额持有人大会的各项提案或同一项提案内并列的各项议题应当分开审议、逐项表决。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（七）计票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1、现场开会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w:t>
      </w:r>
      <w:r w:rsidRPr="000073C0">
        <w:rPr>
          <w:rFonts w:hint="eastAsia"/>
          <w:sz w:val="21"/>
          <w:szCs w:val="21"/>
        </w:rPr>
        <w:lastRenderedPageBreak/>
        <w:t xml:space="preserve">有人大会的主持人应当在会议开始后宣布在出席会议的基金份额持有人中选举三名基金份额持有人代表担任监票人。基金管理人或基金托管人不出席大会的，不影响计票的效力。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（2）监票人应当在基金份额持有人表决后立即进行清点并由大会主持人当场公布计票结果。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（4）计票过程应由公证机关予以公证,基金管理人或基金托管人拒不出席大会的，不影响计票的效力。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2、通讯开会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书面表决意见的计票进行监督的，不影响计票和表决结果。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（八）生效与公告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基金份额持有人大会的决议，召集人应当自通过之日起5日内报中国证监会核准或者备案。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基金份额持有人大会的决议自中国证监会依法核准或者出具无异议意见之日起生效。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基金份额持有人大会决议自生效之日起2日内在指定媒介上公告。如果采用通讯方式进行表决，在公告基金份额持有人大会决议时，必须将公证书全文、公证机构、公证员姓名等一同公告。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九）本部分关于基金份额持有人大会召开事由、召开条件、议事程序、表决条件等规定，凡是直接引用法律法规的部分，如将来法律法规修改导致相关内容被取消或变更的，基金管理人提前公告后，可直接对本部分内容进行修改和调整，无需召开基金份额持有人大会审议。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Style w:val="a4"/>
          <w:rFonts w:hint="eastAsia"/>
          <w:sz w:val="21"/>
          <w:szCs w:val="21"/>
        </w:rPr>
        <w:t>三、基金合同的变更、终止与基金财产的清算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（一）《基金合同》的变更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变更基金合同涉及法律法规规定或本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2、关于《基金合同》变更的基金份额持有人大会决议经中国证监会核准或出具无异议意见后方可执行，自决议生效后两日内在指定媒介公告。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（二）《基金合同》的终止事由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有下列情形之一的，《基金合同》应当终止：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1、基金份额持有人大会决定终止的；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2、基金管理人、基金托管人职责终止，在6个月内没有新基金管理人、新基金托管人承接的；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若在自由开放期最后一日次日本基金的份额持有人数量不满200人，或者在自由开放期最后一日次日基金资产净值加上当日申购的基金份额对应的资产净值或减去当日赎回的基金份额对应的资产净值低于2亿元，基金管理人可以在在履行信息披露义务后终止基金合同而无需召开基金份额持有人大会。本基金将根据基金合同第二十部分的约定进行基金财产清算；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4、《基金合同》约定的其他情形；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5、相关法律法规和中国证监会规定的其他情况。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（三）基金财产的清算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3、基金财产清算小组职责：基金财产清算小组负责基金财产的保管、清理、估价、变现和分配。基金财产清算小组可以依法进行必要的民事活动。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4、基金财产清算程序：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（1）《基金合同》终止情形出现时，由基金财产清算小组统一接管基金；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（2）对基金财产和债权债务进行清理和确认；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 xml:space="preserve">（3）对基金财产进行估值和变现；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（4）制作清算报告；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（5）聘请会计师事务所对清算报告进行外部审计，聘请律师事务所对清算报告出具法律意见书；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（6）将清算报告报中国证监会备案并公告；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（7）对基金剩余财产进行分配。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5、基金财产清算的期限为6个月。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（四）清算费用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清算费用是指基金财产清算小组在进行基金清算过程中发生的所有合理费用，清算费用由基金财产清算小组优先从基金财产中支付。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（五）基金财产清算剩余资产的分配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（六）基金财产清算的公告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（七）基金财产清算账册及文件的保存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基金财产清算账册及有关文件由基金托管人保存15年以上。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Style w:val="a4"/>
          <w:rFonts w:hint="eastAsia"/>
          <w:sz w:val="21"/>
          <w:szCs w:val="21"/>
        </w:rPr>
        <w:t>四、争议解决方式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各方当事人同意，因《基金合同》而产生的或与《基金合同》有关的一切争议，如经友好协商未能解决的，任何一方均有权将争议提交中国国际经济贸易仲裁委员会，按照中国国际经济贸易仲裁委员会届时有效的仲裁规则进行仲裁。仲裁地点为北京市。仲裁裁决是终局的，对各方当事人均有约束力，仲裁费用由败诉方承担。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争议处理期间，基金合同当事人应恪守各自的职责，继续忠实、勤勉、尽责地履行基金合同规定的义务，维护基金份额持有人的合法权益。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t xml:space="preserve">《基金合同》受中国法律管辖。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Style w:val="a4"/>
          <w:rFonts w:hint="eastAsia"/>
          <w:sz w:val="21"/>
          <w:szCs w:val="21"/>
        </w:rPr>
        <w:t>五、基金合同存放地和投资者取得基金合同的方式 </w:t>
      </w:r>
    </w:p>
    <w:p w:rsidR="000073C0" w:rsidRPr="000073C0" w:rsidRDefault="000073C0">
      <w:pPr>
        <w:pStyle w:val="a3"/>
        <w:spacing w:before="0" w:beforeAutospacing="0" w:after="0" w:afterAutospacing="0" w:line="360" w:lineRule="auto"/>
        <w:ind w:firstLine="420"/>
        <w:divId w:val="931474323"/>
        <w:rPr>
          <w:sz w:val="21"/>
          <w:szCs w:val="21"/>
        </w:rPr>
      </w:pPr>
      <w:r w:rsidRPr="000073C0">
        <w:rPr>
          <w:rFonts w:hint="eastAsia"/>
          <w:sz w:val="21"/>
          <w:szCs w:val="21"/>
        </w:rPr>
        <w:lastRenderedPageBreak/>
        <w:t>《基金合同》可印制成册，供投资者在基金管理人、基金托管人、销售机构的办公场所</w:t>
      </w:r>
      <w:bookmarkStart w:id="209" w:name="chapter_level1_23_71_section_1_end"/>
      <w:bookmarkEnd w:id="209"/>
      <w:r w:rsidRPr="000073C0">
        <w:rPr>
          <w:rFonts w:hint="eastAsia"/>
          <w:sz w:val="21"/>
          <w:szCs w:val="21"/>
        </w:rPr>
        <w:t xml:space="preserve">和营业场所查阅。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210" w:name="chapter_level1_24_72"/>
      <w:bookmarkStart w:id="211" w:name="_Toc50743142"/>
      <w:r w:rsidRPr="000073C0">
        <w:rPr>
          <w:rFonts w:ascii="宋体" w:eastAsia="宋体" w:hAnsi="宋体" w:hint="eastAsia"/>
          <w:sz w:val="30"/>
        </w:rPr>
        <w:lastRenderedPageBreak/>
        <w:t>第二十一部分  基金托管协议的内容摘要</w:t>
      </w:r>
      <w:bookmarkEnd w:id="210"/>
      <w:bookmarkEnd w:id="211"/>
    </w:p>
    <w:p w:rsidR="000073C0" w:rsidRPr="000073C0" w:rsidRDefault="000073C0">
      <w:pPr>
        <w:pStyle w:val="a3"/>
        <w:spacing w:before="0" w:beforeAutospacing="0" w:after="0" w:afterAutospacing="0" w:line="360" w:lineRule="auto"/>
        <w:ind w:firstLine="420"/>
        <w:divId w:val="685667332"/>
        <w:rPr>
          <w:sz w:val="21"/>
          <w:szCs w:val="21"/>
        </w:rPr>
      </w:pPr>
      <w:bookmarkStart w:id="212" w:name="chapter_level1_24_72_section_1"/>
      <w:bookmarkEnd w:id="212"/>
      <w:r w:rsidRPr="000073C0">
        <w:rPr>
          <w:rStyle w:val="a4"/>
          <w:rFonts w:hint="eastAsia"/>
          <w:sz w:val="21"/>
          <w:szCs w:val="21"/>
        </w:rPr>
        <w:t>一、托管协议当事人</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（一）基金管理人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名称：博时基金管理有限公司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注册地址：深圳市福田区莲花街道福新社区益田路5999号基金大厦21层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办公地址：广东省深圳市福田区益田路5999号基金大厦21层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邮政编码：518040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法定代表人：江向阳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成立日期：1998年7月13日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批准设立机关及批准设立文号：中国证监会证监基字[1998]26号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组织形式：有限责任公司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注册资本：2.5亿元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存续期间：持续经营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经营范围：基金募集；基金销售；资产管理；中国证监会许可的其他业务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（二）基金托管人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名称：中国建设银行股份有限公司（简称：中国建设银行）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住所：北京市西城区金融大街25号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办公地址：北京市西城区闹市口大街1号院1号楼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邮政编码：100033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法定代表人：田国立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成立日期：2004年09月17日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基金托管业务批准文号：中国证监会证监基字[1998]12号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组织形式：股份有限公司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注册资本：贰仟伍佰亿壹仟零玖拾柒万柒仟肆佰捌拾陆元整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存续期间：持续经营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经营范围：吸收公众存款；发放短期、中期、长期贷款；办理国内外结算；办理票据承兑与贴现；发行金融债券；代理发行、代理兑付、承销政府债券；买卖政府债券、金融债券；从事同业拆借；买卖、代理买卖外汇；从事银行卡业务；提供信用证服务及担保；代理收付</w:t>
      </w:r>
      <w:r w:rsidRPr="000073C0">
        <w:rPr>
          <w:rFonts w:hint="eastAsia"/>
          <w:sz w:val="21"/>
          <w:szCs w:val="21"/>
        </w:rPr>
        <w:lastRenderedPageBreak/>
        <w:t xml:space="preserve">款项及代理保险业务；提供保管箱服务；经中国银行业监督管理机构等监管部门批准的其他业务。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Style w:val="a4"/>
          <w:rFonts w:hint="eastAsia"/>
          <w:sz w:val="21"/>
          <w:szCs w:val="21"/>
        </w:rPr>
        <w:t>二、基金托管人对基金管理人的业务监督和核查</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一）基金托管人根据有关法律法规的规定及《基金合同》的约定，对基金投资范围、投资对象进行监督。《基金合同》明确约定基金投资风格或证券选择标准的，基金管理人应按照基金托管人要求的格式提供投资品种池，以便基金托管人运用相关技术系统，对基金实际投资是否符合《基金合同》关于证券选择标准的约定进行监督，对存在疑义的事项进行核查。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本基金的投资范围为具有良好流动性的金融工具，包括国内依法发行上市的国家债券、金融债券、次级债券、中央银行票据、企业债券、公司债券、中期票据、私募债券、短期融资券及超级短期融资券、可分离交易债券的纯债、资产支持证券、回购和银行定期存款等金融工具以及法律法规或中国证监会允许基金投资的其他固定收益类金融工具（但须符合中国证监会的相关规定）。其中，私募债券指中小企业私募债或其他相关主体非公开或定向发行的债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本基金不直接从二级市场买入股票、权证等权益类证券，不参与一级市场的新股申购或增发新股以及可分离交易债券（可分离交易债券的纯债部分除外），也不投资可转换债券。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本基金投资于债券资产比例不低于基金资产的80%，本基金投资于中小企业私募债券比例合计不高于基金资产的30%，其中，本基金持有单只中小企业私募债券，其市值不得超过本基金资产净值的10%，但在每次自由开放期前三个月、自由开放期及自由开放期结束后三个月的期间内，基金投资不受上述比例限制。自由开放期内现金或者到期日在一年以内的政府债券不低于基金资产净值的5%，在封闭期、自动赎回期和受限开放期内，本基金不受上述5%的限制，其中，现金不包括结算备付金、存出保证金、应收申购款等。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如法律法规或监管机构以后允许基金投资商业票据或其他品种，基金管理人可以将其纳入投资范围。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（二）基金托管人根据有关法律法规的规定及《基金合同》的约定，对基金投资、融资比例进行监督。基金托管人按下述比例和调整期限进行监督：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本基金投资于债券资产比例不低于基金资产的80%，本基金投资于中小企业私募债券比例合计不高于基金资产的30%，但在每次自由开放期前三个月、自由开放期及自由开放期结束后三个月的期间内，基金投资不受上述比例限制；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lastRenderedPageBreak/>
        <w:t xml:space="preserve">（2）自由开放期内保持不低于基金资产净值5％的现金或者到期日在一年以内的政府债券，在自动赎回期、受限开放期和封闭期内，本基金不受上述5%的限制；其中，现金不包括结算备付金、存出保证金、应收申购款等；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（3）本基金投资于同一原始权益人的各类资产支持证券的比例，不得超过基金资产净值的10％；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（4）本基金持有的全部资产支持证券，其市值不得超过基金资产净值的20％；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（5）本基金持有的同一（指同一信用级别）资产支持证券的比例，不得超过该资产支持证券规模的10％；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（6）本基金应投资于信用级别评级为BBB以上（含BBB）的资产支持证券。基金持有资产支持证券期间，如果其信用等级下降、不再符合投资标准，应在评级报告发布之日起3个月内予以全部卖出；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（7）本基金进入全国银行间同业市场进行债券回购的资金余额不得超过基金资产净值的40%；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（8）本基金持有单只中小企业私募债券，其市值不得超过本基金资产净值的10%；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（9）本基金投资中小企业私募债券的剩余期限，不得超过本基金运作周期的剩余期限；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（10）本基金基金总资产和基金净资产的比例不超过200%；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（11）开放期内，本基金主动投资于流动性受限资产的市值合计不得超过基金资产净值的15%。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因证券市场波动、基金规模变动等基金管理人之外的因素致使基金不符合前款所规定比例限制的，基金管理人不得主动新增流动性受限资产的投资；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（12）本基金与私募类证券资管产品及中国证监会认定的其他主体为交易对手开展逆回购交易的，可接受质押品的资质要求应当与基金合同约定的投资范围保持一致；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除（2）、（6）、（11）、（12）外，因证券市场波动、证券发行人合并、基金规模变动等基金管理人之外的因素致使基金投资比例不符合上述规定投资比例的，基金管理人应当在10个交易日内进行调整。法律法规另有规定的，从其规定。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基金管理人应当自基金合同生效之日起6个月内使基金的投资组合比例符合基金合同的有关约定。基金托管人对基金的投资的监督与检查自基金合同生效之日起开始。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lastRenderedPageBreak/>
        <w:t xml:space="preserve">如果法律法规对上述投资组合比例限制进行变更的，以变更后的规定为准。法律法规或监管部门取消上述限制，如适用于本基金，基金管理人在履行适当程序后，则本基金投资不再受相关限制。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三）基金托管人根据有关法律法规的规定及《基金合同》的约定，对本托管协议第十五条第（九）款基金投资禁止行为进行监督。基金托管人通过事后监督方式对基金管理人基金投资禁止行为和关联交易进行监督。根据法律法规有关基金禁止从事关联交易的规定，基金管理人和基金托管人应事先相互提供与本机构有控股关系的股东、与本机构有其他重大利害关系的公司名单及有关关联方发行的证券名单。基金管理人和基金托管人有责任确保关联交易名单的真实性、准确性、完整性，并负责及时将更新后的名单发送给对方。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若基金托管人发现基金管理人与关联交易名单中列示的关联方进行法律法规禁止基金从事的关联交易时，基金托管人应及时提醒基金管理人采取必要措施阻止该关联交易的发生，如基金托管人采取必要措施后仍无法阻止关联交易发生时，基金托管人有权向中国证监会报告。对于基金管理人已成交的关联交易，基金托管人事前无法阻止该关联交易的发生，只能进行事后结算，基金托管人不承担由此造成的损失，并向中国证监会报告。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四）基金托管人根据有关法律法规的规定及《基金合同》的约定，对基金管理人参与银行间债券市场进行监督。基金管理人应在基金投资运作之前向基金托管人提供符合法律法规及行业标准的、经慎重选择的、本基金适用的银行间债券市场交易对手名单，并约定各交易对手所适用的交易结算方式。基金管理人应严格按照交易对手名单的范围在银行间债券市场选择交易对手。基金托管人监督基金管理人是否按事前提供的银行间债券市场交易对手名单进行交易。基金管理人可以每半年对银行间债券市场交易对手名单及结算方式进行更新，新名单确定前已与本次剔除的交易对手所进行但尚未结算的交易，仍应按照协议进行结算。如基金管理人根据市场情况需要临时调整银行间债券市场交易对手名单及结算方式的，应向基金托管人说明理由，并在与交易对手发生交易前3个工作日内与基金托管人协商解决。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基金管理人负责对交易对手的资信控制，按银行间债券市场的交易规则进行交易，并负责解决因交易对手不履行合同而造成的纠纷及损失，基金托管人不承担由此造成的任何法律责任及损失。若未履约的交易对手在基金托管人与基金管理人确定的时间前仍未承担违约责任及其他相关法律责任的，基金管理人可以对相应损失先行予以承担，然后再向相关交易对手追偿。基金托管人则根据银行间债券市场成交单对合同履行情况进行监督。如基金托管人</w:t>
      </w:r>
      <w:r w:rsidRPr="000073C0">
        <w:rPr>
          <w:rFonts w:hint="eastAsia"/>
          <w:sz w:val="21"/>
          <w:szCs w:val="21"/>
        </w:rPr>
        <w:lastRenderedPageBreak/>
        <w:t xml:space="preserve">事后发现基金管理人没有按照事先约定的交易对手或交易方式进行交易时，基金托管人应及时提醒基金管理人，基金托管人不承担由此造成的任何损失和责任。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五）基金托管人对基金投资中小企业私募债券是否符合比例限制进行事后监督，如发现异常情况，应及时以书面形式通知基金管理人。基金管理人应积极配合和协助乙方的监督和核查。基金因投资中小企业私募债券导致的信用风险、流动性风险，基金托管人不承担任何责任。如因基金管理人原因导致基金出现损失致使基金托管人承担连带赔偿责任的，基金管理人应赔偿基金托管人由此遭受的损失。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六）基金托管人根据有关法律法规的规定及《基金合同》的约定，对基金资产净值计算、基金份额净值计算、应收资金到账、基金费用开支及收入确定、基金收益分配、相关信息披露、基金宣传推介材料中登载基金业绩表现数据等进行监督和核查。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七）基金托管人发现基金管理人的上述事项及投资指令或实际投资运作违反法律法规、《基金合同》和本托管协议的规定，应及时以电话提醒或书面提示等方式通知基金管理人限期纠正。基金管理人应积极配合和协助基金托管人的监督和核查。基金管理人收到书面通知后应在下一工作日前及时核对并以书面形式给基金托管人发出回函，就基金托管人的疑义进行解释或举证，说明违规原因及纠正期限，并保证在规定期限内及时改正。在上述规定期限内，基金托管人有权随时对通知事项进行复查，督促基金管理人改正。基金管理人对基金托管人通知的违规事项未能在限期内纠正的，基金托管人应报告中国证监会。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八）基金管理人有义务配合和协助基金托管人依照法律法规、《基金合同》和本托管协议对基金业务执行核查。对基金托管人发出的书面提示，基金管理人应在规定时间内答复并改正，或就基金托管人的疑义进行解释或举证；对基金托管人按照法律法规、《基金合同》和本托管协议的要求需向中国证监会报送基金监督报告的事项，基金管理人应积极配合提供相关数据资料和制度等。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（九）若基金托管人发现基金管理人依据交易程序已经生效的指令违反法律、行政法规和其他有关规定，或者违反《基金合同》约定的，应当立即通知基金管理人，由此造成的损失由基金管理人承担。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十）基金托管人发现基金管理人有重大违规行为，应及时报告中国证监会，同时通知基金管理人限期纠正，并将纠正结果报告中国证监会。基金管理人无正当理由，拒绝、阻挠对方根据本托管协议规定行使监督权，或采取拖延、欺诈等手段妨碍对方进行有效监督，情节严重或经基金托管人提出警告仍不改正的，基金托管人应报告中国证监会。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Style w:val="a4"/>
          <w:rFonts w:hint="eastAsia"/>
          <w:sz w:val="21"/>
          <w:szCs w:val="21"/>
        </w:rPr>
        <w:lastRenderedPageBreak/>
        <w:t>三、基金管理人对基金托管人的业务监督、核查</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一）基金管理人对基金托管人履行托管职责情况进行核查，核查事项包括基金托管人安全保管基金财产、开设基金财产的资金账户和证券账户、复核基金管理人计算的基金资产净值和基金份额净值、根据基金管理人指令办理清算交收、相关信息披露和监督基金投资运作等行为。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二）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基金托管人收到通知后应及时核对并以书面形式给基金管理人发出回函，说明违规原因及纠正期限，并保证在规定期限内及时改正。在上述规定期限内，基金管理人有权随时对通知事项进行复查，督促基金托管人改正。基金托管人应积极配合基金管理人的核查行为，包括但不限于：提交相关资料以供基金管理人核查托管财产的完整性和真实性，在规定时间内答复基金管理人并改正。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三）基金管理人发现基金托管人有重大违规行为，应及时报告中国证监会，同时通知基金托管人限期纠正，并将纠正结果报告中国证监会。基金托管人无正当理由，拒绝、阻挠对方根据本协议规定行使监督权，或采取拖延、欺诈等手段妨碍对方进行有效监督，情节严重或经基金管理人提出警告仍不改正的，基金管理人应报告中国证监会。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Style w:val="a4"/>
          <w:rFonts w:hint="eastAsia"/>
          <w:sz w:val="21"/>
          <w:szCs w:val="21"/>
        </w:rPr>
        <w:t>四、基金财产的保管</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（一）基金财产保管的原则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1、基金财产应独立于基金管理人、基金托管人的固有财产。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2、基金托管人应安全保管基金财产。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3、基金托管人按照规定开设基金财产的资金账户和证券账户。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4、基金托管人对所托管的不同基金财产分别设置账户，确保基金财产的完整与独立。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5、基金托管人按照《基金合同》和本协议的约定保管基金财产，如有特殊情况双方可另行协商解决。基金托管人未经基金管理人的指令，不得自行运用、处分、分配本基金的任何资产（不包含基金托管人依据中国结算公司结算数据完成场内交易交收、托管资产开户银行扣收结算费和账户维护费等费用）。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6、对于因为基金投资产生的应收资产，应由基金管理人负责与有关当事人确定到账日期并通知基金托管人，到账日基金财产没有到达基金账户的，基金托管人应及时通知基金管</w:t>
      </w:r>
      <w:r w:rsidRPr="000073C0">
        <w:rPr>
          <w:rFonts w:hint="eastAsia"/>
          <w:sz w:val="21"/>
          <w:szCs w:val="21"/>
        </w:rPr>
        <w:lastRenderedPageBreak/>
        <w:t xml:space="preserve">理人采取措施进行催收。由此给基金财产造成损失的，基金管理人应负责向有关当事人追偿基金财产的损失，基金托管人对此不承担任何责任。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7、除依据法律法规和《基金合同》的规定外，基金托管人不得委托第三人托管基金财产。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（二）基金募集期间及募集资金的验资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1、基金募集期间募集的资金应存于基金管理人在基金托管人的营业机构开立的“基金募集专户”。该账户由基金管理人开立并管理。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基金募集期满或基金停止募集时，募集的基金份额总额、基金募集金额、基金份额持有人人数符合《基金法》、《运作办法》等有关规定后，基金管理人应将属于基金财产的全部资金划入基金托管人开立的基金银行账户，同时在规定时间内，聘请具有从事证券相关业务资格的会计师事务所进行验资，出具验资报告。出具的验资报告由参加验资的2名或2名以上中国注册会计师签字方为有效。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3、若基金募集期限届满，未能达到《基金合同》生效的条件，由基金管理人按规定办理退款等事宜。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（三）基金银行账户的开立和管理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1、基金托管人可以本基金的名义在其营业机构开立基金的银行账户，并根据基金管理人合法合规的指令办理资金收付。本基金的银行预留印鉴由基金托管人保管和使用。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2、基金银行账户的开立和使用，限于满足开展本基金业务的需要。基金托管人和基金管理人不得假借本基金的名义开立任何其他银行账户；亦不得使用基金的任何账户进行本基金业务以外的活动。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3、基金银行账户的开立和管理应符合银行业监督管理机构的有关规定。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4、在符合法律法规规定的条件下，基金托管人可以通过基金托管人专用账户办理基金资产的支付。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（四）基金证券账户和结算备付金账户的开立和管理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1、基金托管人在中国证券登记结算有限责任公司上海分公司、深圳分公司为基金开立基金托管人与基金联名的证券账户。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2、基金证券账户的开立和使用，仅限于满足开展本基金业务的需要。基金托管人和基金管理人不得出借或未经对方同意擅自转让基金的任何证券账户，亦不得使用基金的任何账户进行本基金业务以外的活动。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lastRenderedPageBreak/>
        <w:t xml:space="preserve">3、基金证券账户的开立和证券账户卡的保管由基金托管人负责，账户资产的管理和运用由基金管理人负责。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基金托管人以基金托管人的名义在中国证券登记结算有限责任公司开立结算备付金账户，并代表所托管的基金完成与中国证券登记结算有限责任公司的一级法人清算工作，基金管理人应予以积极协助。结算备付金、结算互保基金、交收价差资金等的收取按照中国证券登记结算有限责任公司的规定执行。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5、若中国证监会或其他监管机构在本托管协议订立日之后允许基金从事其他投资品种的投资业务，涉及相关账户的开立、使用的，若无相关规定，则基金托管人比照上述关于账户开立、使用的规定执行。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（五）债券托管专户的开设和管理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合同》生效后，基金托管人根据中国人民银行、银行间市场登记结算机构的有关规定，以本基金的名义在银行间市场登记结算机构开立债券托管账户，持有人账户和资金结算账户，并代表本基金进行银行间市场债券的结算。基金管理人和基金托管人共同代表基金签订全国银行间债券市场债券回购主协议。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（六）其他账户的开立和管理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1、因业务发展需要而开立的其他账户，可以根据法律法规和《基金合同》的规定，由基金托管人负责开立。新账户按有关规定使用并管理。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2、法律法规等有关规定对相关账户的开立和管理另有规定的，从其规定办理。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（七）基金财产投资的有关有价凭证等的保管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财产投资的有关实物证券、银行存款开户证实书等有价凭证由基金托管人存放于基金托管人的保管库，也可存入中央国债登记结算有限责任公司、中国证券登记结算有限责任公司上海分公司/深圳分公司或票据营业中心的代保管库，保管凭证由基金托管人持有。有价凭证的购买和转让，由基金管理人和基金托管人共同办理。基金托管人对由基金托管人以外机构实际有效控制的资产不承担保管责任。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（八）与基金财产有关的重大合同的保管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与基金财产有关的重大合同的签署，由基金管理人负责。由基金管理人代表基金签署的、与基金财产有关的重大合同的原件分别由基金管理人、基金托管人保管。除本协议另有规定外，基金管理人代表基金签署的与基金财产有关的重大合同包括但不限于基金年度审计合同、基金信息披露协议及基金投资业务中产生的重大合同，基金管理人应保证基金管理人和基金</w:t>
      </w:r>
      <w:r w:rsidRPr="000073C0">
        <w:rPr>
          <w:rFonts w:hint="eastAsia"/>
          <w:sz w:val="21"/>
          <w:szCs w:val="21"/>
        </w:rPr>
        <w:lastRenderedPageBreak/>
        <w:t xml:space="preserve">托管人至少各持有一份正本的原件。基金管理人应在重大合同签署后及时以加密方式将重大合同传真给基金托管人，并在三十个工作日内将正本送达基金托管人处。重大合同的保管期限为《基金合同》终止后15年。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Style w:val="a4"/>
          <w:rFonts w:hint="eastAsia"/>
          <w:sz w:val="21"/>
          <w:szCs w:val="21"/>
        </w:rPr>
        <w:t>五、基金资产净值计算与复核</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（一）基金资产净值的计算、复核与完成的时间及程序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基金资产净值是指基金资产总值减去负债后的金额。基金份额净值是按照每个工作日闭市后，基金资产净值除以当日基金份额的余额数量计算，精确到0.001元，小数点后第四位四舍五入。国家另有规定的，从其规定。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每个工作日计算基金资产净值及基金份额净值，并按规定公告。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基金管理人应每工作日对基金资产估值。但基金管理人根据法律法规或《基金合同》的规定暂停估值时除外。基金管理人每个工作日对基金资产估值后，将基金份额净值结果发送基金托管人，经基金托管人复核无误后，由基金管理人对外公布。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（二）基金资产估值方法和特殊情形的处理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1、估值对象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基金所拥有的债券和银行存款本息、应收款项、其它投资等资产及负债。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2、估值方法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1）、证券交易所上市的有价证券的估值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交易所上市的有价证券，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交易所上市实行净价交易的债券按估值日收盘价估值，估值日没有交易的，且最近交易日后经济环境未发生重大变化，按最近交易日的收盘价估值。如最近交易日后经济环境发生了重大变化的，可参考类似投资品种的现行市价及重大变化因素，调整最近交易市价，确定公允价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3）交易所上市未实行净价交易的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w:t>
      </w:r>
      <w:r w:rsidRPr="000073C0">
        <w:rPr>
          <w:rFonts w:hint="eastAsia"/>
          <w:sz w:val="21"/>
          <w:szCs w:val="21"/>
        </w:rPr>
        <w:lastRenderedPageBreak/>
        <w:t xml:space="preserve">如最近交易日后经济环境发生了重大变化的，可参考类似投资品种的现行市价及重大变化因素，调整最近交易市价，确定公允价格；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（4）交易所上市不存在活跃市场的有价证券，采用估值技术确定公允价值。交易所上市的资产支持证券，采用估值技术确定公允价值，在估值技术难以可靠计量公允价值的情况下，按成本估值。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2）、首次公开发行未上市债券，采用估值技术确定公允价值，在估值技术难以可靠计量公允价值的情况下，按成本估值。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3）、全国银行间债券市场交易的债券、资产支持证券等固定收益品种，采用估值技术确定公允价值。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4）、同一债券同时在两个或两个以上市场交易的，按债券所处的市场分别估值。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5）、中小企业私募债券, 采用估值技术确定公允价值。在估值技术难以可靠计量公允价值的情况下，按成本估值。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6）、如有确凿证据表明按上述方法进行估值不能客观反映其公允价值的，基金管理人可根据具体情况与基金托管人商定后，按最能反映公允价值的价格估值。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7）、相关法律法规以及监管部门有强制规定的，从其规定。如有新增事项，按国家最新规定估值。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予以公布。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3、特殊情形的处理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基金管理人、基金托管人按估值方法的第6）项进行估值时，所造成的误差不作为基金份额净值错误处理。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（三）基金份额净值错误的处理方式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1、当基金份额净值小数点后3位以内（含第3位）发生差错时，视为基金份额净值错误；基金份额净值出现错误时，基金管理人应当立即予以纠正，通报基金托管人，并采取合</w:t>
      </w:r>
      <w:r w:rsidRPr="000073C0">
        <w:rPr>
          <w:rFonts w:hint="eastAsia"/>
          <w:sz w:val="21"/>
          <w:szCs w:val="21"/>
        </w:rPr>
        <w:lastRenderedPageBreak/>
        <w:t xml:space="preserve">理的措施防止损失进一步扩大；错误偏差达到基金份额净值的0.25%时，基金管理人应当通报基金托管人并报中国证监会备案；错误偏差达到基金份额净值的0.5%时，基金管理人应当公告；当发生净值计算错误时，由基金管理人负责处理，由此给基金份额持有人和基金造成损失的，应由基金管理人先行赔付，基金管理人按差错情形，有权向其他当事人追偿。2、当基金份额净值计算差错给基金和基金份额持有人造成损失需要进行赔偿时，基金管理人和基金托管人应根据实际情况界定双方承担的责任，经确认后按以下条款进行赔偿：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本基金的基金会计责任方由基金管理人担任，与本基金有关的会计问题，如经双方在平等基础上充分讨论后，尚不能达成一致时，按基金管理人的建议执行，由此给基金份额持有人和基金财产造成的损失，由基金管理人负责赔付。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若基金管理人计算的基金份额净值已由基金托管人复核确认后公告，而且基金托管人未对计算过程提出疑义或要求基金管理人书面说明，基金份额净值出错且造成基金份额持有人损失的，应根据法律法规的规定对投资者或基金支付赔偿金，就实际向投资者或基金支付的赔偿金额，基金管理人与基金托管人按照管理费和托管费的比例各自承担相应的责任。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如基金管理人和基金托管人对基金份额净值的计算结果，虽然多次重新计算和核对，尚不能达成一致时，为避免不能按时公布基金份额净值的情形，以基金管理人的计算结果对外公布，由此给基金份额持有人和基金造成的损失，由基金管理人负责赔付。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（4）由于基金管理人提供的信息错误（包括但不限于基金申购或赎回金额等），进而导致基金份额净值计算错误而引起的基金份额持有人和基金财产的损失，由基金管理人负责赔付。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由于证券交易所及登记结算公司发送的数据错误，有关会计制度变化或由于其他不可抗力原因，基金管理人和基金托管人虽然已经采取必要、适当、合理的措施进行检查，但是未能发现该错误而造成的基金份额净值计算错误，基金管理人、基金托管人免除赔偿责任。但基金管理人、基金托管人应积极采取必要的措施消除由此造成的影响。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4、基金管理人和基金托管人由于各自技术系统设置而产生的净值计算尾差，以基金管理人计算结果为准。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5、前述内容如法律法规或者监管部门另有规定的，从其规定。如果行业另有通行做法，双方当事人应本着平等和保护基金份额持有人利益的原则进行协商。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（四）暂停估值与公告基金份额净值的情形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1、基金投资所涉及的证券交易市场遇法定节假日或因其他原因暂停营业时；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lastRenderedPageBreak/>
        <w:t xml:space="preserve">2、因不可抗力致使基金管理人、基金托管人无法准确评估基金资产价值时；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3、占基金相当比例的投资品种的估值出现重大转变，而基金管理人为保障投资人的利益，决定延迟估值；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4、当前一估值日基金资产净值50%以上的资产出现无可参考的活跃市场价格且采用估值技术仍导致公允价值存在重大不确定性时，经与基金托管人协商一致，应当暂停估值；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5、法律法规、中国证监会和基金合同认定的其它情形。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（五）基金会计制度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按国家有关部门规定的会计制度执行。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（六）基金账册的建立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管理人进行基金会计核算并编制基金财务会计报告。基金管理人独立地设置、记录和保管本基金的全套账册。若基金管理人和基金托管人对会计处理方法存在分歧，应以基金管理人的处理方法为准。若当日核对不符，暂时无法查找到错账的原因而影响到基金净值的计算和公告的，以基金管理人的账册为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（七）基金财务报表与报告的编制和复核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1、财务报表的编制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基金财务报表由基金管理人编制，基金托管人复核。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2、报表复核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基金托管人在收到基金管理人编制的基金财务报表后，进行独立的复核。核对不符时，应及时通知基金管理人共同查出原因，进行调整，直至双方数据完全一致。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3、财务报表的编制与复核时间安排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（1）报表的编制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管理人应当在每月结束后5个工作日内完成月度报表的编制；在每个季度结束之日起15个工作日内完成基金季度报告的编制；在上半年结束之日起两个月内完成基金中期报告的编制；在每年结束之日起三个月内完成基金年度报告的编制。基金年度报告的财务会计报告应当经过具有证券、期货相关业务资格的会计师事务所审计。《基金合同》生效不足两个月的，基金管理人可以不编制当期季度报告、中期报告或者年度报告。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（2）报表的复核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lastRenderedPageBreak/>
        <w:t xml:space="preserve">基金管理人应及时完成报表编制，将有关报表提供基金托管人复核；基金托管人在复核过程中，发现双方的报表存在不符时，基金管理人和基金托管人应共同查明原因，进行调整，调整以国家有关规定为准。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基金管理人应留足充分的时间，便于基金托管人复核相关报表及报告。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（八）基金管理人应在编制季度报告、中期报告或者年度报告之前及时向基金托管人提供基金业绩比较基准的基础数据和编制结果。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Style w:val="a4"/>
          <w:rFonts w:hint="eastAsia"/>
          <w:sz w:val="21"/>
          <w:szCs w:val="21"/>
        </w:rPr>
        <w:t>六、基金份额持有人名册的登记与保管</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基金份额持有人名册至少应包括基金份额持有人的名称和持有的基金份额。基金份额持有人名册由基金登记机构根据基金管理人的指令编制和保管，基金管理人和基金托管人应分别保管基金份额持有人名册，保存期不少于15年。如不能妥善保管，则按相关法规承担责任。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在基金托管人要求或编制中期报和年报前，基金管理人应将有关资料送交基金托管人，不得无故拒绝或延误提供，并保证其的真实性、准确性和完整性。基金托管人不得将所保管的基金份额持有人名册用于基金托管业务以外的其他用途，并应遵守保密义务。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Style w:val="a4"/>
          <w:rFonts w:hint="eastAsia"/>
          <w:sz w:val="21"/>
          <w:szCs w:val="21"/>
        </w:rPr>
        <w:t>七、争议解决方式</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因本协议产生或与之相关的争议，双方当事人应通过协商、调解解决，协商、调解不能解决的，任何一方均有权将争议提交中国国际经济贸易仲裁委员会，仲裁地点为北京市，按照中国国际经济贸易仲裁委员会届时有效的仲裁规则进行仲裁。仲裁裁决是终局的，对当事人均有约束力，仲裁费用由败诉方承担。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争议处理期间，双方当事人应恪守基金管理人和基金托管人职责，各自继续忠实、勤勉、尽责地履行《基金合同》和本托管协议规定的义务，维护基金份额持有人的合法权益。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本协议受中国法律管辖。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Style w:val="a4"/>
          <w:rFonts w:hint="eastAsia"/>
          <w:sz w:val="21"/>
          <w:szCs w:val="21"/>
        </w:rPr>
        <w:t>八、托管协议的修改与终止</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（一）托管协议的变更程序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本协议双方当事人经协商一致，可以对协议进行修改。修改后的新协议，其内容不得与《基金合同》的规定有任何冲突。基金托管协议的变更报中国证监会核准或备案后生效。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（二）基金托管协议终止出现的情形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1、《基金合同》终止；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t xml:space="preserve">2、基金托管人解散、依法被撤销、破产或由其他基金托管人接管基金资产； </w:t>
      </w:r>
    </w:p>
    <w:p w:rsidR="000073C0" w:rsidRPr="000073C0" w:rsidRDefault="000073C0">
      <w:pPr>
        <w:pStyle w:val="a3"/>
        <w:spacing w:before="0" w:beforeAutospacing="0" w:after="0" w:afterAutospacing="0" w:line="360" w:lineRule="auto"/>
        <w:ind w:firstLine="420"/>
        <w:divId w:val="685667332"/>
        <w:rPr>
          <w:sz w:val="21"/>
          <w:szCs w:val="21"/>
        </w:rPr>
      </w:pPr>
      <w:r w:rsidRPr="000073C0">
        <w:rPr>
          <w:rFonts w:hint="eastAsia"/>
          <w:sz w:val="21"/>
          <w:szCs w:val="21"/>
        </w:rPr>
        <w:lastRenderedPageBreak/>
        <w:t xml:space="preserve">3、基金管理人解散、依法被撤销、破产或由其他基金管理人接管基金管理权； </w:t>
      </w:r>
    </w:p>
    <w:p w:rsidR="000073C0" w:rsidRPr="000073C0" w:rsidRDefault="000073C0">
      <w:pPr>
        <w:pStyle w:val="a3"/>
        <w:spacing w:before="0" w:beforeAutospacing="0" w:after="0" w:afterAutospacing="0" w:line="360" w:lineRule="auto"/>
        <w:ind w:firstLine="420"/>
        <w:divId w:val="685667332"/>
        <w:rPr>
          <w:sz w:val="21"/>
          <w:szCs w:val="21"/>
        </w:rPr>
      </w:pPr>
      <w:bookmarkStart w:id="213" w:name="chapter_level1_24_72_section_1_end"/>
      <w:bookmarkEnd w:id="213"/>
      <w:r w:rsidRPr="000073C0">
        <w:rPr>
          <w:rFonts w:hint="eastAsia"/>
          <w:sz w:val="21"/>
          <w:szCs w:val="21"/>
        </w:rPr>
        <w:t xml:space="preserve">4、发生法律法规或《基金合同》规定的终止事项。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214" w:name="chapter_level1_25_75"/>
      <w:bookmarkStart w:id="215" w:name="_Toc50743143"/>
      <w:r w:rsidRPr="000073C0">
        <w:rPr>
          <w:rFonts w:ascii="宋体" w:eastAsia="宋体" w:hAnsi="宋体" w:hint="eastAsia"/>
          <w:sz w:val="30"/>
        </w:rPr>
        <w:lastRenderedPageBreak/>
        <w:t>第二十二部分  对基金份额持有人的服务</w:t>
      </w:r>
      <w:bookmarkEnd w:id="214"/>
      <w:bookmarkEnd w:id="215"/>
    </w:p>
    <w:p w:rsidR="000073C0" w:rsidRPr="000073C0" w:rsidRDefault="000073C0">
      <w:pPr>
        <w:pStyle w:val="a3"/>
        <w:spacing w:before="0" w:beforeAutospacing="0" w:after="0" w:afterAutospacing="0" w:line="360" w:lineRule="auto"/>
        <w:ind w:firstLine="420"/>
        <w:divId w:val="414909292"/>
        <w:rPr>
          <w:sz w:val="21"/>
          <w:szCs w:val="21"/>
        </w:rPr>
      </w:pPr>
      <w:bookmarkStart w:id="216" w:name="chapter_level1_25_75_section_1"/>
      <w:bookmarkEnd w:id="216"/>
      <w:r w:rsidRPr="000073C0">
        <w:rPr>
          <w:rFonts w:hint="eastAsia"/>
          <w:sz w:val="21"/>
          <w:szCs w:val="21"/>
        </w:rPr>
        <w:t xml:space="preserve">基金管理人承诺为基金份额持有人提供一系列的服务。基金管理人根据基金份额持有人的需要和市场的变化，有权增加或变更服务项目。主要服务内容如下：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Style w:val="a4"/>
          <w:rFonts w:hint="eastAsia"/>
          <w:sz w:val="21"/>
          <w:szCs w:val="21"/>
        </w:rPr>
        <w:t>一、持有人交易资料的寄送服务</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1、正常开放期，每次交易结束后，投资者可在T+2个工作日后通过销售机构的网点查询和打印交易确认单，或在T+1个工作日后通过基金管理人客服电话、基金管理人网上服务手段查询交易确认情况。基金管理人不向投资者寄送交易确认单。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2、每月结束后，基金管理人向所有订阅电子邮件对账单的投资者发送电子邮件对账单。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投资者可以登录基金管理人网站（http://www.bosera.com）“博时快e通”系统网上自助订阅；或发送“订阅电子对账单”邮件到客服邮箱</w:t>
      </w:r>
      <w:hyperlink r:id="rId6" w:history="1">
        <w:r w:rsidRPr="000073C0">
          <w:rPr>
            <w:rStyle w:val="a5"/>
            <w:rFonts w:hint="eastAsia"/>
            <w:sz w:val="21"/>
            <w:szCs w:val="21"/>
          </w:rPr>
          <w:t>service@bosera.com</w:t>
        </w:r>
      </w:hyperlink>
      <w:r w:rsidRPr="000073C0">
        <w:rPr>
          <w:rFonts w:hint="eastAsia"/>
          <w:sz w:val="21"/>
          <w:szCs w:val="21"/>
        </w:rPr>
        <w:t xml:space="preserve">；也可直接拨打博时一线通95105568（免长途话费）订阅。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Style w:val="a4"/>
          <w:rFonts w:hint="eastAsia"/>
          <w:sz w:val="21"/>
          <w:szCs w:val="21"/>
        </w:rPr>
        <w:t>二、网上理财服务</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通过基金管理人网站，投资者可获得如下服务：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1、自助开户交易：投资者使用建设银行、农业银行、工商银行、中国银行、交通银行、招商银行、兴业银行、浦发银行、邮储银行、民生银行、中信银行、光大银行、平安银行、广发银行的借记卡或招商银行i理财账户、汇付天下天天盈账户、支付宝理财专户均可以在基金管理人网站上自助开户并进行网上交易。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2、查询服务：投资者可以通过基金管理人网站查询所持有基金的基金份额、交易记录等信息，同时可以修改基金账户等基本资料。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3、信息咨询服务：投资者可以利用基金管理人网站获取基金和基金管理人各类信息，包括基金法律文件、基金管理人最新动态、热点问题等。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4、在线客服：投资者可以点击基金管理人网站首页“在线客服”，与客服代表进行在线咨询互动。也可以在“您问我答”栏目中，直接提出有关本基金的问题和建议。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Style w:val="a4"/>
          <w:rFonts w:hint="eastAsia"/>
          <w:sz w:val="21"/>
          <w:szCs w:val="21"/>
        </w:rPr>
        <w:t>三、短信服务</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Fonts w:hint="eastAsia"/>
          <w:sz w:val="21"/>
          <w:szCs w:val="21"/>
        </w:rPr>
        <w:t xml:space="preserve">基金管理人向订制短信服务的基金份额持有人提供相应短信服务。 </w:t>
      </w:r>
    </w:p>
    <w:p w:rsidR="000073C0" w:rsidRPr="000073C0" w:rsidRDefault="000073C0">
      <w:pPr>
        <w:pStyle w:val="a3"/>
        <w:spacing w:before="0" w:beforeAutospacing="0" w:after="0" w:afterAutospacing="0" w:line="360" w:lineRule="auto"/>
        <w:ind w:firstLine="420"/>
        <w:divId w:val="414909292"/>
        <w:rPr>
          <w:sz w:val="21"/>
          <w:szCs w:val="21"/>
        </w:rPr>
      </w:pPr>
      <w:r w:rsidRPr="000073C0">
        <w:rPr>
          <w:rStyle w:val="a4"/>
          <w:rFonts w:hint="eastAsia"/>
          <w:sz w:val="21"/>
          <w:szCs w:val="21"/>
        </w:rPr>
        <w:t>四、电子邮件服务</w:t>
      </w:r>
    </w:p>
    <w:p w:rsidR="000073C0" w:rsidRPr="000073C0" w:rsidRDefault="000073C0">
      <w:pPr>
        <w:pStyle w:val="a3"/>
        <w:spacing w:before="0" w:beforeAutospacing="0" w:after="0" w:afterAutospacing="0" w:line="360" w:lineRule="auto"/>
        <w:ind w:firstLine="420"/>
        <w:divId w:val="414909292"/>
        <w:rPr>
          <w:sz w:val="21"/>
          <w:szCs w:val="21"/>
        </w:rPr>
      </w:pPr>
      <w:bookmarkStart w:id="217" w:name="chapter_level1_25_75_section_1_end"/>
      <w:bookmarkEnd w:id="217"/>
      <w:r w:rsidRPr="000073C0">
        <w:rPr>
          <w:rFonts w:hint="eastAsia"/>
          <w:sz w:val="21"/>
          <w:szCs w:val="21"/>
        </w:rPr>
        <w:t xml:space="preserve">基金管理人为投资者提供电子邮件方式的业务咨询、投诉受理、基金份额净值等服务。 </w:t>
      </w:r>
    </w:p>
    <w:p w:rsidR="000073C0" w:rsidRPr="000073C0" w:rsidRDefault="000073C0">
      <w:pPr>
        <w:pStyle w:val="a3"/>
        <w:spacing w:before="0" w:beforeAutospacing="0" w:after="0" w:afterAutospacing="0" w:line="360" w:lineRule="auto"/>
        <w:ind w:firstLine="420"/>
        <w:divId w:val="1077747303"/>
        <w:rPr>
          <w:sz w:val="21"/>
          <w:szCs w:val="21"/>
        </w:rPr>
      </w:pPr>
      <w:bookmarkStart w:id="218" w:name="chapter_level1_25_75_section_2"/>
      <w:bookmarkEnd w:id="218"/>
      <w:r w:rsidRPr="000073C0">
        <w:rPr>
          <w:rStyle w:val="a4"/>
          <w:rFonts w:hint="eastAsia"/>
          <w:sz w:val="21"/>
          <w:szCs w:val="21"/>
        </w:rPr>
        <w:lastRenderedPageBreak/>
        <w:t>五、手机理财服务</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投资者可以通过手机登陆基金管理人WAP网站（http://wap.bosera.com）、博时移动版直销网上交易系统（http://m.bosera.com）和博时手机交易客户端，享受基金理财所需的基金交易、理财查询、账户管理、信息服务等功能。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Style w:val="a4"/>
          <w:rFonts w:hint="eastAsia"/>
          <w:sz w:val="21"/>
          <w:szCs w:val="21"/>
        </w:rPr>
        <w:t>六、信息订阅服务</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投资者可以通过基金管理人网站博时快e通、客服中心提交信息订制的申请，基金管理人将以电子邮件、手机短信的形式定期为投资者发送所订制的信息。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Style w:val="a4"/>
          <w:rFonts w:hint="eastAsia"/>
          <w:sz w:val="21"/>
          <w:szCs w:val="21"/>
        </w:rPr>
        <w:t>七、电话理财服务</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投资者拨打博时一线通：95105568（免长途话费）可享有投资理财交易的一站式综合服务：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2、电话交易服务：基金管理人直销投资者可通过博时一线通电话交易平台在线办理基金的认购、申购、赎回、转换、变更分红方式、撤单等直销交易业务，其中已开通协议支付账户的投资者还可以在线完成认/申购款项的自动划付。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3、人工电话服务：投资者可以获得业务咨询、信息查询、资料修改、投诉受理、信息订制、电话交易人工服务、账户诊断等服务。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4、电话留言服务：非人工服务时间或线路繁忙时，投资者可进行电话留言。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基金管理人的互联网地址及电子信箱 </w:t>
      </w:r>
    </w:p>
    <w:p w:rsidR="000073C0" w:rsidRPr="000073C0" w:rsidRDefault="000073C0">
      <w:pPr>
        <w:pStyle w:val="a3"/>
        <w:spacing w:before="0" w:beforeAutospacing="0" w:after="0" w:afterAutospacing="0" w:line="360" w:lineRule="auto"/>
        <w:ind w:firstLine="420"/>
        <w:divId w:val="1077747303"/>
        <w:rPr>
          <w:sz w:val="21"/>
          <w:szCs w:val="21"/>
        </w:rPr>
      </w:pPr>
      <w:r w:rsidRPr="000073C0">
        <w:rPr>
          <w:rFonts w:hint="eastAsia"/>
          <w:sz w:val="21"/>
          <w:szCs w:val="21"/>
        </w:rPr>
        <w:t xml:space="preserve">网址：www.bosera.com </w:t>
      </w:r>
    </w:p>
    <w:p w:rsidR="000073C0" w:rsidRPr="000073C0" w:rsidRDefault="000073C0">
      <w:pPr>
        <w:pStyle w:val="a3"/>
        <w:spacing w:before="0" w:beforeAutospacing="0" w:after="0" w:afterAutospacing="0" w:line="360" w:lineRule="auto"/>
        <w:ind w:firstLine="420"/>
        <w:divId w:val="1077747303"/>
        <w:rPr>
          <w:sz w:val="21"/>
          <w:szCs w:val="21"/>
        </w:rPr>
      </w:pPr>
      <w:bookmarkStart w:id="219" w:name="chapter_level1_25_75_section_2_end"/>
      <w:bookmarkEnd w:id="219"/>
      <w:r w:rsidRPr="000073C0">
        <w:rPr>
          <w:rFonts w:hint="eastAsia"/>
          <w:sz w:val="21"/>
          <w:szCs w:val="21"/>
        </w:rPr>
        <w:t>电子信箱：</w:t>
      </w:r>
      <w:hyperlink r:id="rId7" w:history="1">
        <w:r w:rsidRPr="000073C0">
          <w:rPr>
            <w:rStyle w:val="a5"/>
            <w:rFonts w:hint="eastAsia"/>
            <w:sz w:val="21"/>
            <w:szCs w:val="21"/>
          </w:rPr>
          <w:t>service@bosera.com</w:t>
        </w:r>
      </w:hyperlink>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220" w:name="chapter_level1_26_3499"/>
      <w:bookmarkStart w:id="221" w:name="_Toc50743144"/>
      <w:r w:rsidRPr="000073C0">
        <w:rPr>
          <w:rFonts w:ascii="宋体" w:eastAsia="宋体" w:hAnsi="宋体" w:hint="eastAsia"/>
          <w:sz w:val="30"/>
        </w:rPr>
        <w:lastRenderedPageBreak/>
        <w:t>第二十三部分 其他应披露的事项</w:t>
      </w:r>
      <w:bookmarkEnd w:id="220"/>
      <w:bookmarkEnd w:id="221"/>
    </w:p>
    <w:p w:rsidR="000073C0" w:rsidRPr="000073C0" w:rsidRDefault="000073C0">
      <w:pPr>
        <w:pStyle w:val="a3"/>
        <w:spacing w:before="0" w:beforeAutospacing="0" w:after="0" w:afterAutospacing="0" w:line="360" w:lineRule="auto"/>
        <w:ind w:firstLine="420"/>
        <w:divId w:val="682323278"/>
        <w:rPr>
          <w:sz w:val="21"/>
          <w:szCs w:val="21"/>
        </w:rPr>
      </w:pPr>
      <w:bookmarkStart w:id="222" w:name="chapter_level1_26_3499_section_1"/>
      <w:bookmarkStart w:id="223" w:name="field_0_bsrevealinfo_1_start"/>
      <w:bookmarkEnd w:id="222"/>
      <w:bookmarkEnd w:id="223"/>
      <w:r w:rsidRPr="000073C0">
        <w:rPr>
          <w:rFonts w:hint="eastAsia"/>
          <w:sz w:val="21"/>
          <w:szCs w:val="21"/>
        </w:rPr>
        <w:t>（一）、 2020年08月31日，我公司公告了《博时双月薪定期支付债券型证券投资基金2020年中期报告》；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（二）、 2020年08月27日，我公司公告了《博时双月薪定期支付债券型证券投资基金基金产品资料概要更新》；</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（三）、 2020年08月26日，我公司公告了《博时双月薪定期支付债券型证券投资基金份额折算方案提示公告》、《博时双月薪定期支付债券型证券投资基金开放自动赎回业务的公告》；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（四）、 2020年08月05日，我公司公告了《博时基金管理有限公司关于暂停使用通联支付提供的中信银行、中国银行快捷支付通道办理直销网上交易部分业务的公告》；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（五）、 2020年07月23日，我公司公告了《博时基金管理有限公司关于暂停使用中国农业银行非快捷支付服务办理直销网上交易部分业务的公告》；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（六）、 2020年07月21日，我公司公告了《博时双月薪定期支付债券型证券投资基金2020年第2季度报告》；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（七）、 2020年07月09日，我公司公告了《博时基金管理有限公司关于暂停使用上海银联提供的光大银行通道办理直销网上交易部分业务的公告》；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（八）、 2020年07月07日，我公司公告了《博时双月薪定期支付债券型证券投资基金份额折算结果的公告》；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（九）、 2020年06月30日，我公司公告了《博时双月薪定期支付债券型证券投资基金份额折算方案提示公告》、《博时双月薪定期支付债券型证券投资基金开放自动赎回业务的公告》；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（十一）、 2020年06月01日，我公司公告了《关于博时旗下部分基金参加招商银行申购及定投业务费率优惠活动的公告》；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（十二）、 2020年05月28日，我公司公告了《博时双月薪定期支付债券型证券投资基金受限开放期申赎结果的公告》；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lastRenderedPageBreak/>
        <w:t>（十三）、 2020年05月16日，我公司公告了《博时双月薪定期支付债券型证券投资基金受限开放期业务的公告》；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（十四）、 2020年05月12日，我公司公告了《博时双月薪定期支付债券型证券投资基金份额折算结果的公告》；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（十五）、 2020年04月29日，我公司公告了《博时双月薪定期支付债券型证券投资基金开放自动赎回业务的公告》、《博时双月薪定期支付债券型证券投资基金份额折算方案提示公告》；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（十六）、 2020年04月22日，我公司公告了《博时双月薪定期支付债券型证券投资基金2020年第1季度报告》；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（十七）、 2020年04月17日，我公司公告了《博时基金管理有限公司关于高级管理人员变更的公告》；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（十八）、 2020年03月27日，我公司公告了《博时双月薪定期支付债券型证券投资基金2019年年度报告》；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（十九）、 2020年03月06日，我公司公告了《博时双月薪定期支付债券型证券投资基金份额折算结果的公告》；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（二十）、 2020年02月19日，我公司公告了《博时双月薪定期支付债券型证券投资基金份额折算方案提示公告》、《博时双月薪定期支付债券型证券投资基金开放自动赎回业务的公告》；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（二十一）、 2020年01月28日，我公司公告了《博时基金管理有限公司关于2020年春节假期延长期间暂停办理申购赎回等业务的公告》；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（二十二）、 2020年01月17日，我公司公告了《博时双月薪定期支付债券型证券投资基金2019年第4季度报告》；</w:t>
      </w:r>
    </w:p>
    <w:p w:rsidR="000073C0" w:rsidRPr="000073C0" w:rsidRDefault="000073C0">
      <w:pPr>
        <w:pStyle w:val="a3"/>
        <w:spacing w:before="0" w:beforeAutospacing="0" w:after="0" w:afterAutospacing="0" w:line="360" w:lineRule="auto"/>
        <w:ind w:firstLine="420"/>
        <w:divId w:val="682323278"/>
        <w:rPr>
          <w:sz w:val="21"/>
          <w:szCs w:val="21"/>
        </w:rPr>
      </w:pPr>
      <w:r w:rsidRPr="000073C0">
        <w:rPr>
          <w:rFonts w:hint="eastAsia"/>
          <w:sz w:val="21"/>
          <w:szCs w:val="21"/>
        </w:rPr>
        <w:t>（二十三）、 2019年12月31日，我公司公告了《博时双月薪定期支付债券型证券投资基金基金合同》、《博时双月薪定期支付债券型证券投资基金更新招募说明书（摘要）》、《博时基金管理有限公司根据《公开募集证券投资基金信息披露管理办法》修改旗下博时双月薪定期支付债券型证券投资基金法律文件的公告》、《博时双月薪定期支付债券型证券投</w:t>
      </w:r>
      <w:bookmarkStart w:id="224" w:name="chapter_level1_26_3499_section_1_end"/>
      <w:bookmarkEnd w:id="224"/>
      <w:r w:rsidRPr="000073C0">
        <w:rPr>
          <w:rFonts w:hint="eastAsia"/>
          <w:sz w:val="21"/>
          <w:szCs w:val="21"/>
        </w:rPr>
        <w:t>资基金托管协议》。</w:t>
      </w:r>
      <w:bookmarkStart w:id="225" w:name="field_0_bsrevealinfo_1_end"/>
      <w:bookmarkEnd w:id="225"/>
      <w:r w:rsidRPr="000073C0">
        <w:rPr>
          <w:rFonts w:hint="eastAsia"/>
          <w:sz w:val="21"/>
          <w:szCs w:val="21"/>
        </w:rPr>
        <w:t xml:space="preserve">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226" w:name="chapter_level1_27_77"/>
      <w:bookmarkStart w:id="227" w:name="_Toc50743145"/>
      <w:r w:rsidRPr="000073C0">
        <w:rPr>
          <w:rFonts w:ascii="宋体" w:eastAsia="宋体" w:hAnsi="宋体" w:hint="eastAsia"/>
          <w:sz w:val="30"/>
        </w:rPr>
        <w:lastRenderedPageBreak/>
        <w:t>第二十四部分  招募说明书存放及查阅方式</w:t>
      </w:r>
      <w:bookmarkEnd w:id="226"/>
      <w:bookmarkEnd w:id="227"/>
    </w:p>
    <w:p w:rsidR="000073C0" w:rsidRPr="000073C0" w:rsidRDefault="000073C0">
      <w:pPr>
        <w:pStyle w:val="a3"/>
        <w:spacing w:before="0" w:beforeAutospacing="0" w:after="0" w:afterAutospacing="0" w:line="360" w:lineRule="auto"/>
        <w:ind w:firstLine="420"/>
        <w:divId w:val="965088466"/>
        <w:rPr>
          <w:sz w:val="21"/>
          <w:szCs w:val="21"/>
        </w:rPr>
      </w:pPr>
      <w:bookmarkStart w:id="228" w:name="chapter_level1_27_77_section_1"/>
      <w:bookmarkEnd w:id="228"/>
      <w:r w:rsidRPr="000073C0">
        <w:rPr>
          <w:rFonts w:hint="eastAsia"/>
          <w:sz w:val="21"/>
          <w:szCs w:val="21"/>
        </w:rPr>
        <w:t xml:space="preserve">依法必须披露的信息发布后，基金管理人、基金托管人应当按照相关法律法规规定将信息置备于公司住所，以供公众查阅、复制；投资者在支付工本费后，可在合理时间内取得上述文件复制件或复印件。对投资者按此种方式所获得的文件及其复印件，基金管理人保证文本的内容与所公告的内容完全一致。  </w:t>
      </w:r>
    </w:p>
    <w:p w:rsidR="000073C0" w:rsidRPr="000073C0" w:rsidRDefault="000073C0">
      <w:pPr>
        <w:pStyle w:val="a3"/>
        <w:spacing w:before="0" w:beforeAutospacing="0" w:after="0" w:afterAutospacing="0" w:line="360" w:lineRule="auto"/>
        <w:ind w:firstLine="420"/>
        <w:divId w:val="965088466"/>
        <w:rPr>
          <w:sz w:val="21"/>
          <w:szCs w:val="21"/>
        </w:rPr>
      </w:pPr>
      <w:bookmarkStart w:id="229" w:name="chapter_level1_27_77_section_1_end"/>
      <w:bookmarkEnd w:id="229"/>
      <w:r w:rsidRPr="000073C0">
        <w:rPr>
          <w:rFonts w:hint="eastAsia"/>
          <w:sz w:val="21"/>
          <w:szCs w:val="21"/>
        </w:rPr>
        <w:t xml:space="preserve">投资者还可以直接登录基金管理人的网站（www.bosera.com）查阅和下载招募说明书。 </w:t>
      </w:r>
    </w:p>
    <w:p w:rsidR="000073C0" w:rsidRPr="000073C0" w:rsidRDefault="000073C0">
      <w:pPr>
        <w:widowControl/>
        <w:jc w:val="left"/>
        <w:rPr>
          <w:rFonts w:ascii="宋体" w:eastAsia="宋体" w:hAnsi="宋体"/>
        </w:rPr>
      </w:pPr>
      <w:r w:rsidRPr="000073C0">
        <w:rPr>
          <w:rFonts w:ascii="宋体" w:eastAsia="宋体" w:hAnsi="宋体"/>
        </w:rPr>
        <w:br w:type="page"/>
      </w:r>
    </w:p>
    <w:p w:rsidR="000073C0" w:rsidRPr="000073C0" w:rsidRDefault="000073C0" w:rsidP="000073C0">
      <w:pPr>
        <w:pStyle w:val="2"/>
        <w:jc w:val="center"/>
        <w:rPr>
          <w:rFonts w:ascii="宋体" w:eastAsia="宋体" w:hAnsi="宋体"/>
          <w:sz w:val="30"/>
        </w:rPr>
      </w:pPr>
      <w:bookmarkStart w:id="230" w:name="chapter_level1_28_332"/>
      <w:bookmarkStart w:id="231" w:name="_Toc50743146"/>
      <w:r w:rsidRPr="000073C0">
        <w:rPr>
          <w:rFonts w:ascii="宋体" w:eastAsia="宋体" w:hAnsi="宋体" w:hint="eastAsia"/>
          <w:sz w:val="30"/>
        </w:rPr>
        <w:lastRenderedPageBreak/>
        <w:t>第二十五部分  备查文件</w:t>
      </w:r>
      <w:bookmarkEnd w:id="230"/>
      <w:bookmarkEnd w:id="231"/>
    </w:p>
    <w:p w:rsidR="000073C0" w:rsidRPr="000073C0" w:rsidRDefault="000073C0">
      <w:pPr>
        <w:pStyle w:val="a3"/>
        <w:spacing w:before="0" w:beforeAutospacing="0" w:after="0" w:afterAutospacing="0" w:line="360" w:lineRule="auto"/>
        <w:ind w:firstLine="420"/>
        <w:divId w:val="393554373"/>
        <w:rPr>
          <w:sz w:val="21"/>
          <w:szCs w:val="21"/>
        </w:rPr>
      </w:pPr>
      <w:bookmarkStart w:id="232" w:name="chapter_level1_28_332_section_1"/>
      <w:bookmarkEnd w:id="232"/>
      <w:r w:rsidRPr="000073C0">
        <w:rPr>
          <w:rFonts w:hint="eastAsia"/>
          <w:sz w:val="21"/>
          <w:szCs w:val="21"/>
        </w:rPr>
        <w:t xml:space="preserve">以下备查文件存放在基金管理人的办公场所，在办公时间可供免费查阅。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（一）中国证监会批准</w:t>
      </w:r>
      <w:bookmarkStart w:id="233" w:name="field_49_productfullname_13"/>
      <w:r w:rsidR="00D82C15">
        <w:rPr>
          <w:rFonts w:hint="eastAsia"/>
          <w:sz w:val="21"/>
          <w:szCs w:val="21"/>
        </w:rPr>
        <w:t>博时双月薪定期支付债券型证券投资基金</w:t>
      </w:r>
      <w:bookmarkEnd w:id="233"/>
      <w:r w:rsidRPr="000073C0">
        <w:rPr>
          <w:rFonts w:hint="eastAsia"/>
          <w:sz w:val="21"/>
          <w:szCs w:val="21"/>
        </w:rPr>
        <w:t xml:space="preserve">募集的文件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（二）《</w:t>
      </w:r>
      <w:bookmarkStart w:id="234" w:name="field_49_productfullname_14"/>
      <w:r w:rsidR="00D82C15">
        <w:rPr>
          <w:rFonts w:hint="eastAsia"/>
          <w:sz w:val="21"/>
          <w:szCs w:val="21"/>
        </w:rPr>
        <w:t>博时双月薪定期支付债券型证券投资基金</w:t>
      </w:r>
      <w:bookmarkEnd w:id="234"/>
      <w:r w:rsidRPr="000073C0">
        <w:rPr>
          <w:rFonts w:hint="eastAsia"/>
          <w:sz w:val="21"/>
          <w:szCs w:val="21"/>
        </w:rPr>
        <w:t xml:space="preserve">基金合同》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（三）《</w:t>
      </w:r>
      <w:bookmarkStart w:id="235" w:name="field_49_productfullname_15"/>
      <w:r w:rsidR="00D82C15">
        <w:rPr>
          <w:rFonts w:hint="eastAsia"/>
          <w:sz w:val="21"/>
          <w:szCs w:val="21"/>
        </w:rPr>
        <w:t>博时双月薪定期支付债券型证券投资基金</w:t>
      </w:r>
      <w:bookmarkEnd w:id="235"/>
      <w:r w:rsidRPr="000073C0">
        <w:rPr>
          <w:rFonts w:hint="eastAsia"/>
          <w:sz w:val="21"/>
          <w:szCs w:val="21"/>
        </w:rPr>
        <w:t xml:space="preserve">托管协议》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 xml:space="preserve">（四）基金管理人业务资格批件、营业执照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 xml:space="preserve">（五）基金托管人业务资格批件、营业执照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（六）关于申请募集</w:t>
      </w:r>
      <w:bookmarkStart w:id="236" w:name="field_49_productfullname_16"/>
      <w:r w:rsidR="00D82C15">
        <w:rPr>
          <w:rFonts w:hint="eastAsia"/>
          <w:sz w:val="21"/>
          <w:szCs w:val="21"/>
        </w:rPr>
        <w:t>博时双月薪定期支付债券型证券投资基金</w:t>
      </w:r>
      <w:bookmarkEnd w:id="236"/>
      <w:r w:rsidRPr="000073C0">
        <w:rPr>
          <w:rFonts w:hint="eastAsia"/>
          <w:sz w:val="21"/>
          <w:szCs w:val="21"/>
        </w:rPr>
        <w:t xml:space="preserve">之法律意见书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 xml:space="preserve">（七）中国证监会要求的其他文件 </w:t>
      </w:r>
    </w:p>
    <w:p w:rsidR="000073C0" w:rsidRPr="000073C0" w:rsidRDefault="000073C0">
      <w:pPr>
        <w:pStyle w:val="a3"/>
        <w:spacing w:before="0" w:beforeAutospacing="0" w:after="0" w:afterAutospacing="0" w:line="360" w:lineRule="auto"/>
        <w:ind w:firstLine="420"/>
        <w:divId w:val="393554373"/>
        <w:rPr>
          <w:sz w:val="21"/>
          <w:szCs w:val="21"/>
        </w:rPr>
      </w:pPr>
      <w:r w:rsidRPr="000073C0">
        <w:rPr>
          <w:rFonts w:hint="eastAsia"/>
          <w:sz w:val="21"/>
          <w:szCs w:val="21"/>
        </w:rPr>
        <w:t xml:space="preserve">查阅方式：投资者可在营业时间免费查阅，也可按工本费购买复印件。 </w:t>
      </w:r>
    </w:p>
    <w:p w:rsidR="000073C0" w:rsidRPr="000073C0" w:rsidRDefault="000073C0">
      <w:pPr>
        <w:pStyle w:val="a3"/>
        <w:spacing w:before="0" w:beforeAutospacing="0" w:after="0" w:afterAutospacing="0" w:line="360" w:lineRule="auto"/>
        <w:ind w:firstLine="420"/>
        <w:divId w:val="393554373"/>
        <w:rPr>
          <w:sz w:val="21"/>
          <w:szCs w:val="21"/>
        </w:rPr>
      </w:pPr>
    </w:p>
    <w:p w:rsidR="000073C0" w:rsidRPr="000073C0" w:rsidRDefault="000073C0">
      <w:pPr>
        <w:pStyle w:val="a3"/>
        <w:spacing w:before="0" w:beforeAutospacing="0" w:after="0" w:afterAutospacing="0" w:line="360" w:lineRule="auto"/>
        <w:ind w:firstLine="420"/>
        <w:divId w:val="393554373"/>
        <w:rPr>
          <w:sz w:val="21"/>
          <w:szCs w:val="21"/>
        </w:rPr>
      </w:pPr>
    </w:p>
    <w:p w:rsidR="000073C0" w:rsidRPr="000073C0" w:rsidRDefault="000073C0">
      <w:pPr>
        <w:pStyle w:val="a3"/>
        <w:spacing w:before="0" w:beforeAutospacing="0" w:after="0" w:afterAutospacing="0" w:line="360" w:lineRule="auto"/>
        <w:ind w:firstLine="420"/>
        <w:divId w:val="393554373"/>
        <w:rPr>
          <w:sz w:val="21"/>
          <w:szCs w:val="21"/>
        </w:rPr>
      </w:pPr>
    </w:p>
    <w:p w:rsidR="000073C0" w:rsidRPr="000073C0" w:rsidRDefault="00D82C15">
      <w:pPr>
        <w:pStyle w:val="a3"/>
        <w:spacing w:before="0" w:beforeAutospacing="0" w:after="0" w:afterAutospacing="0" w:line="360" w:lineRule="auto"/>
        <w:ind w:firstLine="420"/>
        <w:jc w:val="right"/>
        <w:divId w:val="393554373"/>
        <w:rPr>
          <w:sz w:val="21"/>
          <w:szCs w:val="21"/>
        </w:rPr>
      </w:pPr>
      <w:bookmarkStart w:id="237" w:name="field_49_managerorgfullname_6"/>
      <w:r>
        <w:rPr>
          <w:rFonts w:hint="eastAsia"/>
          <w:sz w:val="21"/>
          <w:szCs w:val="21"/>
        </w:rPr>
        <w:t>博时基金管理有限公司</w:t>
      </w:r>
      <w:bookmarkEnd w:id="237"/>
      <w:r w:rsidR="000073C0" w:rsidRPr="000073C0">
        <w:rPr>
          <w:rFonts w:hint="eastAsia"/>
          <w:sz w:val="21"/>
          <w:szCs w:val="21"/>
        </w:rPr>
        <w:t xml:space="preserve">  </w:t>
      </w:r>
    </w:p>
    <w:p w:rsidR="000073C0" w:rsidRPr="000073C0" w:rsidRDefault="00D82C15">
      <w:pPr>
        <w:pStyle w:val="a3"/>
        <w:spacing w:before="0" w:beforeAutospacing="0" w:after="0" w:afterAutospacing="0" w:line="360" w:lineRule="auto"/>
        <w:ind w:firstLine="420"/>
        <w:jc w:val="right"/>
        <w:divId w:val="393554373"/>
        <w:rPr>
          <w:sz w:val="21"/>
          <w:szCs w:val="21"/>
        </w:rPr>
      </w:pPr>
      <w:bookmarkStart w:id="238" w:name="field_0_commitmenttime_1"/>
      <w:r>
        <w:rPr>
          <w:sz w:val="21"/>
          <w:szCs w:val="21"/>
        </w:rPr>
        <w:t>2020年09月30日</w:t>
      </w:r>
      <w:bookmarkEnd w:id="238"/>
      <w:r w:rsidR="000073C0" w:rsidRPr="000073C0">
        <w:rPr>
          <w:rFonts w:hint="eastAsia"/>
          <w:sz w:val="21"/>
          <w:szCs w:val="21"/>
        </w:rPr>
        <w:t xml:space="preserve">  </w:t>
      </w:r>
    </w:p>
    <w:p w:rsidR="000073C0" w:rsidRPr="000073C0" w:rsidRDefault="000073C0">
      <w:pPr>
        <w:pStyle w:val="a3"/>
        <w:spacing w:before="0" w:beforeAutospacing="0" w:after="0" w:afterAutospacing="0" w:line="360" w:lineRule="auto"/>
        <w:ind w:firstLine="420"/>
        <w:divId w:val="393554373"/>
        <w:rPr>
          <w:sz w:val="21"/>
          <w:szCs w:val="21"/>
        </w:rPr>
      </w:pPr>
    </w:p>
    <w:p w:rsidR="000073C0" w:rsidRPr="000073C0" w:rsidRDefault="000073C0">
      <w:pPr>
        <w:pStyle w:val="a3"/>
        <w:spacing w:before="0" w:beforeAutospacing="0" w:after="0" w:afterAutospacing="0" w:line="360" w:lineRule="auto"/>
        <w:ind w:firstLine="420"/>
        <w:divId w:val="393554373"/>
        <w:rPr>
          <w:sz w:val="21"/>
          <w:szCs w:val="21"/>
        </w:rPr>
      </w:pPr>
      <w:bookmarkStart w:id="239" w:name="chapter_level1_28_332_section_1_end"/>
      <w:bookmarkEnd w:id="239"/>
    </w:p>
    <w:p w:rsidR="000073C0" w:rsidRPr="000073C0" w:rsidRDefault="000073C0" w:rsidP="000073C0">
      <w:pPr>
        <w:rPr>
          <w:rFonts w:ascii="宋体" w:eastAsia="宋体" w:hAnsi="宋体"/>
        </w:rPr>
      </w:pPr>
      <w:bookmarkStart w:id="240" w:name="end"/>
      <w:bookmarkEnd w:id="240"/>
    </w:p>
    <w:sectPr w:rsidR="000073C0" w:rsidRPr="000073C0" w:rsidSect="000073C0">
      <w:headerReference w:type="default" r:id="rId8"/>
      <w:footerReference w:type="default" r:id="rId9"/>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4110" w:rsidRDefault="00DD4110" w:rsidP="000073C0">
      <w:r>
        <w:separator/>
      </w:r>
    </w:p>
  </w:endnote>
  <w:endnote w:type="continuationSeparator" w:id="0">
    <w:p w:rsidR="00DD4110" w:rsidRDefault="00DD4110" w:rsidP="000073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73C0" w:rsidRPr="000073C0" w:rsidRDefault="000073C0" w:rsidP="000073C0">
    <w:pPr>
      <w:pStyle w:val="a8"/>
      <w:jc w:val="center"/>
    </w:pPr>
    <w:r w:rsidRPr="000073C0">
      <w:rPr>
        <w:rFonts w:hint="eastAsia"/>
      </w:rPr>
      <w:t>第</w:t>
    </w:r>
    <w:r w:rsidRPr="000073C0">
      <w:fldChar w:fldCharType="begin"/>
    </w:r>
    <w:r w:rsidRPr="000073C0">
      <w:instrText xml:space="preserve"> </w:instrText>
    </w:r>
    <w:r w:rsidRPr="000073C0">
      <w:rPr>
        <w:rFonts w:hint="eastAsia"/>
      </w:rPr>
      <w:instrText>Page \* MERGEFORMAT</w:instrText>
    </w:r>
    <w:r w:rsidRPr="000073C0">
      <w:instrText xml:space="preserve"> </w:instrText>
    </w:r>
    <w:r w:rsidRPr="000073C0">
      <w:fldChar w:fldCharType="separate"/>
    </w:r>
    <w:r w:rsidR="0023710A">
      <w:rPr>
        <w:noProof/>
      </w:rPr>
      <w:t>6</w:t>
    </w:r>
    <w:r w:rsidRPr="000073C0">
      <w:fldChar w:fldCharType="end"/>
    </w:r>
    <w:r w:rsidRPr="000073C0">
      <w:rPr>
        <w:rFonts w:hint="eastAsia"/>
      </w:rPr>
      <w:t>页</w:t>
    </w:r>
    <w:r w:rsidRPr="000073C0">
      <w:rPr>
        <w:rFonts w:hint="eastAsia"/>
      </w:rPr>
      <w:t xml:space="preserve"> </w:t>
    </w:r>
    <w:r w:rsidRPr="000073C0">
      <w:rPr>
        <w:rFonts w:hint="eastAsia"/>
      </w:rPr>
      <w:t>共</w:t>
    </w:r>
    <w:fldSimple w:instr=" NumPages \* MERGEFORMAT ">
      <w:r w:rsidR="0023710A">
        <w:rPr>
          <w:noProof/>
        </w:rPr>
        <w:t>141</w:t>
      </w:r>
    </w:fldSimple>
    <w:r w:rsidRPr="000073C0">
      <w:rPr>
        <w:rFonts w:hint="eastAsia"/>
      </w:rPr>
      <w:t>页</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4110" w:rsidRDefault="00DD4110" w:rsidP="000073C0">
      <w:r>
        <w:separator/>
      </w:r>
    </w:p>
  </w:footnote>
  <w:footnote w:type="continuationSeparator" w:id="0">
    <w:p w:rsidR="00DD4110" w:rsidRDefault="00DD4110" w:rsidP="000073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73C0" w:rsidRDefault="000073C0" w:rsidP="000073C0">
    <w:pPr>
      <w:pStyle w:val="a6"/>
      <w:jc w:val="both"/>
    </w:pPr>
    <w:r>
      <w:rPr>
        <w:rFonts w:hint="eastAsia"/>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0073C0" w:rsidRPr="000073C0" w:rsidRDefault="000073C0" w:rsidP="000073C0">
    <w:pPr>
      <w:pStyle w:val="a6"/>
      <w:jc w:val="right"/>
    </w:pPr>
    <w:r w:rsidRPr="000073C0">
      <w:rPr>
        <w:rFonts w:hint="eastAsia"/>
      </w:rPr>
      <w:t>博时双月薪定期支付债券型证券投资基金更新招募说明书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73C0"/>
    <w:rsid w:val="000073C0"/>
    <w:rsid w:val="000A34B8"/>
    <w:rsid w:val="001E74DB"/>
    <w:rsid w:val="0023710A"/>
    <w:rsid w:val="004F08DA"/>
    <w:rsid w:val="008164FA"/>
    <w:rsid w:val="00C07865"/>
    <w:rsid w:val="00C31BA6"/>
    <w:rsid w:val="00D82C15"/>
    <w:rsid w:val="00DD4110"/>
    <w:rsid w:val="00F53274"/>
    <w:rsid w:val="00F628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AF404E"/>
  <w15:docId w15:val="{F1DD41D9-6B19-482E-9F9B-98B931DA8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0073C0"/>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uiPriority w:val="9"/>
    <w:rsid w:val="000073C0"/>
    <w:rPr>
      <w:rFonts w:asciiTheme="majorHAnsi" w:eastAsiaTheme="majorEastAsia" w:hAnsiTheme="majorHAnsi" w:cstheme="majorBidi"/>
      <w:b/>
      <w:bCs/>
      <w:sz w:val="32"/>
      <w:szCs w:val="32"/>
    </w:rPr>
  </w:style>
  <w:style w:type="paragraph" w:styleId="a3">
    <w:name w:val="Normal (Web)"/>
    <w:basedOn w:val="a"/>
    <w:uiPriority w:val="99"/>
    <w:unhideWhenUsed/>
    <w:rsid w:val="000073C0"/>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073C0"/>
    <w:rPr>
      <w:b/>
      <w:bCs/>
    </w:rPr>
  </w:style>
  <w:style w:type="character" w:styleId="a5">
    <w:name w:val="Hyperlink"/>
    <w:basedOn w:val="a0"/>
    <w:uiPriority w:val="99"/>
    <w:unhideWhenUsed/>
    <w:rsid w:val="000073C0"/>
    <w:rPr>
      <w:color w:val="0000FF"/>
      <w:u w:val="single"/>
    </w:rPr>
  </w:style>
  <w:style w:type="paragraph" w:styleId="21">
    <w:name w:val="toc 2"/>
    <w:basedOn w:val="a"/>
    <w:next w:val="a"/>
    <w:autoRedefine/>
    <w:uiPriority w:val="39"/>
    <w:unhideWhenUsed/>
    <w:rsid w:val="000073C0"/>
    <w:pPr>
      <w:ind w:leftChars="200" w:left="420"/>
    </w:pPr>
  </w:style>
  <w:style w:type="paragraph" w:styleId="a6">
    <w:name w:val="header"/>
    <w:basedOn w:val="a"/>
    <w:link w:val="a7"/>
    <w:uiPriority w:val="99"/>
    <w:unhideWhenUsed/>
    <w:rsid w:val="000073C0"/>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0073C0"/>
    <w:rPr>
      <w:sz w:val="18"/>
      <w:szCs w:val="18"/>
    </w:rPr>
  </w:style>
  <w:style w:type="paragraph" w:styleId="a8">
    <w:name w:val="footer"/>
    <w:basedOn w:val="a"/>
    <w:link w:val="a9"/>
    <w:uiPriority w:val="99"/>
    <w:unhideWhenUsed/>
    <w:rsid w:val="000073C0"/>
    <w:pPr>
      <w:tabs>
        <w:tab w:val="center" w:pos="4153"/>
        <w:tab w:val="right" w:pos="8306"/>
      </w:tabs>
      <w:snapToGrid w:val="0"/>
      <w:jc w:val="left"/>
    </w:pPr>
    <w:rPr>
      <w:sz w:val="18"/>
      <w:szCs w:val="18"/>
    </w:rPr>
  </w:style>
  <w:style w:type="character" w:customStyle="1" w:styleId="a9">
    <w:name w:val="页脚 字符"/>
    <w:basedOn w:val="a0"/>
    <w:link w:val="a8"/>
    <w:uiPriority w:val="99"/>
    <w:rsid w:val="000073C0"/>
    <w:rPr>
      <w:sz w:val="18"/>
      <w:szCs w:val="18"/>
    </w:rPr>
  </w:style>
  <w:style w:type="paragraph" w:styleId="aa">
    <w:name w:val="Balloon Text"/>
    <w:basedOn w:val="a"/>
    <w:link w:val="ab"/>
    <w:uiPriority w:val="99"/>
    <w:semiHidden/>
    <w:unhideWhenUsed/>
    <w:rsid w:val="000073C0"/>
    <w:rPr>
      <w:sz w:val="18"/>
      <w:szCs w:val="18"/>
    </w:rPr>
  </w:style>
  <w:style w:type="character" w:customStyle="1" w:styleId="ab">
    <w:name w:val="批注框文本 字符"/>
    <w:basedOn w:val="a0"/>
    <w:link w:val="aa"/>
    <w:uiPriority w:val="99"/>
    <w:semiHidden/>
    <w:rsid w:val="000073C0"/>
    <w:rPr>
      <w:sz w:val="18"/>
      <w:szCs w:val="18"/>
    </w:rPr>
  </w:style>
  <w:style w:type="table" w:styleId="ac">
    <w:name w:val="Table Grid"/>
    <w:basedOn w:val="a1"/>
    <w:uiPriority w:val="59"/>
    <w:rsid w:val="000073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668861">
      <w:bodyDiv w:val="1"/>
      <w:marLeft w:val="0"/>
      <w:marRight w:val="0"/>
      <w:marTop w:val="0"/>
      <w:marBottom w:val="0"/>
      <w:divBdr>
        <w:top w:val="none" w:sz="0" w:space="0" w:color="auto"/>
        <w:left w:val="none" w:sz="0" w:space="0" w:color="auto"/>
        <w:bottom w:val="none" w:sz="0" w:space="0" w:color="auto"/>
        <w:right w:val="none" w:sz="0" w:space="0" w:color="auto"/>
      </w:divBdr>
    </w:div>
    <w:div w:id="91436848">
      <w:bodyDiv w:val="1"/>
      <w:marLeft w:val="0"/>
      <w:marRight w:val="0"/>
      <w:marTop w:val="0"/>
      <w:marBottom w:val="0"/>
      <w:divBdr>
        <w:top w:val="none" w:sz="0" w:space="0" w:color="auto"/>
        <w:left w:val="none" w:sz="0" w:space="0" w:color="auto"/>
        <w:bottom w:val="none" w:sz="0" w:space="0" w:color="auto"/>
        <w:right w:val="none" w:sz="0" w:space="0" w:color="auto"/>
      </w:divBdr>
    </w:div>
    <w:div w:id="137379531">
      <w:bodyDiv w:val="1"/>
      <w:marLeft w:val="0"/>
      <w:marRight w:val="0"/>
      <w:marTop w:val="0"/>
      <w:marBottom w:val="0"/>
      <w:divBdr>
        <w:top w:val="none" w:sz="0" w:space="0" w:color="auto"/>
        <w:left w:val="none" w:sz="0" w:space="0" w:color="auto"/>
        <w:bottom w:val="none" w:sz="0" w:space="0" w:color="auto"/>
        <w:right w:val="none" w:sz="0" w:space="0" w:color="auto"/>
      </w:divBdr>
    </w:div>
    <w:div w:id="143157202">
      <w:bodyDiv w:val="1"/>
      <w:marLeft w:val="0"/>
      <w:marRight w:val="0"/>
      <w:marTop w:val="0"/>
      <w:marBottom w:val="0"/>
      <w:divBdr>
        <w:top w:val="none" w:sz="0" w:space="0" w:color="auto"/>
        <w:left w:val="none" w:sz="0" w:space="0" w:color="auto"/>
        <w:bottom w:val="none" w:sz="0" w:space="0" w:color="auto"/>
        <w:right w:val="none" w:sz="0" w:space="0" w:color="auto"/>
      </w:divBdr>
    </w:div>
    <w:div w:id="211619530">
      <w:bodyDiv w:val="1"/>
      <w:marLeft w:val="0"/>
      <w:marRight w:val="0"/>
      <w:marTop w:val="0"/>
      <w:marBottom w:val="0"/>
      <w:divBdr>
        <w:top w:val="none" w:sz="0" w:space="0" w:color="auto"/>
        <w:left w:val="none" w:sz="0" w:space="0" w:color="auto"/>
        <w:bottom w:val="none" w:sz="0" w:space="0" w:color="auto"/>
        <w:right w:val="none" w:sz="0" w:space="0" w:color="auto"/>
      </w:divBdr>
    </w:div>
    <w:div w:id="251864471">
      <w:bodyDiv w:val="1"/>
      <w:marLeft w:val="0"/>
      <w:marRight w:val="0"/>
      <w:marTop w:val="0"/>
      <w:marBottom w:val="0"/>
      <w:divBdr>
        <w:top w:val="none" w:sz="0" w:space="0" w:color="auto"/>
        <w:left w:val="none" w:sz="0" w:space="0" w:color="auto"/>
        <w:bottom w:val="none" w:sz="0" w:space="0" w:color="auto"/>
        <w:right w:val="none" w:sz="0" w:space="0" w:color="auto"/>
      </w:divBdr>
    </w:div>
    <w:div w:id="379520342">
      <w:bodyDiv w:val="1"/>
      <w:marLeft w:val="0"/>
      <w:marRight w:val="0"/>
      <w:marTop w:val="0"/>
      <w:marBottom w:val="0"/>
      <w:divBdr>
        <w:top w:val="none" w:sz="0" w:space="0" w:color="auto"/>
        <w:left w:val="none" w:sz="0" w:space="0" w:color="auto"/>
        <w:bottom w:val="none" w:sz="0" w:space="0" w:color="auto"/>
        <w:right w:val="none" w:sz="0" w:space="0" w:color="auto"/>
      </w:divBdr>
    </w:div>
    <w:div w:id="381442898">
      <w:bodyDiv w:val="1"/>
      <w:marLeft w:val="0"/>
      <w:marRight w:val="0"/>
      <w:marTop w:val="0"/>
      <w:marBottom w:val="0"/>
      <w:divBdr>
        <w:top w:val="none" w:sz="0" w:space="0" w:color="auto"/>
        <w:left w:val="none" w:sz="0" w:space="0" w:color="auto"/>
        <w:bottom w:val="none" w:sz="0" w:space="0" w:color="auto"/>
        <w:right w:val="none" w:sz="0" w:space="0" w:color="auto"/>
      </w:divBdr>
      <w:divsChild>
        <w:div w:id="938491658">
          <w:marLeft w:val="0"/>
          <w:marRight w:val="0"/>
          <w:marTop w:val="0"/>
          <w:marBottom w:val="0"/>
          <w:divBdr>
            <w:top w:val="none" w:sz="0" w:space="0" w:color="auto"/>
            <w:left w:val="none" w:sz="0" w:space="0" w:color="auto"/>
            <w:bottom w:val="none" w:sz="0" w:space="0" w:color="auto"/>
            <w:right w:val="none" w:sz="0" w:space="0" w:color="auto"/>
          </w:divBdr>
        </w:div>
        <w:div w:id="690885283">
          <w:marLeft w:val="0"/>
          <w:marRight w:val="0"/>
          <w:marTop w:val="0"/>
          <w:marBottom w:val="0"/>
          <w:divBdr>
            <w:top w:val="none" w:sz="0" w:space="0" w:color="auto"/>
            <w:left w:val="none" w:sz="0" w:space="0" w:color="auto"/>
            <w:bottom w:val="none" w:sz="0" w:space="0" w:color="auto"/>
            <w:right w:val="none" w:sz="0" w:space="0" w:color="auto"/>
          </w:divBdr>
        </w:div>
      </w:divsChild>
    </w:div>
    <w:div w:id="393554373">
      <w:bodyDiv w:val="1"/>
      <w:marLeft w:val="0"/>
      <w:marRight w:val="0"/>
      <w:marTop w:val="0"/>
      <w:marBottom w:val="0"/>
      <w:divBdr>
        <w:top w:val="none" w:sz="0" w:space="0" w:color="auto"/>
        <w:left w:val="none" w:sz="0" w:space="0" w:color="auto"/>
        <w:bottom w:val="none" w:sz="0" w:space="0" w:color="auto"/>
        <w:right w:val="none" w:sz="0" w:space="0" w:color="auto"/>
      </w:divBdr>
    </w:div>
    <w:div w:id="414909292">
      <w:bodyDiv w:val="1"/>
      <w:marLeft w:val="0"/>
      <w:marRight w:val="0"/>
      <w:marTop w:val="0"/>
      <w:marBottom w:val="0"/>
      <w:divBdr>
        <w:top w:val="none" w:sz="0" w:space="0" w:color="auto"/>
        <w:left w:val="none" w:sz="0" w:space="0" w:color="auto"/>
        <w:bottom w:val="none" w:sz="0" w:space="0" w:color="auto"/>
        <w:right w:val="none" w:sz="0" w:space="0" w:color="auto"/>
      </w:divBdr>
    </w:div>
    <w:div w:id="432364766">
      <w:bodyDiv w:val="1"/>
      <w:marLeft w:val="0"/>
      <w:marRight w:val="0"/>
      <w:marTop w:val="0"/>
      <w:marBottom w:val="0"/>
      <w:divBdr>
        <w:top w:val="none" w:sz="0" w:space="0" w:color="auto"/>
        <w:left w:val="none" w:sz="0" w:space="0" w:color="auto"/>
        <w:bottom w:val="none" w:sz="0" w:space="0" w:color="auto"/>
        <w:right w:val="none" w:sz="0" w:space="0" w:color="auto"/>
      </w:divBdr>
    </w:div>
    <w:div w:id="487981147">
      <w:bodyDiv w:val="1"/>
      <w:marLeft w:val="0"/>
      <w:marRight w:val="0"/>
      <w:marTop w:val="0"/>
      <w:marBottom w:val="0"/>
      <w:divBdr>
        <w:top w:val="none" w:sz="0" w:space="0" w:color="auto"/>
        <w:left w:val="none" w:sz="0" w:space="0" w:color="auto"/>
        <w:bottom w:val="none" w:sz="0" w:space="0" w:color="auto"/>
        <w:right w:val="none" w:sz="0" w:space="0" w:color="auto"/>
      </w:divBdr>
    </w:div>
    <w:div w:id="512034693">
      <w:bodyDiv w:val="1"/>
      <w:marLeft w:val="0"/>
      <w:marRight w:val="0"/>
      <w:marTop w:val="0"/>
      <w:marBottom w:val="0"/>
      <w:divBdr>
        <w:top w:val="none" w:sz="0" w:space="0" w:color="auto"/>
        <w:left w:val="none" w:sz="0" w:space="0" w:color="auto"/>
        <w:bottom w:val="none" w:sz="0" w:space="0" w:color="auto"/>
        <w:right w:val="none" w:sz="0" w:space="0" w:color="auto"/>
      </w:divBdr>
    </w:div>
    <w:div w:id="612908077">
      <w:bodyDiv w:val="1"/>
      <w:marLeft w:val="0"/>
      <w:marRight w:val="0"/>
      <w:marTop w:val="0"/>
      <w:marBottom w:val="0"/>
      <w:divBdr>
        <w:top w:val="none" w:sz="0" w:space="0" w:color="auto"/>
        <w:left w:val="none" w:sz="0" w:space="0" w:color="auto"/>
        <w:bottom w:val="none" w:sz="0" w:space="0" w:color="auto"/>
        <w:right w:val="none" w:sz="0" w:space="0" w:color="auto"/>
      </w:divBdr>
      <w:divsChild>
        <w:div w:id="1680738990">
          <w:marLeft w:val="0"/>
          <w:marRight w:val="0"/>
          <w:marTop w:val="0"/>
          <w:marBottom w:val="0"/>
          <w:divBdr>
            <w:top w:val="none" w:sz="0" w:space="0" w:color="auto"/>
            <w:left w:val="none" w:sz="0" w:space="0" w:color="auto"/>
            <w:bottom w:val="none" w:sz="0" w:space="0" w:color="auto"/>
            <w:right w:val="none" w:sz="0" w:space="0" w:color="auto"/>
          </w:divBdr>
        </w:div>
        <w:div w:id="1646471318">
          <w:marLeft w:val="0"/>
          <w:marRight w:val="0"/>
          <w:marTop w:val="0"/>
          <w:marBottom w:val="0"/>
          <w:divBdr>
            <w:top w:val="none" w:sz="0" w:space="0" w:color="auto"/>
            <w:left w:val="none" w:sz="0" w:space="0" w:color="auto"/>
            <w:bottom w:val="none" w:sz="0" w:space="0" w:color="auto"/>
            <w:right w:val="none" w:sz="0" w:space="0" w:color="auto"/>
          </w:divBdr>
        </w:div>
      </w:divsChild>
    </w:div>
    <w:div w:id="634264704">
      <w:bodyDiv w:val="1"/>
      <w:marLeft w:val="0"/>
      <w:marRight w:val="0"/>
      <w:marTop w:val="0"/>
      <w:marBottom w:val="0"/>
      <w:divBdr>
        <w:top w:val="none" w:sz="0" w:space="0" w:color="auto"/>
        <w:left w:val="none" w:sz="0" w:space="0" w:color="auto"/>
        <w:bottom w:val="none" w:sz="0" w:space="0" w:color="auto"/>
        <w:right w:val="none" w:sz="0" w:space="0" w:color="auto"/>
      </w:divBdr>
    </w:div>
    <w:div w:id="636253652">
      <w:bodyDiv w:val="1"/>
      <w:marLeft w:val="0"/>
      <w:marRight w:val="0"/>
      <w:marTop w:val="0"/>
      <w:marBottom w:val="0"/>
      <w:divBdr>
        <w:top w:val="none" w:sz="0" w:space="0" w:color="auto"/>
        <w:left w:val="none" w:sz="0" w:space="0" w:color="auto"/>
        <w:bottom w:val="none" w:sz="0" w:space="0" w:color="auto"/>
        <w:right w:val="none" w:sz="0" w:space="0" w:color="auto"/>
      </w:divBdr>
    </w:div>
    <w:div w:id="655954903">
      <w:bodyDiv w:val="1"/>
      <w:marLeft w:val="0"/>
      <w:marRight w:val="0"/>
      <w:marTop w:val="0"/>
      <w:marBottom w:val="0"/>
      <w:divBdr>
        <w:top w:val="none" w:sz="0" w:space="0" w:color="auto"/>
        <w:left w:val="none" w:sz="0" w:space="0" w:color="auto"/>
        <w:bottom w:val="none" w:sz="0" w:space="0" w:color="auto"/>
        <w:right w:val="none" w:sz="0" w:space="0" w:color="auto"/>
      </w:divBdr>
    </w:div>
    <w:div w:id="673723588">
      <w:bodyDiv w:val="1"/>
      <w:marLeft w:val="0"/>
      <w:marRight w:val="0"/>
      <w:marTop w:val="0"/>
      <w:marBottom w:val="0"/>
      <w:divBdr>
        <w:top w:val="none" w:sz="0" w:space="0" w:color="auto"/>
        <w:left w:val="none" w:sz="0" w:space="0" w:color="auto"/>
        <w:bottom w:val="none" w:sz="0" w:space="0" w:color="auto"/>
        <w:right w:val="none" w:sz="0" w:space="0" w:color="auto"/>
      </w:divBdr>
    </w:div>
    <w:div w:id="682323278">
      <w:bodyDiv w:val="1"/>
      <w:marLeft w:val="0"/>
      <w:marRight w:val="0"/>
      <w:marTop w:val="0"/>
      <w:marBottom w:val="0"/>
      <w:divBdr>
        <w:top w:val="none" w:sz="0" w:space="0" w:color="auto"/>
        <w:left w:val="none" w:sz="0" w:space="0" w:color="auto"/>
        <w:bottom w:val="none" w:sz="0" w:space="0" w:color="auto"/>
        <w:right w:val="none" w:sz="0" w:space="0" w:color="auto"/>
      </w:divBdr>
    </w:div>
    <w:div w:id="684554481">
      <w:bodyDiv w:val="1"/>
      <w:marLeft w:val="0"/>
      <w:marRight w:val="0"/>
      <w:marTop w:val="0"/>
      <w:marBottom w:val="0"/>
      <w:divBdr>
        <w:top w:val="none" w:sz="0" w:space="0" w:color="auto"/>
        <w:left w:val="none" w:sz="0" w:space="0" w:color="auto"/>
        <w:bottom w:val="none" w:sz="0" w:space="0" w:color="auto"/>
        <w:right w:val="none" w:sz="0" w:space="0" w:color="auto"/>
      </w:divBdr>
    </w:div>
    <w:div w:id="685667332">
      <w:bodyDiv w:val="1"/>
      <w:marLeft w:val="0"/>
      <w:marRight w:val="0"/>
      <w:marTop w:val="0"/>
      <w:marBottom w:val="0"/>
      <w:divBdr>
        <w:top w:val="none" w:sz="0" w:space="0" w:color="auto"/>
        <w:left w:val="none" w:sz="0" w:space="0" w:color="auto"/>
        <w:bottom w:val="none" w:sz="0" w:space="0" w:color="auto"/>
        <w:right w:val="none" w:sz="0" w:space="0" w:color="auto"/>
      </w:divBdr>
    </w:div>
    <w:div w:id="693963858">
      <w:bodyDiv w:val="1"/>
      <w:marLeft w:val="0"/>
      <w:marRight w:val="0"/>
      <w:marTop w:val="0"/>
      <w:marBottom w:val="0"/>
      <w:divBdr>
        <w:top w:val="none" w:sz="0" w:space="0" w:color="auto"/>
        <w:left w:val="none" w:sz="0" w:space="0" w:color="auto"/>
        <w:bottom w:val="none" w:sz="0" w:space="0" w:color="auto"/>
        <w:right w:val="none" w:sz="0" w:space="0" w:color="auto"/>
      </w:divBdr>
    </w:div>
    <w:div w:id="813177192">
      <w:bodyDiv w:val="1"/>
      <w:marLeft w:val="0"/>
      <w:marRight w:val="0"/>
      <w:marTop w:val="0"/>
      <w:marBottom w:val="0"/>
      <w:divBdr>
        <w:top w:val="none" w:sz="0" w:space="0" w:color="auto"/>
        <w:left w:val="none" w:sz="0" w:space="0" w:color="auto"/>
        <w:bottom w:val="none" w:sz="0" w:space="0" w:color="auto"/>
        <w:right w:val="none" w:sz="0" w:space="0" w:color="auto"/>
      </w:divBdr>
      <w:divsChild>
        <w:div w:id="1805536004">
          <w:marLeft w:val="0"/>
          <w:marRight w:val="0"/>
          <w:marTop w:val="0"/>
          <w:marBottom w:val="0"/>
          <w:divBdr>
            <w:top w:val="none" w:sz="0" w:space="0" w:color="auto"/>
            <w:left w:val="none" w:sz="0" w:space="0" w:color="auto"/>
            <w:bottom w:val="none" w:sz="0" w:space="0" w:color="auto"/>
            <w:right w:val="none" w:sz="0" w:space="0" w:color="auto"/>
          </w:divBdr>
        </w:div>
        <w:div w:id="1844317713">
          <w:marLeft w:val="0"/>
          <w:marRight w:val="0"/>
          <w:marTop w:val="0"/>
          <w:marBottom w:val="0"/>
          <w:divBdr>
            <w:top w:val="none" w:sz="0" w:space="0" w:color="auto"/>
            <w:left w:val="none" w:sz="0" w:space="0" w:color="auto"/>
            <w:bottom w:val="none" w:sz="0" w:space="0" w:color="auto"/>
            <w:right w:val="none" w:sz="0" w:space="0" w:color="auto"/>
          </w:divBdr>
        </w:div>
        <w:div w:id="326637512">
          <w:marLeft w:val="0"/>
          <w:marRight w:val="0"/>
          <w:marTop w:val="0"/>
          <w:marBottom w:val="0"/>
          <w:divBdr>
            <w:top w:val="none" w:sz="0" w:space="0" w:color="auto"/>
            <w:left w:val="none" w:sz="0" w:space="0" w:color="auto"/>
            <w:bottom w:val="none" w:sz="0" w:space="0" w:color="auto"/>
            <w:right w:val="none" w:sz="0" w:space="0" w:color="auto"/>
          </w:divBdr>
        </w:div>
        <w:div w:id="1924492212">
          <w:marLeft w:val="0"/>
          <w:marRight w:val="0"/>
          <w:marTop w:val="0"/>
          <w:marBottom w:val="0"/>
          <w:divBdr>
            <w:top w:val="none" w:sz="0" w:space="0" w:color="auto"/>
            <w:left w:val="none" w:sz="0" w:space="0" w:color="auto"/>
            <w:bottom w:val="none" w:sz="0" w:space="0" w:color="auto"/>
            <w:right w:val="none" w:sz="0" w:space="0" w:color="auto"/>
          </w:divBdr>
        </w:div>
        <w:div w:id="148717180">
          <w:marLeft w:val="0"/>
          <w:marRight w:val="0"/>
          <w:marTop w:val="0"/>
          <w:marBottom w:val="0"/>
          <w:divBdr>
            <w:top w:val="none" w:sz="0" w:space="0" w:color="auto"/>
            <w:left w:val="none" w:sz="0" w:space="0" w:color="auto"/>
            <w:bottom w:val="none" w:sz="0" w:space="0" w:color="auto"/>
            <w:right w:val="none" w:sz="0" w:space="0" w:color="auto"/>
          </w:divBdr>
        </w:div>
      </w:divsChild>
    </w:div>
    <w:div w:id="931474323">
      <w:bodyDiv w:val="1"/>
      <w:marLeft w:val="0"/>
      <w:marRight w:val="0"/>
      <w:marTop w:val="0"/>
      <w:marBottom w:val="0"/>
      <w:divBdr>
        <w:top w:val="none" w:sz="0" w:space="0" w:color="auto"/>
        <w:left w:val="none" w:sz="0" w:space="0" w:color="auto"/>
        <w:bottom w:val="none" w:sz="0" w:space="0" w:color="auto"/>
        <w:right w:val="none" w:sz="0" w:space="0" w:color="auto"/>
      </w:divBdr>
    </w:div>
    <w:div w:id="965088466">
      <w:bodyDiv w:val="1"/>
      <w:marLeft w:val="0"/>
      <w:marRight w:val="0"/>
      <w:marTop w:val="0"/>
      <w:marBottom w:val="0"/>
      <w:divBdr>
        <w:top w:val="none" w:sz="0" w:space="0" w:color="auto"/>
        <w:left w:val="none" w:sz="0" w:space="0" w:color="auto"/>
        <w:bottom w:val="none" w:sz="0" w:space="0" w:color="auto"/>
        <w:right w:val="none" w:sz="0" w:space="0" w:color="auto"/>
      </w:divBdr>
    </w:div>
    <w:div w:id="1077290865">
      <w:bodyDiv w:val="1"/>
      <w:marLeft w:val="0"/>
      <w:marRight w:val="0"/>
      <w:marTop w:val="0"/>
      <w:marBottom w:val="0"/>
      <w:divBdr>
        <w:top w:val="none" w:sz="0" w:space="0" w:color="auto"/>
        <w:left w:val="none" w:sz="0" w:space="0" w:color="auto"/>
        <w:bottom w:val="none" w:sz="0" w:space="0" w:color="auto"/>
        <w:right w:val="none" w:sz="0" w:space="0" w:color="auto"/>
      </w:divBdr>
    </w:div>
    <w:div w:id="1077747303">
      <w:bodyDiv w:val="1"/>
      <w:marLeft w:val="0"/>
      <w:marRight w:val="0"/>
      <w:marTop w:val="0"/>
      <w:marBottom w:val="0"/>
      <w:divBdr>
        <w:top w:val="none" w:sz="0" w:space="0" w:color="auto"/>
        <w:left w:val="none" w:sz="0" w:space="0" w:color="auto"/>
        <w:bottom w:val="none" w:sz="0" w:space="0" w:color="auto"/>
        <w:right w:val="none" w:sz="0" w:space="0" w:color="auto"/>
      </w:divBdr>
    </w:div>
    <w:div w:id="1081219581">
      <w:bodyDiv w:val="1"/>
      <w:marLeft w:val="0"/>
      <w:marRight w:val="0"/>
      <w:marTop w:val="0"/>
      <w:marBottom w:val="0"/>
      <w:divBdr>
        <w:top w:val="none" w:sz="0" w:space="0" w:color="auto"/>
        <w:left w:val="none" w:sz="0" w:space="0" w:color="auto"/>
        <w:bottom w:val="none" w:sz="0" w:space="0" w:color="auto"/>
        <w:right w:val="none" w:sz="0" w:space="0" w:color="auto"/>
      </w:divBdr>
    </w:div>
    <w:div w:id="1157958256">
      <w:bodyDiv w:val="1"/>
      <w:marLeft w:val="0"/>
      <w:marRight w:val="0"/>
      <w:marTop w:val="0"/>
      <w:marBottom w:val="0"/>
      <w:divBdr>
        <w:top w:val="none" w:sz="0" w:space="0" w:color="auto"/>
        <w:left w:val="none" w:sz="0" w:space="0" w:color="auto"/>
        <w:bottom w:val="none" w:sz="0" w:space="0" w:color="auto"/>
        <w:right w:val="none" w:sz="0" w:space="0" w:color="auto"/>
      </w:divBdr>
    </w:div>
    <w:div w:id="1172523245">
      <w:bodyDiv w:val="1"/>
      <w:marLeft w:val="0"/>
      <w:marRight w:val="0"/>
      <w:marTop w:val="0"/>
      <w:marBottom w:val="0"/>
      <w:divBdr>
        <w:top w:val="none" w:sz="0" w:space="0" w:color="auto"/>
        <w:left w:val="none" w:sz="0" w:space="0" w:color="auto"/>
        <w:bottom w:val="none" w:sz="0" w:space="0" w:color="auto"/>
        <w:right w:val="none" w:sz="0" w:space="0" w:color="auto"/>
      </w:divBdr>
    </w:div>
    <w:div w:id="1213886100">
      <w:bodyDiv w:val="1"/>
      <w:marLeft w:val="0"/>
      <w:marRight w:val="0"/>
      <w:marTop w:val="0"/>
      <w:marBottom w:val="0"/>
      <w:divBdr>
        <w:top w:val="none" w:sz="0" w:space="0" w:color="auto"/>
        <w:left w:val="none" w:sz="0" w:space="0" w:color="auto"/>
        <w:bottom w:val="none" w:sz="0" w:space="0" w:color="auto"/>
        <w:right w:val="none" w:sz="0" w:space="0" w:color="auto"/>
      </w:divBdr>
    </w:div>
    <w:div w:id="1327710378">
      <w:bodyDiv w:val="1"/>
      <w:marLeft w:val="0"/>
      <w:marRight w:val="0"/>
      <w:marTop w:val="0"/>
      <w:marBottom w:val="0"/>
      <w:divBdr>
        <w:top w:val="none" w:sz="0" w:space="0" w:color="auto"/>
        <w:left w:val="none" w:sz="0" w:space="0" w:color="auto"/>
        <w:bottom w:val="none" w:sz="0" w:space="0" w:color="auto"/>
        <w:right w:val="none" w:sz="0" w:space="0" w:color="auto"/>
      </w:divBdr>
    </w:div>
    <w:div w:id="1361934732">
      <w:bodyDiv w:val="1"/>
      <w:marLeft w:val="0"/>
      <w:marRight w:val="0"/>
      <w:marTop w:val="0"/>
      <w:marBottom w:val="0"/>
      <w:divBdr>
        <w:top w:val="none" w:sz="0" w:space="0" w:color="auto"/>
        <w:left w:val="none" w:sz="0" w:space="0" w:color="auto"/>
        <w:bottom w:val="none" w:sz="0" w:space="0" w:color="auto"/>
        <w:right w:val="none" w:sz="0" w:space="0" w:color="auto"/>
      </w:divBdr>
    </w:div>
    <w:div w:id="1391534783">
      <w:bodyDiv w:val="1"/>
      <w:marLeft w:val="0"/>
      <w:marRight w:val="0"/>
      <w:marTop w:val="0"/>
      <w:marBottom w:val="0"/>
      <w:divBdr>
        <w:top w:val="none" w:sz="0" w:space="0" w:color="auto"/>
        <w:left w:val="none" w:sz="0" w:space="0" w:color="auto"/>
        <w:bottom w:val="none" w:sz="0" w:space="0" w:color="auto"/>
        <w:right w:val="none" w:sz="0" w:space="0" w:color="auto"/>
      </w:divBdr>
    </w:div>
    <w:div w:id="1475683696">
      <w:bodyDiv w:val="1"/>
      <w:marLeft w:val="0"/>
      <w:marRight w:val="0"/>
      <w:marTop w:val="0"/>
      <w:marBottom w:val="0"/>
      <w:divBdr>
        <w:top w:val="none" w:sz="0" w:space="0" w:color="auto"/>
        <w:left w:val="none" w:sz="0" w:space="0" w:color="auto"/>
        <w:bottom w:val="none" w:sz="0" w:space="0" w:color="auto"/>
        <w:right w:val="none" w:sz="0" w:space="0" w:color="auto"/>
      </w:divBdr>
    </w:div>
    <w:div w:id="1495536416">
      <w:bodyDiv w:val="1"/>
      <w:marLeft w:val="0"/>
      <w:marRight w:val="0"/>
      <w:marTop w:val="0"/>
      <w:marBottom w:val="0"/>
      <w:divBdr>
        <w:top w:val="none" w:sz="0" w:space="0" w:color="auto"/>
        <w:left w:val="none" w:sz="0" w:space="0" w:color="auto"/>
        <w:bottom w:val="none" w:sz="0" w:space="0" w:color="auto"/>
        <w:right w:val="none" w:sz="0" w:space="0" w:color="auto"/>
      </w:divBdr>
    </w:div>
    <w:div w:id="1522430557">
      <w:bodyDiv w:val="1"/>
      <w:marLeft w:val="0"/>
      <w:marRight w:val="0"/>
      <w:marTop w:val="0"/>
      <w:marBottom w:val="0"/>
      <w:divBdr>
        <w:top w:val="none" w:sz="0" w:space="0" w:color="auto"/>
        <w:left w:val="none" w:sz="0" w:space="0" w:color="auto"/>
        <w:bottom w:val="none" w:sz="0" w:space="0" w:color="auto"/>
        <w:right w:val="none" w:sz="0" w:space="0" w:color="auto"/>
      </w:divBdr>
    </w:div>
    <w:div w:id="1598053054">
      <w:bodyDiv w:val="1"/>
      <w:marLeft w:val="0"/>
      <w:marRight w:val="0"/>
      <w:marTop w:val="0"/>
      <w:marBottom w:val="0"/>
      <w:divBdr>
        <w:top w:val="none" w:sz="0" w:space="0" w:color="auto"/>
        <w:left w:val="none" w:sz="0" w:space="0" w:color="auto"/>
        <w:bottom w:val="none" w:sz="0" w:space="0" w:color="auto"/>
        <w:right w:val="none" w:sz="0" w:space="0" w:color="auto"/>
      </w:divBdr>
    </w:div>
    <w:div w:id="1674988529">
      <w:bodyDiv w:val="1"/>
      <w:marLeft w:val="0"/>
      <w:marRight w:val="0"/>
      <w:marTop w:val="0"/>
      <w:marBottom w:val="0"/>
      <w:divBdr>
        <w:top w:val="none" w:sz="0" w:space="0" w:color="auto"/>
        <w:left w:val="none" w:sz="0" w:space="0" w:color="auto"/>
        <w:bottom w:val="none" w:sz="0" w:space="0" w:color="auto"/>
        <w:right w:val="none" w:sz="0" w:space="0" w:color="auto"/>
      </w:divBdr>
    </w:div>
    <w:div w:id="1691835396">
      <w:bodyDiv w:val="1"/>
      <w:marLeft w:val="0"/>
      <w:marRight w:val="0"/>
      <w:marTop w:val="0"/>
      <w:marBottom w:val="0"/>
      <w:divBdr>
        <w:top w:val="none" w:sz="0" w:space="0" w:color="auto"/>
        <w:left w:val="none" w:sz="0" w:space="0" w:color="auto"/>
        <w:bottom w:val="none" w:sz="0" w:space="0" w:color="auto"/>
        <w:right w:val="none" w:sz="0" w:space="0" w:color="auto"/>
      </w:divBdr>
    </w:div>
    <w:div w:id="1732731489">
      <w:bodyDiv w:val="1"/>
      <w:marLeft w:val="0"/>
      <w:marRight w:val="0"/>
      <w:marTop w:val="0"/>
      <w:marBottom w:val="0"/>
      <w:divBdr>
        <w:top w:val="none" w:sz="0" w:space="0" w:color="auto"/>
        <w:left w:val="none" w:sz="0" w:space="0" w:color="auto"/>
        <w:bottom w:val="none" w:sz="0" w:space="0" w:color="auto"/>
        <w:right w:val="none" w:sz="0" w:space="0" w:color="auto"/>
      </w:divBdr>
    </w:div>
    <w:div w:id="1790733165">
      <w:bodyDiv w:val="1"/>
      <w:marLeft w:val="0"/>
      <w:marRight w:val="0"/>
      <w:marTop w:val="0"/>
      <w:marBottom w:val="0"/>
      <w:divBdr>
        <w:top w:val="none" w:sz="0" w:space="0" w:color="auto"/>
        <w:left w:val="none" w:sz="0" w:space="0" w:color="auto"/>
        <w:bottom w:val="none" w:sz="0" w:space="0" w:color="auto"/>
        <w:right w:val="none" w:sz="0" w:space="0" w:color="auto"/>
      </w:divBdr>
    </w:div>
    <w:div w:id="1808425862">
      <w:bodyDiv w:val="1"/>
      <w:marLeft w:val="0"/>
      <w:marRight w:val="0"/>
      <w:marTop w:val="0"/>
      <w:marBottom w:val="0"/>
      <w:divBdr>
        <w:top w:val="none" w:sz="0" w:space="0" w:color="auto"/>
        <w:left w:val="none" w:sz="0" w:space="0" w:color="auto"/>
        <w:bottom w:val="none" w:sz="0" w:space="0" w:color="auto"/>
        <w:right w:val="none" w:sz="0" w:space="0" w:color="auto"/>
      </w:divBdr>
    </w:div>
    <w:div w:id="1840777352">
      <w:bodyDiv w:val="1"/>
      <w:marLeft w:val="0"/>
      <w:marRight w:val="0"/>
      <w:marTop w:val="0"/>
      <w:marBottom w:val="0"/>
      <w:divBdr>
        <w:top w:val="none" w:sz="0" w:space="0" w:color="auto"/>
        <w:left w:val="none" w:sz="0" w:space="0" w:color="auto"/>
        <w:bottom w:val="none" w:sz="0" w:space="0" w:color="auto"/>
        <w:right w:val="none" w:sz="0" w:space="0" w:color="auto"/>
      </w:divBdr>
    </w:div>
    <w:div w:id="1844470178">
      <w:bodyDiv w:val="1"/>
      <w:marLeft w:val="0"/>
      <w:marRight w:val="0"/>
      <w:marTop w:val="0"/>
      <w:marBottom w:val="0"/>
      <w:divBdr>
        <w:top w:val="none" w:sz="0" w:space="0" w:color="auto"/>
        <w:left w:val="none" w:sz="0" w:space="0" w:color="auto"/>
        <w:bottom w:val="none" w:sz="0" w:space="0" w:color="auto"/>
        <w:right w:val="none" w:sz="0" w:space="0" w:color="auto"/>
      </w:divBdr>
    </w:div>
    <w:div w:id="1864589457">
      <w:bodyDiv w:val="1"/>
      <w:marLeft w:val="0"/>
      <w:marRight w:val="0"/>
      <w:marTop w:val="0"/>
      <w:marBottom w:val="0"/>
      <w:divBdr>
        <w:top w:val="none" w:sz="0" w:space="0" w:color="auto"/>
        <w:left w:val="none" w:sz="0" w:space="0" w:color="auto"/>
        <w:bottom w:val="none" w:sz="0" w:space="0" w:color="auto"/>
        <w:right w:val="none" w:sz="0" w:space="0" w:color="auto"/>
      </w:divBdr>
    </w:div>
    <w:div w:id="1868441211">
      <w:bodyDiv w:val="1"/>
      <w:marLeft w:val="0"/>
      <w:marRight w:val="0"/>
      <w:marTop w:val="0"/>
      <w:marBottom w:val="0"/>
      <w:divBdr>
        <w:top w:val="none" w:sz="0" w:space="0" w:color="auto"/>
        <w:left w:val="none" w:sz="0" w:space="0" w:color="auto"/>
        <w:bottom w:val="none" w:sz="0" w:space="0" w:color="auto"/>
        <w:right w:val="none" w:sz="0" w:space="0" w:color="auto"/>
      </w:divBdr>
    </w:div>
    <w:div w:id="1885408681">
      <w:bodyDiv w:val="1"/>
      <w:marLeft w:val="0"/>
      <w:marRight w:val="0"/>
      <w:marTop w:val="0"/>
      <w:marBottom w:val="0"/>
      <w:divBdr>
        <w:top w:val="none" w:sz="0" w:space="0" w:color="auto"/>
        <w:left w:val="none" w:sz="0" w:space="0" w:color="auto"/>
        <w:bottom w:val="none" w:sz="0" w:space="0" w:color="auto"/>
        <w:right w:val="none" w:sz="0" w:space="0" w:color="auto"/>
      </w:divBdr>
    </w:div>
    <w:div w:id="2049405668">
      <w:bodyDiv w:val="1"/>
      <w:marLeft w:val="0"/>
      <w:marRight w:val="0"/>
      <w:marTop w:val="0"/>
      <w:marBottom w:val="0"/>
      <w:divBdr>
        <w:top w:val="none" w:sz="0" w:space="0" w:color="auto"/>
        <w:left w:val="none" w:sz="0" w:space="0" w:color="auto"/>
        <w:bottom w:val="none" w:sz="0" w:space="0" w:color="auto"/>
        <w:right w:val="none" w:sz="0" w:space="0" w:color="auto"/>
      </w:divBdr>
    </w:div>
    <w:div w:id="2113091179">
      <w:bodyDiv w:val="1"/>
      <w:marLeft w:val="0"/>
      <w:marRight w:val="0"/>
      <w:marTop w:val="0"/>
      <w:marBottom w:val="0"/>
      <w:divBdr>
        <w:top w:val="none" w:sz="0" w:space="0" w:color="auto"/>
        <w:left w:val="none" w:sz="0" w:space="0" w:color="auto"/>
        <w:bottom w:val="none" w:sz="0" w:space="0" w:color="auto"/>
        <w:right w:val="none" w:sz="0" w:space="0" w:color="auto"/>
      </w:divBdr>
    </w:div>
    <w:div w:id="2137023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service@bosera.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rvice@bosera.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16598</Words>
  <Characters>94611</Characters>
  <Application>Microsoft Office Word</Application>
  <DocSecurity>0</DocSecurity>
  <Lines>788</Lines>
  <Paragraphs>221</Paragraphs>
  <ScaleCrop>false</ScaleCrop>
  <Company>mycompany</Company>
  <LinksUpToDate>false</LinksUpToDate>
  <CharactersWithSpaces>110988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谭静思</cp:lastModifiedBy>
  <cp:revision>10</cp:revision>
  <dcterms:created xsi:type="dcterms:W3CDTF">2020-09-11T10:58:00Z</dcterms:created>
  <dcterms:modified xsi:type="dcterms:W3CDTF">2020-09-24T07:03:00Z</dcterms:modified>
</cp:coreProperties>
</file>