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7EC" w:rsidRDefault="007507EC">
      <w:pPr>
        <w:widowControl/>
        <w:jc w:val="left"/>
        <w:rPr>
          <w:rFonts w:ascii="宋体" w:eastAsia="宋体" w:hAnsi="宋体"/>
          <w:sz w:val="30"/>
        </w:rPr>
      </w:pPr>
    </w:p>
    <w:p w:rsidR="007507EC" w:rsidRDefault="007507EC">
      <w:pPr>
        <w:widowControl/>
        <w:jc w:val="left"/>
        <w:rPr>
          <w:rFonts w:ascii="宋体" w:eastAsia="宋体" w:hAnsi="宋体"/>
          <w:sz w:val="30"/>
        </w:rPr>
      </w:pPr>
    </w:p>
    <w:p w:rsidR="007507EC" w:rsidRDefault="007507EC">
      <w:pPr>
        <w:widowControl/>
        <w:jc w:val="left"/>
        <w:rPr>
          <w:rFonts w:ascii="宋体" w:eastAsia="宋体" w:hAnsi="宋体"/>
          <w:sz w:val="30"/>
        </w:rPr>
      </w:pPr>
    </w:p>
    <w:p w:rsidR="007507EC" w:rsidRDefault="007507EC">
      <w:pPr>
        <w:widowControl/>
        <w:jc w:val="left"/>
        <w:rPr>
          <w:rFonts w:ascii="宋体" w:eastAsia="宋体" w:hAnsi="宋体"/>
          <w:sz w:val="30"/>
        </w:rPr>
      </w:pPr>
    </w:p>
    <w:p w:rsidR="007507EC" w:rsidRDefault="007507EC" w:rsidP="007507EC">
      <w:pPr>
        <w:widowControl/>
        <w:spacing w:line="800" w:lineRule="exact"/>
        <w:jc w:val="center"/>
        <w:rPr>
          <w:rFonts w:ascii="宋体" w:eastAsia="宋体" w:hAnsi="宋体"/>
          <w:b/>
          <w:sz w:val="52"/>
        </w:rPr>
      </w:pPr>
      <w:r w:rsidRPr="007507EC">
        <w:rPr>
          <w:rFonts w:ascii="宋体" w:eastAsia="宋体" w:hAnsi="宋体" w:hint="eastAsia"/>
          <w:b/>
          <w:sz w:val="52"/>
        </w:rPr>
        <w:t>博时安盈债券型证券投资基金</w:t>
      </w:r>
    </w:p>
    <w:p w:rsidR="007507EC" w:rsidRDefault="007507EC" w:rsidP="007507EC">
      <w:pPr>
        <w:widowControl/>
        <w:spacing w:line="800" w:lineRule="exact"/>
        <w:jc w:val="center"/>
        <w:rPr>
          <w:rFonts w:ascii="宋体" w:eastAsia="宋体" w:hAnsi="宋体"/>
          <w:b/>
          <w:sz w:val="52"/>
        </w:rPr>
      </w:pPr>
      <w:r w:rsidRPr="007507EC">
        <w:rPr>
          <w:rFonts w:ascii="宋体" w:eastAsia="宋体" w:hAnsi="宋体" w:hint="eastAsia"/>
          <w:b/>
          <w:sz w:val="52"/>
        </w:rPr>
        <w:t>更新招募说明书</w:t>
      </w: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52"/>
        </w:rPr>
      </w:pPr>
    </w:p>
    <w:p w:rsidR="007507EC" w:rsidRDefault="007507EC" w:rsidP="007507EC">
      <w:pPr>
        <w:widowControl/>
        <w:spacing w:line="800" w:lineRule="exact"/>
        <w:jc w:val="center"/>
        <w:rPr>
          <w:rFonts w:ascii="宋体" w:eastAsia="宋体" w:hAnsi="宋体"/>
          <w:b/>
          <w:sz w:val="30"/>
        </w:rPr>
      </w:pPr>
      <w:r w:rsidRPr="007507EC">
        <w:rPr>
          <w:rFonts w:ascii="宋体" w:eastAsia="宋体" w:hAnsi="宋体" w:hint="eastAsia"/>
          <w:b/>
          <w:sz w:val="30"/>
        </w:rPr>
        <w:t>基金管理人</w:t>
      </w:r>
      <w:r w:rsidRPr="007507EC">
        <w:rPr>
          <w:rFonts w:ascii="宋体" w:eastAsia="宋体" w:hAnsi="宋体"/>
          <w:b/>
          <w:sz w:val="30"/>
        </w:rPr>
        <w:t>: 博时基金管理有限公司</w:t>
      </w:r>
    </w:p>
    <w:p w:rsidR="007507EC" w:rsidRPr="007507EC" w:rsidRDefault="007507EC" w:rsidP="007507EC">
      <w:pPr>
        <w:widowControl/>
        <w:spacing w:line="800" w:lineRule="exact"/>
        <w:jc w:val="center"/>
        <w:rPr>
          <w:rFonts w:ascii="宋体" w:eastAsia="宋体" w:hAnsi="宋体" w:cstheme="majorBidi"/>
          <w:b/>
          <w:bCs/>
          <w:sz w:val="30"/>
          <w:szCs w:val="32"/>
        </w:rPr>
      </w:pPr>
      <w:r w:rsidRPr="007507EC">
        <w:rPr>
          <w:rFonts w:ascii="宋体" w:eastAsia="宋体" w:hAnsi="宋体" w:hint="eastAsia"/>
          <w:b/>
          <w:sz w:val="30"/>
        </w:rPr>
        <w:t>基金托管人</w:t>
      </w:r>
      <w:r w:rsidRPr="007507EC">
        <w:rPr>
          <w:rFonts w:ascii="宋体" w:eastAsia="宋体" w:hAnsi="宋体"/>
          <w:b/>
          <w:sz w:val="30"/>
        </w:rPr>
        <w:t>: 中国工商银行股份有限公司</w:t>
      </w:r>
      <w:r w:rsidRPr="007507EC">
        <w:rPr>
          <w:rFonts w:ascii="宋体" w:eastAsia="宋体" w:hAnsi="宋体"/>
          <w:b/>
          <w:sz w:val="30"/>
        </w:rPr>
        <w:br w:type="page"/>
      </w:r>
    </w:p>
    <w:p w:rsidR="007507EC" w:rsidRDefault="007507EC" w:rsidP="007507EC">
      <w:pPr>
        <w:pStyle w:val="2"/>
        <w:jc w:val="center"/>
        <w:rPr>
          <w:rFonts w:ascii="宋体" w:eastAsia="宋体" w:hAnsi="宋体"/>
          <w:sz w:val="30"/>
        </w:rPr>
      </w:pPr>
      <w:bookmarkStart w:id="0" w:name="_Toc50543291"/>
      <w:r w:rsidRPr="007507EC">
        <w:rPr>
          <w:rFonts w:ascii="宋体" w:eastAsia="宋体" w:hAnsi="宋体" w:hint="eastAsia"/>
          <w:sz w:val="30"/>
        </w:rPr>
        <w:lastRenderedPageBreak/>
        <w:t>【重要提示】</w:t>
      </w:r>
      <w:bookmarkEnd w:id="0"/>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1、本基金根据</w:t>
      </w:r>
      <w:bookmarkStart w:id="1" w:name="field_2343_approveddate_1"/>
      <w:r w:rsidR="00981FA3">
        <w:rPr>
          <w:sz w:val="21"/>
          <w:szCs w:val="21"/>
        </w:rPr>
        <w:t>2013年03月14日</w:t>
      </w:r>
      <w:bookmarkEnd w:id="1"/>
      <w:r>
        <w:rPr>
          <w:rFonts w:hint="eastAsia"/>
          <w:sz w:val="21"/>
          <w:szCs w:val="21"/>
        </w:rPr>
        <w:t>中国证券监督管理委员会《关于核准</w:t>
      </w:r>
      <w:bookmarkStart w:id="2" w:name="field_49_productfullname_1"/>
      <w:r w:rsidR="00981FA3">
        <w:rPr>
          <w:rFonts w:hint="eastAsia"/>
          <w:sz w:val="21"/>
          <w:szCs w:val="21"/>
        </w:rPr>
        <w:t>博时安盈债券型证券投资基金</w:t>
      </w:r>
      <w:bookmarkEnd w:id="2"/>
      <w:r>
        <w:rPr>
          <w:rFonts w:hint="eastAsia"/>
          <w:sz w:val="21"/>
          <w:szCs w:val="21"/>
        </w:rPr>
        <w:t>募集的批复》（证监许可</w:t>
      </w:r>
      <w:bookmarkStart w:id="3" w:name="field_2343_lotnumber_1"/>
      <w:r w:rsidR="00981FA3">
        <w:rPr>
          <w:sz w:val="21"/>
          <w:szCs w:val="21"/>
        </w:rPr>
        <w:t>[2013]244</w:t>
      </w:r>
      <w:bookmarkEnd w:id="3"/>
      <w:r>
        <w:rPr>
          <w:rFonts w:hint="eastAsia"/>
          <w:sz w:val="21"/>
          <w:szCs w:val="21"/>
        </w:rPr>
        <w:t>号）和2013年3月25日《关于</w:t>
      </w:r>
      <w:bookmarkStart w:id="4" w:name="field_49_productfullname_2"/>
      <w:r w:rsidR="00981FA3">
        <w:rPr>
          <w:rFonts w:hint="eastAsia"/>
          <w:sz w:val="21"/>
          <w:szCs w:val="21"/>
        </w:rPr>
        <w:t>博时安盈债券型证券投资基金</w:t>
      </w:r>
      <w:bookmarkEnd w:id="4"/>
      <w:r>
        <w:rPr>
          <w:rFonts w:hint="eastAsia"/>
          <w:sz w:val="21"/>
          <w:szCs w:val="21"/>
        </w:rPr>
        <w:t xml:space="preserve">募集时间安排的确认函》（基金部函[2013]207号）的核准，进行募集。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2、基金管理人保证《招募说明书》的内容真实、准确、完整。本《招募说明书》经中国证监会核准，但中国证监会对本基金募集的核准，并不表明其对本基金的价值和收益作出实质性判断或保证，也不表明投资于本基金没有风险。基金管理人依照恪尽职守、诚实信用、谨慎勤勉的原则管理和运用基金财产，但不保证基金一定盈利，也不保证最低收益。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3、本基金主要投资于具有良好流动性的金融工具，包括国内依法发行上市的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本基金主要投资于短期融资券和超级短期融资券和法律法规或中国证监会允许基金投资的其他固定收益类证券，投资者在投资本基金前，需充分了解本基金的产品特性，并承担基金投资中出现的各类风险。投资本基金可能遇到的风险包括：利率风险，本基金持有的信用品种违约带来的信用风险等；基金运作风险，包括由于基金投资人连续大量赎回基金产生的流动性风险，基金管理人在基金管理运作过程中产生的基金管理风险等。此外，本基金投资于短期融资券和超级短期融资券的比例不低于基金资产的60%，投资比例较高。如果短期融资券和超级短期融资券的发债主体信用恶化，组合将面临较高的信用风险。如果债券市场出现整体下跌，本基金将无法完全避免债券市场系统性风险。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本基金以</w:t>
      </w:r>
      <w:bookmarkStart w:id="5" w:name="field_2343_facevalue_1"/>
      <w:r w:rsidR="00981FA3">
        <w:rPr>
          <w:sz w:val="21"/>
          <w:szCs w:val="21"/>
        </w:rPr>
        <w:t>1.00</w:t>
      </w:r>
      <w:bookmarkEnd w:id="5"/>
      <w:r>
        <w:rPr>
          <w:rFonts w:hint="eastAsia"/>
          <w:sz w:val="21"/>
          <w:szCs w:val="21"/>
        </w:rPr>
        <w:t>元初始面值进行募集，在市场波动等因素的影响下，存在单位份额净值跌破</w:t>
      </w:r>
      <w:bookmarkStart w:id="6" w:name="field_2343_facevalue_2"/>
      <w:r w:rsidR="00981FA3">
        <w:rPr>
          <w:sz w:val="21"/>
          <w:szCs w:val="21"/>
        </w:rPr>
        <w:t>1.00</w:t>
      </w:r>
      <w:bookmarkEnd w:id="6"/>
      <w:r>
        <w:rPr>
          <w:rFonts w:hint="eastAsia"/>
          <w:sz w:val="21"/>
          <w:szCs w:val="21"/>
        </w:rPr>
        <w:t xml:space="preserve">元初始面值的风险。本基金属于证券市场中的中低收益、中低风险品种，预期收益和预期风险高于货币市场基金，低于股票型基金和混合型基金。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4、本基金的业绩比较基准为中国人民银行公布的1年期定期存款利率（税后），但本基金的收益水平有可能不能达到或超过同期的目标收益率水平，投资者面临获得低于目标收益率甚至亏损的风险。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lastRenderedPageBreak/>
        <w:t xml:space="preserve">5、基金不同于银行储蓄与债券，基金投资者有可能获得较高的收益，也有可能损失本金。投资有风险，投资者在进行投资决策前，请仔细阅读本基金的《招募说明书》、《基金合同》及基金产品资料概要等信息披露文件。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6、基金的过往业绩并不预示其未来表现。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7、基金管理人依照恪尽职守、诚实信用、谨慎勤勉的原则管理和运用基金财产，但不保证基金一定盈利，也不保证最低收益。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8、基金管理人提醒投资人基金投资的“买者自负”原则，在投资人作出投资决策后，基金运营状况与基金净值变化引致的投资风险，由投资人自行负责。 </w:t>
      </w:r>
    </w:p>
    <w:p w:rsidR="007507EC" w:rsidRDefault="007507EC">
      <w:pPr>
        <w:pStyle w:val="a3"/>
        <w:spacing w:before="0" w:beforeAutospacing="0" w:after="0" w:afterAutospacing="0" w:line="360" w:lineRule="auto"/>
        <w:ind w:firstLine="420"/>
        <w:divId w:val="442192449"/>
        <w:rPr>
          <w:sz w:val="21"/>
          <w:szCs w:val="21"/>
        </w:rPr>
      </w:pPr>
      <w:r>
        <w:rPr>
          <w:rFonts w:hint="eastAsia"/>
          <w:sz w:val="21"/>
          <w:szCs w:val="21"/>
        </w:rPr>
        <w:t xml:space="preserve">9、本招募说明书约定的基金产品资料概要编制、披露与更新的要求，将不晚于2020年9月1日起执行。 </w:t>
      </w:r>
    </w:p>
    <w:p w:rsidR="007507EC" w:rsidRPr="007507EC" w:rsidRDefault="007507EC" w:rsidP="007507EC">
      <w:pPr>
        <w:pStyle w:val="a3"/>
        <w:spacing w:before="0" w:beforeAutospacing="0" w:after="0" w:afterAutospacing="0" w:line="360" w:lineRule="auto"/>
        <w:ind w:firstLine="420"/>
        <w:divId w:val="1529443457"/>
        <w:rPr>
          <w:sz w:val="21"/>
          <w:szCs w:val="21"/>
        </w:rPr>
      </w:pPr>
      <w:r>
        <w:rPr>
          <w:rFonts w:hint="eastAsia"/>
          <w:sz w:val="21"/>
          <w:szCs w:val="21"/>
        </w:rPr>
        <w:t>本招募说明书（更新）所载内容截止日为</w:t>
      </w:r>
      <w:bookmarkStart w:id="7" w:name="field_2343_infoendday_1"/>
      <w:r w:rsidR="00981FA3">
        <w:rPr>
          <w:sz w:val="21"/>
          <w:szCs w:val="21"/>
        </w:rPr>
        <w:t>2020年08月31日</w:t>
      </w:r>
      <w:bookmarkEnd w:id="7"/>
      <w:r>
        <w:rPr>
          <w:rFonts w:hint="eastAsia"/>
          <w:sz w:val="21"/>
          <w:szCs w:val="21"/>
        </w:rPr>
        <w:t>，有关财务数据和净值表现截止日为</w:t>
      </w:r>
      <w:bookmarkStart w:id="8" w:name="field_2343_financeendday_1"/>
      <w:r w:rsidR="00981FA3">
        <w:rPr>
          <w:sz w:val="21"/>
          <w:szCs w:val="21"/>
        </w:rPr>
        <w:t>2020年06月30日</w:t>
      </w:r>
      <w:bookmarkEnd w:id="8"/>
      <w:r>
        <w:rPr>
          <w:rFonts w:hint="eastAsia"/>
          <w:sz w:val="21"/>
          <w:szCs w:val="21"/>
        </w:rPr>
        <w:t xml:space="preserve"> (财务数据未经审计)。  </w:t>
      </w:r>
      <w:r w:rsidRPr="007507EC">
        <w:rPr>
          <w:sz w:val="30"/>
        </w:rPr>
        <w:br w:type="page"/>
      </w:r>
    </w:p>
    <w:p w:rsidR="007507EC" w:rsidRDefault="007507EC" w:rsidP="007507EC">
      <w:pPr>
        <w:widowControl/>
        <w:jc w:val="center"/>
        <w:rPr>
          <w:rFonts w:ascii="宋体" w:eastAsia="宋体" w:hAnsi="宋体"/>
          <w:b/>
          <w:sz w:val="28"/>
        </w:rPr>
      </w:pPr>
      <w:r w:rsidRPr="007507EC">
        <w:rPr>
          <w:rFonts w:ascii="宋体" w:eastAsia="宋体" w:hAnsi="宋体" w:hint="eastAsia"/>
          <w:b/>
          <w:sz w:val="28"/>
        </w:rPr>
        <w:lastRenderedPageBreak/>
        <w:t>目录</w:t>
      </w:r>
    </w:p>
    <w:p w:rsidR="007507EC" w:rsidRPr="007507EC" w:rsidRDefault="007507EC" w:rsidP="007507EC">
      <w:pPr>
        <w:pStyle w:val="20"/>
        <w:tabs>
          <w:tab w:val="right" w:leader="dot" w:pos="8290"/>
        </w:tabs>
        <w:spacing w:line="360" w:lineRule="auto"/>
        <w:rPr>
          <w:rFonts w:ascii="宋体" w:eastAsia="宋体" w:hAnsi="宋体"/>
          <w:noProof/>
        </w:rPr>
      </w:pPr>
      <w:r w:rsidRPr="007507EC">
        <w:rPr>
          <w:rFonts w:ascii="宋体" w:eastAsia="宋体" w:hAnsi="宋体"/>
        </w:rPr>
        <w:fldChar w:fldCharType="begin"/>
      </w:r>
      <w:r w:rsidRPr="007507EC">
        <w:rPr>
          <w:rFonts w:ascii="宋体" w:eastAsia="宋体" w:hAnsi="宋体"/>
        </w:rPr>
        <w:instrText xml:space="preserve"> TOC \o "1-2" \f 8 \h \t "2" </w:instrText>
      </w:r>
      <w:r w:rsidRPr="007507EC">
        <w:rPr>
          <w:rFonts w:ascii="宋体" w:eastAsia="宋体" w:hAnsi="宋体"/>
        </w:rPr>
        <w:fldChar w:fldCharType="separate"/>
      </w:r>
      <w:hyperlink w:anchor="_Toc50543291" w:history="1">
        <w:r w:rsidRPr="007507EC">
          <w:rPr>
            <w:rStyle w:val="a5"/>
            <w:rFonts w:ascii="宋体" w:eastAsia="宋体" w:hAnsi="宋体" w:hint="eastAsia"/>
            <w:noProof/>
            <w:u w:val="none"/>
          </w:rPr>
          <w:t>【重要提示】</w:t>
        </w:r>
        <w:r w:rsidRPr="007507EC">
          <w:rPr>
            <w:rFonts w:ascii="宋体" w:eastAsia="宋体" w:hAnsi="宋体"/>
            <w:noProof/>
          </w:rPr>
          <w:tab/>
        </w:r>
        <w:r w:rsidRPr="007507EC">
          <w:rPr>
            <w:rFonts w:ascii="宋体" w:eastAsia="宋体" w:hAnsi="宋体"/>
            <w:noProof/>
          </w:rPr>
          <w:fldChar w:fldCharType="begin"/>
        </w:r>
        <w:r w:rsidRPr="007507EC">
          <w:rPr>
            <w:rFonts w:ascii="宋体" w:eastAsia="宋体" w:hAnsi="宋体"/>
            <w:noProof/>
          </w:rPr>
          <w:instrText xml:space="preserve"> PAGEREF _Toc50543291 \h </w:instrText>
        </w:r>
        <w:r w:rsidRPr="007507EC">
          <w:rPr>
            <w:rFonts w:ascii="宋体" w:eastAsia="宋体" w:hAnsi="宋体"/>
            <w:noProof/>
          </w:rPr>
        </w:r>
        <w:r w:rsidRPr="007507EC">
          <w:rPr>
            <w:rFonts w:ascii="宋体" w:eastAsia="宋体" w:hAnsi="宋体"/>
            <w:noProof/>
          </w:rPr>
          <w:fldChar w:fldCharType="separate"/>
        </w:r>
        <w:r w:rsidR="00CF47C2">
          <w:rPr>
            <w:rFonts w:ascii="宋体" w:eastAsia="宋体" w:hAnsi="宋体"/>
            <w:noProof/>
          </w:rPr>
          <w:t>2</w:t>
        </w:r>
        <w:r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2" w:history="1">
        <w:r w:rsidR="007507EC" w:rsidRPr="007507EC">
          <w:rPr>
            <w:rStyle w:val="a5"/>
            <w:rFonts w:ascii="宋体" w:eastAsia="宋体" w:hAnsi="宋体" w:hint="eastAsia"/>
            <w:noProof/>
            <w:u w:val="none"/>
          </w:rPr>
          <w:t>第一部分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绪言</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_Toc50543292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5</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3" w:history="1">
        <w:r w:rsidR="007507EC" w:rsidRPr="007507EC">
          <w:rPr>
            <w:rStyle w:val="a5"/>
            <w:rFonts w:ascii="宋体" w:eastAsia="宋体" w:hAnsi="宋体" w:hint="eastAsia"/>
            <w:noProof/>
            <w:u w:val="none"/>
          </w:rPr>
          <w:t>第二部分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释义</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_Toc50543293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6</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4" w:history="1">
        <w:r w:rsidR="007507EC" w:rsidRPr="007507EC">
          <w:rPr>
            <w:rStyle w:val="a5"/>
            <w:rFonts w:ascii="宋体" w:eastAsia="宋体" w:hAnsi="宋体" w:hint="eastAsia"/>
            <w:noProof/>
            <w:u w:val="none"/>
          </w:rPr>
          <w:t>第三部分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基金管理人</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_Toc50543294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10</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5" w:history="1">
        <w:r w:rsidR="007507EC" w:rsidRPr="007507EC">
          <w:rPr>
            <w:rStyle w:val="a5"/>
            <w:rFonts w:ascii="宋体" w:eastAsia="宋体" w:hAnsi="宋体" w:hint="eastAsia"/>
            <w:noProof/>
            <w:u w:val="none"/>
          </w:rPr>
          <w:t>第四部分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基金托管人</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_Toc50543295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26</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6" w:history="1">
        <w:r w:rsidR="007507EC" w:rsidRPr="007507EC">
          <w:rPr>
            <w:rStyle w:val="a5"/>
            <w:rFonts w:ascii="宋体" w:eastAsia="宋体" w:hAnsi="宋体" w:hint="eastAsia"/>
            <w:noProof/>
            <w:u w:val="none"/>
          </w:rPr>
          <w:t>第五部分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相关服务机构</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_Toc50543296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30</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7" w:history="1">
        <w:r w:rsidR="007507EC" w:rsidRPr="007507EC">
          <w:rPr>
            <w:rStyle w:val="a5"/>
            <w:rFonts w:ascii="宋体" w:eastAsia="宋体" w:hAnsi="宋体" w:hint="eastAsia"/>
            <w:noProof/>
            <w:u w:val="none"/>
          </w:rPr>
          <w:t>第六部分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基金的募集与基金合同的生效</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_Toc50543297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76</w:t>
        </w:r>
        <w:r w:rsidR="007507EC" w:rsidRPr="007507EC">
          <w:rPr>
            <w:rFonts w:ascii="宋体" w:eastAsia="宋体" w:hAnsi="宋体"/>
            <w:noProof/>
          </w:rPr>
          <w:fldChar w:fldCharType="end"/>
        </w:r>
      </w:hyperlink>
      <w:bookmarkStart w:id="9" w:name="_GoBack"/>
      <w:bookmarkEnd w:id="9"/>
    </w:p>
    <w:p w:rsidR="007507EC" w:rsidRPr="007507EC" w:rsidRDefault="009C13A5" w:rsidP="007507EC">
      <w:pPr>
        <w:pStyle w:val="20"/>
        <w:tabs>
          <w:tab w:val="right" w:leader="dot" w:pos="8290"/>
        </w:tabs>
        <w:spacing w:line="360" w:lineRule="auto"/>
        <w:rPr>
          <w:rFonts w:ascii="宋体" w:eastAsia="宋体" w:hAnsi="宋体"/>
          <w:noProof/>
        </w:rPr>
      </w:pPr>
      <w:hyperlink w:anchor="_Toc50543298" w:history="1">
        <w:r w:rsidR="007507EC" w:rsidRPr="007507EC">
          <w:rPr>
            <w:rStyle w:val="a5"/>
            <w:rFonts w:ascii="宋体" w:eastAsia="宋体" w:hAnsi="宋体" w:hint="eastAsia"/>
            <w:noProof/>
            <w:u w:val="none"/>
          </w:rPr>
          <w:t>第七部分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基金份额的申购与赎回</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_Toc50543298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77</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299" w:history="1">
        <w:r w:rsidR="007507EC" w:rsidRPr="007507EC">
          <w:rPr>
            <w:rStyle w:val="a5"/>
            <w:rFonts w:ascii="宋体" w:eastAsia="宋体" w:hAnsi="宋体" w:hint="eastAsia"/>
            <w:noProof/>
            <w:u w:val="none"/>
          </w:rPr>
          <w:t>第八部分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基金的投资</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_Toc50543299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89</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0" w:history="1">
        <w:r w:rsidR="007507EC" w:rsidRPr="007507EC">
          <w:rPr>
            <w:rStyle w:val="a5"/>
            <w:rFonts w:ascii="宋体" w:eastAsia="宋体" w:hAnsi="宋体" w:hint="eastAsia"/>
            <w:noProof/>
            <w:u w:val="none"/>
          </w:rPr>
          <w:t>第九部分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基金的业绩</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_Toc50543300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98</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1" w:history="1">
        <w:r w:rsidR="007507EC" w:rsidRPr="007507EC">
          <w:rPr>
            <w:rStyle w:val="a5"/>
            <w:rFonts w:ascii="宋体" w:eastAsia="宋体" w:hAnsi="宋体" w:hint="eastAsia"/>
            <w:noProof/>
            <w:u w:val="none"/>
          </w:rPr>
          <w:t>第十部分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基金的财产</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_Toc50543301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99</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2" w:history="1">
        <w:r w:rsidR="007507EC" w:rsidRPr="007507EC">
          <w:rPr>
            <w:rStyle w:val="a5"/>
            <w:rFonts w:ascii="宋体" w:eastAsia="宋体" w:hAnsi="宋体" w:hint="eastAsia"/>
            <w:noProof/>
            <w:u w:val="none"/>
          </w:rPr>
          <w:t>第十一部分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基金资产的估值</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_Toc50543302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100</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3" w:history="1">
        <w:r w:rsidR="007507EC" w:rsidRPr="007507EC">
          <w:rPr>
            <w:rStyle w:val="a5"/>
            <w:rFonts w:ascii="宋体" w:eastAsia="宋体" w:hAnsi="宋体" w:hint="eastAsia"/>
            <w:noProof/>
            <w:u w:val="none"/>
          </w:rPr>
          <w:t>第十二部分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基金的收益与分配</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_Toc50543303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104</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4" w:history="1">
        <w:r w:rsidR="007507EC" w:rsidRPr="007507EC">
          <w:rPr>
            <w:rStyle w:val="a5"/>
            <w:rFonts w:ascii="宋体" w:eastAsia="宋体" w:hAnsi="宋体" w:hint="eastAsia"/>
            <w:noProof/>
            <w:u w:val="none"/>
          </w:rPr>
          <w:t>第十三部分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基金费用与税收</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_Toc50543304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106</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5" w:history="1">
        <w:r w:rsidR="007507EC" w:rsidRPr="007507EC">
          <w:rPr>
            <w:rStyle w:val="a5"/>
            <w:rFonts w:ascii="宋体" w:eastAsia="宋体" w:hAnsi="宋体" w:hint="eastAsia"/>
            <w:noProof/>
            <w:u w:val="none"/>
          </w:rPr>
          <w:t>第十四部分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基金的会计与审计</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_Toc50543305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110</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6" w:history="1">
        <w:r w:rsidR="007507EC" w:rsidRPr="007507EC">
          <w:rPr>
            <w:rStyle w:val="a5"/>
            <w:rFonts w:ascii="宋体" w:eastAsia="宋体" w:hAnsi="宋体" w:hint="eastAsia"/>
            <w:noProof/>
            <w:u w:val="none"/>
          </w:rPr>
          <w:t>第十五部分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基金的信息披露</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_Toc50543306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111</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7" w:history="1">
        <w:r w:rsidR="007507EC" w:rsidRPr="007507EC">
          <w:rPr>
            <w:rStyle w:val="a5"/>
            <w:rFonts w:ascii="宋体" w:eastAsia="宋体" w:hAnsi="宋体" w:hint="eastAsia"/>
            <w:noProof/>
            <w:u w:val="none"/>
          </w:rPr>
          <w:t>第十六部分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风险揭示</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_Toc50543307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117</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8" w:history="1">
        <w:r w:rsidR="007507EC" w:rsidRPr="007507EC">
          <w:rPr>
            <w:rStyle w:val="a5"/>
            <w:rFonts w:ascii="宋体" w:eastAsia="宋体" w:hAnsi="宋体" w:hint="eastAsia"/>
            <w:noProof/>
            <w:u w:val="none"/>
          </w:rPr>
          <w:t>第十七部分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基金合同的变更、终止与基金财产的清算</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_Toc50543308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120</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09" w:history="1">
        <w:r w:rsidR="007507EC" w:rsidRPr="007507EC">
          <w:rPr>
            <w:rStyle w:val="a5"/>
            <w:rFonts w:ascii="宋体" w:eastAsia="宋体" w:hAnsi="宋体" w:hint="eastAsia"/>
            <w:noProof/>
            <w:u w:val="none"/>
          </w:rPr>
          <w:t>第十八部分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基金合同的内容摘要</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_Toc50543309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122</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10" w:history="1">
        <w:r w:rsidR="007507EC" w:rsidRPr="007507EC">
          <w:rPr>
            <w:rStyle w:val="a5"/>
            <w:rFonts w:ascii="宋体" w:eastAsia="宋体" w:hAnsi="宋体" w:hint="eastAsia"/>
            <w:noProof/>
            <w:u w:val="none"/>
          </w:rPr>
          <w:t>第十九部分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基金托管协议的内容摘要</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_Toc50543310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136</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11" w:history="1">
        <w:r w:rsidR="007507EC" w:rsidRPr="007507EC">
          <w:rPr>
            <w:rStyle w:val="a5"/>
            <w:rFonts w:ascii="宋体" w:eastAsia="宋体" w:hAnsi="宋体" w:hint="eastAsia"/>
            <w:noProof/>
            <w:u w:val="none"/>
          </w:rPr>
          <w:t>第二十部分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对基金份额持有人的服务</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_Toc50543311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153</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12" w:history="1">
        <w:r w:rsidR="007507EC" w:rsidRPr="007507EC">
          <w:rPr>
            <w:rStyle w:val="a5"/>
            <w:rFonts w:ascii="宋体" w:eastAsia="宋体" w:hAnsi="宋体" w:hint="eastAsia"/>
            <w:noProof/>
            <w:u w:val="none"/>
          </w:rPr>
          <w:t>第二十一部分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其他应披露的事项</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_Toc50543312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155</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13" w:history="1">
        <w:r w:rsidR="007507EC" w:rsidRPr="007507EC">
          <w:rPr>
            <w:rStyle w:val="a5"/>
            <w:rFonts w:ascii="宋体" w:eastAsia="宋体" w:hAnsi="宋体" w:hint="eastAsia"/>
            <w:noProof/>
            <w:u w:val="none"/>
          </w:rPr>
          <w:t>第二十二部分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招募说明书存放及查阅方式</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_Toc50543313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157</w:t>
        </w:r>
        <w:r w:rsidR="007507EC" w:rsidRPr="007507EC">
          <w:rPr>
            <w:rFonts w:ascii="宋体" w:eastAsia="宋体" w:hAnsi="宋体"/>
            <w:noProof/>
          </w:rPr>
          <w:fldChar w:fldCharType="end"/>
        </w:r>
      </w:hyperlink>
    </w:p>
    <w:p w:rsidR="007507EC" w:rsidRPr="007507EC" w:rsidRDefault="009C13A5" w:rsidP="007507EC">
      <w:pPr>
        <w:pStyle w:val="20"/>
        <w:tabs>
          <w:tab w:val="right" w:leader="dot" w:pos="8290"/>
        </w:tabs>
        <w:spacing w:line="360" w:lineRule="auto"/>
        <w:rPr>
          <w:rFonts w:ascii="宋体" w:eastAsia="宋体" w:hAnsi="宋体"/>
          <w:noProof/>
        </w:rPr>
      </w:pPr>
      <w:hyperlink w:anchor="_Toc50543314" w:history="1">
        <w:r w:rsidR="007507EC" w:rsidRPr="007507EC">
          <w:rPr>
            <w:rStyle w:val="a5"/>
            <w:rFonts w:ascii="宋体" w:eastAsia="宋体" w:hAnsi="宋体" w:hint="eastAsia"/>
            <w:noProof/>
            <w:u w:val="none"/>
          </w:rPr>
          <w:t>第二十三部分</w:t>
        </w:r>
        <w:r w:rsidR="007507EC" w:rsidRPr="007507EC">
          <w:rPr>
            <w:rStyle w:val="a5"/>
            <w:rFonts w:ascii="宋体" w:eastAsia="宋体" w:hAnsi="宋体"/>
            <w:noProof/>
            <w:u w:val="none"/>
          </w:rPr>
          <w:t xml:space="preserve">  </w:t>
        </w:r>
        <w:r w:rsidR="007507EC" w:rsidRPr="007507EC">
          <w:rPr>
            <w:rStyle w:val="a5"/>
            <w:rFonts w:ascii="宋体" w:eastAsia="宋体" w:hAnsi="宋体" w:hint="eastAsia"/>
            <w:noProof/>
            <w:u w:val="none"/>
          </w:rPr>
          <w:t>备查文件</w:t>
        </w:r>
        <w:r w:rsidR="007507EC" w:rsidRPr="007507EC">
          <w:rPr>
            <w:rFonts w:ascii="宋体" w:eastAsia="宋体" w:hAnsi="宋体"/>
            <w:noProof/>
          </w:rPr>
          <w:tab/>
        </w:r>
        <w:r w:rsidR="007507EC" w:rsidRPr="007507EC">
          <w:rPr>
            <w:rFonts w:ascii="宋体" w:eastAsia="宋体" w:hAnsi="宋体"/>
            <w:noProof/>
          </w:rPr>
          <w:fldChar w:fldCharType="begin"/>
        </w:r>
        <w:r w:rsidR="007507EC" w:rsidRPr="007507EC">
          <w:rPr>
            <w:rFonts w:ascii="宋体" w:eastAsia="宋体" w:hAnsi="宋体"/>
            <w:noProof/>
          </w:rPr>
          <w:instrText xml:space="preserve"> PAGEREF _Toc50543314 \h </w:instrText>
        </w:r>
        <w:r w:rsidR="007507EC" w:rsidRPr="007507EC">
          <w:rPr>
            <w:rFonts w:ascii="宋体" w:eastAsia="宋体" w:hAnsi="宋体"/>
            <w:noProof/>
          </w:rPr>
        </w:r>
        <w:r w:rsidR="007507EC" w:rsidRPr="007507EC">
          <w:rPr>
            <w:rFonts w:ascii="宋体" w:eastAsia="宋体" w:hAnsi="宋体"/>
            <w:noProof/>
          </w:rPr>
          <w:fldChar w:fldCharType="separate"/>
        </w:r>
        <w:r w:rsidR="00CF47C2">
          <w:rPr>
            <w:rFonts w:ascii="宋体" w:eastAsia="宋体" w:hAnsi="宋体"/>
            <w:noProof/>
          </w:rPr>
          <w:t>158</w:t>
        </w:r>
        <w:r w:rsidR="007507EC" w:rsidRPr="007507EC">
          <w:rPr>
            <w:rFonts w:ascii="宋体" w:eastAsia="宋体" w:hAnsi="宋体"/>
            <w:noProof/>
          </w:rPr>
          <w:fldChar w:fldCharType="end"/>
        </w:r>
      </w:hyperlink>
    </w:p>
    <w:p w:rsidR="007507EC" w:rsidRPr="007507EC" w:rsidRDefault="007507EC" w:rsidP="007507EC">
      <w:pPr>
        <w:widowControl/>
        <w:spacing w:line="360" w:lineRule="auto"/>
        <w:ind w:leftChars="-1" w:left="-2"/>
        <w:jc w:val="center"/>
        <w:rPr>
          <w:rFonts w:ascii="宋体" w:eastAsia="宋体" w:hAnsi="宋体"/>
          <w:b/>
          <w:sz w:val="28"/>
        </w:rPr>
      </w:pPr>
      <w:r w:rsidRPr="007507EC">
        <w:rPr>
          <w:rFonts w:ascii="宋体" w:eastAsia="宋体" w:hAnsi="宋体"/>
        </w:rPr>
        <w:fldChar w:fldCharType="end"/>
      </w:r>
    </w:p>
    <w:p w:rsidR="007507EC" w:rsidRPr="007507EC" w:rsidRDefault="007507EC">
      <w:pPr>
        <w:widowControl/>
        <w:jc w:val="left"/>
        <w:rPr>
          <w:rFonts w:ascii="宋体" w:eastAsia="宋体" w:hAnsi="宋体"/>
        </w:rPr>
      </w:pPr>
      <w:r w:rsidRPr="007507EC">
        <w:rPr>
          <w:rFonts w:ascii="宋体" w:eastAsia="宋体" w:hAnsi="宋体"/>
        </w:rPr>
        <w:br w:type="page"/>
      </w:r>
    </w:p>
    <w:p w:rsidR="00AD3451" w:rsidRPr="007507EC" w:rsidRDefault="007507EC" w:rsidP="007507EC">
      <w:pPr>
        <w:pStyle w:val="2"/>
        <w:jc w:val="center"/>
        <w:rPr>
          <w:rFonts w:ascii="宋体" w:eastAsia="宋体" w:hAnsi="宋体"/>
          <w:sz w:val="30"/>
        </w:rPr>
      </w:pPr>
      <w:bookmarkStart w:id="10" w:name="chapter_level1_3_2344"/>
      <w:bookmarkStart w:id="11" w:name="_Toc50543292"/>
      <w:r w:rsidRPr="007507EC">
        <w:rPr>
          <w:rFonts w:ascii="宋体" w:eastAsia="宋体" w:hAnsi="宋体" w:hint="eastAsia"/>
          <w:sz w:val="30"/>
        </w:rPr>
        <w:lastRenderedPageBreak/>
        <w:t>第一部分  绪言</w:t>
      </w:r>
      <w:bookmarkEnd w:id="10"/>
      <w:bookmarkEnd w:id="11"/>
    </w:p>
    <w:p w:rsidR="007507EC" w:rsidRPr="007507EC" w:rsidRDefault="007507EC">
      <w:pPr>
        <w:pStyle w:val="a3"/>
        <w:spacing w:before="0" w:beforeAutospacing="0" w:after="0" w:afterAutospacing="0" w:line="360" w:lineRule="auto"/>
        <w:ind w:firstLine="420"/>
        <w:divId w:val="219904790"/>
        <w:rPr>
          <w:sz w:val="21"/>
          <w:szCs w:val="21"/>
        </w:rPr>
      </w:pPr>
      <w:bookmarkStart w:id="12" w:name="chapter_level1_3_2344_section_1"/>
      <w:bookmarkEnd w:id="12"/>
      <w:r w:rsidRPr="007507EC">
        <w:rPr>
          <w:rFonts w:hint="eastAsia"/>
          <w:sz w:val="21"/>
          <w:szCs w:val="21"/>
        </w:rPr>
        <w:t>《</w:t>
      </w:r>
      <w:bookmarkStart w:id="13" w:name="field_49_productfullname_3"/>
      <w:r w:rsidR="00981FA3">
        <w:rPr>
          <w:rFonts w:hint="eastAsia"/>
          <w:sz w:val="21"/>
          <w:szCs w:val="21"/>
        </w:rPr>
        <w:t>博时安盈债券型证券投资基金</w:t>
      </w:r>
      <w:bookmarkEnd w:id="13"/>
      <w:r w:rsidRPr="007507EC">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公开募集证券投资基金信息披露管理办法》（以下简称“《信息披露办法》”）以及《</w:t>
      </w:r>
      <w:bookmarkStart w:id="14" w:name="field_49_productfullname_4"/>
      <w:r w:rsidR="00981FA3">
        <w:rPr>
          <w:rFonts w:hint="eastAsia"/>
          <w:sz w:val="21"/>
          <w:szCs w:val="21"/>
        </w:rPr>
        <w:t>博时安盈债券型证券投资基金</w:t>
      </w:r>
      <w:bookmarkEnd w:id="14"/>
      <w:r w:rsidRPr="007507EC">
        <w:rPr>
          <w:rFonts w:hint="eastAsia"/>
          <w:sz w:val="21"/>
          <w:szCs w:val="21"/>
        </w:rPr>
        <w:t xml:space="preserve">基金合同》（以下简称“基金合同”或“《基金合同》”）、《公开募集开放式证券投资基金流动性风险管理规定》（以下简称“《流动性风险管理规定》”）编写。  </w:t>
      </w:r>
    </w:p>
    <w:p w:rsidR="007507EC" w:rsidRPr="007507EC" w:rsidRDefault="007507EC">
      <w:pPr>
        <w:pStyle w:val="a3"/>
        <w:spacing w:before="0" w:beforeAutospacing="0" w:after="0" w:afterAutospacing="0" w:line="360" w:lineRule="auto"/>
        <w:ind w:firstLine="420"/>
        <w:divId w:val="219904790"/>
        <w:rPr>
          <w:sz w:val="21"/>
          <w:szCs w:val="21"/>
        </w:rPr>
      </w:pPr>
      <w:r w:rsidRPr="007507EC">
        <w:rPr>
          <w:rFonts w:hint="eastAsia"/>
          <w:sz w:val="21"/>
          <w:szCs w:val="21"/>
        </w:rPr>
        <w:t xml:space="preserve">基金管理人承诺本招募说明书不存在任何虚假记载、误导性陈述或重大遗漏，并对其真实性、准确性、完整性承担法律责任。 </w:t>
      </w:r>
    </w:p>
    <w:p w:rsidR="007507EC" w:rsidRPr="007507EC" w:rsidRDefault="00981FA3">
      <w:pPr>
        <w:pStyle w:val="a3"/>
        <w:spacing w:before="0" w:beforeAutospacing="0" w:after="0" w:afterAutospacing="0" w:line="360" w:lineRule="auto"/>
        <w:ind w:firstLine="420"/>
        <w:divId w:val="219904790"/>
        <w:rPr>
          <w:sz w:val="21"/>
          <w:szCs w:val="21"/>
        </w:rPr>
      </w:pPr>
      <w:bookmarkStart w:id="15" w:name="field_49_productfullname_5"/>
      <w:r>
        <w:rPr>
          <w:rFonts w:hint="eastAsia"/>
          <w:sz w:val="21"/>
          <w:szCs w:val="21"/>
        </w:rPr>
        <w:t>博时安盈债券型证券投资基金</w:t>
      </w:r>
      <w:bookmarkEnd w:id="15"/>
      <w:r w:rsidR="007507EC" w:rsidRPr="007507EC">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7507EC" w:rsidRPr="007507EC" w:rsidRDefault="007507EC">
      <w:pPr>
        <w:pStyle w:val="a3"/>
        <w:spacing w:before="0" w:beforeAutospacing="0" w:after="0" w:afterAutospacing="0" w:line="360" w:lineRule="auto"/>
        <w:ind w:firstLine="420"/>
        <w:divId w:val="219904790"/>
        <w:rPr>
          <w:sz w:val="21"/>
          <w:szCs w:val="21"/>
        </w:rPr>
      </w:pPr>
      <w:r w:rsidRPr="007507EC">
        <w:rPr>
          <w:rFonts w:hint="eastAsia"/>
          <w:sz w:val="21"/>
          <w:szCs w:val="21"/>
        </w:rPr>
        <w:t xml:space="preserve">本招募说明书根据本基金的基金合同编写，并经中国证券监督管理委员会（以下简称“中国证监会”）核准。基金合同是约定基金合同当事人之间权利、义务的法律文件。基金投资者自依基金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金合同。 </w:t>
      </w:r>
    </w:p>
    <w:p w:rsidR="007507EC" w:rsidRPr="007507EC" w:rsidRDefault="007507EC">
      <w:pPr>
        <w:pStyle w:val="a3"/>
        <w:spacing w:before="0" w:beforeAutospacing="0" w:after="0" w:afterAutospacing="0" w:line="360" w:lineRule="auto"/>
        <w:ind w:firstLine="420"/>
        <w:divId w:val="219904790"/>
        <w:rPr>
          <w:sz w:val="21"/>
          <w:szCs w:val="21"/>
        </w:rPr>
      </w:pPr>
      <w:r w:rsidRPr="007507EC">
        <w:rPr>
          <w:rFonts w:hint="eastAsia"/>
          <w:sz w:val="21"/>
          <w:szCs w:val="21"/>
        </w:rPr>
        <w:t xml:space="preserve">投资有风险，投资者认购（或申购）基金时应认真阅读本招募说明书。 </w:t>
      </w:r>
    </w:p>
    <w:p w:rsidR="007507EC" w:rsidRPr="007507EC" w:rsidRDefault="007507EC">
      <w:pPr>
        <w:pStyle w:val="a3"/>
        <w:spacing w:before="0" w:beforeAutospacing="0" w:after="0" w:afterAutospacing="0" w:line="360" w:lineRule="auto"/>
        <w:ind w:firstLine="420"/>
        <w:divId w:val="219904790"/>
        <w:rPr>
          <w:sz w:val="21"/>
          <w:szCs w:val="21"/>
        </w:rPr>
      </w:pPr>
      <w:r w:rsidRPr="007507EC">
        <w:rPr>
          <w:rFonts w:hint="eastAsia"/>
          <w:sz w:val="21"/>
          <w:szCs w:val="21"/>
        </w:rPr>
        <w:t xml:space="preserve">基金的过往业绩并不预示其未来表现。基金管理人管理的其他基金的业绩并不构成新基金业绩表现的保证。 </w:t>
      </w:r>
    </w:p>
    <w:p w:rsidR="007507EC" w:rsidRPr="007507EC" w:rsidRDefault="007507EC">
      <w:pPr>
        <w:pStyle w:val="a3"/>
        <w:spacing w:before="0" w:beforeAutospacing="0" w:after="0" w:afterAutospacing="0" w:line="360" w:lineRule="auto"/>
        <w:ind w:firstLine="420"/>
        <w:divId w:val="219904790"/>
        <w:rPr>
          <w:sz w:val="21"/>
          <w:szCs w:val="21"/>
        </w:rPr>
      </w:pPr>
      <w:r w:rsidRPr="007507EC">
        <w:rPr>
          <w:rFonts w:hint="eastAsia"/>
          <w:sz w:val="21"/>
          <w:szCs w:val="21"/>
        </w:rPr>
        <w:t>基金管理人依照恪尽职守、诚实信用、谨慎勤勉的原则管理和运用基金财产，但不保证</w:t>
      </w:r>
      <w:bookmarkStart w:id="16" w:name="chapter_level1_3_2344_section_1_end"/>
      <w:bookmarkEnd w:id="16"/>
      <w:r w:rsidRPr="007507EC">
        <w:rPr>
          <w:rFonts w:hint="eastAsia"/>
          <w:sz w:val="21"/>
          <w:szCs w:val="21"/>
        </w:rPr>
        <w:t xml:space="preserve">基金一定盈利，也不保证最低收益。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7" w:name="chapter_level1_4_49"/>
      <w:bookmarkStart w:id="18" w:name="_Toc50543293"/>
      <w:r w:rsidRPr="007507EC">
        <w:rPr>
          <w:rFonts w:ascii="宋体" w:eastAsia="宋体" w:hAnsi="宋体" w:hint="eastAsia"/>
          <w:sz w:val="30"/>
        </w:rPr>
        <w:lastRenderedPageBreak/>
        <w:t>第二部分  释义</w:t>
      </w:r>
      <w:bookmarkEnd w:id="17"/>
      <w:bookmarkEnd w:id="18"/>
    </w:p>
    <w:p w:rsidR="007507EC" w:rsidRPr="007507EC" w:rsidRDefault="007507EC">
      <w:pPr>
        <w:pStyle w:val="a3"/>
        <w:spacing w:before="0" w:beforeAutospacing="0" w:after="0" w:afterAutospacing="0" w:line="360" w:lineRule="auto"/>
        <w:ind w:firstLine="420"/>
        <w:divId w:val="1176111695"/>
        <w:rPr>
          <w:sz w:val="21"/>
          <w:szCs w:val="21"/>
        </w:rPr>
      </w:pPr>
      <w:bookmarkStart w:id="19" w:name="chapter_level1_4_49_section_1"/>
      <w:bookmarkEnd w:id="19"/>
      <w:r w:rsidRPr="007507EC">
        <w:rPr>
          <w:rFonts w:hint="eastAsia"/>
          <w:sz w:val="21"/>
          <w:szCs w:val="21"/>
        </w:rPr>
        <w:t xml:space="preserve">在本招募说明书中，除非文义另有所指，下列词语具有以下含义：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1、基金或本基金：指</w:t>
      </w:r>
      <w:bookmarkStart w:id="20" w:name="field_49_productfullname_6"/>
      <w:r w:rsidR="00981FA3">
        <w:rPr>
          <w:rFonts w:hint="eastAsia"/>
          <w:sz w:val="21"/>
          <w:szCs w:val="21"/>
        </w:rPr>
        <w:t>博时安盈债券型证券投资基金</w:t>
      </w:r>
      <w:bookmarkEnd w:id="2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2、基金管理人：指</w:t>
      </w:r>
      <w:bookmarkStart w:id="21" w:name="field_49_managerorgfullname_1"/>
      <w:r w:rsidR="00981FA3">
        <w:rPr>
          <w:rFonts w:hint="eastAsia"/>
          <w:sz w:val="21"/>
          <w:szCs w:val="21"/>
        </w:rPr>
        <w:t>博时基金管理有限公司</w:t>
      </w:r>
      <w:bookmarkEnd w:id="21"/>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3、基金托管人：指</w:t>
      </w:r>
      <w:bookmarkStart w:id="22" w:name="field_49_trustorgfullname_1"/>
      <w:r w:rsidR="00981FA3">
        <w:rPr>
          <w:rFonts w:hint="eastAsia"/>
          <w:sz w:val="21"/>
          <w:szCs w:val="21"/>
        </w:rPr>
        <w:t>中国工商银行股份有限公司</w:t>
      </w:r>
      <w:bookmarkEnd w:id="22"/>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4、基金合同：指《</w:t>
      </w:r>
      <w:bookmarkStart w:id="23" w:name="field_49_productfullname_7"/>
      <w:r w:rsidR="00981FA3">
        <w:rPr>
          <w:rFonts w:hint="eastAsia"/>
          <w:sz w:val="21"/>
          <w:szCs w:val="21"/>
        </w:rPr>
        <w:t>博时安盈债券型证券投资基金</w:t>
      </w:r>
      <w:bookmarkEnd w:id="23"/>
      <w:r w:rsidRPr="007507EC">
        <w:rPr>
          <w:rFonts w:hint="eastAsia"/>
          <w:sz w:val="21"/>
          <w:szCs w:val="21"/>
        </w:rPr>
        <w:t xml:space="preserve">基金合同》及对基金合同的任何有效修订和补充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5、托管协议：指基金管理人与基金托管人就本基金签订之《</w:t>
      </w:r>
      <w:bookmarkStart w:id="24" w:name="field_49_productfullname_8"/>
      <w:r w:rsidR="00981FA3">
        <w:rPr>
          <w:rFonts w:hint="eastAsia"/>
          <w:sz w:val="21"/>
          <w:szCs w:val="21"/>
        </w:rPr>
        <w:t>博时安盈债券型证券投资基金</w:t>
      </w:r>
      <w:bookmarkEnd w:id="24"/>
      <w:r w:rsidRPr="007507EC">
        <w:rPr>
          <w:rFonts w:hint="eastAsia"/>
          <w:sz w:val="21"/>
          <w:szCs w:val="21"/>
        </w:rPr>
        <w:t xml:space="preserve">托管协议》及对该托管协议的任何有效修订和补充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6、招募说明书或本招募说明书：指《</w:t>
      </w:r>
      <w:bookmarkStart w:id="25" w:name="field_49_productfullname_9"/>
      <w:r w:rsidR="00981FA3">
        <w:rPr>
          <w:rFonts w:hint="eastAsia"/>
          <w:sz w:val="21"/>
          <w:szCs w:val="21"/>
        </w:rPr>
        <w:t>博时安盈债券型证券投资基金</w:t>
      </w:r>
      <w:bookmarkEnd w:id="25"/>
      <w:r w:rsidRPr="007507EC">
        <w:rPr>
          <w:rFonts w:hint="eastAsia"/>
          <w:sz w:val="21"/>
          <w:szCs w:val="21"/>
        </w:rPr>
        <w:t xml:space="preserve">招募说明书》及其更新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7、基金份额发售公告：指《</w:t>
      </w:r>
      <w:bookmarkStart w:id="26" w:name="field_49_productfullname_10"/>
      <w:r w:rsidR="00981FA3">
        <w:rPr>
          <w:rFonts w:hint="eastAsia"/>
          <w:sz w:val="21"/>
          <w:szCs w:val="21"/>
        </w:rPr>
        <w:t>博时安盈债券型证券投资基金</w:t>
      </w:r>
      <w:bookmarkEnd w:id="26"/>
      <w:r w:rsidRPr="007507EC">
        <w:rPr>
          <w:rFonts w:hint="eastAsia"/>
          <w:sz w:val="21"/>
          <w:szCs w:val="21"/>
        </w:rPr>
        <w:t xml:space="preserve">基金份额发售公告》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8、基金产品资料概要：指《</w:t>
      </w:r>
      <w:bookmarkStart w:id="27" w:name="field_49_productfullname_11"/>
      <w:r w:rsidR="00981FA3">
        <w:rPr>
          <w:rFonts w:hint="eastAsia"/>
          <w:sz w:val="21"/>
          <w:szCs w:val="21"/>
        </w:rPr>
        <w:t>博时安盈债券型证券投资基金</w:t>
      </w:r>
      <w:bookmarkEnd w:id="27"/>
      <w:r w:rsidRPr="007507EC">
        <w:rPr>
          <w:rFonts w:hint="eastAsia"/>
          <w:sz w:val="21"/>
          <w:szCs w:val="21"/>
        </w:rPr>
        <w:t xml:space="preserve">基金产品资料概要》及其更新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9、法律法规：指中国现行有效并公布实施的法律、行政法规、规范性文件、司法解释、行政规章以及其他对基金合同当事人有约束力的决定、决议、通知等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10、《基金法》：指2003年10月28日经第十届全国人民代表大会常务委员会第五次会议通过，自2004年6月1日起实施的《中华人民共和国证券投资基金法》及颁布机关对其不时做出的修订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11、《销售办法》：指中国证监会2013年3月15日颁布、同年6月1日实施的《证券投资基金销售管理办法》及颁布机关对其不时做出的修订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12、《信息披露办法》：指中国证监会2019年7月26日颁布、同年9月1日实施的《公开募集证券投资基金信息披露管理办法》及颁布机关对其不时做出的修订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13、《运作办法》：指中国证监会2014年7月7日颁布、同年8月8日实施的《公开募集证券投资基金运作管理办法》及颁布机关对其不时做出的修订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14、《流动性风险管理规定》：指中国证监会2017年8月31日颁布、同年10月1日实施的《公开募集开放式证券投资基金流动性风险管理规定》及颁布机关对其不时做出的修订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lastRenderedPageBreak/>
        <w:t xml:space="preserve">15、中国证监会：指中国证券监督管理委员会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16、银行业监督管理机构：指中国人民银行和/或中国银行业监督管理委员会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17、基金合同当事人：指受基金合同约束，根据基金合同享有权利并承担义务的法律主体，包括基金管理人、基金托管人和基金份额持有人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18、个人投资者：指依据有关法律法规规定可投资于证券投资基金的自然人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21、投资人：指个人投资者、机构投资者和合格境外机构投资者以及法律法规或中国证监会允许购买证券投资基金的其他投资人的合称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22、基金份额持有人：指依基金合同和招募说明书合法取得基金份额的投资人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23、基金销售业务：指基金管理人或销售机构宣传推介基金，发售基金份额，办理基金份额的申购、赎回、转换、转托管及定期定额投资等业务。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24、销售机构：指</w:t>
      </w:r>
      <w:bookmarkStart w:id="28" w:name="field_49_managerorgfullname_2"/>
      <w:r w:rsidR="00981FA3">
        <w:rPr>
          <w:rFonts w:hint="eastAsia"/>
          <w:sz w:val="21"/>
          <w:szCs w:val="21"/>
        </w:rPr>
        <w:t>博时基金管理有限公司</w:t>
      </w:r>
      <w:bookmarkEnd w:id="28"/>
      <w:r w:rsidRPr="007507EC">
        <w:rPr>
          <w:rFonts w:hint="eastAsia"/>
          <w:sz w:val="21"/>
          <w:szCs w:val="21"/>
        </w:rPr>
        <w:t xml:space="preserve">以及符合《销售办法》和中国证监会规定的其他条件，取得基金销售业务资格并与基金管理人签订了基金销售服务代理协议，代为办理基金销售业务的机构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 xml:space="preserve">25、登记业务：指基金登记、存管、过户、清算和结算业务，具体内容包括投资人基金账户的建立和管理、基金份额登记、基金销售业务的确认、清算和结算、代理发放红利、建立并保管基金份额持有人名册和办理非交易过户等 </w:t>
      </w:r>
    </w:p>
    <w:p w:rsidR="007507EC" w:rsidRPr="007507EC" w:rsidRDefault="007507EC">
      <w:pPr>
        <w:pStyle w:val="a3"/>
        <w:spacing w:before="0" w:beforeAutospacing="0" w:after="0" w:afterAutospacing="0" w:line="360" w:lineRule="auto"/>
        <w:ind w:firstLine="420"/>
        <w:divId w:val="1176111695"/>
        <w:rPr>
          <w:sz w:val="21"/>
          <w:szCs w:val="21"/>
        </w:rPr>
      </w:pPr>
      <w:r w:rsidRPr="007507EC">
        <w:rPr>
          <w:rFonts w:hint="eastAsia"/>
          <w:sz w:val="21"/>
          <w:szCs w:val="21"/>
        </w:rPr>
        <w:t>26、登记机构：指办理登记业务的机构。本基金的登记机构为</w:t>
      </w:r>
      <w:bookmarkStart w:id="29" w:name="field_49_managerorgfullname_3"/>
      <w:r w:rsidR="00981FA3">
        <w:rPr>
          <w:rFonts w:hint="eastAsia"/>
          <w:sz w:val="21"/>
          <w:szCs w:val="21"/>
        </w:rPr>
        <w:t>博时基金管理有限公司</w:t>
      </w:r>
      <w:bookmarkEnd w:id="29"/>
      <w:r w:rsidRPr="007507EC">
        <w:rPr>
          <w:rFonts w:hint="eastAsia"/>
          <w:sz w:val="21"/>
          <w:szCs w:val="21"/>
        </w:rPr>
        <w:t>或接受</w:t>
      </w:r>
      <w:bookmarkStart w:id="30" w:name="field_49_managerorgfullname_4"/>
      <w:r w:rsidR="00981FA3">
        <w:rPr>
          <w:rFonts w:hint="eastAsia"/>
          <w:sz w:val="21"/>
          <w:szCs w:val="21"/>
        </w:rPr>
        <w:t>博时基金管理有限公司</w:t>
      </w:r>
      <w:bookmarkEnd w:id="30"/>
      <w:r w:rsidRPr="007507EC">
        <w:rPr>
          <w:rFonts w:hint="eastAsia"/>
          <w:sz w:val="21"/>
          <w:szCs w:val="21"/>
        </w:rPr>
        <w:t>委托代为</w:t>
      </w:r>
      <w:bookmarkStart w:id="31" w:name="chapter_level1_4_49_section_1_end"/>
      <w:bookmarkEnd w:id="31"/>
      <w:r w:rsidRPr="007507EC">
        <w:rPr>
          <w:rFonts w:hint="eastAsia"/>
          <w:sz w:val="21"/>
          <w:szCs w:val="21"/>
        </w:rPr>
        <w:t xml:space="preserve">办理登记业务的机构 </w:t>
      </w:r>
    </w:p>
    <w:p w:rsidR="007507EC" w:rsidRPr="007507EC" w:rsidRDefault="007507EC">
      <w:pPr>
        <w:pStyle w:val="a3"/>
        <w:spacing w:before="0" w:beforeAutospacing="0" w:after="0" w:afterAutospacing="0" w:line="360" w:lineRule="auto"/>
        <w:ind w:firstLine="420"/>
        <w:divId w:val="1818187997"/>
        <w:rPr>
          <w:sz w:val="21"/>
          <w:szCs w:val="21"/>
        </w:rPr>
      </w:pPr>
      <w:bookmarkStart w:id="32" w:name="chapter_level1_4_49_section_2"/>
      <w:bookmarkEnd w:id="32"/>
      <w:r w:rsidRPr="007507EC">
        <w:rPr>
          <w:rFonts w:hint="eastAsia"/>
          <w:sz w:val="21"/>
          <w:szCs w:val="21"/>
        </w:rPr>
        <w:t xml:space="preserve">27、基金账户：指登记机构为投资人开立的、记录其持有的、基金管理人所管理的基金份额余额及其变动情况的账户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28、基金交易账户：指销售机构为投资人开立的、记录投资人通过该销售机构买卖基金的基金份额变动及结余情况的账户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29、基金合同生效日：指基金募集达到法律法规规定及基金合同规定的条件，基金管理人向中国证监会办理基金备案手续完毕，并获得中国证监会书面确认的日期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lastRenderedPageBreak/>
        <w:t xml:space="preserve">30、基金合同终止日：指基金合同规定的基金合同终止事由出现后，基金财产清算完毕，清算结果报中国证监会备案并予以公告的日期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31、基金募集期：指自基金份额发售之日起至发售结束之日止的期间，最长不得超过3个月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32、存续期：指基金合同生效至终止之间的不定期期限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33、工作日：指上海证券交易所、深圳证券交易所的正常交易日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34、T日：指销售机构在规定时间受理投资人申购、赎回或其他业务申请的开放日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35、T+n日：指自T日起第n个工作日（不包含T日）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36、开放日：指为投资人办理基金份额申购、赎回或其他业务的工作日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37、开放时间：指开放日基金接受申购、赎回或其他交易的时间段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38、《业务规则》：指《</w:t>
      </w:r>
      <w:bookmarkStart w:id="33" w:name="field_49_managerorgfullname_5"/>
      <w:r w:rsidR="00981FA3">
        <w:rPr>
          <w:rFonts w:hint="eastAsia"/>
          <w:sz w:val="21"/>
          <w:szCs w:val="21"/>
        </w:rPr>
        <w:t>博时基金管理有限公司</w:t>
      </w:r>
      <w:bookmarkEnd w:id="33"/>
      <w:r w:rsidRPr="007507EC">
        <w:rPr>
          <w:rFonts w:hint="eastAsia"/>
          <w:sz w:val="21"/>
          <w:szCs w:val="21"/>
        </w:rPr>
        <w:t xml:space="preserve">开放式基金业务规则》，是规范基金管理人所管理的开放式证券投资基金登记方面的业务规则，由基金管理人和投资人共同遵守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39、认购：指在基金募集期内，投资人根据基金合同和招募说明书的规定申请购买基金份额的行为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40、申购：指基金合同生效后，投资人根据基金合同和招募说明书的规定申请购买基金份额的行为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41、赎回：指基金合同生效后，基金份额持有人按基金合同和招募说明书规定的条件要求将基金份额兑换为现金的行为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42、基金转换：指基金份额持有人按照基金合同和基金管理人届时有效公告规定的条件，申请将其持有基金管理人管理的、某一基金的基金份额转换为基金管理人管理的的其他基金基金份额的行为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43、转托管：指基金份额持有人在本基金的不同销售机构之间实施的变更所持基金份额销售机构的操作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44、定期定额投资计划：指投资人通过有关销售机构提出申请，约定每期申购日、申购金额及扣款方式，由销售机构于每期约定申购日在投资人指定银行账户内自动完成扣款及受理基金申购申请的一种投资方式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45、巨额赎回：指本基金单个开放日，基金净赎回申请（赎回申请份额总数加上基金转换中转出申请份额总数后扣除申购申请份额总数及基金转换中转入申请份额总数后的余额）超过上一开放日基金总份额的10%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lastRenderedPageBreak/>
        <w:t xml:space="preserve">46、元：指人民币元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47、基金收益：指基金投资所得债券利息、买卖证券价差、银行存款利息、已实现的其他合法收入及因运用基金财产带来的成本和费用的节约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48、基金资产总值：指基金拥有的各类有价证券、银行存款本息、基金应收申购款及其他资产的价值总和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49、基金资产净值：指基金资产总值减去基金负债后的价值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50、基金份额净值：指计算日基金资产净值除以计算日基金份额总数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51、基金资产估值：指计算评估基金资产和负债的价值，以确定基金资产净值和基金份额净值的过程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52、指定媒介：指中国证监会指定的用以进行信息披露的全国性报刊及指定互联网网站（包括基金管理人网站、基金托管人网站、中国证监会基金电子披露网站）等媒介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 xml:space="preserve">53、不可抗力：指基金合同当事人不能预见、不能避免且不能克服的客观事件 </w:t>
      </w:r>
    </w:p>
    <w:p w:rsidR="007507EC" w:rsidRPr="007507EC" w:rsidRDefault="007507EC">
      <w:pPr>
        <w:pStyle w:val="a3"/>
        <w:spacing w:before="0" w:beforeAutospacing="0" w:after="0" w:afterAutospacing="0" w:line="360" w:lineRule="auto"/>
        <w:ind w:firstLine="420"/>
        <w:divId w:val="1818187997"/>
        <w:rPr>
          <w:sz w:val="21"/>
          <w:szCs w:val="21"/>
        </w:rPr>
      </w:pPr>
      <w:r w:rsidRPr="007507EC">
        <w:rPr>
          <w:rFonts w:hint="eastAsia"/>
          <w:sz w:val="21"/>
          <w:szCs w:val="21"/>
        </w:rPr>
        <w:t>54、流动性受限资产：指由于法律法规、监管、合同或操作障碍等原因无法以合理价格予以变现的资产，包括但不限于到期日在10个交易日以上的逆回购与银行定期存款（含协议约定有条件提前支取的银行存款）、资产支持证券、因发行人债务违约无法进行转让或交</w:t>
      </w:r>
      <w:bookmarkStart w:id="34" w:name="chapter_level1_4_49_section_2_end"/>
      <w:bookmarkEnd w:id="34"/>
      <w:r w:rsidRPr="007507EC">
        <w:rPr>
          <w:rFonts w:hint="eastAsia"/>
          <w:sz w:val="21"/>
          <w:szCs w:val="21"/>
        </w:rPr>
        <w:t xml:space="preserve">易的债券等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35" w:name="chapter_level1_5_53"/>
      <w:bookmarkStart w:id="36" w:name="_Toc50543294"/>
      <w:r w:rsidRPr="007507EC">
        <w:rPr>
          <w:rFonts w:ascii="宋体" w:eastAsia="宋体" w:hAnsi="宋体" w:hint="eastAsia"/>
          <w:sz w:val="30"/>
        </w:rPr>
        <w:lastRenderedPageBreak/>
        <w:t>第三部分  基金管理人</w:t>
      </w:r>
      <w:bookmarkEnd w:id="35"/>
      <w:bookmarkEnd w:id="36"/>
    </w:p>
    <w:p w:rsidR="007507EC" w:rsidRPr="007507EC" w:rsidRDefault="007507EC">
      <w:pPr>
        <w:pStyle w:val="a3"/>
        <w:spacing w:before="0" w:beforeAutospacing="0" w:after="0" w:afterAutospacing="0" w:line="360" w:lineRule="auto"/>
        <w:ind w:firstLine="420"/>
        <w:divId w:val="391470342"/>
        <w:rPr>
          <w:sz w:val="21"/>
          <w:szCs w:val="21"/>
        </w:rPr>
      </w:pPr>
      <w:bookmarkStart w:id="37" w:name="chapter_level1_5_53_section_1"/>
      <w:bookmarkEnd w:id="37"/>
      <w:r w:rsidRPr="007507EC">
        <w:rPr>
          <w:rStyle w:val="a4"/>
          <w:rFonts w:hint="eastAsia"/>
          <w:sz w:val="21"/>
          <w:szCs w:val="21"/>
        </w:rPr>
        <w:t>一、基金管理人概况</w:t>
      </w:r>
    </w:p>
    <w:p w:rsidR="007507EC" w:rsidRPr="007507EC" w:rsidRDefault="007507EC">
      <w:pPr>
        <w:pStyle w:val="a3"/>
        <w:spacing w:before="0" w:beforeAutospacing="0" w:after="0" w:afterAutospacing="0" w:line="360" w:lineRule="auto"/>
        <w:ind w:firstLine="420"/>
        <w:divId w:val="391470342"/>
        <w:rPr>
          <w:sz w:val="21"/>
          <w:szCs w:val="21"/>
        </w:rPr>
      </w:pPr>
      <w:bookmarkStart w:id="38" w:name="field_0_managercompanyinfo_1_start"/>
      <w:bookmarkEnd w:id="38"/>
      <w:r w:rsidRPr="007507EC">
        <w:rPr>
          <w:rFonts w:hint="eastAsia"/>
          <w:sz w:val="21"/>
          <w:szCs w:val="21"/>
        </w:rPr>
        <w:t xml:space="preserve">名称： 博时基金管理有限公司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住所： 深圳市福田区莲花街道福新社区益田路5999号基金大厦21层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办公地址： 广东省深圳市福田区益田路5999号基金大厦21层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法定代表人：江向阳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成立时间：1998年7月13日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注册资本：2.5亿元人民币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存续期间：持续经营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联系人：韩强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联系电话：（0755）8316 9999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公司设立了投资决策委员会。投资决策委员会负责指导基金资产的运作、确定基本的投资策略和投资组合的原则。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央企业务部、互联网金融部、财富管理部、董事会办公室、办公室、人力资源部、财务部、信息技术部、基金运作部、风险管理部和监察法律部。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7507EC">
        <w:rPr>
          <w:rFonts w:hint="eastAsia"/>
          <w:sz w:val="21"/>
          <w:szCs w:val="21"/>
        </w:rPr>
        <w:lastRenderedPageBreak/>
        <w:t xml:space="preserve">益总部负责公司所管理资产的固定收益投资管理及相关工作。固定收益总部下设现金管理组、公募基金组、专户组、指数与创新组、国际组和研究组，分别负责各类固定收益资产的研究和投资工作。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负责券商渠道的开拓和销售服务、大宗交易业务、融券业务、做市商业务、股指期货业务等工作。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户合同及备案管理、机构售前支持；专户中台服务与运营支持等工作。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截止到2020年6月30日，公司总人数为616人，其中研究员和基金经理超过90%拥有硕士及以上学位。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公司已经建立健全投资管理制度、风险控制制度、内部监察制度、财务管理制度、人事管理制度、信息披露制度和员工行为准则等公司管理制度体系。 </w:t>
      </w:r>
      <w:bookmarkStart w:id="39" w:name="field_0_managercompanyinfo_1_end"/>
      <w:bookmarkEnd w:id="39"/>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Style w:val="a4"/>
          <w:rFonts w:hint="eastAsia"/>
          <w:sz w:val="21"/>
          <w:szCs w:val="21"/>
        </w:rPr>
        <w:t>二、主要成员情况</w:t>
      </w:r>
    </w:p>
    <w:p w:rsidR="007507EC" w:rsidRPr="007507EC" w:rsidRDefault="007507EC">
      <w:pPr>
        <w:pStyle w:val="a3"/>
        <w:spacing w:before="0" w:beforeAutospacing="0" w:after="0" w:afterAutospacing="0" w:line="360" w:lineRule="auto"/>
        <w:ind w:firstLine="420"/>
        <w:divId w:val="391470342"/>
        <w:rPr>
          <w:sz w:val="21"/>
          <w:szCs w:val="21"/>
        </w:rPr>
      </w:pPr>
      <w:bookmarkStart w:id="40" w:name="field_0_managerpersoninfo_1_start"/>
      <w:bookmarkEnd w:id="40"/>
      <w:r w:rsidRPr="007507EC">
        <w:rPr>
          <w:rFonts w:hint="eastAsia"/>
          <w:sz w:val="21"/>
          <w:szCs w:val="21"/>
        </w:rPr>
        <w:t xml:space="preserve">1、基金管理人董事会成员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江向阳先生，博士。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自2020年1月9日起代为履行博时基金董事长职务。自2020年4月15日起任博时基金管理有限公司董事长。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lastRenderedPageBreak/>
        <w:t xml:space="preserve">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 月及2015 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 年1月至2018年8月任招商局资本投资有限责任公司监事；自2015 年11 月至2018年8月任招商局创新投资管理有限公司董事；自2015 年11 月至2017 年4 月任深圳招商启航互联网投资管理有限公司董事长；自2013年5月至2015年8 月任中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2018年9月3日起，任博时基金管理有限公司第七届董事会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理（现更名为机构业务总部）、机构业务董事总经理。2002年10月至2008年7月，任博时基金管理有限公司第二届、第三届监事会监事。2008年7月起，任博时基金管理有限公司第四届至第六届董事会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lastRenderedPageBreak/>
        <w:t xml:space="preserve">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任博时基金管理有限公司第七届董事会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7507EC">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2、基金管理人监事会成员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何敏女士，1975年出生，中南财经大学会计学硕士。1999年7月至2006年4月任招商证券股份有限公司财务部会计核算岗，2006年4月至2009年4月任招商证券股份有限公司财务部总经理助理，2009年4月至2019年2月任招商证券股份有限公司财务部副总经理，2019年2月至今任招商证券股份有限公司财务部总经理。2019年4月10日起，任博时基金管理有限公司监事会监事长。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7507EC">
        <w:rPr>
          <w:rFonts w:hint="eastAsia"/>
          <w:sz w:val="21"/>
          <w:szCs w:val="21"/>
        </w:rPr>
        <w:lastRenderedPageBreak/>
        <w:t xml:space="preserve">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郑波先生，博士，监事。2001年起先后在中国平安保险公司总公司、博时基金管理有限公司工作。现任博时基金管理有限公司公司董事总经理兼人力资源部总经理。2008年7月起，任博时基金管理有限公司第四至六届监事会监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严斌先生，硕士，监事。1997年7月起先后在华侨城集团公司、博时基金管理有限公司工作。现任博时基金管理有限公司财务部总经理。2015年5月起，任博时基金管理有限公司第六届监事会监事。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3、高级管理人员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江向阳先生，简历同上。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 xml:space="preserve">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首席固定收益投资官、兼任博时基金（国际）有限公司董事、博时资本管理有限公司董事。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lastRenderedPageBreak/>
        <w:t xml:space="preserve">徐卫先生，硕士，副总经理。1993年起先后在深圳市证券管理办公室、中国证监会、摩根士丹利华鑫基金工作。2015年6月加入博时基金管理有限公司，现任公司副总经理兼博时资本管理有限公司董事、博时基金(国际)有限公司董事会主席。  </w:t>
      </w:r>
    </w:p>
    <w:p w:rsidR="007507EC" w:rsidRPr="007507EC" w:rsidRDefault="007507EC">
      <w:pPr>
        <w:pStyle w:val="a3"/>
        <w:spacing w:before="0" w:beforeAutospacing="0" w:after="0" w:afterAutospacing="0" w:line="360" w:lineRule="auto"/>
        <w:ind w:firstLine="420"/>
        <w:divId w:val="391470342"/>
        <w:rPr>
          <w:sz w:val="21"/>
          <w:szCs w:val="21"/>
        </w:rPr>
      </w:pPr>
      <w:r w:rsidRPr="007507EC">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41" w:name="chapter_level1_5_53_section_1_end"/>
      <w:bookmarkEnd w:id="41"/>
      <w:r w:rsidRPr="007507EC">
        <w:rPr>
          <w:rFonts w:hint="eastAsia"/>
          <w:sz w:val="21"/>
          <w:szCs w:val="21"/>
        </w:rPr>
        <w:t>博时基金（国际）有限公司董事、博时资本管理有限公司副董事长。 </w:t>
      </w:r>
      <w:bookmarkStart w:id="42" w:name="field_0_managerpersoninfo_1_end"/>
      <w:bookmarkEnd w:id="42"/>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741561974"/>
        <w:rPr>
          <w:sz w:val="21"/>
          <w:szCs w:val="21"/>
        </w:rPr>
      </w:pPr>
      <w:bookmarkStart w:id="43" w:name="chapter_level1_5_53_section_2"/>
      <w:bookmarkEnd w:id="43"/>
      <w:r w:rsidRPr="007507EC">
        <w:rPr>
          <w:rFonts w:hint="eastAsia"/>
          <w:sz w:val="21"/>
          <w:szCs w:val="21"/>
        </w:rPr>
        <w:t xml:space="preserve">4、本基金基金经理 </w:t>
      </w:r>
    </w:p>
    <w:p w:rsidR="007507EC" w:rsidRPr="007507EC" w:rsidRDefault="007507EC">
      <w:pPr>
        <w:pStyle w:val="a3"/>
        <w:spacing w:before="0" w:beforeAutospacing="0" w:after="0" w:afterAutospacing="0" w:line="360" w:lineRule="auto"/>
        <w:ind w:firstLine="420"/>
        <w:divId w:val="741561974"/>
        <w:rPr>
          <w:sz w:val="21"/>
          <w:szCs w:val="21"/>
        </w:rPr>
      </w:pPr>
      <w:bookmarkStart w:id="44" w:name="field_0_fundmanagerresume_1_start"/>
      <w:bookmarkEnd w:id="44"/>
      <w:r w:rsidRPr="007507EC">
        <w:rPr>
          <w:rFonts w:hint="eastAsia"/>
          <w:sz w:val="21"/>
          <w:szCs w:val="21"/>
        </w:rPr>
        <w:t>黄海峰先生，学士。2004年起先后在深圳市农村商业银行、博时基金、银华基金、大成基金工作。2016年9月再次加入博时基金管理有限公司。历任博时裕通纯债债券型证券投资基金(2017年5月31日-2018年3月26日)、博时产业债纯债债券型证券投资基金(2017年5月31日-2018年5月30日)、博时盈海纯债债券型证券投资基金(2018年5月9日-2018年7月19日)、博时聚瑞纯债债券型证券投资基金(2017年11月8日-2018年9月3日)、博时富祥纯债债券型证券投资基金(2017年11月16日-2018年11月22日)、博时聚瑞纯债6个月定期开放债券型发起式证券投资基金(2018年9月3日-2018年11月22日)、博时裕安纯债债券型证券投资基金(2017年5月8日-2019年1月16日)、博时安荣18个月定期开放债券型证券投资基金(2017年6月15日-2019年3月2日)、博时富兴纯债3个月定期开放债券型发起式证券投资基金(2018年4月12日-2019年8月19日)、博时月月盈短期理财债券型证券投资基金(2019年3月4日-2019年9月5日)、博时裕腾纯债债券型证券投资基金(2017年5月8日-2020年7月7日)、博时裕景纯债债券型证券投资基金(2017年5月8日-2020年7月7日)、博时裕乾纯债债券型证券投资基金(2017年5月31日-2020年7月7日)、博时裕鹏纯债债券型证券投资基金(2017年12月29日-2020年7月7日)、博时民丰纯债债券型证券投资基金(2017年12月29日-2020年7月7日)、博时富安纯债3个月定期开放债券型发起式证券投资基金(2018年2月2日-2020年7月7日)、博时富乾纯债3个月定期开放债券型发起式证券投资基金(2018年2月8日-2020年7月7日)、博时华盈纯债债券型证券投资基金(2018年3月15日-2020年7月7日)、博时广利纯债3个月定期开放债券型发起式证券投资基金(2018年5月28日-2020年7月7日)、博时富和纯债债券型证券投资基金(2019年3月4日-2020年7月7日)、博时裕发纯债债券型证券投资基金(2017年5月8日-2020年7月20日)、博时裕新纯债债券型证券投资基金(2017年5月8日-2020年7月20日)、博时富腾纯债债券型证券投资基金(2018年5月9日-2020年7月20日)、</w:t>
      </w:r>
      <w:r w:rsidRPr="007507EC">
        <w:rPr>
          <w:rFonts w:hint="eastAsia"/>
          <w:sz w:val="21"/>
          <w:szCs w:val="21"/>
        </w:rPr>
        <w:lastRenderedPageBreak/>
        <w:t>博时丰庆纯债债券型证券投资基金(2019年3月4日-2020年7月20日)、博时富丰纯债3个月定期开放债券型发起式证券投资基金(2019年7月8日-2020年7月20日)、博时安仁一年定期开放债券型证券投资基金(2017年11月8日-2020年9月8日)的基金经理。现任博时安心收益定期开放债券型证券投资基金(2016年12月28日—至今)、博时安盈债券型证券投资基金(2017年5月31日—至今)、博时聚利纯债债券型证券投资基金(2017年11月22日—至今)、博时裕通纯债3个月定期开放债券型发起式证券投资基金(2018年3月26日—至今)、博时聚源纯债债券型证券投资基金(2018年11月22日—至今)、博时季季享三个月持有期债券型证券投资基金(2019年9月5日—至今)、博时信用优选债券型证券投资基金(2020年5月22日—至今)的基金经理。</w:t>
      </w:r>
      <w:bookmarkStart w:id="45" w:name="field_0_fundmanagerresume_1_end"/>
      <w:bookmarkEnd w:id="45"/>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741561974"/>
        <w:rPr>
          <w:sz w:val="21"/>
          <w:szCs w:val="21"/>
        </w:rPr>
      </w:pPr>
      <w:bookmarkStart w:id="46" w:name="field_0_fundmanagershis_1_start"/>
      <w:bookmarkEnd w:id="46"/>
      <w:r w:rsidRPr="007507EC">
        <w:rPr>
          <w:rFonts w:hint="eastAsia"/>
          <w:sz w:val="21"/>
          <w:szCs w:val="21"/>
        </w:rPr>
        <w:t>本基金历任基金经理：张勇（2013年4月23日-2015年5月22</w:t>
      </w:r>
      <w:bookmarkStart w:id="47" w:name="chapter_level1_5_53_section_2_end"/>
      <w:bookmarkEnd w:id="47"/>
      <w:r w:rsidRPr="007507EC">
        <w:rPr>
          <w:rFonts w:hint="eastAsia"/>
          <w:sz w:val="21"/>
          <w:szCs w:val="21"/>
        </w:rPr>
        <w:t>日）、魏桢（2015年5月22日-2017年5月31日）。</w:t>
      </w:r>
      <w:bookmarkStart w:id="48" w:name="field_0_fundmanagershis_1_end"/>
      <w:bookmarkEnd w:id="48"/>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2123450887"/>
        <w:rPr>
          <w:sz w:val="21"/>
          <w:szCs w:val="21"/>
        </w:rPr>
      </w:pPr>
      <w:bookmarkStart w:id="49" w:name="chapter_level1_5_53_section_3"/>
      <w:bookmarkStart w:id="50" w:name="field_0_managerpersoninfo2_1_start"/>
      <w:bookmarkEnd w:id="49"/>
      <w:bookmarkEnd w:id="50"/>
      <w:r w:rsidRPr="007507EC">
        <w:rPr>
          <w:rFonts w:hint="eastAsia"/>
          <w:sz w:val="21"/>
          <w:szCs w:val="21"/>
        </w:rPr>
        <w:t xml:space="preserve">5、投资决策委员会成员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委员：江向阳、邵凯、黄健斌、张龙、魏凤春、王俊、过钧、黄瑞庆、曾鹏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江向阳先生，简历同上。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邵凯先生，简历同上。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黄健斌先生，简历同上。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张龙先生，硕士。1996年起先后在长江证券、长盛基金、华夏基金、北京金百朋投资管理有限公司工作。2019年加入博时基金管理有限公司，现任公司投资决策委员会专职委员兼股票投资部总经理。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式基金中基金（FOF）(2019年8月28日—2020年9月3日)的基金经理。现任首席宏观策略分析师兼宏观策略部总经理。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w:t>
      </w:r>
      <w:r w:rsidRPr="007507EC">
        <w:rPr>
          <w:rFonts w:hint="eastAsia"/>
          <w:sz w:val="21"/>
          <w:szCs w:val="21"/>
        </w:rPr>
        <w:lastRenderedPageBreak/>
        <w:t xml:space="preserve">值优选混合基金（2017.1.25-2018.3.14）、博时沪港深成长企业混合基金（2016.11.9-2019.6.10）的基金经理、研究部总经理。现任研究部研究总监兼博时主题行业混合(LOF)基金（2015.1.22-至今）、博时沪港深优质企业混合基金（2016.11.9-至今）、博时新兴消费主题混合基金（2017.6.5-至今）、博时优势企业混合基金（2019.6.3-至今）、博时研究优选混合基金（2020.3.20-至今）、博时研究精选持有期混合基金(2020.6.24-至今)、博时研究臻选持有期混合基金(2020.6.30-至今)、博时价值臻选持有期混合基金（2020.7.29-至今）的基金经理。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过钧先生，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债增强债券型证券投资基金（2010.11.24-2013.9.25）、博时亚洲票息收益债券型证券投资基金（2013.2.1-2014.4.2）、博时裕祥分级债券型证券投资基金（2014.1.8-2014.6.10）、博时双债增强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双债增强债券型证券投资基金（2016.10.24-2018.5.5）、博时鑫润灵活配置混合型证券投资基金（2017.2.10-2018.5.21）、博时鑫和灵活配置混合型证券投资基金（2017.12.13-2018.6.16）、博时鑫惠灵活配置混合型证券投资基金（2017.1.10-2018.7.30）的基金经理、固定收益总部公募基金组负责人、博时新价值灵活配置混合型证券投资基金（2016.3.29-2019.4.30）、博时乐臻定期开放混合型证券投资基金（2016.9.29-2019.10.14）、博时转债增强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兼固定收益总部指数与创新组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lastRenderedPageBreak/>
        <w:t xml:space="preserve">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 </w:t>
      </w:r>
    </w:p>
    <w:p w:rsidR="007507EC" w:rsidRPr="007507EC" w:rsidRDefault="007507EC">
      <w:pPr>
        <w:pStyle w:val="a3"/>
        <w:spacing w:before="0" w:beforeAutospacing="0" w:after="0" w:afterAutospacing="0" w:line="360" w:lineRule="auto"/>
        <w:ind w:firstLine="420"/>
        <w:divId w:val="2123450887"/>
        <w:rPr>
          <w:sz w:val="21"/>
          <w:szCs w:val="21"/>
        </w:rPr>
      </w:pPr>
      <w:r w:rsidRPr="007507EC">
        <w:rPr>
          <w:rFonts w:hint="eastAsia"/>
          <w:sz w:val="21"/>
          <w:szCs w:val="21"/>
        </w:rPr>
        <w:t xml:space="preserve">曾鹏先生，硕士。2005年起先后在上投摩根基金、嘉实基金从事研究、投资工作。2012年加入博时基金管理有限公司。历任投资经理、博时灵活配置混合型证券投资基金(2015年2月9日-2016年4月25日)基金经理。现任权益投资总部一体化投研总监兼权益投资主题组负责人、博时新兴成长混合型证券投资基金(2013年1月18日—至今)、博时特许价值混合型证券投资基金(2018年6月21日—至今)、博时科创主题3年封闭运作灵活配置混合型证券投资基金(2019年6月27日—至今)、博时科技创新混合型证券投资基金(2020年4月15日—至今)的基金经理。 </w:t>
      </w:r>
    </w:p>
    <w:p w:rsidR="007507EC" w:rsidRPr="007507EC" w:rsidRDefault="007507EC">
      <w:pPr>
        <w:pStyle w:val="a3"/>
        <w:spacing w:before="0" w:beforeAutospacing="0" w:after="0" w:afterAutospacing="0" w:line="360" w:lineRule="auto"/>
        <w:ind w:firstLine="420"/>
        <w:divId w:val="2123450887"/>
        <w:rPr>
          <w:sz w:val="21"/>
          <w:szCs w:val="21"/>
        </w:rPr>
      </w:pPr>
      <w:bookmarkStart w:id="51" w:name="chapter_level1_5_53_section_3_end"/>
      <w:bookmarkEnd w:id="51"/>
      <w:r w:rsidRPr="007507EC">
        <w:rPr>
          <w:rFonts w:hint="eastAsia"/>
          <w:sz w:val="21"/>
          <w:szCs w:val="21"/>
        </w:rPr>
        <w:t> 6、上述人员之间均不存在近亲属关系。 </w:t>
      </w:r>
      <w:bookmarkStart w:id="52" w:name="field_0_managerpersoninfo2_1_end"/>
      <w:bookmarkEnd w:id="52"/>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306472692"/>
        <w:rPr>
          <w:sz w:val="21"/>
          <w:szCs w:val="21"/>
        </w:rPr>
      </w:pPr>
      <w:bookmarkStart w:id="53" w:name="chapter_level1_5_53_section_4"/>
      <w:bookmarkEnd w:id="53"/>
      <w:r w:rsidRPr="007507EC">
        <w:rPr>
          <w:rStyle w:val="a4"/>
          <w:rFonts w:hint="eastAsia"/>
          <w:sz w:val="21"/>
          <w:szCs w:val="21"/>
        </w:rPr>
        <w:t>三、基金管理人的职责</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1、依法募集基金，办理或者委托经中国证监会认定的其他机构代为办理基金份额的发售、申购、赎回和登记事宜；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2、办理基金备案手续；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3、自《基金合同》生效之日起,以诚实信用、谨慎勤勉的原则管理和运用基金财产；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4、配备足够的具有专业资格的人员进行基金投资分析、决策，以专业化的经营方式管理和运作基金财产；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6、除依据《基金法》、《基金合同》及其他有关规定外,不得利用基金财产为自己及任何第三人谋取利益，不得委托第三人运作基金财产；</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7、依法接受基金托管人的监督；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lastRenderedPageBreak/>
        <w:t xml:space="preserve">8、采取适当合理的措施使计算基金份额认购、申购、赎回和注销价格的方法符合《基金合同》等法律文件的规定，按有关规定计算并公告基金净值信息，确定基金份额申购、赎回的价格；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9、进行基金会计核算并编制基金财务会计报告；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10、编制季度报告、中期报告和年度报告；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11、严格按照《基金法》、《基金合同》及其他有关规定，履行信息披露及报告义务；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13、按《基金合同》的约定确定基金收益分配方案，及时向基金份额持有人分配基金收益；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14、按规定受理申购与赎回申请，及时、足额支付赎回款项；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15、依据《基金法》、《基金合同》及其他有关规定召集基金份额持有人大会或配合基金托管人、基金份额持有人依法召集基金份额持有人大会；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16、按规定保存基金财产管理业务活动的会计账册、报表、记录和其他相关资料15年以上；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18、组织并参加基金财产清算小组,参与基金财产的保管、清理、估价、变现和分配；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19、面临解散、依法被撤销或者被依法宣告破产时，及时报告中国证监会并通知基金托管人；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20、因违反《基金合同》导致基金财产的损失或损害基金份额持有人合法权益时，应当承担赔偿责任，其赔偿责任不因其退任而免除；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22、当基金管理人将其义务委托第三方处理时，应当对第三方处理有关基金事务的行为承担责任；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23、以基金管理人名义，代表基金份额持有人利益行使诉讼权利或实施其他法律行为；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lastRenderedPageBreak/>
        <w:t xml:space="preserve">24、基金管理人在募集期间未能达到基金的备案条件，《基金合同》不能生效，基金管理人承担全部募集费用，将已募集资金并加计银行同期存款利息在基金募集期结束后30日内退还基金认购人；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25、执行生效的基金份额持有人大会的决议；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26、建立并保存基金份额持有人名册；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27、法律法规及中国证监会规定的和《基金合同》约定的其他义务。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Style w:val="a4"/>
          <w:rFonts w:hint="eastAsia"/>
          <w:sz w:val="21"/>
          <w:szCs w:val="21"/>
        </w:rPr>
        <w:t>四、基金管理人的承诺</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1、基金管理人承诺不从事违反《证券法》的行为，并承诺建立健全内部控制制度，采取有效措施，防止违反《证券法》行为的发生；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2、基金管理人承诺不从事违反《基金法》的行为，并承诺建立健全内部风险控制制度，采取有效措施，防止下列行为的发生：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（1）将基金管理人固有财产或者他人财产混同于基金财产从事证券投资；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（2）不公平地对待管理的不同基金财产；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（3）利用基金财产为基金份额持有人以外的第三人牟取利益；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（4）向基金份额持有人违规承诺收益或者承担损失；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（5）依照法律、行政法规有关规定，由中国证监会规定禁止的其他行为。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3、基金管理人承诺严格遵守基金合同，并承诺建立健全内部控制制度，采取有效措施，防止违反基金合同行为的发生；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4、基金管理人承诺加强人员管理，强化职业操守，督促和约束员工遵守国家有关法律法规及行业规范，诚实信用、勤勉尽责；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5、基金管理人承诺不从事其他法规规定禁止从事的行为。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Style w:val="a4"/>
          <w:rFonts w:hint="eastAsia"/>
          <w:sz w:val="21"/>
          <w:szCs w:val="21"/>
        </w:rPr>
        <w:t>五、基金经理承诺</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1、依照有关法律法规和基金合同的规定，本着谨慎的原则为基金份额持有人谋取最大利益；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2、不利用职务之便为自己、受雇人或任何第三者谋取利益；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3、不泄露在任职期间知悉的有关证券、基金的商业秘密，尚未依法公开的基金投资内容、基金投资计划等信息；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4、不以任何形式为其他组织或个人进行证券交易。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Style w:val="a4"/>
          <w:rFonts w:hint="eastAsia"/>
          <w:sz w:val="21"/>
          <w:szCs w:val="21"/>
        </w:rPr>
        <w:t>六、基金管理人的内部控制制度</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lastRenderedPageBreak/>
        <w:t xml:space="preserve">1、风险管理的原则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（1）全面性原则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公司风险管理必须覆盖公司的所有部门和岗位，渗透各项业务过程和业务环节。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（2）独立性原则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公司设立独立的监察部，监察部保持高度的独立性和权威性，负责对公司各部门风险控制工作进行稽核和检查。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（3）相互制约原则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公司及各部门在内部组织结构的设计上要形成一种相互制约的机制，建立不同岗位之间的制衡体系。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（4）定性和定量相结合原则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建立完备的风险管理指标体系，使风险管理更具客观性和操作性。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2、风险管理和内部风险控制体系结构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（1）董事会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负责制定公司的风险管理政策，对风险管理负完全的和最终的责任。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（2）风险管理委员会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（3）督察长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独立行使督察权利；直接对董事会负责；按季向风险管理委员会提交独立的风险管理报告和风险管理建议。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（4）监察法律部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（5）风险管理部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lastRenderedPageBreak/>
        <w:t xml:space="preserve">风险管理部负责建立和完善公司投资风险管理制度与流程，组织实施公司投资风险管理与绩效分析工作，确保公司各类投资风险得到良好监督与控制。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（6）业务部门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3、风险管理和内部风险控制的措施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（1）建立内控结构，完善内控制度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（2）建立相互分离、相互制衡的内控机制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建立、健全了各项制度，做到基金经理分开，投资决策分开，基金交易集中，形成不同部门，不同岗位之间的制衡机制，从制度上减少和防范风险。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（3）建立、健全岗位责任制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建立、健全了岗位责任制，使每个员工都明确自己的任务、职责，并及时将各自工作领域中的风险隐患上报，以防范和减少风险。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（4）建立风险分类、识别、评估、报告、提示程序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（5）建立有效的内部监控系统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建立了足够、有效的内部监控系统，如电脑预警系统、投资监控系统，对可能出现的各种风险进行全面和实时的监控。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（6）使用数量化的风险管理手段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t xml:space="preserve">（7）提供足够的培训 </w:t>
      </w:r>
    </w:p>
    <w:p w:rsidR="007507EC" w:rsidRPr="007507EC" w:rsidRDefault="007507EC">
      <w:pPr>
        <w:pStyle w:val="a3"/>
        <w:spacing w:before="0" w:beforeAutospacing="0" w:after="0" w:afterAutospacing="0" w:line="360" w:lineRule="auto"/>
        <w:ind w:firstLine="420"/>
        <w:divId w:val="306472692"/>
        <w:rPr>
          <w:sz w:val="21"/>
          <w:szCs w:val="21"/>
        </w:rPr>
      </w:pPr>
      <w:r w:rsidRPr="007507EC">
        <w:rPr>
          <w:rFonts w:hint="eastAsia"/>
          <w:sz w:val="21"/>
          <w:szCs w:val="21"/>
        </w:rPr>
        <w:lastRenderedPageBreak/>
        <w:t>制定了完整的培训计划，为所有员工提供足够和适当的培训，使员工明确其职责所在，</w:t>
      </w:r>
      <w:bookmarkStart w:id="54" w:name="chapter_level1_5_53_section_4_end"/>
      <w:bookmarkEnd w:id="54"/>
      <w:r w:rsidRPr="007507EC">
        <w:rPr>
          <w:rFonts w:hint="eastAsia"/>
          <w:sz w:val="21"/>
          <w:szCs w:val="21"/>
        </w:rPr>
        <w:t xml:space="preserve">控制风险。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55" w:name="chapter_level1_6_55"/>
      <w:bookmarkStart w:id="56" w:name="_Toc50543295"/>
      <w:r w:rsidRPr="007507EC">
        <w:rPr>
          <w:rFonts w:ascii="宋体" w:eastAsia="宋体" w:hAnsi="宋体" w:hint="eastAsia"/>
          <w:sz w:val="30"/>
        </w:rPr>
        <w:lastRenderedPageBreak/>
        <w:t>第四部分  基金托管人</w:t>
      </w:r>
      <w:bookmarkEnd w:id="55"/>
      <w:bookmarkEnd w:id="56"/>
    </w:p>
    <w:p w:rsidR="007507EC" w:rsidRPr="007507EC" w:rsidRDefault="007507EC">
      <w:pPr>
        <w:pStyle w:val="a3"/>
        <w:spacing w:before="0" w:beforeAutospacing="0" w:after="0" w:afterAutospacing="0" w:line="360" w:lineRule="auto"/>
        <w:ind w:firstLine="420"/>
        <w:divId w:val="1571309709"/>
        <w:rPr>
          <w:sz w:val="21"/>
          <w:szCs w:val="21"/>
        </w:rPr>
      </w:pPr>
      <w:bookmarkStart w:id="57" w:name="chapter_level1_6_55_section_1"/>
      <w:bookmarkStart w:id="58" w:name="field_0_trustcompanyinfo_1_start"/>
      <w:bookmarkEnd w:id="57"/>
      <w:bookmarkEnd w:id="58"/>
      <w:r w:rsidRPr="007507EC">
        <w:rPr>
          <w:rFonts w:hint="eastAsia"/>
          <w:sz w:val="21"/>
          <w:szCs w:val="21"/>
        </w:rPr>
        <w:t xml:space="preserve">（一）基金托管人基本情况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名称：中国工商银行股份有限公司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注册地址：北京市西城区复兴门内大街55号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成立时间：1984年1月1日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法定代表人： 陈四清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注册资本：人民币35,640,625.7089万元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联系电话：010-66105799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联系人：郭明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（二）主要人员情况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截至2020年6月，中国工商银行资产托管部共有员工212人，平均年龄33岁，95%以上员工拥有大学本科以上学历，高管人员均拥有研究生以上学历或高级技术职称。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 xml:space="preserve">（三）基金托管业务经营情况 </w:t>
      </w:r>
    </w:p>
    <w:p w:rsidR="007507EC" w:rsidRPr="007507EC" w:rsidRDefault="007507EC">
      <w:pPr>
        <w:pStyle w:val="a3"/>
        <w:spacing w:before="0" w:beforeAutospacing="0" w:after="0" w:afterAutospacing="0" w:line="360" w:lineRule="auto"/>
        <w:ind w:firstLine="420"/>
        <w:divId w:val="1571309709"/>
        <w:rPr>
          <w:sz w:val="21"/>
          <w:szCs w:val="21"/>
        </w:rPr>
      </w:pPr>
      <w:r w:rsidRPr="007507EC">
        <w:rPr>
          <w:rFonts w:hint="eastAsia"/>
          <w:sz w:val="21"/>
          <w:szCs w:val="21"/>
        </w:rPr>
        <w:t>作为中国大陆托管服务的先行者，中国工商银行自1998年在国内首家提供托管服务以来，秉承“诚实信用、勤勉尽责”的宗旨，依靠严密科学的风险管理和内部控制体系、规范的管理模式、先进的营运系统和专业的服务团队，严格履行资产托管人职责，为境内外广大投资者、金融资产管理机构和企业客户提供安全、高效、专业的托管服务，展现优异的市场形象和影响力。建立了国内托管银行中最丰富、最成熟的产品线。拥有包括证券投资基金、信托资产、保险资产、社会保障基金、基本养老保险、企业年金基金、QFII资产、QDII资产、股权投资基金、证券公司集合资产管理计划、证券公司定向资产管理计划、商业银行信贷资产证券化、基金公司特定客户资产管理、QDII专户资产、ESCROW等门类齐全的托管产品体系，同时在国内率先开展绩效评估、风险管理等增值服务，可以为各类客户提供个性化的托管服务。截至2020年6月，中国工商银行共托管证券投资基金1094只。自2003年以来，本行连续十七年获得香港《亚洲货币》、英国《全球托管人》、香港《财资》、美国《环球金融》、内地《证券时报》、《上海证券报》等境内外权威财经媒体评选的73项最佳托管银行大奖；是获得奖项最多的国内托管银行，优良的服务品质获得国内外金融领域的持续</w:t>
      </w:r>
      <w:bookmarkStart w:id="59" w:name="chapter_level1_6_55_section_1_end"/>
      <w:bookmarkEnd w:id="59"/>
      <w:r w:rsidRPr="007507EC">
        <w:rPr>
          <w:rFonts w:hint="eastAsia"/>
          <w:sz w:val="21"/>
          <w:szCs w:val="21"/>
        </w:rPr>
        <w:t xml:space="preserve">认可和广泛好评。 </w:t>
      </w:r>
      <w:bookmarkStart w:id="60" w:name="field_0_trustcompanyinfo_1_end"/>
      <w:bookmarkEnd w:id="6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235822205"/>
        <w:rPr>
          <w:sz w:val="21"/>
          <w:szCs w:val="21"/>
        </w:rPr>
      </w:pPr>
      <w:bookmarkStart w:id="61" w:name="chapter_level1_6_55_section_2"/>
      <w:bookmarkStart w:id="62" w:name="field_0_trustcontrollawinfo_1_start"/>
      <w:bookmarkEnd w:id="61"/>
      <w:bookmarkEnd w:id="62"/>
      <w:r w:rsidRPr="007507EC">
        <w:rPr>
          <w:rFonts w:hint="eastAsia"/>
          <w:sz w:val="21"/>
          <w:szCs w:val="21"/>
        </w:rPr>
        <w:t xml:space="preserve">（四）基金托管人的内部控制制度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lastRenderedPageBreak/>
        <w:t xml:space="preserve">中国工商银行资产托管部自成立以来，各项业务飞速发展，始终保持在资产托管行业的优势地位。这些成绩的取得，是与资产托管部“一手抓业务拓展，一手抓内控建设”的做法是分不开的。资产托管部非常重视改进和加强内部风险管理工作，在积极拓展各项托管业务的同时，把加强风险防范和控制的力度，精心培育内控文化，完善风险控制机制，强化业务项目全过程风险管理作为重要工作来做。从2005年至今共十三次顺利通过评估组织内部控制和安全措施最权威的ISAE3402审阅，全部获得无保留意见的控制及有效性报告。充分表明独立第三方对我行托管服务在风险管理、内部控制方面的健全性和有效性的全面认可,也证明中国工商银行托管服务的风险控制能力已经与国际大型托管银行接轨，达到国际先进水平。目前，ISAE3402审阅已经成为年度化、常规化的内控工作手段。”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1、内部风险控制目标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保证业务运作严格遵守国家有关法律法规和行业监管规则，强化和建立守法经营、规范运作的经营思想和经营风格，形成一个运作规范化、管理科学化、监控制度化的内控体系；防范和化解经营风险，保证托管资产的安全完整；维护持有人的权益；保障资产托管业务安全、有效、稳健运行。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2、内部风险控制组织结构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中国工商银行资产托管业务内部风险控制组织结构由中国工商银行稽核监察部门（内控合规部、内部审计局）、资产托管部内设风险控制处及资产托管部各业务处室共同组成。总行稽核监察部门负责制定全行风险管理政策，对各业务部门风险控制工作进行指导、监督。资产托管部内部设置专门负责稽核监察工作的内部风险控制处，配备专职稽核监察人员，在总经理的直接领导下，依照有关法律规章，对业务的运行独立行使稽核监察职权。各业务处室在各自职责范围内实施具体的风险控制措施。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3、内部风险控制原则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（1）合法性原则。内控制度应当符合国家法律法规及监管机构的监管要求，并贯穿于托管业务经营管理活动的始终。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（2）完整性原则。托管业务的各项经营管理活动都必须有相应的规范程序和监督制约；监督制约应渗透到托管业务的全过程和各个操作环节，覆盖所有的部门、岗位和人员。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（3）及时性原则。托管业务经营活动必须在发生时能准确及时地记录；按照“内控优先”的原则，新设机构或新增业务品种时，必须做到已建立相关的规章制度。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lastRenderedPageBreak/>
        <w:t xml:space="preserve">（4）审慎性原则。各项业务经营活动必须防范风险，审慎经营，保证基金资产和其他委托资产的安全与完整。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（5）有效性原则。内控制度应根据国家政策、法律及经营管理的需要适时修改完善，并保证得到全面落实执行，不得有任何空间、时限及人员的例外。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（6）独立性原则。设立专门履行托管人职责的管理部门；直接操作人员和控制人员必须相对独立，适当分离；内控制度的检查、评价部门必须独立于内控制度的制定和执行部门。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4、内部风险控制措施实施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1）严格的隔离制度。资产托管业务与传统业务实行严格分离，建立了明确的岗位职责、科学的业务流程、详细的操作手册、严格的人员行为规范等一系列规章制度，并采取了良好的防火墙隔离制度，能够确保资产独立、环境独立、人员独立、业务制度和管理独立、网络独立。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2）高层检查。主管行领导与部门高级管理层作为工行托管业务政策和策略的制定者和管理者，要求下级部门及时报告经营管理情况和特别情况，以检查资产托管部在实现内部控制目标方面的进展，并根据检查情况提出内部控制措施，督促职能管理部门改进。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3）人事控制。资产托管部严格落实岗位责任制，建立“自控防线”、“互控防线”、“监控防线”三道控制防线，健全绩效考核和激励机制，树立“以人为本”的内控文化，增强员工的责任心和荣誉感，培育团队精神和核心竞争力。并通过进行定期、定向的业务与职业道德培训、签订承诺书，使员工树立风险防范与控制理念。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（4）经营控制。资产托管部通过制定计划、编制预算等方法开展各种业务营销活动、处理各项事务，从而有效地控制和配置组织资源，达到资源利用和效益最大化目的。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5）内部风险管理。资产托管部通过稽核监察、风险评估等方式加强内部风险管理，定期或不定期地对业务运作状况进行检查、监控，指导业务部门进行风险识别、评估，制定并实施风险控制措施，排查风险隐患。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（6）数据安全控制。我们通过业务操作区相对独立、数据和传真加密、数据传输线路的冗余备份、监控设施的运用和保障等措施来保障数据安全。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7）应急准备与响应。资产托管业务建立专门的灾难恢复中心，制定了基于数据、应用、操作、环境四个层面的完备的灾难恢复方案，并组织员工定期演练。为使演练更加接近实战，资产托管部不断提高演练标准，从最初的按照预订时间演练发展到现在的“随机演练”。从演练结果看，资产托管部完全有能力在发生灾难的情况下两个小时内恢复业务。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lastRenderedPageBreak/>
        <w:t xml:space="preserve">5、资产托管部内部风险控制情况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（1）资产托管部内部设置专职稽核监察部门，配备专职稽核监察人员，在总经理的直接领导下，依照有关法律规章，全面贯彻落实全程监控思想，确保资产托管业务健康、稳定地发展。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2）完善组织结构，实施全员风险管理。完善的风险管理体系需要从上至下每个员工的共同参与，只有这样，风险控制制度和措施才会全面、有效。资产托管部实施全员风险管理，将风险控制责任落实到具体业务部门和业务岗位，每位员工对自己岗位职责范围内的风险负责，通过建立纵向双人制、横向多部门制的内部组织结构，形成不同部门、不同岗位相互制衡的组织结构。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 xml:space="preserve">（3）建立健全规章制度。资产托管部十分重视内控制度的建设，一贯坚持把风险防范和控制的理念和方法融入岗位职责、制度建设和工作流程中。经过多年努力，资产托管部已经建立了一整套内部风险控制制度，包括：岗位职责、业务操作流程、稽核监察制度、信息披露制度等，覆盖所有部门和岗位，渗透各项业务过程，形成各个业务环节之间的相互制约机制。 </w:t>
      </w:r>
    </w:p>
    <w:p w:rsidR="007507EC" w:rsidRPr="007507EC" w:rsidRDefault="007507EC">
      <w:pPr>
        <w:pStyle w:val="a3"/>
        <w:spacing w:before="0" w:beforeAutospacing="0" w:after="0" w:afterAutospacing="0" w:line="360" w:lineRule="auto"/>
        <w:ind w:firstLine="420"/>
        <w:divId w:val="235822205"/>
        <w:rPr>
          <w:sz w:val="21"/>
          <w:szCs w:val="21"/>
        </w:rPr>
      </w:pPr>
      <w:r w:rsidRPr="007507EC">
        <w:rPr>
          <w:rFonts w:hint="eastAsia"/>
          <w:sz w:val="21"/>
          <w:szCs w:val="21"/>
        </w:rPr>
        <w:t>（4）内部风险控制始终是托管部工作重点之一，保持与业务发展同等地位。资产托管业务是商业银行新兴的中间业务，资产托管部从成立之日起就特别强调规范运作，一直将建立一个系统、高效的风险防范和控制体系作为工作重点。随着市场环境的变化和托管业务的快速发展，新问题、新情况不断出现，资产托管部始终将风险管理放在与业务发展同等重要</w:t>
      </w:r>
      <w:bookmarkStart w:id="63" w:name="chapter_level1_6_55_section_2_end"/>
      <w:bookmarkEnd w:id="63"/>
      <w:r w:rsidRPr="007507EC">
        <w:rPr>
          <w:rFonts w:hint="eastAsia"/>
          <w:sz w:val="21"/>
          <w:szCs w:val="21"/>
        </w:rPr>
        <w:t xml:space="preserve">的位置，视风险防范和控制为托管业务生存和发展的生命线。 </w:t>
      </w:r>
      <w:bookmarkStart w:id="64" w:name="field_0_trustcontrollawinfo_1_end"/>
      <w:bookmarkEnd w:id="64"/>
      <w:r w:rsidRPr="007507EC">
        <w:rPr>
          <w:rFonts w:hint="eastAsia"/>
          <w:sz w:val="21"/>
          <w:szCs w:val="21"/>
        </w:rPr>
        <w:t xml:space="preserve">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65" w:name="chapter_level1_7_56"/>
      <w:bookmarkStart w:id="66" w:name="_Toc50543296"/>
      <w:r w:rsidRPr="007507EC">
        <w:rPr>
          <w:rFonts w:ascii="宋体" w:eastAsia="宋体" w:hAnsi="宋体" w:hint="eastAsia"/>
          <w:sz w:val="30"/>
        </w:rPr>
        <w:lastRenderedPageBreak/>
        <w:t>第五部分  相关服务机构</w:t>
      </w:r>
      <w:bookmarkEnd w:id="65"/>
      <w:bookmarkEnd w:id="66"/>
    </w:p>
    <w:p w:rsidR="007507EC" w:rsidRPr="007507EC" w:rsidRDefault="007507EC">
      <w:pPr>
        <w:pStyle w:val="a3"/>
        <w:spacing w:before="0" w:beforeAutospacing="0" w:after="0" w:afterAutospacing="0" w:line="360" w:lineRule="auto"/>
        <w:ind w:firstLine="420"/>
        <w:divId w:val="2059356148"/>
        <w:rPr>
          <w:sz w:val="21"/>
          <w:szCs w:val="21"/>
        </w:rPr>
      </w:pPr>
      <w:bookmarkStart w:id="67" w:name="chapter_level1_7_56_section_1"/>
      <w:bookmarkEnd w:id="67"/>
      <w:r w:rsidRPr="007507EC">
        <w:rPr>
          <w:rFonts w:hint="eastAsia"/>
          <w:b/>
          <w:bCs/>
          <w:sz w:val="21"/>
          <w:szCs w:val="21"/>
        </w:rPr>
        <w:t>一、基金份额销售机构</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1、直销机构 </w:t>
      </w:r>
    </w:p>
    <w:p w:rsidR="007507EC" w:rsidRPr="007507EC" w:rsidRDefault="007507EC">
      <w:pPr>
        <w:pStyle w:val="a3"/>
        <w:spacing w:before="0" w:beforeAutospacing="0" w:after="0" w:afterAutospacing="0" w:line="360" w:lineRule="auto"/>
        <w:ind w:firstLine="420"/>
        <w:divId w:val="2059356148"/>
        <w:rPr>
          <w:sz w:val="21"/>
          <w:szCs w:val="21"/>
        </w:rPr>
      </w:pPr>
      <w:bookmarkStart w:id="68" w:name="field_0_marketcompanyinfo_1_start"/>
      <w:bookmarkEnd w:id="68"/>
      <w:r w:rsidRPr="007507EC">
        <w:rPr>
          <w:rFonts w:hint="eastAsia"/>
          <w:sz w:val="21"/>
          <w:szCs w:val="21"/>
        </w:rPr>
        <w:t xml:space="preserve">名称：博时基金管理有限公司北京直销中心  </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住所：深圳市福田区莲花街道福新社区益田路5999号基金大厦21层 </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地址：北京市建国门内大街18号恒基中心1座23层 </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电话：010-65187055 </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传真：010-65187032、010-65187592 </w:t>
      </w:r>
    </w:p>
    <w:p w:rsidR="007507EC" w:rsidRPr="007507EC" w:rsidRDefault="007507EC">
      <w:pPr>
        <w:pStyle w:val="a3"/>
        <w:spacing w:before="0" w:beforeAutospacing="0" w:after="0" w:afterAutospacing="0" w:line="360" w:lineRule="auto"/>
        <w:ind w:firstLine="420"/>
        <w:divId w:val="2059356148"/>
        <w:rPr>
          <w:sz w:val="21"/>
          <w:szCs w:val="21"/>
        </w:rPr>
      </w:pPr>
      <w:r w:rsidRPr="007507EC">
        <w:rPr>
          <w:rFonts w:hint="eastAsia"/>
          <w:sz w:val="21"/>
          <w:szCs w:val="21"/>
        </w:rPr>
        <w:t xml:space="preserve">联系人：韩明亮 </w:t>
      </w:r>
    </w:p>
    <w:p w:rsidR="007507EC" w:rsidRPr="007507EC" w:rsidRDefault="007507EC">
      <w:pPr>
        <w:pStyle w:val="a3"/>
        <w:spacing w:before="0" w:beforeAutospacing="0" w:after="0" w:afterAutospacing="0" w:line="360" w:lineRule="auto"/>
        <w:ind w:firstLine="420"/>
        <w:divId w:val="2059356148"/>
        <w:rPr>
          <w:sz w:val="21"/>
          <w:szCs w:val="21"/>
        </w:rPr>
      </w:pPr>
      <w:bookmarkStart w:id="69" w:name="chapter_level1_7_56_section_1_end"/>
      <w:bookmarkEnd w:id="69"/>
      <w:r w:rsidRPr="007507EC">
        <w:rPr>
          <w:rFonts w:hint="eastAsia"/>
          <w:sz w:val="21"/>
          <w:szCs w:val="21"/>
        </w:rPr>
        <w:t>博时一线通：95105568（免长途话费） </w:t>
      </w:r>
      <w:bookmarkStart w:id="70" w:name="field_0_marketcompanyinfo_1_end"/>
      <w:bookmarkEnd w:id="7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793139835"/>
        <w:rPr>
          <w:sz w:val="21"/>
          <w:szCs w:val="21"/>
        </w:rPr>
      </w:pPr>
      <w:bookmarkStart w:id="71" w:name="chapter_level1_7_56_section_2"/>
      <w:bookmarkEnd w:id="71"/>
      <w:r w:rsidRPr="007507EC">
        <w:rPr>
          <w:rFonts w:hint="eastAsia"/>
          <w:sz w:val="21"/>
          <w:szCs w:val="21"/>
        </w:rPr>
        <w:t xml:space="preserve">2、代销机构 </w:t>
      </w:r>
    </w:p>
    <w:p w:rsidR="007507EC" w:rsidRPr="007507EC" w:rsidRDefault="007507EC">
      <w:pPr>
        <w:pStyle w:val="a3"/>
        <w:spacing w:before="0" w:beforeAutospacing="0" w:after="0" w:afterAutospacing="0" w:line="360" w:lineRule="auto"/>
        <w:ind w:firstLine="420"/>
        <w:divId w:val="793139835"/>
        <w:rPr>
          <w:sz w:val="21"/>
          <w:szCs w:val="21"/>
        </w:rPr>
      </w:pPr>
      <w:bookmarkStart w:id="72" w:name="field_0_allproxysaletables_1_start"/>
      <w:bookmarkEnd w:id="72"/>
      <w:r w:rsidRPr="007507EC">
        <w:rPr>
          <w:rFonts w:hint="eastAsia"/>
          <w:b/>
          <w:bCs/>
          <w:sz w:val="21"/>
          <w:szCs w:val="21"/>
        </w:rPr>
        <w:t>(1)中国工商银行股份有限公司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北京市西城区复兴门内大街55号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北京市西城区复兴门内大街55号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陈四清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杨菲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010－66107914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http://www.icbc.com.cn/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(2)中国农业银行股份有限公司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北京市东城区建国门内大街69号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北京市东城区建国门内大街69号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周慕冰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http://www.abchina.com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(3)中国银行股份有限公司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刘连舸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高越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010-66594973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http://www.boc.cn/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(4)中国建设银行股份有限公司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北京市西城区金融大街25号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北京市西城区闹市口大街1号院1号楼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田国立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010－66275654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(5)交通银行股份有限公司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上海市银城中路188号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上海市银城中路188号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任德奇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陈旭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021-58781234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021-58408483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95559 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http://www.bankcomm.com/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(6)招商银行股份有限公司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深圳市福田区深南大道7088号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深圳市福田区深南大道7088号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李建红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0755－83198888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0755－83195049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95555 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http://www.cmbchina.com/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(7)中信银行股份有限公司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北京市东城区朝阳门北大街8号富华大厦C座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北京市东城区朝阳门北大街9号文化大厦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李庆萍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王晓琳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010－89937325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95558 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http://bank.ecitic.com/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(8)上海浦东发展银行股份有限公司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上海市中山东一路12号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上海市北京东路689号东银大厦25楼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高国富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021－61618888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021－63602431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http://www.spdb.com.cn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(9)兴业银行股份有限公司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福州市湖东路154号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上海市江宁路168号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高建平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曾鸣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021-52629999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www.cib.com.cn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(10)中国光大银行股份有限公司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北京市西城区太平桥大街25号、甲25号中国光大中心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北京市西城区太平桥大街25号光大中心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李晓鹏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朱红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010－63636153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010－63636157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95595 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http://www.cebbank.com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(11)中国民生银行股份有限公司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北京市西城区复兴门内大街2号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洪崎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王继伟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010－58560666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010－57092611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http://www.cmbc.com.cn/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(12)中国邮政储蓄银行股份有限公司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北京市西城区金融大街3号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北京市西城区金融大街3号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张金良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陈春林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010－68858117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http://www.psbc.com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(13)华夏银行股份有限公司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北京市东城区建国门内大街22号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北京市东城区建国门内大街22号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李民吉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郑鹏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010－85238667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010－85238680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http://www.hxb.com.cn/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(14)上海银行股份有限公司</w:t>
      </w:r>
    </w:p>
    <w:tbl>
      <w:tblPr>
        <w:tblStyle w:val="a9"/>
        <w:tblW w:w="8353" w:type="dxa"/>
        <w:tblLook w:val="04A0" w:firstRow="1" w:lastRow="0" w:firstColumn="1" w:lastColumn="0" w:noHBand="0" w:noVBand="1"/>
      </w:tblPr>
      <w:tblGrid>
        <w:gridCol w:w="2434"/>
        <w:gridCol w:w="591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上海市浦东新区银城中路168号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上海市浦东新区银城中路168号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范一飞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汤征程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021-68475521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021-68476497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95594 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www.bosc.cn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(15)广发银行股份有限公司</w:t>
      </w:r>
    </w:p>
    <w:tbl>
      <w:tblPr>
        <w:tblStyle w:val="a9"/>
        <w:tblW w:w="8353" w:type="dxa"/>
        <w:tblLook w:val="04A0" w:firstRow="1" w:lastRow="0" w:firstColumn="1" w:lastColumn="0" w:noHBand="0" w:noVBand="1"/>
      </w:tblPr>
      <w:tblGrid>
        <w:gridCol w:w="2258"/>
        <w:gridCol w:w="609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广州市越秀区农林下路83号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广州市越秀区农林下路83号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王滨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陈泾渭/刘伟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020-38321497/020-38322566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020-38321676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4008308003 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http://www.cgbchina.com.cn/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(16)平安银行股份有限公司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深圳市深南东路5047号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深圳市深南东路5047号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谢永林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施艺帆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021-50979384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021-50979507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95511-3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http://bank.pingan.com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(17)上海农村商业银行股份有限公司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上海市浦东新区银城中路8号15-20楼、22-27楼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上海市浦东新区银城中路8号15-20楼、22-27楼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冀光恒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施传荣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021－38576666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021－50105124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021-962999;4006962999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http://www.srcb.com/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lastRenderedPageBreak/>
        <w:t>(18)北京农村商业银行股份有限公司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北京市西城区月坛南街1号院2号楼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北京市西城区月坛南街1号院2号楼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王金山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鲁娟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010-89198762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010-89198678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96198 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http://www.bjrcb.com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(19)青岛银行股份有限公司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青岛市市南区香港中路68号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青岛市市南区香港中路68号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郭少泉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徐伟静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0532-68629925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0532-68629939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96588（青岛）  400-669-6588（全国）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http://www.qdccb.com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(20)东莞银行股份有限公司</w:t>
      </w:r>
    </w:p>
    <w:tbl>
      <w:tblPr>
        <w:tblStyle w:val="a9"/>
        <w:tblW w:w="8353" w:type="dxa"/>
        <w:tblLook w:val="04A0" w:firstRow="1" w:lastRow="0" w:firstColumn="1" w:lastColumn="0" w:noHBand="0" w:noVBand="1"/>
      </w:tblPr>
      <w:tblGrid>
        <w:gridCol w:w="2273"/>
        <w:gridCol w:w="6080"/>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东莞市莞城区体育路21号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东莞市莞城区体育路21号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卢国锋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吴照群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0769－22119061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0769－22117730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4001196228;0769-96228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http://www.dongguanbank.cn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(21)杭州银行股份有限公司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杭州市庆春路46号杭州银行大厦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杭州市庆春路46号杭州银行大厦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陈震山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严峻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0571－85108195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0571－85106576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http://www.hzbank.com.cn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(22)南京银行股份有限公司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南京市白下区淮海路50号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南京市玄武区中山路288号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林复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刘晔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025－86775335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025－86775376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http://www.njcb.com.cn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(23)汉口银行股份有限公司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武汉市江汉区建设大道933号汉口银行大厦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武汉市江汉区建设大道933号汉口银行大厦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陈新民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027-82656704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027-82656236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027-96558（武汉）;4006096558（全国）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http://www.hkbchina.com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(24)江苏银行股份有限公司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南京市洪武北路55号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南京市中华路26号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夏平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田春慧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025-58587018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025-58587038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http://www.jsbchina.cn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(25)深圳农村商业银行股份有限公司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广东省深圳市罗湖区深南东路3038号合作金融大厦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广东省深圳市罗湖区深南东路3038号合作金融大厦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李光安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常志勇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0755-25188781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0755-25188785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961200，4001961200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http://www.4001961200.com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(26)洛阳银行股份有限公司</w:t>
      </w:r>
    </w:p>
    <w:tbl>
      <w:tblPr>
        <w:tblStyle w:val="a9"/>
        <w:tblW w:w="8353" w:type="dxa"/>
        <w:tblLook w:val="04A0" w:firstRow="1" w:lastRow="0" w:firstColumn="1" w:lastColumn="0" w:noHBand="0" w:noVBand="1"/>
      </w:tblPr>
      <w:tblGrid>
        <w:gridCol w:w="2192"/>
        <w:gridCol w:w="616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洛阳市洛阳新区开元大道与通济街交叉口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洛阳市洛龙区开元大道256号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王建甫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董鹏程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0379-65921977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0379-65921869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0379-96699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http://www.bankofluoyang.com.cn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(27)齐商银行股份有限公司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淄博市张店区中心路105号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淄博市张店区中心路105号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杲传勇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肖 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0533-2178888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0533-2180303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0533-96588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http://www.qsbank.cc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(28)大连银行股份有限公司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辽宁省大连市中山区中山路88号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大连市中山区中山路88号天安国际大厦43楼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陈占维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朱珠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0411-82311131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4006640099 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http://www.bankofdl.com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(29)浙江民泰商业银行股份有限公司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浙江省温岭市太平街道三星大道168号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浙江省杭州市江干区丹桂街8号汉嘉国际401室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江建法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沈斯诺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95343 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www.mintaibank.com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(30)重庆银行股份有限公司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重庆市渝中区邹容路153号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重庆市渝中区邹容路153号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甘为民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孔文超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023- 63792212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023- 63792412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96899（重庆）、400-70-96899（其他地区）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http://www.cqcbank.com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(31)东莞农村商业银行股份有限公司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广东省东莞市东城区鸿福东路2号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广东省东莞市东城区鸿福东路2号东莞农商银行大厦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王耀球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杨亢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0769-22866270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传真：  </w:t>
            </w:r>
          </w:p>
        </w:tc>
        <w:tc>
          <w:tcPr>
            <w:tcW w:w="7440" w:type="dxa"/>
            <w:shd w:val="clear" w:color="auto" w:fill="auto"/>
            <w:hideMark/>
          </w:tcPr>
          <w:p w:rsidR="007507EC" w:rsidRPr="007507EC" w:rsidRDefault="007507EC">
            <w:pPr>
              <w:pStyle w:val="a3"/>
            </w:pPr>
            <w:r w:rsidRPr="007507EC">
              <w:rPr>
                <w:rFonts w:hint="eastAsia"/>
              </w:rPr>
              <w:t xml:space="preserve">0769-22866282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961122 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http://www.drcbank.com/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(32)河北银行股份有限公司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河北省石家庄市平安北大街28号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河北省石家庄市平安北大街28号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乔志强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王丽辉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0311-67806407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0311-88627027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400-612-9999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http://www.hebbank.com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(33)嘉兴银行股份有限公司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嘉兴市建国南路409号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嘉兴市建国南路409号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夏林生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顾晓光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0573-82099660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0573-82099660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0573-96528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http://www.jxccb.com/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(34)广东顺德农村商业银行股份有限公司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佛山市顺德区大良街道办事处德和居委会拥翠路2号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佛山市顺德区大良街道办事处德和居委会拥翠路2号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姚真勇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胡健强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0757-22386489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0757-22388235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0757-2223388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www.sdebank.com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(35)重庆农村商业银行股份有限公司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重庆市江北区洋河东路10号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重庆市江北区洋河东路10号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刘建忠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范亮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023-67637962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966866 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www.cqrcb.com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(36)江苏苏州农村商业银行股份有限公司</w:t>
      </w:r>
    </w:p>
    <w:tbl>
      <w:tblPr>
        <w:tblStyle w:val="a9"/>
        <w:tblW w:w="8353" w:type="dxa"/>
        <w:tblLook w:val="04A0" w:firstRow="1" w:lastRow="0" w:firstColumn="1" w:lastColumn="0" w:noHBand="0" w:noVBand="1"/>
      </w:tblPr>
      <w:tblGrid>
        <w:gridCol w:w="2273"/>
        <w:gridCol w:w="6080"/>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江苏省苏州市吴江区中山南路1777号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江苏省苏州市吴江区中山南路1777号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魏礼亚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陆文菁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0512-63969209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0512-63969209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4008696068   0512-96068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www.szrcb.com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(37)西安银行股份有限公司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西安市高新路60号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西安市高新路60号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郭军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白智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029-88992881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029-88992881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4008696779 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www.xacbank.com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(38)金华银行股份有限公司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浙江省金华市光南路668号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浙江省金华市光南路668号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徐雅清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徐晓峰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0579-83207775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0579-82178321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400-711-6668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http://www.jhccb.com.cn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(39)江苏江南农村商业银行股份有限公司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常州市延陵中路668号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常州市和平中路413号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陆向阳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包静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0519-89995066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0519-89995170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0519-96005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http://www.jnbank.cc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(40)郑州银行股份有限公司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郑州市郑东新区商务外环路22号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郑州市郑东新区商务外环路22号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王天宇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焦明飞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0371-67009698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传真：  </w:t>
            </w:r>
          </w:p>
        </w:tc>
        <w:tc>
          <w:tcPr>
            <w:tcW w:w="7440" w:type="dxa"/>
            <w:shd w:val="clear" w:color="auto" w:fill="auto"/>
            <w:hideMark/>
          </w:tcPr>
          <w:p w:rsidR="007507EC" w:rsidRPr="007507EC" w:rsidRDefault="007507EC">
            <w:pPr>
              <w:pStyle w:val="a3"/>
            </w:pPr>
            <w:r w:rsidRPr="007507EC">
              <w:rPr>
                <w:rFonts w:hint="eastAsia"/>
              </w:rPr>
              <w:t xml:space="preserve">0371-67009097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95097 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http://www.zzbank.cn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(41)广州农村商业银行股份有限公司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广州市天河区珠江新城华夏路1号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广州市天河区珠江新城华夏路1号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王继康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王帆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020-28852675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020-28852675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www.grcbank.com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(42)吉林银行股份有限公司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吉林省长春市经开区东南湖大路1817号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吉林省长春市经开区东南湖大路1817号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唐国兴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孙琦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0431-84999543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0431-84999543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4008896666 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http://www.jlbank.com.cn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(43)苏州银行股份有限公司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江苏省苏州市工业园区钟园路728号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江苏省苏州市工业园区钟园路728号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王兰凤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熊志强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0512-69868390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0512-69868370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96067 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www.suzhoubank.com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(44)珠海华润银行股份有限公司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广东省珠海市吉大九洲大道东1346号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广东省珠海市吉大九洲大道东1346号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刘晓勇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96588（广东省外加拨0756）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0755-82811423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96588（广东省外加拨0756）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http://www.crbank.com.cn/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(45)四川天府银行股份有限公司</w:t>
      </w:r>
    </w:p>
    <w:tbl>
      <w:tblPr>
        <w:tblStyle w:val="a9"/>
        <w:tblW w:w="8353" w:type="dxa"/>
        <w:tblLook w:val="04A0" w:firstRow="1" w:lastRow="0" w:firstColumn="1" w:lastColumn="0" w:noHBand="0" w:noVBand="1"/>
      </w:tblPr>
      <w:tblGrid>
        <w:gridCol w:w="2434"/>
        <w:gridCol w:w="591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四川省南充市顺庆区涪江路1号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四川省南充市滨江中路一段97号26栋泰和尚渡南充市商业银行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黄光伟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李俊辉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0817-7118079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0817-7118322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400-16-96869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www.tf.cn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(46)晋商银行股份有限公司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山西省太原市万柏林区长风西街一号丽华大厦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山西省太原市万柏林区长风西街一号丽华大厦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阎俊生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董嘉文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0351-6819926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0351-6819926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95105588 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http://www.jshbank.com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(47)福建海峡银行股份有限公司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福建省福州市台江区江滨中大道358号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福州台江区江滨中大道358号福建海峡银行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俞敏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吴白玫、张翠娟、黄钰雯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0591-87332762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0591-87330926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400-893-9999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www.fjhxbank.com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(48)广东南海农村商业银行股份有限公司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佛山市南海区桂城街道南海大道北26号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佛山市南海区桂城街道南海大道北26号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李宜心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廖雪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0757-86266566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0757-86250627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96138 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www.nanhaibank.com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(49)天相投资顾问有限公司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北京市西城区金融街19号富凯大厦B座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北京市西城区新街口外大街28号C座5层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林义相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尹伶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010-66045529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010－66045500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010-66045678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http://www.txsec.com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(50)鼎信汇金（北京）投资管理有限公司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北京市海淀区太月园3号楼5层521室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北京市海淀区太月园3号楼5层521室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齐凌峰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010-82098631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010-82086110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400-158-5050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www.9ifund.com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(51)深圳市新兰德证券投资咨询有限公司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深圳市福田区华强北路赛格科技园4栋10层1006#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北京市西城区宣武门外大街28号富卓大厦A座6层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马勇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张燕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010-58325388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010-58325300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400-166-1188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http://8.jrj.com.cn/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(52)厦门市鑫鼎盛控股有限公司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厦门市思明区鹭江道2号厦门第一广场1501-1504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厦门市思明区鹭江道2号厦门第一广场1501-1504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陈洪生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徐明静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0592-3122716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0592-8060771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400-918-0808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www.xds.com.cn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(53)江苏天鼎证券投资咨询有限公司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南京市秦淮区太平南路389号1002室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南京市鼓楼区平安里74号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金婷婷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黄丹昀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025-66001159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025-66001172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025-962155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www.tdtz888.com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(54)上海挖财金融信息服务有限公司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中国（上海）自由贸易试验区杨高南路799号5楼01、02、03室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上海市浦东新区杨高南路799号陆家嘴世纪金融广场3号楼5层01、02、03室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胡燕亮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021-50810687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021-58300279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021-50810673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http://wacaijijin.com/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(55)大河财富基金销售有限公司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贵州省贵阳市南明区新华路110-134号富中国际广场1栋20层1、2号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贵州省贵阳市南明区新华路110-134号富中国际广场1栋20层1、2号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王荻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方凯鑫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0851-88405606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0851-88405599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0851-88235678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www.urainf.com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(56)喜鹊财富基金销售有限公司</w:t>
      </w:r>
    </w:p>
    <w:tbl>
      <w:tblPr>
        <w:tblStyle w:val="a9"/>
        <w:tblW w:w="8353" w:type="dxa"/>
        <w:tblLook w:val="04A0" w:firstRow="1" w:lastRow="0" w:firstColumn="1" w:lastColumn="0" w:noHBand="0" w:noVBand="1"/>
      </w:tblPr>
      <w:tblGrid>
        <w:gridCol w:w="2385"/>
        <w:gridCol w:w="596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西藏拉萨市柳梧新区柳梧大厦1513室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北京市朝阳区北苑路甲1号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王舰正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010-58349088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0891-6177483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400-699-7719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www.xiquefund.com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(57)腾安基金销售（深圳）有限公司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深圳市前海深港合作区前湾一路1号A栋201室（入驻深圳市前海商务秘书有限公司）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深圳市南山区海天二路33号腾讯滨海大厦15层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刘明军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谭广锋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0755-86013399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95017(拨通后转1再转8)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https://www.txfund.com/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(58)民商基金销售（上海）有限公司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上海黄浦区北京东路666号H区（东座）6楼A31室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上海市浦东新区张杨路707号生命人寿大厦32楼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贲惠琴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钟伟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020-50206003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020-50206001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020-50206003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www.msftec.com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(59)北京度小满基金销售有限公司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北京市海淀区西北旺东路10号院西区4号楼1层103室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北京市海淀区西北旺东路10号院西区4号楼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葛新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孙博超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010-59403028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010-59403027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95055-4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www.baiyingfund.com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(60)诺亚正行基金销售有限公司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上海市金山区廊下镇漕廊公路7650号205室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上海浦东新区银城中路68号时代金融中心8楼801室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汪静波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方成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021-38602377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021-38509777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400-821-5399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http://www.noah-fund.com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(61)深圳众禄基金销售股份有限公司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深圳市罗湖区梨园路物资控股置地大厦8楼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深圳市罗湖区梨园路物资控股置地大厦8楼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薛峰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童彩平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0755-33227950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0755-33227951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400-678-8887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https://www.zlfund.cn/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(62)上海天天基金销售有限公司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上海市徐汇区龙田路190号2号楼2层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上海市徐汇区龙田路195号3C座9楼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其实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潘世友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021-54509998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021-64385308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400-181-8188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http://www.1234567.com.cn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(63)上海好买基金销售有限公司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上海市虹口区场中路685弄37号4号楼449室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上海市浦东新区浦东南路1118号鄂尔多斯国际大厦903～906室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杨文斌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021-20613610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400-700-9665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http://www.howbuy.com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(64)蚂蚁（杭州）基金销售有限公司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杭州市余杭区仓前街道文一西路1218号1栋202室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浙江省杭州市滨江区江南大道3588号恒生大厦12楼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陈柏青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朱晓超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021-60897840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0571-26697013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400-076-6123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http://www.fund123.cn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(65)上海长量基金销售有限公司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上海市浦东新区高翔路526号2幢220室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上海市浦东新区东方路1267号11层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张跃伟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敖玲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021-58788678-8201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021—58787698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400-820-2899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http://www.erichfund.com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(66)浙江同花顺基金销售有限公司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杭州市西湖区文二西路1号元茂大厦903室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浙江省杭州市余杭区五常街道同顺街18号同花顺大楼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凌顺平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电话：  </w:t>
            </w:r>
          </w:p>
        </w:tc>
        <w:tc>
          <w:tcPr>
            <w:tcW w:w="7440" w:type="dxa"/>
            <w:shd w:val="clear" w:color="auto" w:fill="auto"/>
            <w:hideMark/>
          </w:tcPr>
          <w:p w:rsidR="007507EC" w:rsidRPr="007507EC" w:rsidRDefault="007507EC">
            <w:pPr>
              <w:pStyle w:val="a3"/>
            </w:pPr>
            <w:r w:rsidRPr="007507EC">
              <w:rPr>
                <w:rFonts w:hint="eastAsia"/>
              </w:rPr>
              <w:t xml:space="preserve">0571-88911818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0571-86800423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400-877-3772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www.5ifund.com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(67)北京展恒基金销售股份有限公司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北京市顺义区后沙峪镇安富街6号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北京市朝阳区德胜门外华严北里2号民建大厦6层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闫振杰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焦琳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010--62020088-8288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010—62020088-8802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400-888-6661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http://www.myfund.com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(68)上海利得基金销售有限公司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上海市宝山区蕴川路5475号1033室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上海浦东新区峨山路91弄61号10号楼12楼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李兴春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徐鹏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021-50583533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021-50583633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400-921-7755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http://a.leadfund.com.cn/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(69)嘉实财富管理有限公司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上海市浦东新区世纪大道8号上海国金中心办公楼二期46层4609-10单元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北京市朝阳区建国门外大街21号北京国际俱乐部C座写字楼11层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赵学军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余永键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010-85097570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010-65215433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400-021-8850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www.harvestwm.cn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(70)乾道金融信息服务（北京）有限公司</w:t>
      </w:r>
    </w:p>
    <w:tbl>
      <w:tblPr>
        <w:tblStyle w:val="a9"/>
        <w:tblW w:w="8353" w:type="dxa"/>
        <w:tblLook w:val="04A0" w:firstRow="1" w:lastRow="0" w:firstColumn="1" w:lastColumn="0" w:noHBand="0" w:noVBand="1"/>
      </w:tblPr>
      <w:tblGrid>
        <w:gridCol w:w="2385"/>
        <w:gridCol w:w="596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北京市海淀区东北旺村南1号楼7层7117室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北京市西城区德外大街合生财富广场1302室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王兴吉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高雪超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010-62062880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010-82057741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400-088-8080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www.qiandaojr.com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(71)北京创金启富基金销售有限公司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北京市西城区民丰胡同31号5号楼215A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北京市西城区民丰胡同31号5号楼215A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梁蓉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田磊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010-66154828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010-88067526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010-88067525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www.5irich.com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(72)宜信普泽（北京）基金销售有限公司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北京市朝阳区建国路88号9号楼15层1809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北京市朝阳区建国路88号SOHO现代城C座18层1809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戎兵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程刚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010-52855713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010-85894285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400-609-9200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http://www.yixinfund.com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(73)南京苏宁基金销售有限公司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南京市玄武区苏宁大道1-5号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南京市玄武区苏宁大道1-5号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钱燕飞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喻明明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025-66996699-884131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025-66996699-884131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95177 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www.snjijin.com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(74)浦领基金销售有限公司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北京市朝阳区望京东园四区2号楼10层1001号04室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北京市朝阳区望京中航资本大厦10层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聂婉君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010-59497361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010-64788016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400-012-5899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www.zscffund.com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(75)深圳腾元基金销售有限公司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深圳市福田区金田路2028号卓越世纪中心1号楼</w:t>
            </w:r>
            <w:r w:rsidRPr="007507EC">
              <w:rPr>
                <w:rFonts w:hint="eastAsia"/>
              </w:rPr>
              <w:lastRenderedPageBreak/>
              <w:t xml:space="preserve">1806-1808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深圳市福田区金田路2028号卓越世纪中心1号楼1806-1808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曾革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鄢萌莎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0755-33376922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0755-33065516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400-990-8600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www.tenyuanfund.com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(76)通华财富（上海）基金销售有限公司</w:t>
      </w:r>
    </w:p>
    <w:tbl>
      <w:tblPr>
        <w:tblStyle w:val="a9"/>
        <w:tblW w:w="8353" w:type="dxa"/>
        <w:tblLook w:val="04A0" w:firstRow="1" w:lastRow="0" w:firstColumn="1" w:lastColumn="0" w:noHBand="0" w:noVBand="1"/>
      </w:tblPr>
      <w:tblGrid>
        <w:gridCol w:w="2258"/>
        <w:gridCol w:w="609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上海市虹口区同丰路667弄107号201室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上海市浦东新区杨高南路799号陆家嘴世纪金融广场3号楼9楼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马刚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杨徐霆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021-60818249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021-60818280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400-101-9301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https://www.tonghuafund.com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(77)北京恒天明泽基金销售有限公司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北京市北京经济技术开发区宏达北路10号5层5122室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北京市朝阳区东三环中路20号乐成中心A座23层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周斌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马鹏程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010-57756074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010-56810782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400-8980-618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www.chtwm.com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(78)北京汇成基金销售有限公司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北京市西城区西直门外大街1号院2号楼（西环广场T2）19层19C13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北京市西城区西直门外大街1号院2号楼（西环广场T2）19层19C13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王伟刚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丁向坤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010-56282140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010-62680827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400-619-9059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www.hcjijin.com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(79)深圳盈信基金销售有限公司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深圳市福田区莲花街道商报东路英龙商务大厦8楼A-1（811-812）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大连市中山区南山路155号南山1910小区A3-1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苗宏升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胡碧萱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0411-66889888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0411-66889827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400-790-3688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www.fundying.com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(80)一路财富（北京）基金销售股份有限公司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北京市西城区车公庄大街9号院5号楼702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北京市西城区阜成门外大街2号万通新世界A座2208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吴雪秀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段京璐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010-88312877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010-88312099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400-001-1566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http://www.yilucaifu.com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(81)北京钱景基金销售有限公司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北京市海淀区丹棱街6号1幢9层1008-1012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北京市海淀区丹棱街6号1幢9层1008-1012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赵荣春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魏争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010-57418829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010-57569671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400-893-6885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www.qianjing.com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(82)北京唐鼎耀华基金销售有限公司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北京市延庆县延庆经济开发区百泉街10号2栋236室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北京市朝阳区亮马桥路甲40号二十一世纪大厦A303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张冠宇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周君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010-53570568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010-59200800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400-819-9868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http://www.tdyhfund.com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(83)北京植信基金销售有限公司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北京市密云县兴盛南路8号院2号楼106-67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北京市朝阳区建华南路6号 卓明大厦2层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于龙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叶航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010-65166112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010-65166001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4006-802-123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http://www.zhixin-inv.com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(84)海银基金销售有限公司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中国（上海）自由贸易试验区银城中路8号402室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上海市浦东新区银城中路8号4楼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巩巧丽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毛林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021-80133597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021-80133413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400-808-1016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www.fundhaiyin.com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(85)北京广源达信投资管理有限公司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北京市西城区新街口外大街28号C座6层605室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北京市朝阳区望京东园四区13号楼浦项中心B座19层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齐剑辉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王英俊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400-623-6060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010-82055860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400-623-6060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www.niuniufund.com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(86)天津国美基金销售有限公司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天津经济技术开发区南港工业区综合服务区办公楼D座二层202-124室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北京市朝阳区霄云路26号鹏润大厦B座19层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丁东华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郭宝亮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010-59287061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010-59287825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400-111-0889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www.gomefund.com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(87)北京新浪仓石基金销售有限公司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北京市海淀区东北旺西路中关村软件园二期（西扩）N-1、N-2地块新浪总部科研楼5层518室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北京市海淀区西北旺东路10号院东区3号楼为明大厦C座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赵芯蕊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赵芯蕊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010-62675768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010-62676582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010-62675369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www.xincai.com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(88)北京加和基金销售有限公司</w:t>
      </w:r>
    </w:p>
    <w:tbl>
      <w:tblPr>
        <w:tblStyle w:val="a9"/>
        <w:tblW w:w="8353" w:type="dxa"/>
        <w:tblLook w:val="04A0" w:firstRow="1" w:lastRow="0" w:firstColumn="1" w:lastColumn="0" w:noHBand="0" w:noVBand="1"/>
      </w:tblPr>
      <w:tblGrid>
        <w:gridCol w:w="2385"/>
        <w:gridCol w:w="596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北京市西城区车公庄大街4号5号楼1层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北京市西城区车公庄大街4号北礼士路甲129号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徐福星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陈莹莹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010-68998820-8306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010-88381550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400-600-0030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www.bzfunds.com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(89)北京辉腾汇富基金销售有限公司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北京市东城区建国门内大街18号15层办公楼一座1502室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北京市东城区朝阳门北大街8号富华大厦F座12层B室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65181028 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65174782 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400-829-1218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http://www.htfund.com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(90)上海万得基金销售有限公司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中国（上海）自由贸易试验区福山路33号11楼B座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上海市浦东新区浦明路1500号万得大厦11楼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王廷富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姜吉灵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021-5132 7185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021-6888 2281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400-821-0203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www.520fund.com.cn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(91)凤凰金信（海口）基金销售有限公司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宁夏回族自治区银川市金凤区阅海湾中央商务区万寿路142号14层1402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北京市朝阳区紫月路18号院 朝来高科技产业园18号楼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程刚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张旭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010-58160168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010-58160173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400-810-5919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www.fengfd.com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(92)上海联泰基金销售有限公司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中国（上海）自由贸易试验区富特北路277号3层310室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上海市长宁区福泉北路 518 号 8 座 3 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燕斌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兰敏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021-52822063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021-52975270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400-166-6788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www.66zichan.com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(93)深圳市金海九州基金销售有限公司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深圳市前海深港合作区前湾一路1号A栋201室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深圳市福田区富德生命人寿大厦1106室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彭维熙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彭维熙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0755-81994266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0755-84333886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4000-099-3333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www.jhjzfund.com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(94)上海汇付金融服务有限公司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上海市黄浦区中山南路100号19层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上海市黄浦区中山南路100号金外滩国际广场19层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冯修敏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黄敏儿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021-33323999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021-33323830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400-820-2819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fund.bundtrade.com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(95)北京坤元基金销售有限公司</w:t>
      </w:r>
    </w:p>
    <w:tbl>
      <w:tblPr>
        <w:tblStyle w:val="a9"/>
        <w:tblW w:w="8353" w:type="dxa"/>
        <w:tblLook w:val="04A0" w:firstRow="1" w:lastRow="0" w:firstColumn="1" w:lastColumn="0" w:noHBand="0" w:noVBand="1"/>
      </w:tblPr>
      <w:tblGrid>
        <w:gridCol w:w="2273"/>
        <w:gridCol w:w="6080"/>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北京市延庆县延庆经济开发区百泉街10号2栋871室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北京市东城区建国门内大街8号B座501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李雪松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马镜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010-85264505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010-85264522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010-85264528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http://www.kunyuanfund.com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(96)北京微动利基金销售有限公司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北京市石景山区古城西路113号景山财富中心341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北京市石景山区古城西路113号景山财富中心341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季长军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季长军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010-52609656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010-51957430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400-819-6665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www.buyforyou.com.cn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(97)江西正融基金销售有限公司</w:t>
      </w:r>
    </w:p>
    <w:tbl>
      <w:tblPr>
        <w:tblStyle w:val="a9"/>
        <w:tblW w:w="8353" w:type="dxa"/>
        <w:tblLook w:val="04A0" w:firstRow="1" w:lastRow="0" w:firstColumn="1" w:lastColumn="0" w:noHBand="0" w:noVBand="1"/>
      </w:tblPr>
      <w:tblGrid>
        <w:gridCol w:w="2385"/>
        <w:gridCol w:w="596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江西省南昌市高新开发区紫阳大道绿地新都会38栋商业楼2107室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江西省南昌市高新开发区紫阳大道绿地新都会38栋商业楼2107室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陆雯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胡聪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13879129841 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0791-86692502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www.jxzrzg.com.cn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(98)上海基煜基金销售有限公司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上海市崇明县长兴镇路潘园公路1800号2号楼6153室（上海泰和经济发展区）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上海市浦东新区银城中路488号太平金融大厦1503室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王翔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蓝杰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021-65370077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021-55085991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400-820-5369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www.jiyufund.com.cn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(99)上海凯石财富基金销售有限公司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上海市黄浦区西藏南路765号602-115室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上海市黄浦区延安东路1号凯石大厦四楼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陈继武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李晓明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021-63333319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021-63332523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400-643-3389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www.lingxianfund.com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lastRenderedPageBreak/>
        <w:t>(100)上海中正达广基金销售有限公司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上海市徐汇区龙腾大道2815号302室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上海市徐汇区龙腾大道2815号302室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黄欣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何源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13817792090 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021-33768132-802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021-33635338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www.zhongzhengfund.com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(101)北京虹点基金销售有限公司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北京市朝阳区西大望路1号1号楼1603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北京市朝阳区工人体育馆北路甲2号盈科中心B座裙楼二层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董浩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于婷婷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010-56409010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010-56580660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400-618-0707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www.hongdianfund.com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(102)深圳新华信通基金销售有限公司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深圳市前海深港合作区前湾一路1号A栋201室（入驻深圳市前海商务秘书有限公司）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深圳市福田区深南大道2003号华嵘大厦1806单元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韩森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刘雪敏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13760218733 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400-000-5767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www.xintongfund.com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(103)深圳富济基金销售有限公司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深圳市福田区福田街道岗厦社区金田路3088号中洲大厦3203A单元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深圳市福田区福田街道岗厦社区金田路3088号中洲大厦3203A单元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祝中村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曾瑶敏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0755-83999907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0755-83999926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0755-83999907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www.fujifund.cn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(104)上海陆金所基金销售有限公司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上海市浦东新区陆家嘴环路1333号14楼09单元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上海市浦东新区陆家嘴环路1333号14楼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郭坚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宁博宇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021-20665952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021-22066653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400-821-9031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www.lufunds.com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(105)珠海盈米基金销售有限公司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珠海市横琴新区宝华路6号105室-3491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广州市海珠区琶洲大道东1号保利国际广场南塔12楼B1201-1203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肖雯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吴煜浩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020-89629099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020-89629011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020-80629066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www.yingmi.cn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(106)和耕传承基金销售有限公司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郑州市郑东新区东风南路康宁街互联网金融大厦602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郑州市郑东新区东风南路康宁街互联网金融大厦602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李淑慧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董亚芳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0371-85518391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0371-85518397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400-360-0000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www.nicaifu.com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(107)南京途牛基金销售有限公司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南京市玄武区玄武大道699-1号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南京市玄武区玄武大道699-32号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宋时琳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张士帅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025-86853969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025-86853999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4007-999-999转3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http://jr.tuniu.com/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(108)奕丰基金销售有限公司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 栋 201 室（入驻深圳市前海商务秘书有限公司）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深圳市南山区海德三路海岸大厦东座1116室及1307</w:t>
            </w:r>
            <w:r w:rsidRPr="007507EC">
              <w:rPr>
                <w:rFonts w:hint="eastAsia"/>
              </w:rPr>
              <w:lastRenderedPageBreak/>
              <w:t xml:space="preserve">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TAN YIK KUAN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许雅君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0755-89460502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0755-21674453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0755-89460500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www.ifastps.com.cn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(109)中证金牛（北京）投资咨询有限公司</w:t>
      </w:r>
    </w:p>
    <w:tbl>
      <w:tblPr>
        <w:tblStyle w:val="a9"/>
        <w:tblW w:w="8353" w:type="dxa"/>
        <w:tblLook w:val="04A0" w:firstRow="1" w:lastRow="0" w:firstColumn="1" w:lastColumn="0" w:noHBand="0" w:noVBand="1"/>
      </w:tblPr>
      <w:tblGrid>
        <w:gridCol w:w="2434"/>
        <w:gridCol w:w="591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北京市丰台区东管头1号2号楼2-45室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北京市西城区宣武门外大街甲1号环球财讯中心A座5层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钱昊旻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孙雯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010-59336519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010-59336500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400-890-9998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www.jnlc.com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(110)北京懒猫金融信息服务有限公司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北京市石景山区石景山路31号院盛景国际广场3号楼1119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北京市朝阳区呼家楼安联大厦715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许现良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张苗苗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15110085067 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010-87723200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400-150-0882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www.lanmao.com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(111)北京肯特瑞基金销售有限公司</w:t>
      </w:r>
    </w:p>
    <w:tbl>
      <w:tblPr>
        <w:tblStyle w:val="a9"/>
        <w:tblW w:w="8353" w:type="dxa"/>
        <w:tblLook w:val="04A0" w:firstRow="1" w:lastRow="0" w:firstColumn="1" w:lastColumn="0" w:noHBand="0" w:noVBand="1"/>
      </w:tblPr>
      <w:tblGrid>
        <w:gridCol w:w="2385"/>
        <w:gridCol w:w="596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北京市海淀区海淀东三街2号4层401-15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北京市经济开发区科创十一街18号院京东总部A座4层A428室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江卉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徐伯宇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400-098-8511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010-89188000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400-088-8816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http://jr.jd.com/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(112)大连网金基金销售有限公司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辽宁省大连市沙河口区体坛路22号2层202室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辽宁省大连市沙河口区体坛路22号2层202室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卜勇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卜勇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0411-39027800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0411-39027888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400-089-9100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http://www.yibaijin.com/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(113)深圳市金斧子基金销售有限公司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深圳市南山区粤海街道科技园中区科苑路15号科兴科学园B栋3单元11层1108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深圳市南山区粤海街道科技园中区科苑路15号科兴科学园B栋3单元11层1108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赖任军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刘昕霞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0755-29330513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0755-26920530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400-930-0660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www.jfzinv.com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(114)北京蛋卷基金销售有限公司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北京市朝阳区阜通东大街1号院6号楼2单元21层222507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北京市朝阳区阜通东大街1号院6号楼2单元21层222507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钟斐斐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戚晓强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15810005516 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010-85659484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400-061-8518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danjuanapp.com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(115)深圳前海凯恩斯基金销售有限公司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深圳市前海深港合作区前湾一路1号A栋201室（入驻深圳市前海商务秘书有限公司）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深圳市福田区深南大道6019号金润大厦23A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高锋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0755-83655588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0755-83655518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400-804-8688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www.keynesasset.com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(116)深圳前海欧中联合基金销售有限公司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深圳市前海深港合作区前湾一路1号A栋201室（入驻</w:t>
            </w:r>
            <w:r w:rsidRPr="007507EC">
              <w:rPr>
                <w:rFonts w:hint="eastAsia"/>
              </w:rPr>
              <w:lastRenderedPageBreak/>
              <w:t xml:space="preserve">深圳市前海商务秘书有限公司）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深圳市宝安中心区海秀路19号国际西岸商务大厦703、705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梁双凤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梁双凤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0755-23073400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0755-23328531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0755-23073400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http://www.ecpefund.com/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(117)深圳前海财厚基金销售有限公司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深圳市前海深港合作区前湾一路1号A栋201室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深圳市南山区深圳湾科技生态园三区11栋A座3608室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杨艳平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叶见云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0755-86575665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0755-26640652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4001286800 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www.caiho.cn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(118)天津万家财富资产管理有限公司</w:t>
      </w:r>
    </w:p>
    <w:tbl>
      <w:tblPr>
        <w:tblStyle w:val="a9"/>
        <w:tblW w:w="8353" w:type="dxa"/>
        <w:tblLook w:val="04A0" w:firstRow="1" w:lastRow="0" w:firstColumn="1" w:lastColumn="0" w:noHBand="0" w:noVBand="1"/>
      </w:tblPr>
      <w:tblGrid>
        <w:gridCol w:w="2243"/>
        <w:gridCol w:w="6110"/>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天津自贸区（中心商务区）迎宾大道1988号滨海浙商大厦公寓2-2413室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北京市西城区丰盛胡同28号太平洋保险大厦5层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李修辞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孙雪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010-59013825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010-59013707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010-59013825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http://www.wanjiawealth.com/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(119)上海华夏财富投资管理有限公司</w:t>
      </w:r>
    </w:p>
    <w:tbl>
      <w:tblPr>
        <w:tblStyle w:val="a9"/>
        <w:tblW w:w="8353" w:type="dxa"/>
        <w:tblLook w:val="04A0" w:firstRow="1" w:lastRow="0" w:firstColumn="1" w:lastColumn="0" w:noHBand="0" w:noVBand="1"/>
      </w:tblPr>
      <w:tblGrid>
        <w:gridCol w:w="2258"/>
        <w:gridCol w:w="609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上海市虹口区东大名路687号1幢2楼268室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上海市虹口区东大名路687号1幢2楼268室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毛淮平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张静怡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010-88066326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400-817-5666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https://www.amcfortune.com/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(120)洪泰财富（青岛）基金销售有限责任公司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山东省青岛市崂山区香港东路195号9号楼701室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山东省青岛市崂山区海尔路188号浦发银行大厦706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任淑桢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任淑桢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0532-66728591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0532-66728591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400-670-6863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www.hongtaiwealth.com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(121)中国国际期货股份有限公司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北京市朝阳区建国门外光华路14号1幢1层、2层、9层、11层、12层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北京市朝阳区麦子店西路3号新恒基国际大厦15层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王兵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赵森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010-59539864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95162、400-8888-160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http://www.cifco.net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(122)中信建投期货有限公司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重庆市渝中区中山三路107号上站大楼平街11-B，名义层11-A，8-B4，9-B、C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重庆市渝中区中山三路107号皇冠大厦11楼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彭文德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刘芸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023-89769637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023-86769629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400-8877-780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www.cfc108.com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(123)中信期货有限公司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深圳市福田区中心三路8号卓越时代广场（二期）北座13层1301-1305室、14层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深圳市福田区中心三路8号卓越时代广场（二期）北座13层1301-1305室、14层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张皓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刘宏莹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010-60833754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021-60819988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400-990-8826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www.citicsf.com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(124)徽商期货有限责任公司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安徽省合肥市芜湖路258号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安徽省合肥市芜湖路258号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吴国华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杨彩格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0551-62865999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0551-62865899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400-887-8707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www.hsqh.net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(125)东海期货有限责任公司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江苏省常州市延陵西路23、25、27、29号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上海市浦东新区东方路1928号东海证券大厦8楼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陈太康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李天雨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021-68757102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021-68757102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www.qh168.com.cn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(126)大有期货有限公司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湖南省长沙市天心区芙蓉南路二段128号现代广场三、四楼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湖南省长沙市天心区芙蓉南路二段128号现代广场三、四楼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沈众辉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马科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0731-84409000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0731-84409009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400-636-5058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www.dayouf.com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(127)和合期货有限公司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山西省太原市迎泽区菜园东街2号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山西省太原市迎泽区菜园东街2号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刘晓洁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关晓婷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0351-7342538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0351-7342538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400-660-4882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http://www.hhqh.com.cn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(128)国泰君安证券股份有限公司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中国（上海）自由贸易试验区商城路618号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上海市静安区新闸路669号博华广场21层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贺青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钟伟镇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021-38676666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021-38670666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95521/4008888666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https://www.gtja.com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(129)中信建投证券股份有限公司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北京市朝阳区安立路66号4号楼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北京市朝阳门内大街188号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王常青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010-65608231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010－65182261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4008888108/95587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http://www.csc108.com/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(130)国信证券股份有限公司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深圳市罗湖区红岭中路1012号国信证券大厦十六层至二十六层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深圳市罗湖区红岭中路1012号国信证券大厦十六层至二十六层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何如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李颖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0755-82130833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0755-82133952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95536 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http://www.guosen.com.cn/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(131)招商证券股份有限公司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深圳市福田区福田街道福华一路111号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深圳市福田区福华一路111号招商证券大厦23楼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霍达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黄婵君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0755-82943666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0755-83734343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4008888111；95565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http://www.newone.com.cn/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(132)中信证券股份有限公司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广东省深圳市福田区中心三路8号卓越时代广场（二期）北座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北京朝阳区新源南路6号京城大厦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张佑君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马静懿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010-60833889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010－84865560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400-889-5548/95548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http://www.cs.ecitic.com/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(133)中国银河证券股份有限公司</w:t>
      </w:r>
    </w:p>
    <w:tbl>
      <w:tblPr>
        <w:tblStyle w:val="a9"/>
        <w:tblW w:w="8353" w:type="dxa"/>
        <w:tblLook w:val="04A0" w:firstRow="1" w:lastRow="0" w:firstColumn="1" w:lastColumn="0" w:noHBand="0" w:noVBand="1"/>
      </w:tblPr>
      <w:tblGrid>
        <w:gridCol w:w="2226"/>
        <w:gridCol w:w="612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北京市西城区金融大街35号国际企业大厦C座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北京市西城区金融大街35号国际企业大厦C座2－6层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陈共炎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辛国政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010-83574507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010-66568990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95551/4008888888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http://www.chinastock.com.cn/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(134)海通证券股份有限公司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上海市淮海中路98号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上海市广东路689号海通证券大厦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周杰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李笑鸣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021-23219275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021－63602722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http://www.htsec.com/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(135)申万宏源证券有限公司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上海市徐汇区长乐路989号45层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上海市徐汇区长乐路989号45层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杨玉成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余敏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021-33388252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021-33388224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95523或4008895523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www.swhysc.com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(136)长江证券股份有限公司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武汉市新华路特8号长江证券大厦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武汉市新华路特8号长江证券大厦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李新华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奚博宇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027-65799999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027-85481900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95579;4008-888-999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http://www.95579.com/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(137)万联证券股份有限公司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广州市天河区珠江东路11号高德置地广场F栋18、19</w:t>
            </w:r>
            <w:r w:rsidRPr="007507EC">
              <w:rPr>
                <w:rFonts w:hint="eastAsia"/>
              </w:rPr>
              <w:lastRenderedPageBreak/>
              <w:t xml:space="preserve">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广州市天河区珠江东路11号高德置地广场F栋18、19层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罗钦城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甘蕾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020-38286026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020－22373718－1013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4008888133 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http://www.wlzq.cn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(138)华泰证券股份有限公司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南京市江东中路228号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办公地址 南京市建邺区江东中路228号华泰证券广场、深圳市福田区深南大道4011号港中旅大厦18楼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胡子豪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021-50531281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0755-82492962（深圳）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95597 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http://www.htsc.com.cn/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(139)中信证券（山东）有限责任公司</w:t>
      </w:r>
    </w:p>
    <w:tbl>
      <w:tblPr>
        <w:tblStyle w:val="a9"/>
        <w:tblW w:w="8353" w:type="dxa"/>
        <w:tblLook w:val="04A0" w:firstRow="1" w:lastRow="0" w:firstColumn="1" w:lastColumn="0" w:noHBand="0" w:noVBand="1"/>
      </w:tblPr>
      <w:tblGrid>
        <w:gridCol w:w="2153"/>
        <w:gridCol w:w="6200"/>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青岛市崂山区深圳路222号青岛国际金融广场1号楼20层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青岛市市南区东海西路28号龙翔广场东2、5层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姜晓林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孙秋月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0532-85022026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0532-85022605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95548 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http://www.cs.ecitic.com/newsite/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(140)东吴证券股份有限公司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江苏省苏州市翠园路181号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江苏省苏州市星阳街5号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范力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陆晓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0512-62938521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0512－65588021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4008601555 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http://www.dwjq.com.cn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(141)东方证券股份有限公司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上海市中山南路318号2号楼22层－29层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上海市中山南路318号2号楼21层－29层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潘鑫军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朱琼玉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021-63325888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021－63326729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http://www.dfzq.com.cn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(142)方正证券股份有限公司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湖南长沙芙蓉中路2段华侨国际大厦22-24层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湖南长沙芙蓉中路2段华侨国际大厦22-24层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施华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010-56437060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0731-85832214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95571 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http://www.foundersc.com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(143)长城证券股份有限公司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深圳市深南大道6008号特区报业大厦16、17层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深圳市深南大道6008号特区报业大厦14、16、17层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丁益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沈晓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0755-83464734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0755－83515567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4006666888 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http://www.cgws.com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(144)光大证券股份有限公司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上海市静安区新闸路1508号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上海市静安区新闸路1508号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刘秋明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李芳芳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021-22169089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021－22169134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4008888788；95525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http://www.ebscn.com/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(145)中信证券华南股份有限公司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广州市天河区珠江西路5号广州国际金融中心主塔19层、20层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广州市天河区珠江西路5号广州国际金融中心主塔19层、20层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胡伏云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何雯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020-88836999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020-88836984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95396 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http://www.gzs.com.cn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(146)东北证券股份有限公司</w:t>
      </w:r>
    </w:p>
    <w:tbl>
      <w:tblPr>
        <w:tblStyle w:val="a9"/>
        <w:tblW w:w="8353" w:type="dxa"/>
        <w:tblLook w:val="04A0" w:firstRow="1" w:lastRow="0" w:firstColumn="1" w:lastColumn="0" w:noHBand="0" w:noVBand="1"/>
      </w:tblPr>
      <w:tblGrid>
        <w:gridCol w:w="2375"/>
        <w:gridCol w:w="597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长春市生态大街6666号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长春市生态大街6666号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李福春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安岩岩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0431-85096517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0431-85096795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http://www.nesc.cn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(147)新时代证券股份有限公司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北京市海淀区北三环西路99号院1号楼15层1501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北京市海淀区北三环西路99号院1号楼15层1501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叶顺德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田芳芳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010-83561000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010-83561001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http://www.xsdzq.cn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(148)大同证券有限责任公司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大同市城区迎宾街15号桐城中央21层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太原市长治路111 号山西世贸中心A 座F12、F13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董祥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薛津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0351－4130322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0351－4192803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4007121212 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http://www.dtsbc.com.cn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(149)国联证券股份有限公司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无锡市县前东街168号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江苏省无锡市太湖新城金融一街8号国联金融大厦702室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姚志勇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祁昊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0510-82831662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0510-82830162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0510-82830162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http://www.glsc.com.cn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(150)浙商证券股份有限公司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浙江省杭州市江干区五星路201号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浙江省杭州市江干区四季青街道五星路201号浙商证券5楼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吴承根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胡相斌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0571-87902239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0571－87901913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95345 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http://www.stocke.com.cn/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(151)平安证券股份有限公司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广东省深圳市福田中心区金田路4036号荣超大厦16-20层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广东省深圳市福田中心区金田路4036号荣超大厦16-20层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何之江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021-38632136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0755－82400862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0755-22628888/95511-8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http:www.stock.pingan.com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(152)华安证券股份有限公司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安徽省合肥市政务文化新区天鹅湖路198号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安徽省合肥市南二环959号财智中心B1座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章宏韬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范超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0551-65161821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0551－65161672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http://www.hazq.com/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(153)东莞证券有限责任公司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东莞市莞城区可园南路1号金源中心30楼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东莞市莞城区可园南路1号金源中心30楼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李荣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0769-22116572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0769-22115712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http://www.dgzq.com.cn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lastRenderedPageBreak/>
        <w:t>(154)东海证券股份有限公司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江苏省常州延陵西路23号投资广场18层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上海市浦东新区东方路1928号东海证券大厦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钱俊文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王一彦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021-20333333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021-50498825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95531; 4008888588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http://www.longone.com.cn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(155)中银国际证券股份有限公司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 中国上海浦东银城中路200号中银大厦39-40层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上海市浦东新区银城中路200号中银大厦39层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宁敏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许慧琳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021-20328531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021－50372474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4006208888；021-61195566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http://www.bocichina.com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(156)国盛证券有限责任公司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江西省南昌市新建区子实路1589号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江西省南昌市红谷滩新区凤凰中大道1115号北京银行大厦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徐丽峰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占文驰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0791－86283372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0791－6289395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4008222111 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https://www.gszq.com/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(157)华西证券股份有限公司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四川省成都市高新区天府二街198号华西证券大厦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四川省成都市高新区天府二街198号华西证券大厦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杨炯洋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张彬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010-58124967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028-86150040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95584 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http://www.hx168.com.cn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(158)申万宏源西部证券有限公司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新疆乌鲁木齐市高新区（新市区）北京南路358号大成国际大厦20楼2005室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北京市西城区太平桥大街19号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余敏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021-3338825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021-33388224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4008000562 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http://www.hysec.com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(159)中泰证券股份有限公司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山东省济南市经十路20518号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山东省济南市经七路86号23层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李玮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朱琴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021-20315161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0531-68889357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95538 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www.zts.com.cn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(160)第一创业证券股份有限公司</w:t>
      </w:r>
    </w:p>
    <w:tbl>
      <w:tblPr>
        <w:tblStyle w:val="a9"/>
        <w:tblW w:w="8353" w:type="dxa"/>
        <w:tblLook w:val="04A0" w:firstRow="1" w:lastRow="0" w:firstColumn="1" w:lastColumn="0" w:noHBand="0" w:noVBand="1"/>
      </w:tblPr>
      <w:tblGrid>
        <w:gridCol w:w="2192"/>
        <w:gridCol w:w="616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深圳市福田区福华一路115号投行大厦20楼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深圳市福田区福华一路115号投行大厦18楼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刘学民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0755-2383875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0755-25838701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95358 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http://www.firstcapital.com.cn/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(161)西部证券股份有限公司</w:t>
      </w:r>
    </w:p>
    <w:tbl>
      <w:tblPr>
        <w:tblStyle w:val="a9"/>
        <w:tblW w:w="8353" w:type="dxa"/>
        <w:tblLook w:val="04A0" w:firstRow="1" w:lastRow="0" w:firstColumn="1" w:lastColumn="0" w:noHBand="0" w:noVBand="1"/>
      </w:tblPr>
      <w:tblGrid>
        <w:gridCol w:w="2288"/>
        <w:gridCol w:w="606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陕西省西安市新城区东新街319号8幢10000室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西安市新城区东新街319号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徐朝晖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梁承华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029-87406488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029-87406387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95582 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http://www.west95582.com/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(162)华福证券有限责任公司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福州市五四路157号新天地大厦7、8层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福州市五四路157号新天地大厦7至10层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黄金琳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021-20655183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传真：  </w:t>
            </w:r>
          </w:p>
        </w:tc>
        <w:tc>
          <w:tcPr>
            <w:tcW w:w="7440" w:type="dxa"/>
            <w:shd w:val="clear" w:color="auto" w:fill="auto"/>
            <w:hideMark/>
          </w:tcPr>
          <w:p w:rsidR="007507EC" w:rsidRPr="007507EC" w:rsidRDefault="007507EC">
            <w:pPr>
              <w:pStyle w:val="a3"/>
            </w:pPr>
            <w:r w:rsidRPr="007507EC">
              <w:rPr>
                <w:rFonts w:hint="eastAsia"/>
              </w:rPr>
              <w:t xml:space="preserve">0591－87383610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95547 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http://www.hfzq.com.cn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(163)华龙证券股份有限公司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兰州市城关区东岗西路638号兰州财富中心21楼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甘肃省兰州市城关区东岗西路638号财富大厦19楼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陈牧原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范坤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0931-4890208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0931-4890628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95368/400689888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 www.hlzq.com/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(164)中国国际金融股份有限公司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中国北京建国门外大街1号 国贸大厦2座28层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中国北京建国门外大街1号 国贸大厦2座28层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沈如军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任敏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010－65051166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010－65051156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010-65051166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http://www.cicc.com.cn/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(165)财通证券股份有限公司</w:t>
      </w:r>
    </w:p>
    <w:tbl>
      <w:tblPr>
        <w:tblStyle w:val="a9"/>
        <w:tblW w:w="8353" w:type="dxa"/>
        <w:tblLook w:val="04A0" w:firstRow="1" w:lastRow="0" w:firstColumn="1" w:lastColumn="0" w:noHBand="0" w:noVBand="1"/>
      </w:tblPr>
      <w:tblGrid>
        <w:gridCol w:w="2352"/>
        <w:gridCol w:w="600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杭州市解放路111号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浙江省杭州市天目山路198号财通双冠大厦西楼1201室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陆建强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陶志华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0571-87789160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0571－85071387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95336（上海地区962336）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http://www.ctsec.com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(166)华鑫证券有限责任公司</w:t>
      </w:r>
    </w:p>
    <w:tbl>
      <w:tblPr>
        <w:tblStyle w:val="a9"/>
        <w:tblW w:w="8353" w:type="dxa"/>
        <w:tblLook w:val="04A0" w:firstRow="1" w:lastRow="0" w:firstColumn="1" w:lastColumn="0" w:noHBand="0" w:noVBand="1"/>
      </w:tblPr>
      <w:tblGrid>
        <w:gridCol w:w="2192"/>
        <w:gridCol w:w="616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深圳市福田区莲花街道福中社区深南大道2008号中国凤凰大厦1栋20C-1房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上海市徐汇区宛平南路8号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俞洋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杨莉娟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021-54967552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021-64333051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95323,021-32109999,029-68918888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http://www.cfsc.com.cn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(167)东方财富证券股份有限公司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西藏自治区拉萨市柳梧新区国际总部城10栋楼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上海市徐汇区宛平南路88号金座东方财富大厦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付佳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021-23586603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021-23586860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95357 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http://www.18.cn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(168)粤开证券股份有限公司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广州经济技术开发区科学大道60号开发区金控中心21、22、23层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深圳市福田区深南中路2002号中广核大厦北楼10层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严亦斌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彭莲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0755-83331195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95564 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http://www.ykzq.com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(169)江海证券有限公司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黑龙江省哈尔滨市香坊区赣水路56号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黑龙江省哈尔滨市香坊区赣水路56号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孙名扬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张背北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0451-85863696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0451－82287211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4006662288 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http://www.jhzq.com.cn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(170)国金证券股份有限公司</w:t>
      </w:r>
    </w:p>
    <w:tbl>
      <w:tblPr>
        <w:tblStyle w:val="a9"/>
        <w:tblW w:w="8353" w:type="dxa"/>
        <w:tblLook w:val="04A0" w:firstRow="1" w:lastRow="0" w:firstColumn="1" w:lastColumn="0" w:noHBand="0" w:noVBand="1"/>
      </w:tblPr>
      <w:tblGrid>
        <w:gridCol w:w="2328"/>
        <w:gridCol w:w="6025"/>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四川省成都市东城根上街95号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四川省成都市东城根上街95号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冉云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贾鹏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028-86690057、028-86690058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028-86690126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4006-600109/95310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http://www.gjzq.com.cn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(171)华宝证券有限责任公司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上海市浦东新区世纪大道100号上海环球金融中心57楼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上海市浦东新区世纪大道100号上海环球金融中心57楼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刘闻川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021-68777222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021－68777822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4008209898;021-38929908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http://www.cnhbstock.com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(172)爱建证券有限责任公司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中国（上海）自由贸易试验区世纪大道1600号1幢32楼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上海市浦东新区世纪大道1600号32楼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祝健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姚盛盛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021-32229888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021- 68728703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4001-962-502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http://www.ajzq.com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(173)首创证券有限责任公司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北京市西城区德胜门外大街115号德胜尚城E座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北京市西城区德胜门外大街115号德胜尚城E座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毕劲松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李淑敏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010-59366077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400 620 0620 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www.sczq.com.cn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(174)联储证券有限责任公司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深圳市福田区华强北路圣廷苑酒店B座26楼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深圳市福田区华强北路圣廷苑酒店B座26楼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吕春卫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张婉婷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010-86499765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0755-82075835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4006206868/010-56177851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http://www.lczq.com/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(175)华瑞保险销售有限公司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上海市嘉定区南翔镇众仁路399号运通星财富广场1号楼B座13、14层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上海市浦东区向城路288号国华金融大厦8楼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路昊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张爽爽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021-68595976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021-68595766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4001115818 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www.huaruisales.com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(176)玄元保险代理有限公司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中国（上海）自由贸易试验区张杨路707号1105室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中国（上海）自由贸易试验区张杨路707号1105室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马永谙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卢亚博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021-50701053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021-50701053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4000808208 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www.licaimofang.com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(177)阳光人寿保险股份有限公司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海南省三亚市迎宾路360-1号三亚阳光金融广场16层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北京市朝阳区朝外大街20号联合大厦701A室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李科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010-59053660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010-85632773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95510 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http://fund.sinosig.com/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(178)中国人寿保险股份有限公司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中国北京市西城区金融大街16号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中国北京市西城区金融大街16号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王滨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秦泽伟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010-63631539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010-66222276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95519 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www.e-chinalife.com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(179)泉州银行股份有限公司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泉州市丰泽区云鹿路3号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泉州市丰泽区云鹿路3号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傅子能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董培姗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0595-22551071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0595-22505215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400-889-6312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网址：  </w:t>
            </w:r>
          </w:p>
        </w:tc>
        <w:tc>
          <w:tcPr>
            <w:tcW w:w="7440" w:type="dxa"/>
            <w:shd w:val="clear" w:color="auto" w:fill="auto"/>
            <w:hideMark/>
          </w:tcPr>
          <w:p w:rsidR="007507EC" w:rsidRPr="007507EC" w:rsidRDefault="007507EC">
            <w:pPr>
              <w:pStyle w:val="a3"/>
            </w:pPr>
            <w:r w:rsidRPr="007507EC">
              <w:rPr>
                <w:rFonts w:hint="eastAsia"/>
              </w:rPr>
              <w:t xml:space="preserve">www.qzccbank.com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(180)华融湘江银行股份有限公司</w:t>
      </w:r>
    </w:p>
    <w:tbl>
      <w:tblPr>
        <w:tblStyle w:val="a9"/>
        <w:tblW w:w="8353" w:type="dxa"/>
        <w:tblLook w:val="04A0" w:firstRow="1" w:lastRow="0" w:firstColumn="1" w:lastColumn="0" w:noHBand="0" w:noVBand="1"/>
      </w:tblPr>
      <w:tblGrid>
        <w:gridCol w:w="2364"/>
        <w:gridCol w:w="5989"/>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湖南省长沙市天心区芙蓉南路一段828号鑫远-杰座大厦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湖南省长沙市天心区芙蓉南路一段828号鑫远-杰座大厦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刘永生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张鹏君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0731-96599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0731-89828806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0731-96599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www.hrxjbank.com.cn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(181)广东南粤银行股份有限公司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湛江经济技术开发区乐山路27号财富汇金融中心1层01、02号商铺、2层01号商铺、3层01号商铺、39-45层办公室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湛江经济技术开发区乐山大道60号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蒋丹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吴家团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0759-2631600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0759-2631600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961818 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www.gdnybank.com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(182)龙江银行股份有限公司</w:t>
      </w:r>
    </w:p>
    <w:tbl>
      <w:tblPr>
        <w:tblStyle w:val="a9"/>
        <w:tblW w:w="8353" w:type="dxa"/>
        <w:tblLook w:val="04A0" w:firstRow="1" w:lastRow="0" w:firstColumn="1" w:lastColumn="0" w:noHBand="0" w:noVBand="1"/>
      </w:tblPr>
      <w:tblGrid>
        <w:gridCol w:w="2406"/>
        <w:gridCol w:w="594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黑龙江省哈尔滨市道里区友谊路436号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黑龙江省哈尔滨市道里区友谊路436号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张建辉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闫勇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0451-85706107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0451-85706107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4006458888 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www.lj-bank.com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(183)浙江乐清农村商业银行股份有限公司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浙江省乐清市城南街道伯乐西路99号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浙江省乐清市城南街道伯乐西路99号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高剑飞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金晓娇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0577-61566028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0577-61566063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96596 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lastRenderedPageBreak/>
        <w:t>(184)深圳前海微众银行股份有限公司</w:t>
      </w:r>
    </w:p>
    <w:tbl>
      <w:tblPr>
        <w:tblStyle w:val="a9"/>
        <w:tblW w:w="8353" w:type="dxa"/>
        <w:tblLook w:val="04A0" w:firstRow="1" w:lastRow="0" w:firstColumn="1" w:lastColumn="0" w:noHBand="0" w:noVBand="1"/>
      </w:tblPr>
      <w:tblGrid>
        <w:gridCol w:w="2302"/>
        <w:gridCol w:w="6051"/>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广东省深圳市前海深港合作区前湾一路 1号A栋201室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广东省深圳市南山区田厦国际中心36楼、37楼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顾敏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唐宇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0755-89462525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0755-86700688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400-999-8877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http://www.webank.com/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(185)桂林银行股份有限公司</w:t>
      </w:r>
    </w:p>
    <w:tbl>
      <w:tblPr>
        <w:tblStyle w:val="a9"/>
        <w:tblW w:w="8353" w:type="dxa"/>
        <w:tblLook w:val="04A0" w:firstRow="1" w:lastRow="0" w:firstColumn="1" w:lastColumn="0" w:noHBand="0" w:noVBand="1"/>
      </w:tblPr>
      <w:tblGrid>
        <w:gridCol w:w="2340"/>
        <w:gridCol w:w="6013"/>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桂林市中山南路76号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桂林市中山南路76号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王能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周佩玲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0773-3810130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0773-3851691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400-86-96299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www.guilinbank.com.cn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(186)德州银行股份有限公司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山东省德州市三八东路1266号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山东省德州市三八东路1266号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孙玉芝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王方震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0534-2297326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0534-2297327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40084-96588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www.dzbchina.com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(187)云南红塔银行股份有限公司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云南省玉溪市东风南路2号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云南省昆明市盘龙区世博路低碳中心A座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李光林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马杰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0871-65236624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0871-65236614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0877-96522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www.ynhtbank.com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(188)兰州银行股份有限公司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甘肃省兰州市城关区酒泉路211号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甘肃省兰州市城关区酒泉路211号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许建平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鱼倩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0931-4600239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0931-4600239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0931-96799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www.lzbank.com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(189)九江银行股份有限公司</w:t>
      </w:r>
    </w:p>
    <w:tbl>
      <w:tblPr>
        <w:tblStyle w:val="a9"/>
        <w:tblW w:w="8353" w:type="dxa"/>
        <w:tblLook w:val="04A0" w:firstRow="1" w:lastRow="0" w:firstColumn="1" w:lastColumn="0" w:noHBand="0" w:noVBand="1"/>
      </w:tblPr>
      <w:tblGrid>
        <w:gridCol w:w="2425"/>
        <w:gridCol w:w="592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江西省九江市濂溪区长虹大道619号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江西省九江市濂溪区长虹大道619号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刘羡庭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刘心皓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0792-2190262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0792-8325029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95316 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www.jjccb.com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(190)厦门国际银行股份有限公司</w:t>
      </w:r>
    </w:p>
    <w:tbl>
      <w:tblPr>
        <w:tblStyle w:val="a9"/>
        <w:tblW w:w="8353" w:type="dxa"/>
        <w:tblLook w:val="04A0" w:firstRow="1" w:lastRow="0" w:firstColumn="1" w:lastColumn="0" w:noHBand="0" w:noVBand="1"/>
      </w:tblPr>
      <w:tblGrid>
        <w:gridCol w:w="2415"/>
        <w:gridCol w:w="59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厦门市思明区鹭江道8-10号国际银行大厦1-6层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厦门市思明区鹭江道8-10号国际银行大厦1-6层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翁若同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林婉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0592-2078888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0592-2100752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4001-623-623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www.xib.com.cn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(191)湖北银行股份有限公司</w:t>
      </w:r>
    </w:p>
    <w:tbl>
      <w:tblPr>
        <w:tblStyle w:val="a9"/>
        <w:tblW w:w="8353" w:type="dxa"/>
        <w:tblLook w:val="04A0" w:firstRow="1" w:lastRow="0" w:firstColumn="1" w:lastColumn="0" w:noHBand="0" w:noVBand="1"/>
      </w:tblPr>
      <w:tblGrid>
        <w:gridCol w:w="2315"/>
        <w:gridCol w:w="6038"/>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武汉市武昌区水果湖街中北路86号汉街总部国际8栋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武汉市武昌区水果湖街中北路86号汉街总部国际8栋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陈大林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李昕雅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027-87139129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027-87135931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（湖北）96599（全国）400-85-96599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http://www.hubeibank.cn  </w:t>
            </w:r>
          </w:p>
        </w:tc>
      </w:tr>
    </w:tbl>
    <w:p w:rsidR="007507EC" w:rsidRPr="007507EC" w:rsidRDefault="007507EC">
      <w:pPr>
        <w:pStyle w:val="a3"/>
        <w:spacing w:before="0" w:beforeAutospacing="0" w:after="0" w:afterAutospacing="0" w:line="360" w:lineRule="auto"/>
        <w:ind w:firstLine="420"/>
        <w:divId w:val="793139835"/>
        <w:rPr>
          <w:sz w:val="21"/>
          <w:szCs w:val="21"/>
        </w:rPr>
      </w:pPr>
      <w:r w:rsidRPr="007507EC">
        <w:rPr>
          <w:rFonts w:hint="eastAsia"/>
          <w:b/>
          <w:bCs/>
          <w:sz w:val="21"/>
          <w:szCs w:val="21"/>
        </w:rPr>
        <w:t>(192)贵州银行股份有限公司</w:t>
      </w:r>
    </w:p>
    <w:tbl>
      <w:tblPr>
        <w:tblStyle w:val="a9"/>
        <w:tblW w:w="8353" w:type="dxa"/>
        <w:tblLook w:val="04A0" w:firstRow="1" w:lastRow="0" w:firstColumn="1" w:lastColumn="0" w:noHBand="0" w:noVBand="1"/>
      </w:tblPr>
      <w:tblGrid>
        <w:gridCol w:w="2396"/>
        <w:gridCol w:w="5957"/>
      </w:tblGrid>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注册地址：  </w:t>
            </w:r>
          </w:p>
        </w:tc>
        <w:tc>
          <w:tcPr>
            <w:tcW w:w="7440" w:type="dxa"/>
            <w:shd w:val="clear" w:color="auto" w:fill="auto"/>
            <w:hideMark/>
          </w:tcPr>
          <w:p w:rsidR="007507EC" w:rsidRPr="007507EC" w:rsidRDefault="007507EC">
            <w:pPr>
              <w:pStyle w:val="a3"/>
            </w:pPr>
            <w:r w:rsidRPr="007507EC">
              <w:rPr>
                <w:rFonts w:hint="eastAsia"/>
              </w:rPr>
              <w:t xml:space="preserve">贵州省贵阳市云岩区瑞金中路41号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办公地址：  </w:t>
            </w:r>
          </w:p>
        </w:tc>
        <w:tc>
          <w:tcPr>
            <w:tcW w:w="7440" w:type="dxa"/>
            <w:shd w:val="clear" w:color="auto" w:fill="auto"/>
            <w:hideMark/>
          </w:tcPr>
          <w:p w:rsidR="007507EC" w:rsidRPr="007507EC" w:rsidRDefault="007507EC">
            <w:pPr>
              <w:pStyle w:val="a3"/>
            </w:pPr>
            <w:r w:rsidRPr="007507EC">
              <w:rPr>
                <w:rFonts w:hint="eastAsia"/>
              </w:rPr>
              <w:t xml:space="preserve">贵州省贵阳市云岩区瑞金中路41号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法定代表人：  </w:t>
            </w:r>
          </w:p>
        </w:tc>
        <w:tc>
          <w:tcPr>
            <w:tcW w:w="7440" w:type="dxa"/>
            <w:shd w:val="clear" w:color="auto" w:fill="auto"/>
            <w:hideMark/>
          </w:tcPr>
          <w:p w:rsidR="007507EC" w:rsidRPr="007507EC" w:rsidRDefault="007507EC">
            <w:pPr>
              <w:pStyle w:val="a3"/>
            </w:pPr>
            <w:r w:rsidRPr="007507EC">
              <w:rPr>
                <w:rFonts w:hint="eastAsia"/>
              </w:rPr>
              <w:t xml:space="preserve">李志明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联系人：  </w:t>
            </w:r>
          </w:p>
        </w:tc>
        <w:tc>
          <w:tcPr>
            <w:tcW w:w="7440" w:type="dxa"/>
            <w:shd w:val="clear" w:color="auto" w:fill="auto"/>
            <w:hideMark/>
          </w:tcPr>
          <w:p w:rsidR="007507EC" w:rsidRPr="007507EC" w:rsidRDefault="007507EC">
            <w:pPr>
              <w:pStyle w:val="a3"/>
            </w:pPr>
            <w:r w:rsidRPr="007507EC">
              <w:rPr>
                <w:rFonts w:hint="eastAsia"/>
              </w:rPr>
              <w:t xml:space="preserve">王浩懿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电话：  </w:t>
            </w:r>
          </w:p>
        </w:tc>
        <w:tc>
          <w:tcPr>
            <w:tcW w:w="7440" w:type="dxa"/>
            <w:shd w:val="clear" w:color="auto" w:fill="auto"/>
            <w:hideMark/>
          </w:tcPr>
          <w:p w:rsidR="007507EC" w:rsidRPr="007507EC" w:rsidRDefault="007507EC">
            <w:pPr>
              <w:pStyle w:val="a3"/>
            </w:pPr>
            <w:r w:rsidRPr="007507EC">
              <w:rPr>
                <w:rFonts w:hint="eastAsia"/>
              </w:rPr>
              <w:t xml:space="preserve">0851-86207815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传真：  </w:t>
            </w:r>
          </w:p>
        </w:tc>
        <w:tc>
          <w:tcPr>
            <w:tcW w:w="7440" w:type="dxa"/>
            <w:shd w:val="clear" w:color="auto" w:fill="auto"/>
            <w:hideMark/>
          </w:tcPr>
          <w:p w:rsidR="007507EC" w:rsidRPr="007507EC" w:rsidRDefault="007507EC">
            <w:pPr>
              <w:pStyle w:val="a3"/>
            </w:pPr>
            <w:r w:rsidRPr="007507EC">
              <w:rPr>
                <w:rFonts w:hint="eastAsia"/>
              </w:rPr>
              <w:t xml:space="preserve">0851-86507815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lastRenderedPageBreak/>
              <w:t xml:space="preserve">客户服务电话：  </w:t>
            </w:r>
          </w:p>
        </w:tc>
        <w:tc>
          <w:tcPr>
            <w:tcW w:w="7440" w:type="dxa"/>
            <w:shd w:val="clear" w:color="auto" w:fill="auto"/>
            <w:hideMark/>
          </w:tcPr>
          <w:p w:rsidR="007507EC" w:rsidRPr="007507EC" w:rsidRDefault="007507EC">
            <w:pPr>
              <w:pStyle w:val="a3"/>
            </w:pPr>
            <w:r w:rsidRPr="007507EC">
              <w:rPr>
                <w:rFonts w:hint="eastAsia"/>
              </w:rPr>
              <w:t xml:space="preserve">96655(贵州省)/4000696655(全国)  </w:t>
            </w:r>
          </w:p>
        </w:tc>
      </w:tr>
      <w:tr w:rsidR="007507EC" w:rsidRPr="007507EC" w:rsidTr="007507EC">
        <w:trPr>
          <w:divId w:val="793139835"/>
        </w:trPr>
        <w:tc>
          <w:tcPr>
            <w:tcW w:w="3000" w:type="dxa"/>
            <w:shd w:val="clear" w:color="auto" w:fill="auto"/>
            <w:hideMark/>
          </w:tcPr>
          <w:p w:rsidR="007507EC" w:rsidRPr="007507EC" w:rsidRDefault="007507EC">
            <w:pPr>
              <w:pStyle w:val="a3"/>
            </w:pPr>
            <w:r w:rsidRPr="007507EC">
              <w:rPr>
                <w:rFonts w:hint="eastAsia"/>
              </w:rPr>
              <w:t xml:space="preserve">网址：  </w:t>
            </w:r>
          </w:p>
        </w:tc>
        <w:tc>
          <w:tcPr>
            <w:tcW w:w="7440" w:type="dxa"/>
            <w:shd w:val="clear" w:color="auto" w:fill="auto"/>
            <w:hideMark/>
          </w:tcPr>
          <w:p w:rsidR="007507EC" w:rsidRPr="007507EC" w:rsidRDefault="007507EC">
            <w:pPr>
              <w:pStyle w:val="a3"/>
            </w:pPr>
            <w:r w:rsidRPr="007507EC">
              <w:rPr>
                <w:rFonts w:hint="eastAsia"/>
              </w:rPr>
              <w:t xml:space="preserve">www.bgzchina.com  </w:t>
            </w:r>
          </w:p>
        </w:tc>
      </w:tr>
    </w:tbl>
    <w:p w:rsidR="007507EC" w:rsidRPr="007507EC" w:rsidRDefault="007507EC">
      <w:pPr>
        <w:divId w:val="793139835"/>
        <w:rPr>
          <w:rFonts w:ascii="宋体" w:eastAsia="宋体" w:hAnsi="宋体"/>
          <w:sz w:val="24"/>
          <w:szCs w:val="24"/>
        </w:rPr>
      </w:pPr>
      <w:bookmarkStart w:id="73" w:name="chapter_level1_7_56_section_2_end"/>
      <w:bookmarkStart w:id="74" w:name="field_0_allproxysaletables_1_end"/>
      <w:bookmarkEnd w:id="73"/>
      <w:bookmarkEnd w:id="74"/>
    </w:p>
    <w:p w:rsidR="007507EC" w:rsidRPr="007507EC" w:rsidRDefault="007507EC">
      <w:pPr>
        <w:pStyle w:val="a3"/>
        <w:spacing w:before="0" w:beforeAutospacing="0" w:after="0" w:afterAutospacing="0" w:line="360" w:lineRule="auto"/>
        <w:ind w:firstLine="420"/>
        <w:divId w:val="1772387429"/>
        <w:rPr>
          <w:sz w:val="21"/>
          <w:szCs w:val="21"/>
        </w:rPr>
      </w:pPr>
      <w:bookmarkStart w:id="75" w:name="chapter_level1_7_56_section_3"/>
      <w:bookmarkEnd w:id="75"/>
      <w:r w:rsidRPr="007507EC">
        <w:rPr>
          <w:rStyle w:val="a4"/>
          <w:rFonts w:hint="eastAsia"/>
          <w:sz w:val="21"/>
          <w:szCs w:val="21"/>
        </w:rPr>
        <w:t>二、登记机构</w:t>
      </w:r>
    </w:p>
    <w:p w:rsidR="007507EC" w:rsidRPr="007507EC" w:rsidRDefault="007507EC">
      <w:pPr>
        <w:pStyle w:val="a3"/>
        <w:spacing w:before="0" w:beforeAutospacing="0" w:after="0" w:afterAutospacing="0" w:line="360" w:lineRule="auto"/>
        <w:ind w:firstLine="420"/>
        <w:divId w:val="1772387429"/>
        <w:rPr>
          <w:sz w:val="21"/>
          <w:szCs w:val="21"/>
        </w:rPr>
      </w:pPr>
      <w:bookmarkStart w:id="76" w:name="field_0_registercompanyinfo_1_start"/>
      <w:bookmarkEnd w:id="76"/>
      <w:r w:rsidRPr="007507EC">
        <w:rPr>
          <w:rFonts w:hint="eastAsia"/>
          <w:sz w:val="21"/>
          <w:szCs w:val="21"/>
        </w:rPr>
        <w:t xml:space="preserve">名称：博时基金管理有限公司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住所：深圳市福田区莲花街道福新社区益田路5999号基金大厦21层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办公地址：北京市建国门内大街18号恒基中心1座23层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法定代表人：江向阳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电话：（010）65171166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传真：（010）65187068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联系人：许鹏 </w:t>
      </w:r>
      <w:bookmarkStart w:id="77" w:name="field_0_registercompanyinfo_1_end"/>
      <w:bookmarkEnd w:id="77"/>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Style w:val="a4"/>
          <w:rFonts w:hint="eastAsia"/>
          <w:sz w:val="21"/>
          <w:szCs w:val="21"/>
        </w:rPr>
        <w:t>三、出具法律意见书的律师事务所</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名称： 上海市通力律师事务所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注册地址：上海市银城中路68号时代金融中心19楼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办公地址：上海市银城中路68号时代金融中心19楼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电话： 021-31358666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传真： 021-31358600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联系人： 安冬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经办律师： 吕红、安冬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Style w:val="a4"/>
          <w:rFonts w:hint="eastAsia"/>
          <w:sz w:val="21"/>
          <w:szCs w:val="21"/>
        </w:rPr>
        <w:t>四、审计基金财产的会计师事务所</w:t>
      </w:r>
    </w:p>
    <w:p w:rsidR="007507EC" w:rsidRPr="007507EC" w:rsidRDefault="007507EC">
      <w:pPr>
        <w:pStyle w:val="a3"/>
        <w:spacing w:before="0" w:beforeAutospacing="0" w:after="0" w:afterAutospacing="0" w:line="360" w:lineRule="auto"/>
        <w:ind w:firstLine="420"/>
        <w:divId w:val="1772387429"/>
        <w:rPr>
          <w:sz w:val="21"/>
          <w:szCs w:val="21"/>
        </w:rPr>
      </w:pPr>
      <w:bookmarkStart w:id="78" w:name="field_0_accountingcompanyinfo_1_start"/>
      <w:bookmarkEnd w:id="78"/>
      <w:r w:rsidRPr="007507EC">
        <w:rPr>
          <w:rFonts w:hint="eastAsia"/>
          <w:sz w:val="21"/>
          <w:szCs w:val="21"/>
        </w:rPr>
        <w:t xml:space="preserve">名称：普华永道中天会计师事务所(特殊普通合伙）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住所：中国（上海）自由贸易试验区陆家嘴环路1318号星展银行大厦507单元01室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办公地址：上海市湖滨路202号普华永道中心11楼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执行事务合伙人：李丹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联系电话：（021）23238888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传真：（021）23238800  </w:t>
      </w:r>
    </w:p>
    <w:p w:rsidR="007507EC" w:rsidRPr="007507EC" w:rsidRDefault="007507EC">
      <w:pPr>
        <w:pStyle w:val="a3"/>
        <w:spacing w:before="0" w:beforeAutospacing="0" w:after="0" w:afterAutospacing="0" w:line="360" w:lineRule="auto"/>
        <w:ind w:firstLine="420"/>
        <w:divId w:val="1772387429"/>
        <w:rPr>
          <w:sz w:val="21"/>
          <w:szCs w:val="21"/>
        </w:rPr>
      </w:pPr>
      <w:r w:rsidRPr="007507EC">
        <w:rPr>
          <w:rFonts w:hint="eastAsia"/>
          <w:sz w:val="21"/>
          <w:szCs w:val="21"/>
        </w:rPr>
        <w:t xml:space="preserve">联系人：沈兆杰  </w:t>
      </w:r>
    </w:p>
    <w:p w:rsidR="007507EC" w:rsidRPr="007507EC" w:rsidRDefault="007507EC">
      <w:pPr>
        <w:pStyle w:val="a3"/>
        <w:spacing w:before="0" w:beforeAutospacing="0" w:after="0" w:afterAutospacing="0" w:line="360" w:lineRule="auto"/>
        <w:ind w:firstLine="420"/>
        <w:divId w:val="1772387429"/>
        <w:rPr>
          <w:sz w:val="21"/>
          <w:szCs w:val="21"/>
        </w:rPr>
      </w:pPr>
      <w:bookmarkStart w:id="79" w:name="chapter_level1_7_56_section_3_end"/>
      <w:bookmarkEnd w:id="79"/>
      <w:r w:rsidRPr="007507EC">
        <w:rPr>
          <w:rFonts w:hint="eastAsia"/>
          <w:sz w:val="21"/>
          <w:szCs w:val="21"/>
        </w:rPr>
        <w:t>经办注册会计师：张振波、沈兆杰  </w:t>
      </w:r>
      <w:bookmarkStart w:id="80" w:name="field_0_accountingcompanyinfo_1_end"/>
      <w:bookmarkEnd w:id="80"/>
      <w:r w:rsidRPr="007507EC">
        <w:rPr>
          <w:rFonts w:hint="eastAsia"/>
          <w:sz w:val="21"/>
          <w:szCs w:val="21"/>
        </w:rPr>
        <w:t xml:space="preserve">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81" w:name="chapter_level1_9_58"/>
      <w:bookmarkStart w:id="82" w:name="_Toc50543297"/>
      <w:r w:rsidRPr="007507EC">
        <w:rPr>
          <w:rFonts w:ascii="宋体" w:eastAsia="宋体" w:hAnsi="宋体" w:hint="eastAsia"/>
          <w:sz w:val="30"/>
        </w:rPr>
        <w:lastRenderedPageBreak/>
        <w:t>第六部分 基金的募集与基金合同的生效</w:t>
      </w:r>
      <w:bookmarkEnd w:id="81"/>
      <w:bookmarkEnd w:id="82"/>
    </w:p>
    <w:p w:rsidR="007507EC" w:rsidRPr="007507EC" w:rsidRDefault="007507EC">
      <w:pPr>
        <w:pStyle w:val="a3"/>
        <w:spacing w:before="0" w:beforeAutospacing="0" w:after="0" w:afterAutospacing="0" w:line="360" w:lineRule="auto"/>
        <w:ind w:firstLine="420"/>
        <w:divId w:val="1558586981"/>
        <w:rPr>
          <w:sz w:val="21"/>
          <w:szCs w:val="21"/>
        </w:rPr>
      </w:pPr>
      <w:bookmarkStart w:id="83" w:name="chapter_level1_9_58_section_1"/>
      <w:bookmarkEnd w:id="83"/>
      <w:r w:rsidRPr="007507EC">
        <w:rPr>
          <w:rStyle w:val="a4"/>
          <w:rFonts w:hint="eastAsia"/>
          <w:sz w:val="21"/>
          <w:szCs w:val="21"/>
        </w:rPr>
        <w:t>一、基金的募集</w:t>
      </w:r>
    </w:p>
    <w:p w:rsidR="007507EC" w:rsidRPr="007507EC" w:rsidRDefault="007507EC">
      <w:pPr>
        <w:pStyle w:val="a3"/>
        <w:spacing w:before="0" w:beforeAutospacing="0" w:after="0" w:afterAutospacing="0" w:line="360" w:lineRule="auto"/>
        <w:ind w:firstLine="420"/>
        <w:divId w:val="1558586981"/>
        <w:rPr>
          <w:sz w:val="21"/>
          <w:szCs w:val="21"/>
        </w:rPr>
      </w:pPr>
      <w:r w:rsidRPr="007507EC">
        <w:rPr>
          <w:rFonts w:hint="eastAsia"/>
          <w:sz w:val="21"/>
          <w:szCs w:val="21"/>
        </w:rPr>
        <w:t>基金管理人按照《基金法》、《运作办法》、《销售办法》、基金合同及其他有关规定募集本基金，并于</w:t>
      </w:r>
      <w:bookmarkStart w:id="84" w:name="field_2343_approveddate_2"/>
      <w:r w:rsidR="00981FA3">
        <w:rPr>
          <w:sz w:val="21"/>
          <w:szCs w:val="21"/>
        </w:rPr>
        <w:t>2013年03月14日</w:t>
      </w:r>
      <w:bookmarkEnd w:id="84"/>
      <w:r w:rsidRPr="007507EC">
        <w:rPr>
          <w:rFonts w:hint="eastAsia"/>
          <w:sz w:val="21"/>
          <w:szCs w:val="21"/>
        </w:rPr>
        <w:t>经中国证监会证监许可</w:t>
      </w:r>
      <w:bookmarkStart w:id="85" w:name="field_2343_lotnumber_2"/>
      <w:r w:rsidR="00981FA3">
        <w:rPr>
          <w:sz w:val="21"/>
          <w:szCs w:val="21"/>
        </w:rPr>
        <w:t>[2013]244</w:t>
      </w:r>
      <w:bookmarkEnd w:id="85"/>
      <w:r w:rsidRPr="007507EC">
        <w:rPr>
          <w:rFonts w:hint="eastAsia"/>
          <w:sz w:val="21"/>
          <w:szCs w:val="21"/>
        </w:rPr>
        <w:t xml:space="preserve">号文核准募集。 </w:t>
      </w:r>
    </w:p>
    <w:p w:rsidR="007507EC" w:rsidRPr="007507EC" w:rsidRDefault="007507EC">
      <w:pPr>
        <w:pStyle w:val="a3"/>
        <w:spacing w:before="0" w:beforeAutospacing="0" w:after="0" w:afterAutospacing="0" w:line="360" w:lineRule="auto"/>
        <w:ind w:firstLine="420"/>
        <w:divId w:val="1558586981"/>
        <w:rPr>
          <w:sz w:val="21"/>
          <w:szCs w:val="21"/>
        </w:rPr>
      </w:pPr>
      <w:r w:rsidRPr="007507EC">
        <w:rPr>
          <w:rFonts w:hint="eastAsia"/>
          <w:sz w:val="21"/>
          <w:szCs w:val="21"/>
        </w:rPr>
        <w:t>本基金募集期从</w:t>
      </w:r>
      <w:bookmarkStart w:id="86" w:name="field_58_raisebegindate_1"/>
      <w:r w:rsidR="00981FA3">
        <w:rPr>
          <w:sz w:val="21"/>
          <w:szCs w:val="21"/>
        </w:rPr>
        <w:t>2013年04月01日</w:t>
      </w:r>
      <w:bookmarkEnd w:id="86"/>
      <w:r w:rsidRPr="007507EC">
        <w:rPr>
          <w:rFonts w:hint="eastAsia"/>
          <w:sz w:val="21"/>
          <w:szCs w:val="21"/>
        </w:rPr>
        <w:t>起至</w:t>
      </w:r>
      <w:bookmarkStart w:id="87" w:name="field_58_raiseenddate_1"/>
      <w:r w:rsidR="00981FA3">
        <w:rPr>
          <w:sz w:val="21"/>
          <w:szCs w:val="21"/>
        </w:rPr>
        <w:t>2013年04月19日</w:t>
      </w:r>
      <w:bookmarkEnd w:id="87"/>
      <w:r w:rsidRPr="007507EC">
        <w:rPr>
          <w:rFonts w:hint="eastAsia"/>
          <w:sz w:val="21"/>
          <w:szCs w:val="21"/>
        </w:rPr>
        <w:t>止，A类基金份额共募集999,977,258.87份（含利息结转的份额），C类基金份额共募集3,464,577,689.98份（含利息结转的份额），有效认购户数为</w:t>
      </w:r>
      <w:bookmarkStart w:id="88" w:name="field_58_effectivetotal_1"/>
      <w:r w:rsidR="00981FA3">
        <w:rPr>
          <w:sz w:val="21"/>
          <w:szCs w:val="21"/>
        </w:rPr>
        <w:t>19,099</w:t>
      </w:r>
      <w:bookmarkEnd w:id="88"/>
      <w:r w:rsidRPr="007507EC">
        <w:rPr>
          <w:rFonts w:hint="eastAsia"/>
          <w:sz w:val="21"/>
          <w:szCs w:val="21"/>
        </w:rPr>
        <w:t xml:space="preserve">户。 </w:t>
      </w:r>
    </w:p>
    <w:p w:rsidR="007507EC" w:rsidRPr="007507EC" w:rsidRDefault="007507EC">
      <w:pPr>
        <w:pStyle w:val="a3"/>
        <w:spacing w:before="0" w:beforeAutospacing="0" w:after="0" w:afterAutospacing="0" w:line="360" w:lineRule="auto"/>
        <w:ind w:firstLine="420"/>
        <w:divId w:val="1558586981"/>
        <w:rPr>
          <w:sz w:val="21"/>
          <w:szCs w:val="21"/>
        </w:rPr>
      </w:pPr>
      <w:r w:rsidRPr="007507EC">
        <w:rPr>
          <w:rFonts w:hint="eastAsia"/>
          <w:sz w:val="21"/>
          <w:szCs w:val="21"/>
        </w:rPr>
        <w:t>本基金运作方式为</w:t>
      </w:r>
      <w:bookmarkStart w:id="89" w:name="field_58_operation_1"/>
      <w:r w:rsidR="00981FA3">
        <w:rPr>
          <w:rFonts w:hint="eastAsia"/>
          <w:sz w:val="21"/>
          <w:szCs w:val="21"/>
        </w:rPr>
        <w:t>契约型开放式</w:t>
      </w:r>
      <w:bookmarkEnd w:id="89"/>
      <w:r w:rsidRPr="007507EC">
        <w:rPr>
          <w:rFonts w:hint="eastAsia"/>
          <w:sz w:val="21"/>
          <w:szCs w:val="21"/>
        </w:rPr>
        <w:t>，存续期间为</w:t>
      </w:r>
      <w:bookmarkStart w:id="90" w:name="field_58_duration_1"/>
      <w:r w:rsidR="00981FA3">
        <w:rPr>
          <w:rFonts w:hint="eastAsia"/>
          <w:sz w:val="21"/>
          <w:szCs w:val="21"/>
        </w:rPr>
        <w:t>不定期</w:t>
      </w:r>
      <w:bookmarkEnd w:id="9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558586981"/>
        <w:rPr>
          <w:sz w:val="21"/>
          <w:szCs w:val="21"/>
        </w:rPr>
      </w:pPr>
      <w:r w:rsidRPr="007507EC">
        <w:rPr>
          <w:rStyle w:val="a4"/>
          <w:rFonts w:hint="eastAsia"/>
          <w:sz w:val="21"/>
          <w:szCs w:val="21"/>
        </w:rPr>
        <w:t>二、基金合同的生效</w:t>
      </w:r>
    </w:p>
    <w:p w:rsidR="007507EC" w:rsidRPr="007507EC" w:rsidRDefault="007507EC">
      <w:pPr>
        <w:pStyle w:val="a3"/>
        <w:spacing w:before="0" w:beforeAutospacing="0" w:after="0" w:afterAutospacing="0" w:line="360" w:lineRule="auto"/>
        <w:ind w:firstLine="420"/>
        <w:divId w:val="1558586981"/>
        <w:rPr>
          <w:sz w:val="21"/>
          <w:szCs w:val="21"/>
        </w:rPr>
      </w:pPr>
      <w:bookmarkStart w:id="91" w:name="chapter_level1_9_58_section_1_end"/>
      <w:bookmarkEnd w:id="91"/>
      <w:r w:rsidRPr="007507EC">
        <w:rPr>
          <w:rFonts w:hint="eastAsia"/>
          <w:sz w:val="21"/>
          <w:szCs w:val="21"/>
        </w:rPr>
        <w:t>本基金的基金合同已于</w:t>
      </w:r>
      <w:bookmarkStart w:id="92" w:name="field_58_foundday_1"/>
      <w:r w:rsidR="00981FA3">
        <w:rPr>
          <w:sz w:val="21"/>
          <w:szCs w:val="21"/>
        </w:rPr>
        <w:t>2013年04月23日</w:t>
      </w:r>
      <w:bookmarkEnd w:id="92"/>
      <w:r w:rsidRPr="007507EC">
        <w:rPr>
          <w:rFonts w:hint="eastAsia"/>
          <w:sz w:val="21"/>
          <w:szCs w:val="21"/>
        </w:rPr>
        <w:t xml:space="preserve">正式生效。 </w:t>
      </w:r>
    </w:p>
    <w:p w:rsidR="007507EC" w:rsidRPr="007507EC" w:rsidRDefault="007507EC">
      <w:pPr>
        <w:pStyle w:val="a3"/>
        <w:spacing w:before="0" w:beforeAutospacing="0" w:after="0" w:afterAutospacing="0" w:line="360" w:lineRule="auto"/>
        <w:ind w:firstLine="420"/>
        <w:divId w:val="1900893513"/>
        <w:rPr>
          <w:sz w:val="21"/>
          <w:szCs w:val="21"/>
        </w:rPr>
      </w:pPr>
      <w:bookmarkStart w:id="93" w:name="chapter_level1_9_58_section_2"/>
      <w:bookmarkEnd w:id="93"/>
      <w:r w:rsidRPr="007507EC">
        <w:rPr>
          <w:rStyle w:val="a4"/>
          <w:rFonts w:hint="eastAsia"/>
          <w:sz w:val="21"/>
          <w:szCs w:val="21"/>
        </w:rPr>
        <w:t>三、基金存续期内的基金份额持有人数量和资产规模</w:t>
      </w:r>
    </w:p>
    <w:p w:rsidR="007507EC" w:rsidRPr="007507EC" w:rsidRDefault="007507EC">
      <w:pPr>
        <w:pStyle w:val="a3"/>
        <w:spacing w:before="0" w:beforeAutospacing="0" w:after="0" w:afterAutospacing="0" w:line="360" w:lineRule="auto"/>
        <w:ind w:firstLine="420"/>
        <w:divId w:val="1900893513"/>
        <w:rPr>
          <w:sz w:val="21"/>
          <w:szCs w:val="21"/>
        </w:rPr>
      </w:pPr>
      <w:r w:rsidRPr="007507EC">
        <w:rPr>
          <w:rFonts w:hint="eastAsia"/>
          <w:sz w:val="21"/>
          <w:szCs w:val="21"/>
        </w:rPr>
        <w:t>《基金合同》生效后，基金份额持有人数量不满</w:t>
      </w:r>
      <w:bookmarkStart w:id="94" w:name="field_58_minsubnumber_1"/>
      <w:r w:rsidR="00981FA3">
        <w:rPr>
          <w:sz w:val="21"/>
          <w:szCs w:val="21"/>
        </w:rPr>
        <w:t>200</w:t>
      </w:r>
      <w:bookmarkEnd w:id="94"/>
      <w:r w:rsidRPr="007507EC">
        <w:rPr>
          <w:rFonts w:hint="eastAsia"/>
          <w:sz w:val="21"/>
          <w:szCs w:val="21"/>
        </w:rPr>
        <w:t xml:space="preserve">人或者基金资产净值低于5000万元的，基金管理人应当及时报告中国证监会；连续20个工作日出现前述情形的，基金管理人应当向中国证监会说明原因并报送解决方案。 </w:t>
      </w:r>
    </w:p>
    <w:p w:rsidR="007507EC" w:rsidRPr="007507EC" w:rsidRDefault="007507EC">
      <w:pPr>
        <w:pStyle w:val="a3"/>
        <w:spacing w:before="0" w:beforeAutospacing="0" w:after="0" w:afterAutospacing="0" w:line="360" w:lineRule="auto"/>
        <w:ind w:firstLine="420"/>
        <w:divId w:val="1900893513"/>
        <w:rPr>
          <w:sz w:val="21"/>
          <w:szCs w:val="21"/>
        </w:rPr>
      </w:pPr>
      <w:bookmarkStart w:id="95" w:name="chapter_level1_9_58_section_2_end"/>
      <w:bookmarkEnd w:id="95"/>
      <w:r w:rsidRPr="007507EC">
        <w:rPr>
          <w:rFonts w:hint="eastAsia"/>
          <w:sz w:val="21"/>
          <w:szCs w:val="21"/>
        </w:rPr>
        <w:t xml:space="preserve">法律法规另有规定时，从其规定。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96" w:name="chapter_level1_10_59"/>
      <w:bookmarkStart w:id="97" w:name="_Toc50543298"/>
      <w:r w:rsidRPr="007507EC">
        <w:rPr>
          <w:rFonts w:ascii="宋体" w:eastAsia="宋体" w:hAnsi="宋体" w:hint="eastAsia"/>
          <w:sz w:val="30"/>
        </w:rPr>
        <w:lastRenderedPageBreak/>
        <w:t>第七部分  基金份额的申购与赎回</w:t>
      </w:r>
      <w:bookmarkEnd w:id="96"/>
      <w:bookmarkEnd w:id="97"/>
    </w:p>
    <w:p w:rsidR="007507EC" w:rsidRPr="007507EC" w:rsidRDefault="007507EC">
      <w:pPr>
        <w:pStyle w:val="a3"/>
        <w:spacing w:before="0" w:beforeAutospacing="0" w:after="0" w:afterAutospacing="0" w:line="360" w:lineRule="auto"/>
        <w:ind w:firstLine="420"/>
        <w:divId w:val="1946769042"/>
        <w:rPr>
          <w:sz w:val="21"/>
          <w:szCs w:val="21"/>
        </w:rPr>
      </w:pPr>
      <w:bookmarkStart w:id="98" w:name="chapter_level1_10_59_section_1"/>
      <w:bookmarkEnd w:id="98"/>
      <w:r w:rsidRPr="007507EC">
        <w:rPr>
          <w:rStyle w:val="a4"/>
          <w:rFonts w:hint="eastAsia"/>
          <w:sz w:val="21"/>
          <w:szCs w:val="21"/>
        </w:rPr>
        <w:t>一、申购与赎回的场所</w:t>
      </w:r>
    </w:p>
    <w:p w:rsidR="007507EC" w:rsidRPr="007507EC" w:rsidRDefault="007507EC">
      <w:pPr>
        <w:pStyle w:val="a3"/>
        <w:spacing w:before="0" w:beforeAutospacing="0" w:after="0" w:afterAutospacing="0" w:line="360" w:lineRule="auto"/>
        <w:ind w:firstLine="420"/>
        <w:divId w:val="1946769042"/>
        <w:rPr>
          <w:sz w:val="21"/>
          <w:szCs w:val="21"/>
        </w:rPr>
      </w:pPr>
      <w:r w:rsidRPr="007507EC">
        <w:rPr>
          <w:rFonts w:hint="eastAsia"/>
          <w:sz w:val="21"/>
          <w:szCs w:val="21"/>
        </w:rPr>
        <w:t>本基金的申购与赎回将通过销售机构进行。具体的销售网点将由基金管理人在招募说明书或其他相关公告中列明。基金管理人可根据情况变更或增减销售机构，并在基金管理人网站公示。基金投资人应当在销售机构办理基金销售业务的营业场所或按销售机构提供的其他</w:t>
      </w:r>
      <w:bookmarkStart w:id="99" w:name="chapter_level1_10_59_section_1_end"/>
      <w:bookmarkEnd w:id="99"/>
      <w:r w:rsidRPr="007507EC">
        <w:rPr>
          <w:rFonts w:hint="eastAsia"/>
          <w:sz w:val="21"/>
          <w:szCs w:val="21"/>
        </w:rPr>
        <w:t xml:space="preserve">方式办理基金份额的申购与赎回。 </w:t>
      </w:r>
    </w:p>
    <w:p w:rsidR="007507EC" w:rsidRPr="007507EC" w:rsidRDefault="007507EC">
      <w:pPr>
        <w:pStyle w:val="a3"/>
        <w:spacing w:before="0" w:beforeAutospacing="0" w:after="0" w:afterAutospacing="0" w:line="360" w:lineRule="auto"/>
        <w:ind w:firstLine="420"/>
        <w:divId w:val="1363363520"/>
        <w:rPr>
          <w:sz w:val="21"/>
          <w:szCs w:val="21"/>
        </w:rPr>
      </w:pPr>
      <w:bookmarkStart w:id="100" w:name="chapter_level1_10_59_section_2"/>
      <w:bookmarkEnd w:id="100"/>
      <w:r w:rsidRPr="007507EC">
        <w:rPr>
          <w:rStyle w:val="a4"/>
          <w:rFonts w:hint="eastAsia"/>
          <w:sz w:val="21"/>
          <w:szCs w:val="21"/>
        </w:rPr>
        <w:t>二、申购与赎回办理的开放日及时间</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 xml:space="preserve">1、开放日及开放时间 </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上公告。 </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 xml:space="preserve">2、申购、赎回开始日及业务办理时间 </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 xml:space="preserve">本基金已于2013年6月17日开始办理日常申购、赎回业务。 </w:t>
      </w:r>
    </w:p>
    <w:p w:rsidR="007507EC" w:rsidRPr="007507EC" w:rsidRDefault="007507EC">
      <w:pPr>
        <w:pStyle w:val="a3"/>
        <w:spacing w:before="0" w:beforeAutospacing="0" w:after="0" w:afterAutospacing="0" w:line="360" w:lineRule="auto"/>
        <w:ind w:firstLine="420"/>
        <w:divId w:val="1363363520"/>
        <w:rPr>
          <w:sz w:val="21"/>
          <w:szCs w:val="21"/>
        </w:rPr>
      </w:pPr>
      <w:r w:rsidRPr="007507EC">
        <w:rPr>
          <w:rFonts w:hint="eastAsia"/>
          <w:sz w:val="21"/>
          <w:szCs w:val="21"/>
        </w:rPr>
        <w:t>基金管理人不得在基金合同约定之外的日期或者时间办理基金份额的申购或者赎回或者转换。投资人在基金合同约定之外的日期和时间提出申购、赎回或转换申请且登记机构确</w:t>
      </w:r>
      <w:bookmarkStart w:id="101" w:name="chapter_level1_10_59_section_2_end"/>
      <w:bookmarkEnd w:id="101"/>
      <w:r w:rsidRPr="007507EC">
        <w:rPr>
          <w:rFonts w:hint="eastAsia"/>
          <w:sz w:val="21"/>
          <w:szCs w:val="21"/>
        </w:rPr>
        <w:t xml:space="preserve">认接受的，其基金份额申购、赎回价格为下一开放日基金份额申购、赎回的价格。 </w:t>
      </w:r>
    </w:p>
    <w:p w:rsidR="007507EC" w:rsidRPr="007507EC" w:rsidRDefault="007507EC">
      <w:pPr>
        <w:pStyle w:val="a3"/>
        <w:spacing w:before="0" w:beforeAutospacing="0" w:after="0" w:afterAutospacing="0" w:line="360" w:lineRule="auto"/>
        <w:ind w:firstLine="420"/>
        <w:divId w:val="604843890"/>
        <w:rPr>
          <w:sz w:val="21"/>
          <w:szCs w:val="21"/>
        </w:rPr>
      </w:pPr>
      <w:bookmarkStart w:id="102" w:name="chapter_level1_10_59_section_3"/>
      <w:bookmarkEnd w:id="102"/>
      <w:r w:rsidRPr="007507EC">
        <w:rPr>
          <w:rStyle w:val="a4"/>
          <w:rFonts w:hint="eastAsia"/>
          <w:sz w:val="21"/>
          <w:szCs w:val="21"/>
        </w:rPr>
        <w:t>三、申购与赎回的数额限制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通过代销机构首次购买A类基金份额的最低金额为10元，追加购买最低金额为10元；通过直销机构首次购买A类基金份额的最低金额为10元，追加购买最低金额为10元；通过代销机构首次购买C类基金份额的最低金额为10元，追加购买最低金额为10元；通过直销机构首次购买C类基金份额的最低金额为10元，追加购买最低金额为10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2、本基金A类基金份额每个交易账户最低持有基金份额余额为10份，若某笔赎回导致单个交易账户的该基金份额余额少于10份时，余额部分基金份额必须一同赎回； 本基金C类基金份额每个交易账户最低持有基金份额余额为10份，若某笔赎回导致单个交易账户的该基金份额余额少于10份时，余额部分基金份额必须一同赎回；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 xml:space="preserve">3、基金管理人可以规定单个投资者累计持有的基金份额数量限制，但法律法规、监管机构的另有规定或基金合同另有约定的除外；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5、基金管理人可根据有关法律规定和市场情况，调整申购金额、赎回份额和账户最低持有余额的数量限制，基金管理人必须最迟在调整前依照《信息披露办法》的有关规定在指定媒介上公告。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四、申购与赎回的原则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1、“未知价”原则，即申购、赎回价格以申请当日收市后计算的基金份额净值为基准进行计算。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2、“金额申购、份额赎回”原则，即申购以金额申请，赎回以份额申请。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3、当日的申购与赎回申请可以在基金管理人规定的时间以内撤销。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4、赎回遵循“先进先出”原则，即按照投资人认购、申购的先后次序进行顺序赎回。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基金管理人可在法律法规允许的情况下，对上述原则进行调整。基金管理人必须在新规则开始实施前依照《信息披露办法》的有关规定在指定媒介上公告。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五、申购与赎回的程序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1、申购和赎回的申请方式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投资人必须根据销售机构规定的程序，在开放日的具体业务办理时间内提出申购或赎回的申请。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投资人在申购本基金时须按销售机构规定的方式备足申购资金,投资人在提交赎回申请时，必须有足够的基金份额余额，否则所提交的申购、赎回的申请无效而不予成交。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2、申购和赎回的款项支付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投资人申购基金份额时，必须在规定时间前全额交付申购款项。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投资人赎回申请成功后，基金管理人将在T＋7日（包括该日）内支付赎回款项。在发生巨额赎回时，款项的支付办法参照基金合同有关条款处理。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3、申购和赎回申请的确认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基金销售机构对申购、赎回申请的受理并不代表申请一定成功，而仅代表销售机构确实接收到申购、赎回申请。申购、赎回申请的确认以登记机构的确认结果为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六、基金份额类别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本基金根据认（申）购费用、赎回费用收取方式的不同，将基金份额分为不同的类别。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在投资人认购、申购时收取前端认购、申购费用，在赎回时根据持有期限收取赎回费用的基金份额，称为A类；从本类别基金资产中计提销售服务费、不收取认购/申购费用和赎回费用的基金份额，称为C类。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本基金A类和C类基金份额分别设置代码。由于基金费用的不同，本基金A类和C类基金份额将分别计算基金份额净值，计算公式为计算日各类别基金资产净值除以计算日发售在外的该类别基金份额总数。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投资人可自行选择认购、申购的基金份额类别。本基金不同基金份额类别之间不得互相转换。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七、申购费率、赎回费率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1、本基金基金份额申购费率最高不超过5％，投资人可以多次申购本基金，申购费率按每笔申购申请单独计算。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本基金基金份额采用前端收费模式收取基金申购费用。   </w:t>
      </w:r>
    </w:p>
    <w:p w:rsidR="007507EC" w:rsidRPr="007507EC" w:rsidRDefault="007507EC">
      <w:pPr>
        <w:pStyle w:val="a3"/>
        <w:spacing w:before="0" w:beforeAutospacing="0" w:after="0" w:afterAutospacing="0" w:line="360" w:lineRule="auto"/>
        <w:ind w:firstLine="420"/>
        <w:jc w:val="center"/>
        <w:divId w:val="604843890"/>
        <w:rPr>
          <w:sz w:val="21"/>
          <w:szCs w:val="21"/>
        </w:rPr>
      </w:pPr>
      <w:r w:rsidRPr="007507EC">
        <w:rPr>
          <w:rFonts w:hint="eastAsia"/>
          <w:sz w:val="21"/>
          <w:szCs w:val="21"/>
        </w:rPr>
        <w:t xml:space="preserve">表：本基金份额的申购费率   </w:t>
      </w:r>
    </w:p>
    <w:tbl>
      <w:tblPr>
        <w:tblStyle w:val="a9"/>
        <w:tblW w:w="2000" w:type="pct"/>
        <w:jc w:val="center"/>
        <w:tblLook w:val="04A0" w:firstRow="1" w:lastRow="0" w:firstColumn="1" w:lastColumn="0" w:noHBand="0" w:noVBand="1"/>
      </w:tblPr>
      <w:tblGrid>
        <w:gridCol w:w="1922"/>
        <w:gridCol w:w="1484"/>
      </w:tblGrid>
      <w:tr w:rsidR="007507EC" w:rsidRPr="007507EC" w:rsidTr="003D6DF4">
        <w:trPr>
          <w:divId w:val="604843890"/>
          <w:jc w:val="center"/>
        </w:trPr>
        <w:tc>
          <w:tcPr>
            <w:tcW w:w="0" w:type="auto"/>
            <w:gridSpan w:val="2"/>
            <w:shd w:val="clear" w:color="auto" w:fill="auto"/>
            <w:hideMark/>
          </w:tcPr>
          <w:p w:rsidR="007507EC" w:rsidRPr="007507EC" w:rsidRDefault="007507EC">
            <w:pPr>
              <w:pStyle w:val="a3"/>
            </w:pPr>
            <w:r w:rsidRPr="007507EC">
              <w:rPr>
                <w:rFonts w:hint="eastAsia"/>
              </w:rPr>
              <w:t xml:space="preserve">A类基金份额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金额（M）   </w:t>
            </w:r>
          </w:p>
        </w:tc>
        <w:tc>
          <w:tcPr>
            <w:tcW w:w="0" w:type="auto"/>
            <w:shd w:val="clear" w:color="auto" w:fill="auto"/>
            <w:hideMark/>
          </w:tcPr>
          <w:p w:rsidR="007507EC" w:rsidRPr="007507EC" w:rsidRDefault="007507EC">
            <w:pPr>
              <w:pStyle w:val="a3"/>
            </w:pPr>
            <w:r w:rsidRPr="007507EC">
              <w:rPr>
                <w:rFonts w:hint="eastAsia"/>
              </w:rPr>
              <w:t xml:space="preserve">申购费率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M＜100万元   </w:t>
            </w:r>
          </w:p>
        </w:tc>
        <w:tc>
          <w:tcPr>
            <w:tcW w:w="0" w:type="auto"/>
            <w:shd w:val="clear" w:color="auto" w:fill="auto"/>
            <w:hideMark/>
          </w:tcPr>
          <w:p w:rsidR="007507EC" w:rsidRPr="007507EC" w:rsidRDefault="007507EC">
            <w:pPr>
              <w:pStyle w:val="a3"/>
            </w:pPr>
            <w:r w:rsidRPr="007507EC">
              <w:rPr>
                <w:rFonts w:hint="eastAsia"/>
              </w:rPr>
              <w:t xml:space="preserve">0.30%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100万元≤M＜500万元   </w:t>
            </w:r>
          </w:p>
        </w:tc>
        <w:tc>
          <w:tcPr>
            <w:tcW w:w="0" w:type="auto"/>
            <w:shd w:val="clear" w:color="auto" w:fill="auto"/>
            <w:hideMark/>
          </w:tcPr>
          <w:p w:rsidR="007507EC" w:rsidRPr="007507EC" w:rsidRDefault="007507EC">
            <w:pPr>
              <w:pStyle w:val="a3"/>
            </w:pPr>
            <w:r w:rsidRPr="007507EC">
              <w:rPr>
                <w:rFonts w:hint="eastAsia"/>
              </w:rPr>
              <w:t xml:space="preserve">0.15%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500万元≤M＜1000万元   </w:t>
            </w:r>
          </w:p>
        </w:tc>
        <w:tc>
          <w:tcPr>
            <w:tcW w:w="0" w:type="auto"/>
            <w:shd w:val="clear" w:color="auto" w:fill="auto"/>
            <w:hideMark/>
          </w:tcPr>
          <w:p w:rsidR="007507EC" w:rsidRPr="007507EC" w:rsidRDefault="007507EC">
            <w:pPr>
              <w:pStyle w:val="a3"/>
            </w:pPr>
            <w:r w:rsidRPr="007507EC">
              <w:rPr>
                <w:rFonts w:hint="eastAsia"/>
              </w:rPr>
              <w:t xml:space="preserve">0.10%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M≥1000万</w:t>
            </w:r>
            <w:r w:rsidRPr="007507EC">
              <w:rPr>
                <w:rFonts w:hint="eastAsia"/>
              </w:rPr>
              <w:lastRenderedPageBreak/>
              <w:t xml:space="preserve">元   </w:t>
            </w:r>
          </w:p>
        </w:tc>
        <w:tc>
          <w:tcPr>
            <w:tcW w:w="0" w:type="auto"/>
            <w:shd w:val="clear" w:color="auto" w:fill="auto"/>
            <w:hideMark/>
          </w:tcPr>
          <w:p w:rsidR="007507EC" w:rsidRPr="007507EC" w:rsidRDefault="007507EC">
            <w:pPr>
              <w:pStyle w:val="a3"/>
            </w:pPr>
            <w:r w:rsidRPr="007507EC">
              <w:rPr>
                <w:rFonts w:hint="eastAsia"/>
              </w:rPr>
              <w:lastRenderedPageBreak/>
              <w:t>1000元/</w:t>
            </w:r>
            <w:r w:rsidRPr="007507EC">
              <w:rPr>
                <w:rFonts w:hint="eastAsia"/>
              </w:rPr>
              <w:lastRenderedPageBreak/>
              <w:t xml:space="preserve">笔   </w:t>
            </w:r>
          </w:p>
        </w:tc>
      </w:tr>
      <w:tr w:rsidR="007507EC" w:rsidRPr="007507EC" w:rsidTr="003D6DF4">
        <w:trPr>
          <w:divId w:val="604843890"/>
          <w:jc w:val="center"/>
        </w:trPr>
        <w:tc>
          <w:tcPr>
            <w:tcW w:w="0" w:type="auto"/>
            <w:gridSpan w:val="2"/>
            <w:shd w:val="clear" w:color="auto" w:fill="auto"/>
            <w:hideMark/>
          </w:tcPr>
          <w:p w:rsidR="007507EC" w:rsidRPr="007507EC" w:rsidRDefault="007507EC">
            <w:pPr>
              <w:pStyle w:val="a3"/>
            </w:pPr>
            <w:r w:rsidRPr="007507EC">
              <w:rPr>
                <w:rFonts w:hint="eastAsia"/>
              </w:rPr>
              <w:lastRenderedPageBreak/>
              <w:t xml:space="preserve">C类基金份额  </w:t>
            </w:r>
          </w:p>
        </w:tc>
      </w:tr>
      <w:tr w:rsidR="007507EC" w:rsidRPr="007507EC" w:rsidTr="003D6DF4">
        <w:trPr>
          <w:divId w:val="604843890"/>
          <w:jc w:val="center"/>
        </w:trPr>
        <w:tc>
          <w:tcPr>
            <w:tcW w:w="0" w:type="auto"/>
            <w:gridSpan w:val="2"/>
            <w:shd w:val="clear" w:color="auto" w:fill="auto"/>
            <w:hideMark/>
          </w:tcPr>
          <w:p w:rsidR="007507EC" w:rsidRPr="007507EC" w:rsidRDefault="007507EC">
            <w:pPr>
              <w:pStyle w:val="a3"/>
            </w:pPr>
            <w:r w:rsidRPr="007507EC">
              <w:rPr>
                <w:rFonts w:hint="eastAsia"/>
              </w:rPr>
              <w:t xml:space="preserve">申购费率为零   </w:t>
            </w:r>
          </w:p>
        </w:tc>
      </w:tr>
    </w:tbl>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本基金的申购费用由投资人承担，主要用于本基金的市场推广、销售、注册登记等各项费用，不列入基金财产。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2、本基金基金份额赎回费率最高不超过5%。赎回费率见下表：   </w:t>
      </w:r>
    </w:p>
    <w:p w:rsidR="007507EC" w:rsidRPr="007507EC" w:rsidRDefault="007507EC">
      <w:pPr>
        <w:pStyle w:val="a3"/>
        <w:spacing w:before="0" w:beforeAutospacing="0" w:after="0" w:afterAutospacing="0" w:line="360" w:lineRule="auto"/>
        <w:ind w:firstLine="420"/>
        <w:jc w:val="center"/>
        <w:divId w:val="604843890"/>
        <w:rPr>
          <w:sz w:val="21"/>
          <w:szCs w:val="21"/>
        </w:rPr>
      </w:pPr>
      <w:r w:rsidRPr="007507EC">
        <w:rPr>
          <w:rFonts w:hint="eastAsia"/>
          <w:sz w:val="21"/>
          <w:szCs w:val="21"/>
        </w:rPr>
        <w:t xml:space="preserve">表：本基金份额的赎回费率结构   </w:t>
      </w:r>
    </w:p>
    <w:tbl>
      <w:tblPr>
        <w:tblStyle w:val="a9"/>
        <w:tblW w:w="2000" w:type="pct"/>
        <w:jc w:val="center"/>
        <w:tblLook w:val="04A0" w:firstRow="1" w:lastRow="0" w:firstColumn="1" w:lastColumn="0" w:noHBand="0" w:noVBand="1"/>
      </w:tblPr>
      <w:tblGrid>
        <w:gridCol w:w="1505"/>
        <w:gridCol w:w="278"/>
        <w:gridCol w:w="1623"/>
      </w:tblGrid>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持有期间（M）   </w:t>
            </w:r>
          </w:p>
        </w:tc>
        <w:tc>
          <w:tcPr>
            <w:tcW w:w="0" w:type="auto"/>
            <w:gridSpan w:val="2"/>
            <w:shd w:val="clear" w:color="auto" w:fill="auto"/>
            <w:hideMark/>
          </w:tcPr>
          <w:p w:rsidR="007507EC" w:rsidRPr="007507EC" w:rsidRDefault="007507EC">
            <w:pPr>
              <w:pStyle w:val="a3"/>
            </w:pPr>
            <w:r w:rsidRPr="007507EC">
              <w:rPr>
                <w:rFonts w:hint="eastAsia"/>
              </w:rPr>
              <w:t xml:space="preserve">A类基金份额的赎回费率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Y＜7天   </w:t>
            </w:r>
          </w:p>
        </w:tc>
        <w:tc>
          <w:tcPr>
            <w:tcW w:w="0" w:type="auto"/>
            <w:gridSpan w:val="2"/>
            <w:shd w:val="clear" w:color="auto" w:fill="auto"/>
            <w:hideMark/>
          </w:tcPr>
          <w:p w:rsidR="007507EC" w:rsidRPr="007507EC" w:rsidRDefault="007507EC">
            <w:pPr>
              <w:pStyle w:val="a3"/>
            </w:pPr>
            <w:r w:rsidRPr="007507EC">
              <w:rPr>
                <w:rFonts w:hint="eastAsia"/>
              </w:rPr>
              <w:t xml:space="preserve">1.50%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7天≤Y＜0.5年   </w:t>
            </w:r>
          </w:p>
        </w:tc>
        <w:tc>
          <w:tcPr>
            <w:tcW w:w="0" w:type="auto"/>
            <w:gridSpan w:val="2"/>
            <w:shd w:val="clear" w:color="auto" w:fill="auto"/>
            <w:hideMark/>
          </w:tcPr>
          <w:p w:rsidR="007507EC" w:rsidRPr="007507EC" w:rsidRDefault="007507EC">
            <w:pPr>
              <w:pStyle w:val="a3"/>
            </w:pPr>
            <w:r w:rsidRPr="007507EC">
              <w:rPr>
                <w:rFonts w:hint="eastAsia"/>
              </w:rPr>
              <w:t xml:space="preserve">0.10%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0.5年≤Y＜1年   </w:t>
            </w:r>
          </w:p>
        </w:tc>
        <w:tc>
          <w:tcPr>
            <w:tcW w:w="0" w:type="auto"/>
            <w:gridSpan w:val="2"/>
            <w:shd w:val="clear" w:color="auto" w:fill="auto"/>
            <w:hideMark/>
          </w:tcPr>
          <w:p w:rsidR="007507EC" w:rsidRPr="007507EC" w:rsidRDefault="007507EC">
            <w:pPr>
              <w:pStyle w:val="a3"/>
            </w:pPr>
            <w:r w:rsidRPr="007507EC">
              <w:rPr>
                <w:rFonts w:hint="eastAsia"/>
              </w:rPr>
              <w:t xml:space="preserve">0.05%   </w:t>
            </w:r>
          </w:p>
        </w:tc>
      </w:tr>
      <w:tr w:rsidR="007507EC" w:rsidRPr="007507EC" w:rsidTr="003D6DF4">
        <w:trPr>
          <w:divId w:val="604843890"/>
          <w:jc w:val="center"/>
        </w:trPr>
        <w:tc>
          <w:tcPr>
            <w:tcW w:w="0" w:type="auto"/>
            <w:shd w:val="clear" w:color="auto" w:fill="auto"/>
            <w:hideMark/>
          </w:tcPr>
          <w:p w:rsidR="007507EC" w:rsidRPr="007507EC" w:rsidRDefault="007507EC">
            <w:pPr>
              <w:pStyle w:val="a3"/>
            </w:pPr>
            <w:r w:rsidRPr="007507EC">
              <w:rPr>
                <w:rFonts w:hint="eastAsia"/>
              </w:rPr>
              <w:t xml:space="preserve">Y≥1年   </w:t>
            </w:r>
          </w:p>
        </w:tc>
        <w:tc>
          <w:tcPr>
            <w:tcW w:w="0" w:type="auto"/>
            <w:gridSpan w:val="2"/>
            <w:shd w:val="clear" w:color="auto" w:fill="auto"/>
            <w:hideMark/>
          </w:tcPr>
          <w:p w:rsidR="007507EC" w:rsidRPr="007507EC" w:rsidRDefault="007507EC">
            <w:pPr>
              <w:pStyle w:val="a3"/>
            </w:pPr>
            <w:r w:rsidRPr="007507EC">
              <w:rPr>
                <w:rFonts w:hint="eastAsia"/>
              </w:rPr>
              <w:t xml:space="preserve">0   </w:t>
            </w:r>
          </w:p>
        </w:tc>
      </w:tr>
      <w:tr w:rsidR="007507EC" w:rsidRPr="007507EC" w:rsidTr="003D6DF4">
        <w:trPr>
          <w:divId w:val="604843890"/>
          <w:jc w:val="center"/>
        </w:trPr>
        <w:tc>
          <w:tcPr>
            <w:tcW w:w="0" w:type="auto"/>
            <w:gridSpan w:val="3"/>
            <w:shd w:val="clear" w:color="auto" w:fill="auto"/>
            <w:hideMark/>
          </w:tcPr>
          <w:p w:rsidR="007507EC" w:rsidRPr="007507EC" w:rsidRDefault="007507EC">
            <w:pPr>
              <w:pStyle w:val="a3"/>
            </w:pPr>
            <w:r w:rsidRPr="007507EC">
              <w:rPr>
                <w:rFonts w:hint="eastAsia"/>
              </w:rPr>
              <w:t xml:space="preserve">C类基金份额  </w:t>
            </w:r>
          </w:p>
        </w:tc>
      </w:tr>
      <w:tr w:rsidR="007507EC" w:rsidRPr="007507EC" w:rsidTr="003D6DF4">
        <w:trPr>
          <w:divId w:val="604843890"/>
          <w:jc w:val="center"/>
        </w:trPr>
        <w:tc>
          <w:tcPr>
            <w:tcW w:w="0" w:type="auto"/>
            <w:gridSpan w:val="2"/>
            <w:shd w:val="clear" w:color="auto" w:fill="auto"/>
            <w:hideMark/>
          </w:tcPr>
          <w:p w:rsidR="007507EC" w:rsidRPr="007507EC" w:rsidRDefault="007507EC">
            <w:pPr>
              <w:pStyle w:val="a3"/>
            </w:pPr>
            <w:r w:rsidRPr="007507EC">
              <w:rPr>
                <w:rFonts w:hint="eastAsia"/>
              </w:rPr>
              <w:t xml:space="preserve">Y＜7天   </w:t>
            </w:r>
          </w:p>
        </w:tc>
        <w:tc>
          <w:tcPr>
            <w:tcW w:w="0" w:type="auto"/>
            <w:shd w:val="clear" w:color="auto" w:fill="auto"/>
            <w:hideMark/>
          </w:tcPr>
          <w:p w:rsidR="007507EC" w:rsidRPr="007507EC" w:rsidRDefault="007507EC">
            <w:pPr>
              <w:pStyle w:val="a3"/>
            </w:pPr>
            <w:r w:rsidRPr="007507EC">
              <w:rPr>
                <w:rFonts w:hint="eastAsia"/>
              </w:rPr>
              <w:t xml:space="preserve">1.50%   </w:t>
            </w:r>
          </w:p>
        </w:tc>
      </w:tr>
      <w:tr w:rsidR="007507EC" w:rsidRPr="007507EC" w:rsidTr="003D6DF4">
        <w:trPr>
          <w:divId w:val="604843890"/>
          <w:jc w:val="center"/>
        </w:trPr>
        <w:tc>
          <w:tcPr>
            <w:tcW w:w="0" w:type="auto"/>
            <w:gridSpan w:val="2"/>
            <w:shd w:val="clear" w:color="auto" w:fill="auto"/>
            <w:hideMark/>
          </w:tcPr>
          <w:p w:rsidR="007507EC" w:rsidRPr="007507EC" w:rsidRDefault="007507EC">
            <w:pPr>
              <w:pStyle w:val="a3"/>
            </w:pPr>
            <w:r w:rsidRPr="007507EC">
              <w:rPr>
                <w:rFonts w:hint="eastAsia"/>
              </w:rPr>
              <w:t xml:space="preserve">7天≤Y   </w:t>
            </w:r>
          </w:p>
        </w:tc>
        <w:tc>
          <w:tcPr>
            <w:tcW w:w="0" w:type="auto"/>
            <w:shd w:val="clear" w:color="auto" w:fill="auto"/>
            <w:hideMark/>
          </w:tcPr>
          <w:p w:rsidR="007507EC" w:rsidRPr="007507EC" w:rsidRDefault="007507EC">
            <w:pPr>
              <w:pStyle w:val="a3"/>
            </w:pPr>
            <w:r w:rsidRPr="007507EC">
              <w:rPr>
                <w:rFonts w:hint="eastAsia"/>
              </w:rPr>
              <w:t xml:space="preserve">0   </w:t>
            </w:r>
          </w:p>
        </w:tc>
      </w:tr>
      <w:tr w:rsidR="007507EC" w:rsidRPr="007507EC" w:rsidTr="003D6DF4">
        <w:trPr>
          <w:divId w:val="604843890"/>
          <w:jc w:val="center"/>
        </w:trPr>
        <w:tc>
          <w:tcPr>
            <w:tcW w:w="0" w:type="auto"/>
            <w:shd w:val="clear" w:color="auto" w:fill="auto"/>
            <w:hideMark/>
          </w:tcPr>
          <w:p w:rsidR="007507EC" w:rsidRPr="007507EC" w:rsidRDefault="007507EC">
            <w:pPr>
              <w:rPr>
                <w:rFonts w:ascii="宋体" w:eastAsia="宋体" w:hAnsi="宋体" w:cs="宋体"/>
                <w:sz w:val="24"/>
                <w:szCs w:val="24"/>
              </w:rPr>
            </w:pPr>
          </w:p>
        </w:tc>
        <w:tc>
          <w:tcPr>
            <w:tcW w:w="0" w:type="auto"/>
            <w:shd w:val="clear" w:color="auto" w:fill="auto"/>
            <w:hideMark/>
          </w:tcPr>
          <w:p w:rsidR="007507EC" w:rsidRPr="007507EC" w:rsidRDefault="007507EC">
            <w:pPr>
              <w:rPr>
                <w:rFonts w:ascii="宋体" w:eastAsia="宋体" w:hAnsi="宋体" w:cs="宋体"/>
                <w:sz w:val="24"/>
                <w:szCs w:val="24"/>
              </w:rPr>
            </w:pPr>
          </w:p>
        </w:tc>
        <w:tc>
          <w:tcPr>
            <w:tcW w:w="0" w:type="auto"/>
            <w:shd w:val="clear" w:color="auto" w:fill="auto"/>
            <w:hideMark/>
          </w:tcPr>
          <w:p w:rsidR="007507EC" w:rsidRPr="007507EC" w:rsidRDefault="007507EC">
            <w:pPr>
              <w:rPr>
                <w:rFonts w:ascii="宋体" w:eastAsia="宋体" w:hAnsi="宋体" w:cs="宋体"/>
                <w:sz w:val="24"/>
                <w:szCs w:val="24"/>
              </w:rPr>
            </w:pPr>
          </w:p>
        </w:tc>
      </w:tr>
    </w:tbl>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费用由赎回基金份额的基金份额持有人承担，在基金份额持有人赎回基金份额时收取。对持续持有期少于7日的投资者收取的赎回费全额计入基金资产；对持续持有期不少于7日的投资者收取的赎回费将不低于赎回费总额的25%计入基金财产。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3、基金管理人可以在法律法规和基金合同规定范围内调整申购费率和赎回费率。费率如发生变更，基金管理人应在调整实施日前按照《信息披露办法》的有关规定在指定媒介上公告。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八、申购份额与赎回金额的计算方式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1、本基金申购份额的计算方式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A类基金份额的申购份额的计算公式为：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（1）适用比例费率时，A类基金份额申购份额的计算公式为：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净申购金额=申购金额/（1+申购费率）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申购费用=申购金额-净申购金额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申购份额=净申购金额/申购当日A类基金份额净值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（2）适用固定费用时，A类基金份额申购份额的计算公式为：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净申购金额＝申购金额—固定费用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 xml:space="preserve">申购份额＝净申购金额/申购当日A类基金份额净值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C类基金份额的申购份额的计算公式为：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净申购份额=申购金额/申购当日C类基金份额净值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申购份额的计算结果均按照四舍五入方法，保留小数点后两位，由此误差产生的损失由基金财产承担，产生的收益归基金财产所有。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例1：假定T日基金份额净值为1.056元，某投资人本次申购本基金A类基金份额50万元，对应的本次申购费率为0.30%，该投资人可得到的基金份额为：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净申购金额=500,000/（1+0.30%）＝498,504.49元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申购费用=500,000-498,504.49＝1,495.51元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申购份额=498,504.49/1.056＝472,068.65份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即：投资人投资50万元申购本基金A类基金份额，假定申购当日基金份额净值为1.056元，可得到472,068.65份基金份额。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例2：假定T日基金份额净值为1.056元，某投资人投资5万元申购本基金的C类基金份额，则可得到的基金份额为：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申购份额= 50,000/1.056=47,348.48份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即：投资人投资5万元申购本基金的C类基金份额，假设申购当日C类基金份额净值为1.056元，则其可得到47,348.48份C类基金份额。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2、赎回金额的计算方式：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赎回金额的计算公式为：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赎回总金额=赎回份额x赎回当日基金份额净值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赎回费用=赎回总金额x赎回费率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净赎回金额=赎回总金额-赎回费用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例1：某投资人赎回1万份本基金A类份额，持有2年零6个月，对应的赎回费率为0%，假设赎回当日基金份额净值是1.250元，则其可得到的赎回金额为：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赎回总金额=10,000 x 1.250=12,500.00元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赎回费用=12,500 x 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净赎回金额=12,500-0=12,500 .00元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即：投资人赎回1万份本基金A类份额，持有2年零6个月，假设赎回当日基金份额净值是1.250元，则其可得到的赎回金额为12,500.00元。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 xml:space="preserve">例2：某投资人赎回1万份本基金C类基金份额，持有时间不少于7日。假设赎回当日C类基金份额净值是1.250元，则其可得到的赎回金额为：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赎回金额=10,000 x 1.250=12,500.00元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即：投资人赎回1万份本基金C类基金份额，假设赎回当日C类基金份额净值是1.250元，则其可得到的赎回金额为12,500.00元。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3、本基金份额净值的计算：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由于基金费用的不同，本基金A类基金份额和C类基金份额将分别计算基金份额净值，计算公式为计算日各类别基金资产净值除以计算日发售在外的该类别基金份额总数。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各类别T日基金份额净值=各类别T日基金资产净值/各类别T日发行在外的基金份额总数。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基金份额净值单位为元，计算结果保留到小数点后4位，小数点后第5位四舍五入，由此产生的收益或损失由基金财产承担。T日的基金份额净值在当天收市后计算，并按照基金合同约定公告。遇特殊情况，经中国证监会同意，可以适当延迟计算或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4、申购份额余额的处理方式：申购的有效份额为净申购金额除以当日的基金份额净值，有效份额单位为份，上述计算结果均按四舍五入方法，保留到小数点后两位，由此产生的收益或损失由基金财产承担。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5、赎回金额的处理方式：赎回金额为按实际确认的有效赎回份额乘以当日基金份额净值并扣除相应的费用，赎回金额单位为元。上述计算结果均按四舍五入，保留到小数点后两位，由此产生的收益或损失由基金财产承担。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6、基金管理人可以根据《基金合同》的相关约定调整费率或收费方式，基金管理人最迟应于新的费率或收费方式实施日前依照《信息披露办法》的有关规定在指定媒介公告。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7、基金管理人可以在不违背法律法规规定及《基金合同》约定的情形下根据市场情况制定基金促销计划，针对投资者定期或不定期地开展基金促销活动。在基金促销活动期间，按监管部门要求履行相关手续后，基金管理人可以适当调低基金申购费率和基金赎回费率。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九、申购与赎回的注册登记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1、经基金销售机构同意，基金投资人提出的申购和赎回申请，在基金管理人规定的时间之前可以撤销。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 xml:space="preserve">2、投资人申购基金成功后，登记机构在T+1日为投资者登记权益并办理注册登记手续，投资人自T+2日（含该日）后有权赎回该部分基金份额。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3、投资人赎回基金成功后，登记机构在T+1日为投资者办理扣除权益的注册登记手续。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4、基金管理人可以在法律法规允许的范围内，对上述注册登记办理时间进行调整，但不得实质影响投资者的合法权益，并最迟于开始实施前依照《信息披露办法》的有关规定在指定媒介公告。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十、拒绝或暂停申购的情形及处理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发生下列情况时，基金管理人可拒绝或暂停接受投资人的申购申请：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1、因不可抗力导致基金无法正常运作。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2、发生基金合同规定的暂停基金资产估值情况时，基金管理人可暂停接受投资人的申购申请。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3、证券交易所交易时间非正常停市，导致基金管理人无法计算当日基金资产净值。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4、基金管理人认为接受某笔或某些申购申请可能会影响或损害现有基金份额持有人利益或对存量基金份额持有人利益构成潜在重大不利影响时。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5、基金资产规模过大，使基金管理人无法找到合适的投资品种，或其他可能对基金业绩产生负面影响，从而损害现有基金份额持有人利益的情形。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6、基金管理人、基金托管人、基金销售机构或登记机构的异常情况导致基金销售系统、基金登记系统或基金会计系统无法正常运行。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7、当前一估值日基金资产净值50%以上的资产出现无可参考的活跃市场价格且采用估值技术仍导致公允价值存在重大不确定性时，经与基金托管人协商确认后，基金管理人应当暂停接受基金申购申请。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8、基金管理人接受某笔或者某些申购申请有可能导致单一投资者持有基金份额的比例达到或者超过50%，或者变相规避50%集中度的情形时。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9、法律法规规定、基金合同约定或中国证监会认定的其他情形。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发生上述第1、2、3、5、6、7、9项暂停申购情形之一且基金管理人决定暂停接受投资人的申购申请时，基金管理人应当根据有关规定在指定媒介上刊登暂停申购公告。如果投资人的申购申请被拒绝，被拒绝的申购款项将退还给投资人。在暂停申购的情况消除时，基金管理人应及时恢复申购业务的办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lastRenderedPageBreak/>
        <w:t>十一、暂停赎回或延缓支付赎回款项的情形及处理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发生下列情形时，基金管理人可暂停接受投资人的赎回申请或延缓支付赎回款项：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1、因不可抗力导致基金管理人不能支付赎回款项。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2、发生基金合同规定的暂停基金资产估值情况时，基金管理人可暂停接受投资人的赎回申请或延缓支付赎回款项。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3、证券交易所交易时间非正常停市，导致基金管理人无法计算当日基金资产净值。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4、连续两个或两个以上开放日发生巨额赎回。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5、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6、法律法规规定或中国证监会认定的其他情形。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发生上述情形之一且基金管理人决定暂停接受赎回申请或暂停接受基金份额持有人的赎回申请时，基金管理人应按规定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十二、巨额赎回的情形及处理方式</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1、巨额赎回的认定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3" w:name="field_49_mintredeemscale_1"/>
      <w:r w:rsidR="00981FA3">
        <w:rPr>
          <w:sz w:val="21"/>
          <w:szCs w:val="21"/>
        </w:rPr>
        <w:t>10</w:t>
      </w:r>
      <w:bookmarkEnd w:id="103"/>
      <w:r w:rsidRPr="007507EC">
        <w:rPr>
          <w:rFonts w:hint="eastAsia"/>
          <w:sz w:val="21"/>
          <w:szCs w:val="21"/>
        </w:rPr>
        <w:t xml:space="preserve">%，即认为是发生了巨额赎回。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2、巨额赎回的处理方式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当基金出现巨额赎回时，基金管理人可以根据基金当时的资产组合状况决定全额赎回或部分延期赎回。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（1）全额赎回：当基金管理人认为有能力支付投资人的全部赎回申请时，按正常赎回程序执行。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w:t>
      </w:r>
      <w:bookmarkStart w:id="104" w:name="field_49_mintredeemscale_2"/>
      <w:r w:rsidR="00981FA3">
        <w:rPr>
          <w:sz w:val="21"/>
          <w:szCs w:val="21"/>
        </w:rPr>
        <w:t>10</w:t>
      </w:r>
      <w:bookmarkEnd w:id="104"/>
      <w:r w:rsidRPr="007507EC">
        <w:rPr>
          <w:rFonts w:hint="eastAsia"/>
          <w:sz w:val="21"/>
          <w:szCs w:val="21"/>
        </w:rPr>
        <w:t>%的前提下，可对其余赎回申请延期办理。</w:t>
      </w:r>
      <w:r w:rsidRPr="007507EC">
        <w:rPr>
          <w:rFonts w:hint="eastAsia"/>
          <w:sz w:val="21"/>
          <w:szCs w:val="21"/>
        </w:rPr>
        <w:lastRenderedPageBreak/>
        <w:t xml:space="preserve">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本基金发生巨额赎回时，对于单个基金份额持有人当日赎回申请超过上一开放日基金总份额10%以上的部分，基金管理人有权对其进行延期办理（被延期赎回的赎回申请，将自动转入下一个开放日继续赎回，延期的赎回申请与下一开放日赎回申请一并处理，无优先权并以下一开放日某一类别的基金份额净值为基础计算赎回金额，以此类推，直到全部赎回为止）；对于该基金份额持有人申请赎回的份额中未超过上一开放日基金总份额10％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4）暂停赎回：连续2日以上（含本数）发生巨额赎回，如基金管理人认为有必要，可暂停接受基金的赎回申请；已经接受的赎回申请可以延缓支付赎回款项，但不得超过20个工作日，并应当在指定媒介上进行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3、巨额赎回的公告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当发生上述巨额赎回并延期办理时，基金管理人应当通过邮寄、传真或者招募说明书规定的其他方式在3个交易日内通知基金份额持有人，说明有关处理方法，并在2日内在指定媒介上刊登公告。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Style w:val="a4"/>
          <w:rFonts w:hint="eastAsia"/>
          <w:sz w:val="21"/>
          <w:szCs w:val="21"/>
        </w:rPr>
        <w:t>十三、暂停申购或赎回的公告和重新开放申购或赎回的公告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1、发生上述暂停申购或赎回情况的，基金管理人应在规定期限内在指定媒介上刊登暂停公告。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2、如发生暂停的时间为1日，基金管理人应于重新开放日，在指定媒介上刊登基金重新开放申购或赎回公告，并公布最近1个开放日的基金份额净值。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t xml:space="preserve">3、如果发生暂停的时间超过1日但少于两周，暂停结束基金重新开放申购或赎回时，基金管理人应最迟于重新开放日在指定媒介刊登基金重新开放申购或赎回的公告，并在重新开始办理申购或赎回的开放日公告最近一个工作日的基金份额净值。   </w:t>
      </w:r>
    </w:p>
    <w:p w:rsidR="007507EC" w:rsidRPr="007507EC" w:rsidRDefault="007507EC">
      <w:pPr>
        <w:pStyle w:val="a3"/>
        <w:spacing w:before="0" w:beforeAutospacing="0" w:after="0" w:afterAutospacing="0" w:line="360" w:lineRule="auto"/>
        <w:ind w:firstLine="420"/>
        <w:divId w:val="604843890"/>
        <w:rPr>
          <w:sz w:val="21"/>
          <w:szCs w:val="21"/>
        </w:rPr>
      </w:pPr>
      <w:r w:rsidRPr="007507EC">
        <w:rPr>
          <w:rFonts w:hint="eastAsia"/>
          <w:sz w:val="21"/>
          <w:szCs w:val="21"/>
        </w:rPr>
        <w:lastRenderedPageBreak/>
        <w:t>4、如果发生暂停的时间超过两周，暂停期间，基金管理人应每两周至少重复刊登暂停公告一次。暂停结束基金重新开放申购或赎回时，基金管理人应最迟于重新开放日在指定媒介刊登基金重新开放申购或赎回的公告，并在重新开放申购或赎回日公告最近一个工作日的</w:t>
      </w:r>
      <w:bookmarkStart w:id="105" w:name="chapter_level1_10_59_section_3_end"/>
      <w:bookmarkEnd w:id="105"/>
      <w:r w:rsidRPr="007507EC">
        <w:rPr>
          <w:rFonts w:hint="eastAsia"/>
          <w:sz w:val="21"/>
          <w:szCs w:val="21"/>
        </w:rPr>
        <w:t xml:space="preserve">基金份额净值。 </w:t>
      </w:r>
    </w:p>
    <w:p w:rsidR="007507EC" w:rsidRPr="007507EC" w:rsidRDefault="007507EC">
      <w:pPr>
        <w:pStyle w:val="a3"/>
        <w:spacing w:before="0" w:beforeAutospacing="0" w:after="0" w:afterAutospacing="0" w:line="360" w:lineRule="auto"/>
        <w:ind w:firstLine="420"/>
        <w:divId w:val="707071036"/>
        <w:rPr>
          <w:sz w:val="21"/>
          <w:szCs w:val="21"/>
        </w:rPr>
      </w:pPr>
      <w:bookmarkStart w:id="106" w:name="chapter_level1_10_59_section_4"/>
      <w:bookmarkEnd w:id="106"/>
      <w:r w:rsidRPr="007507EC">
        <w:rPr>
          <w:rStyle w:val="a4"/>
          <w:rFonts w:hint="eastAsia"/>
          <w:sz w:val="21"/>
          <w:szCs w:val="21"/>
        </w:rPr>
        <w:t>十四、基金转换</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自2013年6月17日起，本基金管理人和销售机构共同推出本基金的基金转换业务。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（一）转换费用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（二）业务规则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1、基金转换只能在同一销售机构进行。转换的两只基金必须都是该销售机构代理的同一基金管理人管理的、在同一登记机构处注册登记的基金。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QDII基金不能与非QDII基金进行互换。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3、基金转换的目标基金份额按新交易计算持有时间。基金转出视为赎回，转入视为申购。基金转换后可赎回的时间为T＋2日。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4、基金分红时再投资的份额可在权益登记日的T＋2日提交基金转换申请。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5、基金转换以申请当日基金份额净值为基础计算。投资者采用“份额转换”的原则提交申请。转出基金份额必须是可用份额，并遵循“先进先出”的原则。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（五）暂停基金转换的情形及处理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基金转换视同为转出基金的赎回和转入基金的申购，因此有关转出基金和转入基金暂停或拒绝申购、暂停赎回的有关规定适用于基金转换。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（六）重要提示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1、本基金转换业务适用于可以销售包括</w:t>
      </w:r>
      <w:bookmarkStart w:id="107" w:name="field_49_productfullname_12"/>
      <w:r w:rsidR="00981FA3">
        <w:rPr>
          <w:rFonts w:hint="eastAsia"/>
          <w:sz w:val="21"/>
          <w:szCs w:val="21"/>
        </w:rPr>
        <w:t>博时安盈债券型证券投资基金</w:t>
      </w:r>
      <w:bookmarkEnd w:id="107"/>
      <w:r w:rsidRPr="007507EC">
        <w:rPr>
          <w:rFonts w:hint="eastAsia"/>
          <w:sz w:val="21"/>
          <w:szCs w:val="21"/>
        </w:rPr>
        <w:t xml:space="preserve">在内的两只以上（含两只），且基金登记机构为同一机构的博时旗下基金的销售机构。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lastRenderedPageBreak/>
        <w:t>2、转换业务的收费计算公式及举例参见2010年3月16日刊登于本公司网站的《</w:t>
      </w:r>
      <w:bookmarkStart w:id="108" w:name="field_49_managerorgfullname_6"/>
      <w:r w:rsidR="00981FA3">
        <w:rPr>
          <w:rFonts w:hint="eastAsia"/>
          <w:sz w:val="21"/>
          <w:szCs w:val="21"/>
        </w:rPr>
        <w:t>博时基金管理有限公司</w:t>
      </w:r>
      <w:bookmarkEnd w:id="108"/>
      <w:r w:rsidRPr="007507EC">
        <w:rPr>
          <w:rFonts w:hint="eastAsia"/>
          <w:sz w:val="21"/>
          <w:szCs w:val="21"/>
        </w:rPr>
        <w:t xml:space="preserve">关于旗下开放式基金转换业务的公告》。 </w:t>
      </w:r>
    </w:p>
    <w:p w:rsidR="007507EC" w:rsidRPr="007507EC" w:rsidRDefault="007507EC">
      <w:pPr>
        <w:pStyle w:val="a3"/>
        <w:spacing w:before="0" w:beforeAutospacing="0" w:after="0" w:afterAutospacing="0" w:line="360" w:lineRule="auto"/>
        <w:ind w:firstLine="420"/>
        <w:divId w:val="707071036"/>
        <w:rPr>
          <w:sz w:val="21"/>
          <w:szCs w:val="21"/>
        </w:rPr>
      </w:pPr>
      <w:r w:rsidRPr="007507EC">
        <w:rPr>
          <w:rFonts w:hint="eastAsia"/>
          <w:sz w:val="21"/>
          <w:szCs w:val="21"/>
        </w:rPr>
        <w:t xml:space="preserve">3、转换业务适用基金详见相关公告。 </w:t>
      </w:r>
    </w:p>
    <w:p w:rsidR="007507EC" w:rsidRPr="007507EC" w:rsidRDefault="007507EC">
      <w:pPr>
        <w:pStyle w:val="a3"/>
        <w:spacing w:before="0" w:beforeAutospacing="0" w:after="0" w:afterAutospacing="0" w:line="360" w:lineRule="auto"/>
        <w:ind w:firstLine="420"/>
        <w:divId w:val="707071036"/>
        <w:rPr>
          <w:sz w:val="21"/>
          <w:szCs w:val="21"/>
        </w:rPr>
      </w:pPr>
      <w:bookmarkStart w:id="109" w:name="chapter_level1_10_59_section_4_end"/>
      <w:bookmarkEnd w:id="109"/>
      <w:r w:rsidRPr="007507EC">
        <w:rPr>
          <w:rFonts w:hint="eastAsia"/>
          <w:sz w:val="21"/>
          <w:szCs w:val="21"/>
        </w:rPr>
        <w:t xml:space="preserve">4、本公司管理基金的转换业务的解释权归本公司。 </w:t>
      </w:r>
    </w:p>
    <w:p w:rsidR="007507EC" w:rsidRPr="007507EC" w:rsidRDefault="007507EC">
      <w:pPr>
        <w:pStyle w:val="a3"/>
        <w:spacing w:before="0" w:beforeAutospacing="0" w:after="0" w:afterAutospacing="0" w:line="360" w:lineRule="auto"/>
        <w:ind w:firstLine="420"/>
        <w:divId w:val="1296369239"/>
        <w:rPr>
          <w:sz w:val="21"/>
          <w:szCs w:val="21"/>
        </w:rPr>
      </w:pPr>
      <w:bookmarkStart w:id="110" w:name="chapter_level1_10_59_section_5"/>
      <w:bookmarkEnd w:id="110"/>
      <w:r w:rsidRPr="007507EC">
        <w:rPr>
          <w:rStyle w:val="a4"/>
          <w:rFonts w:hint="eastAsia"/>
          <w:sz w:val="21"/>
          <w:szCs w:val="21"/>
        </w:rPr>
        <w:t>十五、基金的非交易过户</w:t>
      </w:r>
    </w:p>
    <w:p w:rsidR="007507EC" w:rsidRPr="007507EC" w:rsidRDefault="007507EC">
      <w:pPr>
        <w:pStyle w:val="a3"/>
        <w:spacing w:before="0" w:beforeAutospacing="0" w:after="0" w:afterAutospacing="0" w:line="360" w:lineRule="auto"/>
        <w:ind w:firstLine="420"/>
        <w:divId w:val="1296369239"/>
        <w:rPr>
          <w:sz w:val="21"/>
          <w:szCs w:val="21"/>
        </w:rPr>
      </w:pPr>
      <w:r w:rsidRPr="007507EC">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rsidR="007507EC" w:rsidRPr="007507EC" w:rsidRDefault="007507EC">
      <w:pPr>
        <w:pStyle w:val="a3"/>
        <w:spacing w:before="0" w:beforeAutospacing="0" w:after="0" w:afterAutospacing="0" w:line="360" w:lineRule="auto"/>
        <w:ind w:firstLine="420"/>
        <w:divId w:val="1296369239"/>
        <w:rPr>
          <w:sz w:val="21"/>
          <w:szCs w:val="21"/>
        </w:rPr>
      </w:pPr>
      <w:r w:rsidRPr="007507EC">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rsidR="007507EC" w:rsidRPr="007507EC" w:rsidRDefault="007507EC">
      <w:pPr>
        <w:pStyle w:val="a3"/>
        <w:spacing w:before="0" w:beforeAutospacing="0" w:after="0" w:afterAutospacing="0" w:line="360" w:lineRule="auto"/>
        <w:ind w:firstLine="420"/>
        <w:divId w:val="1296369239"/>
        <w:rPr>
          <w:sz w:val="21"/>
          <w:szCs w:val="21"/>
        </w:rPr>
      </w:pPr>
      <w:r w:rsidRPr="007507EC">
        <w:rPr>
          <w:rStyle w:val="a4"/>
          <w:rFonts w:hint="eastAsia"/>
          <w:sz w:val="21"/>
          <w:szCs w:val="21"/>
        </w:rPr>
        <w:t>十六、基金的转托管</w:t>
      </w:r>
    </w:p>
    <w:p w:rsidR="007507EC" w:rsidRPr="007507EC" w:rsidRDefault="007507EC">
      <w:pPr>
        <w:pStyle w:val="a3"/>
        <w:spacing w:before="0" w:beforeAutospacing="0" w:after="0" w:afterAutospacing="0" w:line="360" w:lineRule="auto"/>
        <w:ind w:firstLine="420"/>
        <w:divId w:val="1296369239"/>
        <w:rPr>
          <w:sz w:val="21"/>
          <w:szCs w:val="21"/>
        </w:rPr>
      </w:pPr>
      <w:r w:rsidRPr="007507EC">
        <w:rPr>
          <w:rFonts w:hint="eastAsia"/>
          <w:sz w:val="21"/>
          <w:szCs w:val="21"/>
        </w:rPr>
        <w:t>基金份额持有人可办理已持有基金份额在不同销售机构之间的转托管，基金销售机构可</w:t>
      </w:r>
      <w:bookmarkStart w:id="111" w:name="chapter_level1_10_59_section_5_end"/>
      <w:bookmarkEnd w:id="111"/>
      <w:r w:rsidRPr="007507EC">
        <w:rPr>
          <w:rFonts w:hint="eastAsia"/>
          <w:sz w:val="21"/>
          <w:szCs w:val="21"/>
        </w:rPr>
        <w:t xml:space="preserve">以按照规定的标准收取转托管费。 </w:t>
      </w:r>
    </w:p>
    <w:p w:rsidR="007507EC" w:rsidRPr="007507EC" w:rsidRDefault="007507EC">
      <w:pPr>
        <w:pStyle w:val="a3"/>
        <w:spacing w:before="0" w:beforeAutospacing="0" w:after="0" w:afterAutospacing="0" w:line="360" w:lineRule="auto"/>
        <w:ind w:firstLine="420"/>
        <w:divId w:val="307710062"/>
        <w:rPr>
          <w:sz w:val="21"/>
          <w:szCs w:val="21"/>
        </w:rPr>
      </w:pPr>
      <w:bookmarkStart w:id="112" w:name="chapter_level1_10_59_section_6"/>
      <w:bookmarkEnd w:id="112"/>
      <w:r w:rsidRPr="007507EC">
        <w:rPr>
          <w:rFonts w:hint="eastAsia"/>
          <w:b/>
          <w:bCs/>
          <w:sz w:val="21"/>
          <w:szCs w:val="21"/>
        </w:rPr>
        <w:t>十七、定期定额投资计划</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本基金于2013年6月17日起开始办理基金定期定额投资业务.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（1）适用投资者范围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个人投资者、机构投资者、合格境外机构投资者以及法律法规或中国证监会规定允许购买证券投资基金的其他投资者。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（2）申购费率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本基金定期定额投资的申购费率与普通申购业务的费率相同。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本基金基金份额采用前端收费模式收取基金申购费用。  </w:t>
      </w:r>
    </w:p>
    <w:p w:rsidR="007507EC" w:rsidRPr="007507EC" w:rsidRDefault="007507EC">
      <w:pPr>
        <w:pStyle w:val="a3"/>
        <w:spacing w:before="0" w:beforeAutospacing="0" w:after="0" w:afterAutospacing="0" w:line="360" w:lineRule="auto"/>
        <w:ind w:firstLine="420"/>
        <w:jc w:val="center"/>
        <w:divId w:val="307710062"/>
        <w:rPr>
          <w:sz w:val="21"/>
          <w:szCs w:val="21"/>
        </w:rPr>
      </w:pPr>
      <w:r w:rsidRPr="007507EC">
        <w:rPr>
          <w:rFonts w:hint="eastAsia"/>
          <w:sz w:val="21"/>
          <w:szCs w:val="21"/>
        </w:rPr>
        <w:t xml:space="preserve">表：本基金份额的申购费率 </w:t>
      </w:r>
    </w:p>
    <w:tbl>
      <w:tblPr>
        <w:tblStyle w:val="a9"/>
        <w:tblW w:w="5000" w:type="pct"/>
        <w:tblLook w:val="04A0" w:firstRow="1" w:lastRow="0" w:firstColumn="1" w:lastColumn="0" w:noHBand="0" w:noVBand="1"/>
      </w:tblPr>
      <w:tblGrid>
        <w:gridCol w:w="4088"/>
        <w:gridCol w:w="4428"/>
      </w:tblGrid>
      <w:tr w:rsidR="007507EC" w:rsidRPr="007507EC" w:rsidTr="007507EC">
        <w:trPr>
          <w:divId w:val="835532300"/>
        </w:trPr>
        <w:tc>
          <w:tcPr>
            <w:tcW w:w="5000" w:type="pct"/>
            <w:gridSpan w:val="2"/>
            <w:shd w:val="clear" w:color="auto" w:fill="auto"/>
            <w:hideMark/>
          </w:tcPr>
          <w:p w:rsidR="007507EC" w:rsidRPr="007507EC" w:rsidRDefault="007507EC">
            <w:pPr>
              <w:pStyle w:val="a3"/>
              <w:jc w:val="center"/>
            </w:pPr>
            <w:r w:rsidRPr="007507EC">
              <w:rPr>
                <w:rFonts w:hint="eastAsia"/>
                <w:b/>
                <w:bCs/>
              </w:rPr>
              <w:t>A类基金份额</w:t>
            </w:r>
          </w:p>
        </w:tc>
      </w:tr>
      <w:tr w:rsidR="007507EC" w:rsidRPr="007507EC" w:rsidTr="007507EC">
        <w:trPr>
          <w:divId w:val="835532300"/>
        </w:trPr>
        <w:tc>
          <w:tcPr>
            <w:tcW w:w="2400" w:type="pct"/>
            <w:shd w:val="clear" w:color="auto" w:fill="auto"/>
            <w:hideMark/>
          </w:tcPr>
          <w:p w:rsidR="007507EC" w:rsidRPr="007507EC" w:rsidRDefault="007507EC">
            <w:pPr>
              <w:pStyle w:val="a3"/>
              <w:jc w:val="center"/>
            </w:pPr>
            <w:r w:rsidRPr="007507EC">
              <w:rPr>
                <w:rFonts w:hint="eastAsia"/>
              </w:rPr>
              <w:t xml:space="preserve">金额（M）  </w:t>
            </w:r>
          </w:p>
        </w:tc>
        <w:tc>
          <w:tcPr>
            <w:tcW w:w="2550" w:type="pct"/>
            <w:shd w:val="clear" w:color="auto" w:fill="auto"/>
            <w:hideMark/>
          </w:tcPr>
          <w:p w:rsidR="007507EC" w:rsidRPr="007507EC" w:rsidRDefault="007507EC">
            <w:pPr>
              <w:pStyle w:val="a3"/>
              <w:jc w:val="center"/>
            </w:pPr>
            <w:r w:rsidRPr="007507EC">
              <w:rPr>
                <w:rFonts w:hint="eastAsia"/>
              </w:rPr>
              <w:t xml:space="preserve">申购费率  </w:t>
            </w:r>
          </w:p>
        </w:tc>
      </w:tr>
      <w:tr w:rsidR="007507EC" w:rsidRPr="007507EC" w:rsidTr="007507EC">
        <w:trPr>
          <w:divId w:val="835532300"/>
        </w:trPr>
        <w:tc>
          <w:tcPr>
            <w:tcW w:w="2400" w:type="pct"/>
            <w:shd w:val="clear" w:color="auto" w:fill="auto"/>
            <w:hideMark/>
          </w:tcPr>
          <w:p w:rsidR="007507EC" w:rsidRPr="007507EC" w:rsidRDefault="007507EC">
            <w:pPr>
              <w:pStyle w:val="a3"/>
              <w:jc w:val="center"/>
            </w:pPr>
            <w:r w:rsidRPr="007507EC">
              <w:rPr>
                <w:rFonts w:hint="eastAsia"/>
              </w:rPr>
              <w:t xml:space="preserve">M＜100万元  </w:t>
            </w:r>
          </w:p>
        </w:tc>
        <w:tc>
          <w:tcPr>
            <w:tcW w:w="2550" w:type="pct"/>
            <w:shd w:val="clear" w:color="auto" w:fill="auto"/>
            <w:hideMark/>
          </w:tcPr>
          <w:p w:rsidR="007507EC" w:rsidRPr="007507EC" w:rsidRDefault="007507EC">
            <w:pPr>
              <w:pStyle w:val="a3"/>
              <w:jc w:val="center"/>
            </w:pPr>
            <w:r w:rsidRPr="007507EC">
              <w:rPr>
                <w:rFonts w:hint="eastAsia"/>
              </w:rPr>
              <w:t xml:space="preserve">0.30%  </w:t>
            </w:r>
          </w:p>
        </w:tc>
      </w:tr>
      <w:tr w:rsidR="007507EC" w:rsidRPr="007507EC" w:rsidTr="007507EC">
        <w:trPr>
          <w:divId w:val="835532300"/>
        </w:trPr>
        <w:tc>
          <w:tcPr>
            <w:tcW w:w="2400" w:type="pct"/>
            <w:shd w:val="clear" w:color="auto" w:fill="auto"/>
            <w:hideMark/>
          </w:tcPr>
          <w:p w:rsidR="007507EC" w:rsidRPr="007507EC" w:rsidRDefault="007507EC">
            <w:pPr>
              <w:pStyle w:val="a3"/>
              <w:jc w:val="center"/>
            </w:pPr>
            <w:r w:rsidRPr="007507EC">
              <w:rPr>
                <w:rFonts w:hint="eastAsia"/>
              </w:rPr>
              <w:t xml:space="preserve">100万元≤M＜500万元  </w:t>
            </w:r>
          </w:p>
        </w:tc>
        <w:tc>
          <w:tcPr>
            <w:tcW w:w="2550" w:type="pct"/>
            <w:shd w:val="clear" w:color="auto" w:fill="auto"/>
            <w:hideMark/>
          </w:tcPr>
          <w:p w:rsidR="007507EC" w:rsidRPr="007507EC" w:rsidRDefault="007507EC">
            <w:pPr>
              <w:pStyle w:val="a3"/>
              <w:jc w:val="center"/>
            </w:pPr>
            <w:r w:rsidRPr="007507EC">
              <w:rPr>
                <w:rFonts w:hint="eastAsia"/>
              </w:rPr>
              <w:t xml:space="preserve">0.15%  </w:t>
            </w:r>
          </w:p>
        </w:tc>
      </w:tr>
      <w:tr w:rsidR="007507EC" w:rsidRPr="007507EC" w:rsidTr="007507EC">
        <w:trPr>
          <w:divId w:val="835532300"/>
        </w:trPr>
        <w:tc>
          <w:tcPr>
            <w:tcW w:w="2400" w:type="pct"/>
            <w:shd w:val="clear" w:color="auto" w:fill="auto"/>
            <w:hideMark/>
          </w:tcPr>
          <w:p w:rsidR="007507EC" w:rsidRPr="007507EC" w:rsidRDefault="007507EC">
            <w:pPr>
              <w:pStyle w:val="a3"/>
              <w:jc w:val="center"/>
            </w:pPr>
            <w:r w:rsidRPr="007507EC">
              <w:rPr>
                <w:rFonts w:hint="eastAsia"/>
              </w:rPr>
              <w:t xml:space="preserve">500万元≤M＜1000万元  </w:t>
            </w:r>
          </w:p>
        </w:tc>
        <w:tc>
          <w:tcPr>
            <w:tcW w:w="2550" w:type="pct"/>
            <w:shd w:val="clear" w:color="auto" w:fill="auto"/>
            <w:hideMark/>
          </w:tcPr>
          <w:p w:rsidR="007507EC" w:rsidRPr="007507EC" w:rsidRDefault="007507EC">
            <w:pPr>
              <w:pStyle w:val="a3"/>
              <w:jc w:val="center"/>
            </w:pPr>
            <w:r w:rsidRPr="007507EC">
              <w:rPr>
                <w:rFonts w:hint="eastAsia"/>
              </w:rPr>
              <w:t xml:space="preserve">0.10%  </w:t>
            </w:r>
          </w:p>
        </w:tc>
      </w:tr>
      <w:tr w:rsidR="007507EC" w:rsidRPr="007507EC" w:rsidTr="007507EC">
        <w:trPr>
          <w:divId w:val="835532300"/>
        </w:trPr>
        <w:tc>
          <w:tcPr>
            <w:tcW w:w="2400" w:type="pct"/>
            <w:shd w:val="clear" w:color="auto" w:fill="auto"/>
            <w:hideMark/>
          </w:tcPr>
          <w:p w:rsidR="007507EC" w:rsidRPr="007507EC" w:rsidRDefault="007507EC">
            <w:pPr>
              <w:pStyle w:val="a3"/>
              <w:jc w:val="center"/>
            </w:pPr>
            <w:r w:rsidRPr="007507EC">
              <w:rPr>
                <w:rFonts w:hint="eastAsia"/>
              </w:rPr>
              <w:t xml:space="preserve">M≥1000万元  </w:t>
            </w:r>
          </w:p>
        </w:tc>
        <w:tc>
          <w:tcPr>
            <w:tcW w:w="2550" w:type="pct"/>
            <w:shd w:val="clear" w:color="auto" w:fill="auto"/>
            <w:hideMark/>
          </w:tcPr>
          <w:p w:rsidR="007507EC" w:rsidRPr="007507EC" w:rsidRDefault="007507EC">
            <w:pPr>
              <w:pStyle w:val="a3"/>
              <w:jc w:val="center"/>
            </w:pPr>
            <w:r w:rsidRPr="007507EC">
              <w:rPr>
                <w:rFonts w:hint="eastAsia"/>
              </w:rPr>
              <w:t xml:space="preserve">1000元/笔  </w:t>
            </w:r>
          </w:p>
        </w:tc>
      </w:tr>
      <w:tr w:rsidR="007507EC" w:rsidRPr="007507EC" w:rsidTr="007507EC">
        <w:trPr>
          <w:divId w:val="835532300"/>
        </w:trPr>
        <w:tc>
          <w:tcPr>
            <w:tcW w:w="5000" w:type="pct"/>
            <w:gridSpan w:val="2"/>
            <w:shd w:val="clear" w:color="auto" w:fill="auto"/>
            <w:hideMark/>
          </w:tcPr>
          <w:p w:rsidR="007507EC" w:rsidRPr="007507EC" w:rsidRDefault="007507EC">
            <w:pPr>
              <w:pStyle w:val="a3"/>
              <w:jc w:val="center"/>
            </w:pPr>
            <w:r w:rsidRPr="007507EC">
              <w:rPr>
                <w:rFonts w:hint="eastAsia"/>
                <w:b/>
                <w:bCs/>
              </w:rPr>
              <w:lastRenderedPageBreak/>
              <w:t>C类基金份额</w:t>
            </w:r>
          </w:p>
        </w:tc>
      </w:tr>
      <w:tr w:rsidR="007507EC" w:rsidRPr="007507EC" w:rsidTr="007507EC">
        <w:trPr>
          <w:divId w:val="835532300"/>
        </w:trPr>
        <w:tc>
          <w:tcPr>
            <w:tcW w:w="5000" w:type="pct"/>
            <w:gridSpan w:val="2"/>
            <w:shd w:val="clear" w:color="auto" w:fill="auto"/>
            <w:hideMark/>
          </w:tcPr>
          <w:p w:rsidR="007507EC" w:rsidRPr="007507EC" w:rsidRDefault="007507EC">
            <w:pPr>
              <w:pStyle w:val="a3"/>
              <w:jc w:val="center"/>
            </w:pPr>
            <w:r w:rsidRPr="007507EC">
              <w:rPr>
                <w:rFonts w:hint="eastAsia"/>
              </w:rPr>
              <w:t xml:space="preserve">申购费率为零  </w:t>
            </w:r>
          </w:p>
        </w:tc>
      </w:tr>
    </w:tbl>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来源：博时基金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本基金的申购费用由投资者承担，主要用于本基金的市场推广、销售、注册登记等各项费用，不列入基金财产。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（3）扣款日期和扣款金额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投资者须遵循各销售机构有关扣款日期的规定，并与销售机构约定每月扣款金额，投资A类基金份额的，最低每次不少于人民币10元（含10元）、投资C类基金份额的最低每次不少于人民币10元（含10元）。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（4）重要提示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 xml:space="preserve">1）凡申请办理本基金“定期定额投资计划”的投资者须首先开立本公司开放式基金基金账户。  </w:t>
      </w:r>
    </w:p>
    <w:p w:rsidR="007507EC" w:rsidRPr="007507EC" w:rsidRDefault="007507EC">
      <w:pPr>
        <w:pStyle w:val="a3"/>
        <w:spacing w:before="0" w:beforeAutospacing="0" w:after="0" w:afterAutospacing="0" w:line="360" w:lineRule="auto"/>
        <w:ind w:firstLine="420"/>
        <w:divId w:val="307710062"/>
        <w:rPr>
          <w:sz w:val="21"/>
          <w:szCs w:val="21"/>
        </w:rPr>
      </w:pPr>
      <w:r w:rsidRPr="007507EC">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服电话或登录本公司网站查询其每次申购申请的确认情况。申购份额将</w:t>
      </w:r>
      <w:bookmarkStart w:id="113" w:name="chapter_level1_10_59_section_6_end"/>
      <w:bookmarkEnd w:id="113"/>
      <w:r w:rsidRPr="007507EC">
        <w:rPr>
          <w:rFonts w:hint="eastAsia"/>
          <w:sz w:val="21"/>
          <w:szCs w:val="21"/>
        </w:rPr>
        <w:t xml:space="preserve">在确认成功后直接计入投资者的基金账户。 </w:t>
      </w:r>
    </w:p>
    <w:p w:rsidR="007507EC" w:rsidRPr="007507EC" w:rsidRDefault="007507EC">
      <w:pPr>
        <w:pStyle w:val="a3"/>
        <w:spacing w:before="0" w:beforeAutospacing="0" w:after="0" w:afterAutospacing="0" w:line="360" w:lineRule="auto"/>
        <w:ind w:firstLine="420"/>
        <w:divId w:val="2120370780"/>
        <w:rPr>
          <w:sz w:val="21"/>
          <w:szCs w:val="21"/>
        </w:rPr>
      </w:pPr>
      <w:bookmarkStart w:id="114" w:name="chapter_level1_10_59_section_7"/>
      <w:bookmarkEnd w:id="114"/>
      <w:r w:rsidRPr="007507EC">
        <w:rPr>
          <w:rFonts w:hint="eastAsia"/>
          <w:b/>
          <w:bCs/>
          <w:sz w:val="21"/>
          <w:szCs w:val="21"/>
        </w:rPr>
        <w:t>十八、基金的冻结和解冻</w:t>
      </w:r>
    </w:p>
    <w:p w:rsidR="007507EC" w:rsidRPr="007507EC" w:rsidRDefault="007507EC">
      <w:pPr>
        <w:pStyle w:val="a3"/>
        <w:spacing w:before="0" w:beforeAutospacing="0" w:after="0" w:afterAutospacing="0" w:line="360" w:lineRule="auto"/>
        <w:ind w:firstLine="420"/>
        <w:divId w:val="2120370780"/>
        <w:rPr>
          <w:sz w:val="21"/>
          <w:szCs w:val="21"/>
        </w:rPr>
      </w:pPr>
      <w:r w:rsidRPr="007507EC">
        <w:rPr>
          <w:rFonts w:hint="eastAsia"/>
          <w:sz w:val="21"/>
          <w:szCs w:val="21"/>
        </w:rPr>
        <w:t>基金登记机构只受理国家有权机关依法要求的基金份额的冻结与解冻，以及登记机构认</w:t>
      </w:r>
      <w:bookmarkStart w:id="115" w:name="chapter_level1_10_59_section_7_end"/>
      <w:bookmarkEnd w:id="115"/>
      <w:r w:rsidRPr="007507EC">
        <w:rPr>
          <w:rFonts w:hint="eastAsia"/>
          <w:sz w:val="21"/>
          <w:szCs w:val="21"/>
        </w:rPr>
        <w:t xml:space="preserve">可、符合法律法规的其他情况下的冻结与解冻。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16" w:name="chapter_level1_11_60"/>
      <w:bookmarkStart w:id="117" w:name="_Toc50543299"/>
      <w:r w:rsidRPr="007507EC">
        <w:rPr>
          <w:rFonts w:ascii="宋体" w:eastAsia="宋体" w:hAnsi="宋体" w:hint="eastAsia"/>
          <w:sz w:val="30"/>
        </w:rPr>
        <w:lastRenderedPageBreak/>
        <w:t>第八部分  基金的投资</w:t>
      </w:r>
      <w:bookmarkEnd w:id="116"/>
      <w:bookmarkEnd w:id="117"/>
    </w:p>
    <w:p w:rsidR="007507EC" w:rsidRPr="007507EC" w:rsidRDefault="007507EC">
      <w:pPr>
        <w:pStyle w:val="a3"/>
        <w:spacing w:before="0" w:beforeAutospacing="0" w:after="0" w:afterAutospacing="0" w:line="360" w:lineRule="auto"/>
        <w:ind w:firstLine="420"/>
        <w:divId w:val="1299141065"/>
        <w:rPr>
          <w:sz w:val="21"/>
          <w:szCs w:val="21"/>
        </w:rPr>
      </w:pPr>
      <w:bookmarkStart w:id="118" w:name="chapter_level1_11_60_section_1"/>
      <w:bookmarkEnd w:id="118"/>
      <w:r w:rsidRPr="007507EC">
        <w:rPr>
          <w:rStyle w:val="a4"/>
          <w:rFonts w:hint="eastAsia"/>
          <w:sz w:val="21"/>
          <w:szCs w:val="21"/>
        </w:rPr>
        <w:t>一、投资目标</w:t>
      </w:r>
    </w:p>
    <w:p w:rsidR="007507EC" w:rsidRPr="007507EC" w:rsidRDefault="007507EC">
      <w:pPr>
        <w:pStyle w:val="a3"/>
        <w:spacing w:before="0" w:beforeAutospacing="0" w:after="0" w:afterAutospacing="0" w:line="360" w:lineRule="auto"/>
        <w:ind w:firstLine="420"/>
        <w:divId w:val="1299141065"/>
        <w:rPr>
          <w:sz w:val="21"/>
          <w:szCs w:val="21"/>
        </w:rPr>
      </w:pPr>
      <w:bookmarkStart w:id="119" w:name="field_60_investmenttarget_1_start"/>
      <w:bookmarkEnd w:id="119"/>
      <w:r w:rsidRPr="007507EC">
        <w:rPr>
          <w:rFonts w:hint="eastAsia"/>
          <w:sz w:val="21"/>
          <w:szCs w:val="21"/>
        </w:rPr>
        <w:t xml:space="preserve">通过基金管理人对以短期融资券和超级短期融资券为主的债券的深入研究和对市场环境的判断，选择具有投资价值的债券，严格控制风险，力争实现超过业绩比较基准的投资回报。 </w:t>
      </w:r>
      <w:bookmarkStart w:id="120" w:name="field_60_investmenttarget_1_end"/>
      <w:bookmarkEnd w:id="12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Style w:val="a4"/>
          <w:rFonts w:hint="eastAsia"/>
          <w:sz w:val="21"/>
          <w:szCs w:val="21"/>
        </w:rPr>
        <w:t>二、投资范围</w:t>
      </w:r>
    </w:p>
    <w:p w:rsidR="007507EC" w:rsidRPr="007507EC" w:rsidRDefault="007507EC">
      <w:pPr>
        <w:pStyle w:val="a3"/>
        <w:spacing w:before="0" w:beforeAutospacing="0" w:after="0" w:afterAutospacing="0" w:line="360" w:lineRule="auto"/>
        <w:ind w:firstLine="420"/>
        <w:divId w:val="1299141065"/>
        <w:rPr>
          <w:sz w:val="21"/>
          <w:szCs w:val="21"/>
        </w:rPr>
      </w:pPr>
      <w:bookmarkStart w:id="121" w:name="field_60_investmentrange_1_start"/>
      <w:bookmarkEnd w:id="121"/>
      <w:r w:rsidRPr="007507EC">
        <w:rPr>
          <w:rFonts w:hint="eastAsia"/>
          <w:sz w:val="21"/>
          <w:szCs w:val="21"/>
        </w:rPr>
        <w:t xml:space="preserve">本基金主要投资于短期融资券和超级短期融资券。本基金的投资范围为具有良好流动性的金融工具，包括国内依法发行上市的短期融资券、超级短期融资券、国家债券、金融债券、次级债券、中央银行票据、企业债券、公司债券、中期票据、可分离交易可转债的纯债、资产支持证券、回购和银行存款等金融工具以及法律法规或中国证监会允许基金投资的其他固定收益类证券。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本基金不直接从二级市场买入股票、权证等权益类证券，不参与一级市场的新股申购、增发新股、可转换债券以及可分离交易可转债（纯债部分除外），也不投资二级市场的可转换债券。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如法律法规或监管机构以后允许基金投资其他品种，基金管理人在履行适当程序后，可以将其纳入投资范围。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本基金投资于债券资产比例不低于基金资产的80%；投资于短期融资券和超级短期融资券的比例不低于基金资产的60%。本基金持有现金或者到期日在一年以内的政府债券不低于基金资产净值的5%，其中，现金不包括结算备付金、存出保证金、应收申购款等。 </w:t>
      </w:r>
      <w:bookmarkStart w:id="122" w:name="field_60_investmentrange_1_end"/>
      <w:bookmarkEnd w:id="122"/>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Style w:val="a4"/>
          <w:rFonts w:hint="eastAsia"/>
          <w:sz w:val="21"/>
          <w:szCs w:val="21"/>
        </w:rPr>
        <w:t>三、投资策略</w:t>
      </w:r>
    </w:p>
    <w:p w:rsidR="007507EC" w:rsidRPr="007507EC" w:rsidRDefault="007507EC">
      <w:pPr>
        <w:pStyle w:val="a3"/>
        <w:spacing w:before="0" w:beforeAutospacing="0" w:after="0" w:afterAutospacing="0" w:line="360" w:lineRule="auto"/>
        <w:ind w:firstLine="420"/>
        <w:divId w:val="1299141065"/>
        <w:rPr>
          <w:sz w:val="21"/>
          <w:szCs w:val="21"/>
        </w:rPr>
      </w:pPr>
      <w:bookmarkStart w:id="123" w:name="field_60_investmentstrategy_1_start"/>
      <w:bookmarkEnd w:id="123"/>
      <w:r w:rsidRPr="007507EC">
        <w:rPr>
          <w:rFonts w:hint="eastAsia"/>
          <w:sz w:val="21"/>
          <w:szCs w:val="21"/>
        </w:rPr>
        <w:t xml:space="preserve">1、资产配置策略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本基金通过自上而下和自下而上相结合、定性分析和定量分析相补充的方法，进行前瞻性的决策。一方面，本基金将分析和预测众多的宏观经济变量（包括GDP增长率、CPI走势、M2的绝对水平和增长率、利率水平与走势等），并关注国家财政、税收、货币、汇率政策和其它证券市场政策等。另一方面，本基金将对短期债券市场收益率曲线和信用利差的变化进行深入细致分析，从而得出对市场走势和波动特征的判断。在此基础上，确定资产在不同行业、不同品种的债券之间的配置比例。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2、固定收益类品种投资策略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lastRenderedPageBreak/>
        <w:t xml:space="preserve">本基金灵活应用各种期限结构策略、买入持有策略、信用策略、互换策略、息差策略，在合理管理并控制信用风险的前提下选择有投资价值的个券，最大化组合收益。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（1）期限结构策略。通过预测收益率曲线的形状和变化趋势，对各类型债券进行久期配置。具体来看，又分为跟踪收益率曲线的骑乘策略和基于收益率曲线变化的子弹策略、杠铃策略及梯式策略。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1）骑乘策略是当收益率曲线比较陡峭时，也即相邻期限利差较大时，买入期限位于收益率曲线陡峭处的债券，通过债券的收益率的下滑，进而获得资本利得收益。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2）子弹策略是使投资组合中债券久期集中于收益率曲线的一点，适用于收益率曲线较陡时；杠铃策略是使投资组合中债券的久期集中在收益率曲线的两端，适用于收益率曲线两头下降较中间下降更多的蝶式变动；梯式策略是使投资组合中的债券久期均匀分别于收益率曲线，适用于收益率曲线水平移动。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2）买入持有策略。本基金还可以采用买入信用债并持有到期的投资策略。在市场资金面紧张、收益率高企时买入债券并持有到期，或者是持有到回售期，获得本金和票息收入；同时也可以根据所持债券信用状况变化，进行必要的动态调整。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3）信用策略。信用债收益率等于基准收益率加信用利差，信用利差收益主要受两个方面的影响，一是该信用债对应信用水平的市场平均信用利差曲线走势；二是该信用债本身的信用变化。基于这两方面的因素，我们分别采用以下的分析策略：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1）基于信用利差曲线变化策略：一是分析经济周期和相关市场变化对信用利差曲线的影响，二是分析信用债市场容量、结构、流动性等变化趋势对信用利差曲线的影响，最好综合各种因素，分析信用利差曲线整体及分行业走势，确定信用债券总的及分行业投资比例。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2）基于信用债信用变化策略：发行人信用发生变化后，我们将采用变化后债券信用级别所对应的信用利差曲线对公司债、企业债定价。影响信用债信用风险的因素分为行业风险、公司风险、现金流风险、资产负债风险和其他风险等五个方面（详见下表）。我们主要依靠内部评级系统分析信用债的相对信用水平、违约风险及理论信用利差。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表格：风险类型与信用参数  </w:t>
      </w:r>
    </w:p>
    <w:tbl>
      <w:tblPr>
        <w:tblStyle w:val="a9"/>
        <w:tblW w:w="8577" w:type="dxa"/>
        <w:tblLook w:val="04A0" w:firstRow="1" w:lastRow="0" w:firstColumn="1" w:lastColumn="0" w:noHBand="0" w:noVBand="1"/>
      </w:tblPr>
      <w:tblGrid>
        <w:gridCol w:w="3074"/>
        <w:gridCol w:w="5503"/>
      </w:tblGrid>
      <w:tr w:rsidR="007507EC" w:rsidRPr="007507EC" w:rsidTr="007507EC">
        <w:trPr>
          <w:divId w:val="2094426572"/>
        </w:trPr>
        <w:tc>
          <w:tcPr>
            <w:tcW w:w="3075" w:type="dxa"/>
            <w:shd w:val="clear" w:color="auto" w:fill="auto"/>
            <w:hideMark/>
          </w:tcPr>
          <w:p w:rsidR="007507EC" w:rsidRPr="007507EC" w:rsidRDefault="007507EC">
            <w:pPr>
              <w:pStyle w:val="a3"/>
              <w:jc w:val="center"/>
            </w:pPr>
            <w:r w:rsidRPr="007507EC">
              <w:rPr>
                <w:rFonts w:hint="eastAsia"/>
              </w:rPr>
              <w:t xml:space="preserve">风险类型  </w:t>
            </w:r>
          </w:p>
        </w:tc>
        <w:tc>
          <w:tcPr>
            <w:tcW w:w="5505" w:type="dxa"/>
            <w:shd w:val="clear" w:color="auto" w:fill="auto"/>
            <w:hideMark/>
          </w:tcPr>
          <w:p w:rsidR="007507EC" w:rsidRPr="007507EC" w:rsidRDefault="007507EC">
            <w:pPr>
              <w:pStyle w:val="a3"/>
              <w:jc w:val="center"/>
            </w:pPr>
            <w:r w:rsidRPr="007507EC">
              <w:rPr>
                <w:rFonts w:hint="eastAsia"/>
              </w:rPr>
              <w:t xml:space="preserve">信用参数  </w:t>
            </w:r>
          </w:p>
        </w:tc>
      </w:tr>
      <w:tr w:rsidR="007507EC" w:rsidRPr="007507EC" w:rsidTr="007507EC">
        <w:trPr>
          <w:divId w:val="2094426572"/>
        </w:trPr>
        <w:tc>
          <w:tcPr>
            <w:tcW w:w="3075" w:type="dxa"/>
            <w:vMerge w:val="restart"/>
            <w:shd w:val="clear" w:color="auto" w:fill="auto"/>
            <w:hideMark/>
          </w:tcPr>
          <w:p w:rsidR="007507EC" w:rsidRPr="007507EC" w:rsidRDefault="007507EC">
            <w:pPr>
              <w:pStyle w:val="a3"/>
              <w:jc w:val="center"/>
            </w:pPr>
            <w:r w:rsidRPr="007507EC">
              <w:rPr>
                <w:rFonts w:hint="eastAsia"/>
              </w:rPr>
              <w:t xml:space="preserve">行业风险  </w:t>
            </w:r>
          </w:p>
        </w:tc>
        <w:tc>
          <w:tcPr>
            <w:tcW w:w="5505" w:type="dxa"/>
            <w:shd w:val="clear" w:color="auto" w:fill="auto"/>
            <w:hideMark/>
          </w:tcPr>
          <w:p w:rsidR="007507EC" w:rsidRPr="007507EC" w:rsidRDefault="007507EC">
            <w:pPr>
              <w:pStyle w:val="a3"/>
              <w:jc w:val="center"/>
            </w:pPr>
            <w:r w:rsidRPr="007507EC">
              <w:rPr>
                <w:rFonts w:hint="eastAsia"/>
              </w:rPr>
              <w:t xml:space="preserve">进入壁垒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竞争程度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成长能力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技术进步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融资能力  </w:t>
            </w:r>
          </w:p>
        </w:tc>
      </w:tr>
      <w:tr w:rsidR="007507EC" w:rsidRPr="007507EC" w:rsidTr="007507EC">
        <w:trPr>
          <w:divId w:val="2094426572"/>
        </w:trPr>
        <w:tc>
          <w:tcPr>
            <w:tcW w:w="3075" w:type="dxa"/>
            <w:vMerge w:val="restart"/>
            <w:shd w:val="clear" w:color="auto" w:fill="auto"/>
            <w:hideMark/>
          </w:tcPr>
          <w:p w:rsidR="007507EC" w:rsidRPr="007507EC" w:rsidRDefault="007507EC">
            <w:pPr>
              <w:pStyle w:val="a3"/>
              <w:jc w:val="center"/>
            </w:pPr>
            <w:r w:rsidRPr="007507EC">
              <w:rPr>
                <w:rFonts w:hint="eastAsia"/>
              </w:rPr>
              <w:lastRenderedPageBreak/>
              <w:t xml:space="preserve">公司风险  </w:t>
            </w:r>
          </w:p>
        </w:tc>
        <w:tc>
          <w:tcPr>
            <w:tcW w:w="5505" w:type="dxa"/>
            <w:shd w:val="clear" w:color="auto" w:fill="auto"/>
            <w:hideMark/>
          </w:tcPr>
          <w:p w:rsidR="007507EC" w:rsidRPr="007507EC" w:rsidRDefault="007507EC">
            <w:pPr>
              <w:pStyle w:val="a3"/>
              <w:jc w:val="center"/>
            </w:pPr>
            <w:r w:rsidRPr="007507EC">
              <w:rPr>
                <w:rFonts w:hint="eastAsia"/>
              </w:rPr>
              <w:t xml:space="preserve">竞争力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管理团队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财务稳健度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财务弹性  </w:t>
            </w:r>
          </w:p>
        </w:tc>
      </w:tr>
      <w:tr w:rsidR="007507EC" w:rsidRPr="007507EC" w:rsidTr="007507EC">
        <w:trPr>
          <w:divId w:val="2094426572"/>
        </w:trPr>
        <w:tc>
          <w:tcPr>
            <w:tcW w:w="3075" w:type="dxa"/>
            <w:vMerge w:val="restart"/>
            <w:shd w:val="clear" w:color="auto" w:fill="auto"/>
            <w:hideMark/>
          </w:tcPr>
          <w:p w:rsidR="007507EC" w:rsidRPr="007507EC" w:rsidRDefault="007507EC">
            <w:pPr>
              <w:pStyle w:val="a3"/>
              <w:jc w:val="center"/>
            </w:pPr>
            <w:r w:rsidRPr="007507EC">
              <w:rPr>
                <w:rFonts w:hint="eastAsia"/>
              </w:rPr>
              <w:t xml:space="preserve">现金流  </w:t>
            </w:r>
          </w:p>
        </w:tc>
        <w:tc>
          <w:tcPr>
            <w:tcW w:w="5505" w:type="dxa"/>
            <w:shd w:val="clear" w:color="auto" w:fill="auto"/>
            <w:hideMark/>
          </w:tcPr>
          <w:p w:rsidR="007507EC" w:rsidRPr="007507EC" w:rsidRDefault="007507EC">
            <w:pPr>
              <w:pStyle w:val="a3"/>
              <w:jc w:val="center"/>
            </w:pPr>
            <w:r w:rsidRPr="007507EC">
              <w:rPr>
                <w:rFonts w:hint="eastAsia"/>
              </w:rPr>
              <w:t xml:space="preserve">规模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稳定性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可视性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增长  </w:t>
            </w:r>
          </w:p>
        </w:tc>
      </w:tr>
      <w:tr w:rsidR="007507EC" w:rsidRPr="007507EC" w:rsidTr="007507EC">
        <w:trPr>
          <w:divId w:val="2094426572"/>
        </w:trPr>
        <w:tc>
          <w:tcPr>
            <w:tcW w:w="3075" w:type="dxa"/>
            <w:vMerge w:val="restart"/>
            <w:shd w:val="clear" w:color="auto" w:fill="auto"/>
            <w:hideMark/>
          </w:tcPr>
          <w:p w:rsidR="007507EC" w:rsidRPr="007507EC" w:rsidRDefault="007507EC">
            <w:pPr>
              <w:pStyle w:val="a3"/>
              <w:jc w:val="center"/>
            </w:pPr>
            <w:r w:rsidRPr="007507EC">
              <w:rPr>
                <w:rFonts w:hint="eastAsia"/>
              </w:rPr>
              <w:t xml:space="preserve">资产负债  </w:t>
            </w:r>
          </w:p>
        </w:tc>
        <w:tc>
          <w:tcPr>
            <w:tcW w:w="5505" w:type="dxa"/>
            <w:shd w:val="clear" w:color="auto" w:fill="auto"/>
            <w:hideMark/>
          </w:tcPr>
          <w:p w:rsidR="007507EC" w:rsidRPr="007507EC" w:rsidRDefault="007507EC">
            <w:pPr>
              <w:pStyle w:val="a3"/>
              <w:jc w:val="center"/>
            </w:pPr>
            <w:r w:rsidRPr="007507EC">
              <w:rPr>
                <w:rFonts w:hint="eastAsia"/>
              </w:rPr>
              <w:t xml:space="preserve">杠杆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流动性  </w:t>
            </w:r>
          </w:p>
        </w:tc>
      </w:tr>
      <w:tr w:rsidR="007507EC" w:rsidRPr="007507EC" w:rsidTr="007507EC">
        <w:trPr>
          <w:divId w:val="2094426572"/>
        </w:trPr>
        <w:tc>
          <w:tcPr>
            <w:tcW w:w="0" w:type="auto"/>
            <w:vMerge/>
            <w:shd w:val="clear" w:color="auto" w:fill="auto"/>
            <w:hideMark/>
          </w:tcPr>
          <w:p w:rsidR="007507EC" w:rsidRPr="007507EC" w:rsidRDefault="007507EC">
            <w:pPr>
              <w:rPr>
                <w:rFonts w:ascii="宋体" w:eastAsia="宋体" w:hAnsi="宋体" w:cs="宋体"/>
                <w:sz w:val="24"/>
                <w:szCs w:val="24"/>
              </w:rPr>
            </w:pPr>
          </w:p>
        </w:tc>
        <w:tc>
          <w:tcPr>
            <w:tcW w:w="5505" w:type="dxa"/>
            <w:shd w:val="clear" w:color="auto" w:fill="auto"/>
            <w:hideMark/>
          </w:tcPr>
          <w:p w:rsidR="007507EC" w:rsidRPr="007507EC" w:rsidRDefault="007507EC">
            <w:pPr>
              <w:pStyle w:val="a3"/>
              <w:jc w:val="center"/>
            </w:pPr>
            <w:r w:rsidRPr="007507EC">
              <w:rPr>
                <w:rFonts w:hint="eastAsia"/>
              </w:rPr>
              <w:t xml:space="preserve">覆盖率  </w:t>
            </w:r>
          </w:p>
        </w:tc>
      </w:tr>
      <w:tr w:rsidR="007507EC" w:rsidRPr="007507EC" w:rsidTr="007507EC">
        <w:trPr>
          <w:divId w:val="2094426572"/>
        </w:trPr>
        <w:tc>
          <w:tcPr>
            <w:tcW w:w="3075" w:type="dxa"/>
            <w:shd w:val="clear" w:color="auto" w:fill="auto"/>
            <w:hideMark/>
          </w:tcPr>
          <w:p w:rsidR="007507EC" w:rsidRPr="007507EC" w:rsidRDefault="007507EC">
            <w:pPr>
              <w:pStyle w:val="a3"/>
              <w:jc w:val="center"/>
            </w:pPr>
            <w:r w:rsidRPr="007507EC">
              <w:rPr>
                <w:rFonts w:hint="eastAsia"/>
              </w:rPr>
              <w:t xml:space="preserve">其他  </w:t>
            </w:r>
          </w:p>
        </w:tc>
        <w:tc>
          <w:tcPr>
            <w:tcW w:w="5505" w:type="dxa"/>
            <w:shd w:val="clear" w:color="auto" w:fill="auto"/>
            <w:hideMark/>
          </w:tcPr>
          <w:p w:rsidR="007507EC" w:rsidRPr="007507EC" w:rsidRDefault="007507EC">
            <w:pPr>
              <w:pStyle w:val="a3"/>
              <w:jc w:val="center"/>
            </w:pPr>
            <w:r w:rsidRPr="007507EC">
              <w:rPr>
                <w:rFonts w:hint="eastAsia"/>
              </w:rPr>
              <w:t xml:space="preserve">担保  </w:t>
            </w:r>
          </w:p>
        </w:tc>
      </w:tr>
    </w:tbl>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（4）互换策略。不同券种在利息、违约风险、久期、流动性、税收和衍生条款等方面存在差别，投资管理人可以同时买入和卖出具有相近特性的两个或两个以上券种，赚取收益级差。互换策略分为两种：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1）替代互换。判断未来利差曲线走势，比较期限相近的债券的利差水平，选择利差较高的品种，进行价值置换。由于利差水平受流动性和信用水平的影响，因此该策略也可扩展到新老券置换、流动性和信用的置换，即在相同收益率下买入近期发行的债券，或是流动性更好的债券，或在相同外部信用级别和收益率下，买入内部信用评级更高的债券。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 xml:space="preserve">2）市场间利差互换。一般在公司信用债和国家信用债之间进行。如果预期信用利差扩大，则用国家信用债替换公司信用债；如果预期信用利差缩小，则用公司信用债替换国家信用债。  </w:t>
      </w:r>
    </w:p>
    <w:p w:rsidR="007507EC" w:rsidRPr="007507EC" w:rsidRDefault="007507EC">
      <w:pPr>
        <w:pStyle w:val="a3"/>
        <w:spacing w:before="0" w:beforeAutospacing="0" w:after="0" w:afterAutospacing="0" w:line="360" w:lineRule="auto"/>
        <w:ind w:firstLine="420"/>
        <w:divId w:val="1299141065"/>
        <w:rPr>
          <w:sz w:val="21"/>
          <w:szCs w:val="21"/>
        </w:rPr>
      </w:pPr>
      <w:r w:rsidRPr="007507EC">
        <w:rPr>
          <w:rFonts w:hint="eastAsia"/>
          <w:sz w:val="21"/>
          <w:szCs w:val="21"/>
        </w:rPr>
        <w:t>（5）息差策略。通过正回购，融资买入收益率高于回购成本的债券，从而获得杠杆放</w:t>
      </w:r>
      <w:bookmarkStart w:id="124" w:name="chapter_level1_11_60_section_1_end"/>
      <w:bookmarkEnd w:id="124"/>
      <w:r w:rsidRPr="007507EC">
        <w:rPr>
          <w:rFonts w:hint="eastAsia"/>
          <w:sz w:val="21"/>
          <w:szCs w:val="21"/>
        </w:rPr>
        <w:t xml:space="preserve">大收益。  </w:t>
      </w:r>
      <w:bookmarkStart w:id="125" w:name="field_60_investmentstrategy_1_end"/>
      <w:bookmarkEnd w:id="125"/>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769355194"/>
        <w:rPr>
          <w:sz w:val="21"/>
          <w:szCs w:val="21"/>
        </w:rPr>
      </w:pPr>
      <w:bookmarkStart w:id="126" w:name="chapter_level1_11_60_section_2"/>
      <w:bookmarkEnd w:id="126"/>
      <w:r w:rsidRPr="007507EC">
        <w:rPr>
          <w:rStyle w:val="a4"/>
          <w:rFonts w:hint="eastAsia"/>
          <w:sz w:val="21"/>
          <w:szCs w:val="21"/>
        </w:rPr>
        <w:t>四、投资决策流程</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投资决策委员会是本基金的最高决策机构，定期或遇重大事件时就投资管理业务的重大问题进行讨论，并对本基金投资做方向性指导。基金经理、研究员、交易员等各司其责，相互制衡。具体的投资流程为：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1、投资决策委员会定期召开会议，确定本基金的总投资思路和投资原则；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2、研究部宏观策略分析师基于自上而下的研究为本基金提供总的资产配置建议；研究部行业研究员为行业研究与分析提供支持；固定收益部数量及信用分析员为固定收益类投资决策提供依据；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lastRenderedPageBreak/>
        <w:t xml:space="preserve">3、固定收益部定期召开投资例会，根据投资决策委员会的决定，结合市场和个券的变化，制定具体的投资策略；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4、基金经理依据投委会投资决策委员会的决定，参考研究员的投资建议，结合风险控制和业绩评估的反馈意见，根据市场情况，制定并实施具体的投资组合方案；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5、基金经理向交易员下达指令，交易员执行后向基金经理反馈；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6、监察法律部对投资的全过程进行合规风险监控；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7、风险管理部通过行使风险管理职能，测算、分析和监控投资风险,根据风险限额管理政策防范超预期风险；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8、风险管理部对基金投资进行风险调整业绩评估，定期与基金经理讨论收益和风险预算。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Style w:val="a4"/>
          <w:rFonts w:hint="eastAsia"/>
          <w:sz w:val="21"/>
          <w:szCs w:val="21"/>
        </w:rPr>
        <w:t>五、投资限制</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1、组合限制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基金的投资组合应遵循以下限制：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（1）本基金对债券类资产的投资比例不低于基金资产的80%；本基金对短期融资券和超级短期融资券的投资比例不低于基金资产的60%；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（2）保持不低于基金资产净值5％的现金或者到期日在一年以内的政府债券；其中，现金不包括结算备付金、存出保证金、应收申购款等；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（3）本基金管理人管理的全部基金持有一家公司发行的证券，不超过该证券的10％；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（4）本基金投资于同一原始权益人的各类资产支持证券的比例，不得超过基金资产净值的10％；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（5）本基金持有的全部资产支持证券，其市值不得超过基金资产净值的20％；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（6）本基金持有的同一(指同一信用级别)资产支持证券的比例，不得超过该资产支持证券规模的10％；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（7）本基金管理人管理的全部基金投资于同一原始权益人的各类资产支持证券，不得超过其各类资产支持证券合计规模的10％；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（8）本基金应投资于信用级别评级为BBB以上(含BBB)的资产支持证券。基金持有资产支持证券期间，如果其信用等级下降、不再符合投资标准，应在评级报告发布之日起3个月内予以全部卖出；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lastRenderedPageBreak/>
        <w:t xml:space="preserve">（9）本基金进入全国银行间同业市场进行债券回购的资金余额不得超过基金资产净值的40%；在全国银行间同业市场中的债券回购最长期限为1年，债券回购到期后不展期；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（10）本基金主动投资于流动性受限资产的市值合计不得超过本基金资产净值的15%；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因证券市场波动、基金规模变动等基金管理人之外的因素致使基金不符合前款所规定比例限制的，基金管理人不得主动新增流动性受限资产的投资。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（11）本基金与私募类证券资管产品及中国证监会认定的其他主体为交易对手开展逆回购交易的，可接受质押品的资质要求应当与基金合同约定的投资范围保持一致；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（12）法律法规及中国证监会规定的和《基金合同》约定的其他投资限制。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除上述第（2）、（8）、（10）、（11）项外，因证券市场波动、债券发行人合并、基金规模变动等基金管理人之外的因素致使基金投资比例不符合上述规定投资比例的，基金管理人应当在10个交易日内进行调整。法律法规另有规定的，从其规定。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基金管理人应当自基金合同生效之日起6个月内使基金的投资组合比例符合基金合同的有关约定。基金托管人对基金的投资的监督与检查自基金合同生效之日起开始。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法律法规或监管部门取消上述限制，如适用于本基金，基金管理人在履行适当程序后，则本基金投资不再受相关限制。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2、禁止行为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为维护基金份额持有人的合法权益，基金财产不得用于下列投资或者活动：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（1）承销证券；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（2）向他人贷款或者提供担保；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（3）从事承担无限责任的投资；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（4）买卖其他基金份额，但是国务院另有规定的除外；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（5）向其基金管理人、基金托管人出资或者买卖其基金管理人、基金托管人发行的股票或者债券；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（6）买卖与其基金管理人、基金托管人有控股关系的股东或者与其基金管理人、基金托管人有其他重大利害关系的公司发行的证券或者承销期内承销的证券；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（7）从事内幕交易、操纵证券交易价格及其他不正当的证券交易活动；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（8）依照法律法规有关规定，由中国证监会规定禁止的其他活动。 </w:t>
      </w:r>
    </w:p>
    <w:p w:rsidR="007507EC" w:rsidRPr="007507EC" w:rsidRDefault="007507EC">
      <w:pPr>
        <w:pStyle w:val="a3"/>
        <w:spacing w:before="0" w:beforeAutospacing="0" w:after="0" w:afterAutospacing="0" w:line="360" w:lineRule="auto"/>
        <w:ind w:firstLine="420"/>
        <w:divId w:val="769355194"/>
        <w:rPr>
          <w:sz w:val="21"/>
          <w:szCs w:val="21"/>
        </w:rPr>
      </w:pPr>
      <w:r w:rsidRPr="007507EC">
        <w:rPr>
          <w:rFonts w:hint="eastAsia"/>
          <w:sz w:val="21"/>
          <w:szCs w:val="21"/>
        </w:rPr>
        <w:t xml:space="preserve">法律法规或监管部门取消上述限制，如适用于本基金，则本基金投资不再受相关限制。 </w:t>
      </w:r>
    </w:p>
    <w:p w:rsidR="007507EC" w:rsidRPr="007507EC" w:rsidRDefault="007507EC">
      <w:pPr>
        <w:pStyle w:val="a3"/>
        <w:spacing w:before="0" w:beforeAutospacing="0" w:after="0" w:afterAutospacing="0" w:line="360" w:lineRule="auto"/>
        <w:ind w:firstLine="420"/>
        <w:divId w:val="769355194"/>
        <w:rPr>
          <w:sz w:val="21"/>
          <w:szCs w:val="21"/>
        </w:rPr>
      </w:pPr>
      <w:bookmarkStart w:id="127" w:name="chapter_level1_11_60_section_2_end"/>
      <w:bookmarkEnd w:id="127"/>
      <w:r w:rsidRPr="007507EC">
        <w:rPr>
          <w:rStyle w:val="a4"/>
          <w:rFonts w:hint="eastAsia"/>
          <w:sz w:val="21"/>
          <w:szCs w:val="21"/>
        </w:rPr>
        <w:t>六、业绩比较基准</w:t>
      </w:r>
    </w:p>
    <w:p w:rsidR="007507EC" w:rsidRPr="007507EC" w:rsidRDefault="007507EC">
      <w:pPr>
        <w:pStyle w:val="a3"/>
        <w:spacing w:before="0" w:beforeAutospacing="0" w:after="0" w:afterAutospacing="0" w:line="360" w:lineRule="auto"/>
        <w:ind w:firstLine="420"/>
        <w:divId w:val="1679773524"/>
        <w:rPr>
          <w:sz w:val="21"/>
          <w:szCs w:val="21"/>
        </w:rPr>
      </w:pPr>
      <w:bookmarkStart w:id="128" w:name="chapter_level1_11_60_section_3"/>
      <w:bookmarkEnd w:id="128"/>
      <w:r w:rsidRPr="007507EC">
        <w:rPr>
          <w:rFonts w:hint="eastAsia"/>
          <w:sz w:val="21"/>
          <w:szCs w:val="21"/>
        </w:rPr>
        <w:lastRenderedPageBreak/>
        <w:t>本基金的业绩比较基准为：</w:t>
      </w:r>
      <w:bookmarkStart w:id="129" w:name="field_60_benchmark_1_start"/>
      <w:bookmarkEnd w:id="129"/>
      <w:r w:rsidRPr="007507EC">
        <w:rPr>
          <w:rFonts w:hint="eastAsia"/>
          <w:sz w:val="21"/>
          <w:szCs w:val="21"/>
        </w:rPr>
        <w:t xml:space="preserve">中国人民银行公布的1年期定期存款利率（税后） </w:t>
      </w:r>
      <w:bookmarkStart w:id="130" w:name="field_60_benchmark_1_end"/>
      <w:bookmarkEnd w:id="130"/>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679773524"/>
        <w:rPr>
          <w:sz w:val="21"/>
          <w:szCs w:val="21"/>
        </w:rPr>
      </w:pPr>
      <w:r w:rsidRPr="007507EC">
        <w:rPr>
          <w:rFonts w:hint="eastAsia"/>
          <w:sz w:val="21"/>
          <w:szCs w:val="21"/>
        </w:rPr>
        <w:t xml:space="preserve">本基金选择中国人民银行公布的一年期定期存款利率（税后）作为业绩比较基准主要考虑如下：  </w:t>
      </w:r>
    </w:p>
    <w:p w:rsidR="007507EC" w:rsidRPr="007507EC" w:rsidRDefault="007507EC">
      <w:pPr>
        <w:pStyle w:val="a3"/>
        <w:spacing w:before="0" w:beforeAutospacing="0" w:after="0" w:afterAutospacing="0" w:line="360" w:lineRule="auto"/>
        <w:ind w:firstLine="420"/>
        <w:divId w:val="1679773524"/>
        <w:rPr>
          <w:sz w:val="21"/>
          <w:szCs w:val="21"/>
        </w:rPr>
      </w:pPr>
      <w:r w:rsidRPr="007507EC">
        <w:rPr>
          <w:rFonts w:hint="eastAsia"/>
          <w:sz w:val="21"/>
          <w:szCs w:val="21"/>
        </w:rPr>
        <w:t xml:space="preserve">本基金是债券型基金，主要投资于短期融资券和超级短期融资券，争取基金资产的稳定增值，以中国人民银行公布的1年期定期存款利率（税后）作为业绩比较基准，符合本基金的风险收益特征。  </w:t>
      </w:r>
    </w:p>
    <w:p w:rsidR="007507EC" w:rsidRPr="007507EC" w:rsidRDefault="007507EC">
      <w:pPr>
        <w:pStyle w:val="a3"/>
        <w:spacing w:before="0" w:beforeAutospacing="0" w:after="0" w:afterAutospacing="0" w:line="360" w:lineRule="auto"/>
        <w:ind w:firstLine="420"/>
        <w:divId w:val="1679773524"/>
        <w:rPr>
          <w:sz w:val="21"/>
          <w:szCs w:val="21"/>
        </w:rPr>
      </w:pPr>
      <w:r w:rsidRPr="007507EC">
        <w:rPr>
          <w:rFonts w:hint="eastAsia"/>
          <w:sz w:val="21"/>
          <w:szCs w:val="21"/>
        </w:rPr>
        <w:t>若未来市场发生变化导致此业绩比较基准不再适用或有更加适合的业绩比较基准，基金管理人有权根据市场发展状况及本基金的投资范围和投资策略，调整本基金的业绩比较基准。业绩基准的变更须经基金管理人和基金托管人协商一致，并在更新的招募说明书中列示，而</w:t>
      </w:r>
      <w:bookmarkStart w:id="131" w:name="chapter_level1_11_60_section_3_end"/>
      <w:bookmarkEnd w:id="131"/>
      <w:r w:rsidRPr="007507EC">
        <w:rPr>
          <w:rFonts w:hint="eastAsia"/>
          <w:sz w:val="21"/>
          <w:szCs w:val="21"/>
        </w:rPr>
        <w:t xml:space="preserve">无需召开基金份额持有人大会。 </w:t>
      </w:r>
    </w:p>
    <w:p w:rsidR="007507EC" w:rsidRPr="007507EC" w:rsidRDefault="007507EC">
      <w:pPr>
        <w:pStyle w:val="a3"/>
        <w:spacing w:before="0" w:beforeAutospacing="0" w:after="0" w:afterAutospacing="0" w:line="360" w:lineRule="auto"/>
        <w:ind w:firstLine="420"/>
        <w:divId w:val="1546091878"/>
        <w:rPr>
          <w:sz w:val="21"/>
          <w:szCs w:val="21"/>
        </w:rPr>
      </w:pPr>
      <w:bookmarkStart w:id="132" w:name="chapter_level1_11_60_section_4"/>
      <w:bookmarkEnd w:id="132"/>
      <w:r w:rsidRPr="007507EC">
        <w:rPr>
          <w:rFonts w:hint="eastAsia"/>
          <w:b/>
          <w:bCs/>
          <w:sz w:val="21"/>
          <w:szCs w:val="21"/>
        </w:rPr>
        <w:t>七、风险收益特征</w:t>
      </w:r>
    </w:p>
    <w:p w:rsidR="007507EC" w:rsidRPr="007507EC" w:rsidRDefault="007507EC">
      <w:pPr>
        <w:pStyle w:val="a3"/>
        <w:spacing w:before="0" w:beforeAutospacing="0" w:after="0" w:afterAutospacing="0" w:line="360" w:lineRule="auto"/>
        <w:ind w:firstLine="420"/>
        <w:divId w:val="1546091878"/>
        <w:rPr>
          <w:sz w:val="21"/>
          <w:szCs w:val="21"/>
        </w:rPr>
      </w:pPr>
      <w:bookmarkStart w:id="133" w:name="field_60_riskyield_1_start"/>
      <w:bookmarkEnd w:id="133"/>
      <w:r w:rsidRPr="007507EC">
        <w:rPr>
          <w:rFonts w:hint="eastAsia"/>
          <w:sz w:val="21"/>
          <w:szCs w:val="21"/>
        </w:rPr>
        <w:t xml:space="preserve">本基金为债券型基金，预期收益和预期风险高于货币市场基金，但低于混合型基金、股票型基金，属于中低风险/收益的产品。 </w:t>
      </w:r>
      <w:bookmarkStart w:id="134" w:name="field_60_riskyield_1_end"/>
      <w:bookmarkEnd w:id="134"/>
      <w:r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1546091878"/>
        <w:rPr>
          <w:sz w:val="21"/>
          <w:szCs w:val="21"/>
        </w:rPr>
      </w:pPr>
      <w:r w:rsidRPr="007507EC">
        <w:rPr>
          <w:rFonts w:hint="eastAsia"/>
          <w:b/>
          <w:bCs/>
          <w:sz w:val="21"/>
          <w:szCs w:val="21"/>
        </w:rPr>
        <w:t>八、基金的融资融券</w:t>
      </w:r>
    </w:p>
    <w:p w:rsidR="007507EC" w:rsidRPr="007507EC" w:rsidRDefault="007507EC">
      <w:pPr>
        <w:pStyle w:val="a3"/>
        <w:spacing w:before="0" w:beforeAutospacing="0" w:after="0" w:afterAutospacing="0" w:line="360" w:lineRule="auto"/>
        <w:ind w:firstLine="420"/>
        <w:divId w:val="1546091878"/>
        <w:rPr>
          <w:sz w:val="21"/>
          <w:szCs w:val="21"/>
        </w:rPr>
      </w:pPr>
      <w:bookmarkStart w:id="135" w:name="chapter_level1_11_60_section_4_end"/>
      <w:bookmarkEnd w:id="135"/>
      <w:r w:rsidRPr="007507EC">
        <w:rPr>
          <w:rFonts w:hint="eastAsia"/>
          <w:sz w:val="21"/>
          <w:szCs w:val="21"/>
        </w:rPr>
        <w:t xml:space="preserve">本基金可以根据届时有效的有关法律法规和政策的规定进行融资融券。 </w:t>
      </w:r>
    </w:p>
    <w:p w:rsidR="007507EC" w:rsidRPr="007507EC" w:rsidRDefault="007507EC">
      <w:pPr>
        <w:pStyle w:val="a3"/>
        <w:spacing w:before="0" w:beforeAutospacing="0" w:after="0" w:afterAutospacing="0" w:line="360" w:lineRule="auto"/>
        <w:ind w:firstLine="420"/>
        <w:divId w:val="1668053460"/>
        <w:rPr>
          <w:sz w:val="21"/>
          <w:szCs w:val="21"/>
        </w:rPr>
      </w:pPr>
      <w:bookmarkStart w:id="136" w:name="chapter_level1_11_60_section_5"/>
      <w:bookmarkStart w:id="137" w:name="chapter_level1_11_60_section_5_end"/>
      <w:bookmarkEnd w:id="136"/>
      <w:bookmarkEnd w:id="137"/>
      <w:r w:rsidRPr="007507EC">
        <w:rPr>
          <w:rStyle w:val="a4"/>
          <w:rFonts w:hint="eastAsia"/>
          <w:sz w:val="21"/>
          <w:szCs w:val="21"/>
        </w:rPr>
        <w:t>九、基金投资组合报告</w:t>
      </w:r>
    </w:p>
    <w:p w:rsidR="007507EC" w:rsidRPr="007507EC" w:rsidRDefault="007507EC">
      <w:pPr>
        <w:pStyle w:val="a3"/>
        <w:spacing w:before="0" w:beforeAutospacing="0" w:after="0" w:afterAutospacing="0" w:line="360" w:lineRule="auto"/>
        <w:ind w:firstLine="420"/>
        <w:divId w:val="1789200981"/>
        <w:rPr>
          <w:sz w:val="21"/>
          <w:szCs w:val="21"/>
        </w:rPr>
      </w:pPr>
      <w:bookmarkStart w:id="138" w:name="chapter_level1_11_60_section_6"/>
      <w:bookmarkEnd w:id="138"/>
      <w:r w:rsidRPr="007507EC">
        <w:rPr>
          <w:rFonts w:hint="eastAsia"/>
          <w:sz w:val="21"/>
          <w:szCs w:val="21"/>
        </w:rPr>
        <w:t xml:space="preserve">博时基金管理人的董事会及董事保证本报告所载资料不存在虚假记载、误导性陈述或重大遗漏，并对其内容的真实性、准确性和完整性承担个别及连带责任。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基金托管人根据基金合同规定，复核了本报告中的净值表现和投资组合报告等内容，保证复核内容不存在虚假记载、误导性陈述或者重大遗漏。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本投资组合报告所载数据截至</w:t>
      </w:r>
      <w:bookmarkStart w:id="139" w:name="field_2343_financeendday_2"/>
      <w:r w:rsidR="00981FA3">
        <w:rPr>
          <w:sz w:val="21"/>
          <w:szCs w:val="21"/>
        </w:rPr>
        <w:t>2020年06月30日</w:t>
      </w:r>
      <w:bookmarkEnd w:id="139"/>
      <w:r w:rsidRPr="007507EC">
        <w:rPr>
          <w:rFonts w:hint="eastAsia"/>
          <w:sz w:val="21"/>
          <w:szCs w:val="21"/>
        </w:rPr>
        <w:t xml:space="preserve">，本报告中所列财务数据未经审计。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1报告期末基金资产组合情况 </w:t>
      </w:r>
    </w:p>
    <w:tbl>
      <w:tblPr>
        <w:tblStyle w:val="a9"/>
        <w:tblW w:w="5000" w:type="pct"/>
        <w:tblLook w:val="04A0" w:firstRow="1" w:lastRow="0" w:firstColumn="1" w:lastColumn="0" w:noHBand="0" w:noVBand="1"/>
      </w:tblPr>
      <w:tblGrid>
        <w:gridCol w:w="703"/>
        <w:gridCol w:w="3036"/>
        <w:gridCol w:w="2613"/>
        <w:gridCol w:w="2164"/>
      </w:tblGrid>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序号 </w:t>
            </w:r>
          </w:p>
        </w:tc>
        <w:tc>
          <w:tcPr>
            <w:tcW w:w="4200" w:type="dxa"/>
            <w:shd w:val="clear" w:color="auto" w:fill="auto"/>
            <w:hideMark/>
          </w:tcPr>
          <w:p w:rsidR="007507EC" w:rsidRPr="007507EC" w:rsidRDefault="007507EC">
            <w:pPr>
              <w:pStyle w:val="a3"/>
              <w:jc w:val="center"/>
            </w:pPr>
            <w:r w:rsidRPr="007507EC">
              <w:rPr>
                <w:rFonts w:hint="eastAsia"/>
              </w:rPr>
              <w:t xml:space="preserve">项目 </w:t>
            </w:r>
          </w:p>
        </w:tc>
        <w:tc>
          <w:tcPr>
            <w:tcW w:w="2790" w:type="dxa"/>
            <w:shd w:val="clear" w:color="auto" w:fill="auto"/>
            <w:hideMark/>
          </w:tcPr>
          <w:p w:rsidR="007507EC" w:rsidRPr="007507EC" w:rsidRDefault="007507EC">
            <w:pPr>
              <w:pStyle w:val="a3"/>
              <w:jc w:val="center"/>
            </w:pPr>
            <w:r w:rsidRPr="007507EC">
              <w:rPr>
                <w:rFonts w:hint="eastAsia"/>
              </w:rPr>
              <w:t xml:space="preserve">金额(元) </w:t>
            </w:r>
          </w:p>
        </w:tc>
        <w:tc>
          <w:tcPr>
            <w:tcW w:w="2775" w:type="dxa"/>
            <w:shd w:val="clear" w:color="auto" w:fill="auto"/>
            <w:hideMark/>
          </w:tcPr>
          <w:p w:rsidR="007507EC" w:rsidRPr="007507EC" w:rsidRDefault="007507EC">
            <w:pPr>
              <w:pStyle w:val="a3"/>
              <w:jc w:val="center"/>
            </w:pPr>
            <w:r w:rsidRPr="007507EC">
              <w:rPr>
                <w:rFonts w:hint="eastAsia"/>
              </w:rPr>
              <w:t xml:space="preserve">占基金总资产的比例(%)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1 </w:t>
            </w:r>
          </w:p>
        </w:tc>
        <w:tc>
          <w:tcPr>
            <w:tcW w:w="4200" w:type="dxa"/>
            <w:shd w:val="clear" w:color="auto" w:fill="auto"/>
            <w:hideMark/>
          </w:tcPr>
          <w:p w:rsidR="007507EC" w:rsidRPr="007507EC" w:rsidRDefault="007507EC">
            <w:pPr>
              <w:pStyle w:val="a3"/>
            </w:pPr>
            <w:r w:rsidRPr="007507EC">
              <w:rPr>
                <w:rFonts w:hint="eastAsia"/>
              </w:rPr>
              <w:t xml:space="preserve">权益投资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rPr>
                <w:rFonts w:ascii="宋体" w:eastAsia="宋体" w:hAnsi="宋体" w:cs="宋体"/>
                <w:sz w:val="24"/>
                <w:szCs w:val="24"/>
              </w:rPr>
            </w:pPr>
          </w:p>
        </w:tc>
        <w:tc>
          <w:tcPr>
            <w:tcW w:w="4200" w:type="dxa"/>
            <w:shd w:val="clear" w:color="auto" w:fill="auto"/>
            <w:hideMark/>
          </w:tcPr>
          <w:p w:rsidR="007507EC" w:rsidRPr="007507EC" w:rsidRDefault="007507EC">
            <w:pPr>
              <w:pStyle w:val="a3"/>
            </w:pPr>
            <w:r w:rsidRPr="007507EC">
              <w:rPr>
                <w:rFonts w:hint="eastAsia"/>
              </w:rPr>
              <w:t xml:space="preserve">其中：股票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2 </w:t>
            </w:r>
          </w:p>
        </w:tc>
        <w:tc>
          <w:tcPr>
            <w:tcW w:w="4200" w:type="dxa"/>
            <w:shd w:val="clear" w:color="auto" w:fill="auto"/>
            <w:hideMark/>
          </w:tcPr>
          <w:p w:rsidR="007507EC" w:rsidRPr="007507EC" w:rsidRDefault="007507EC">
            <w:pPr>
              <w:pStyle w:val="a3"/>
            </w:pPr>
            <w:r w:rsidRPr="007507EC">
              <w:rPr>
                <w:rFonts w:hint="eastAsia"/>
              </w:rPr>
              <w:t xml:space="preserve">基金投资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3 </w:t>
            </w:r>
          </w:p>
        </w:tc>
        <w:tc>
          <w:tcPr>
            <w:tcW w:w="4200" w:type="dxa"/>
            <w:shd w:val="clear" w:color="auto" w:fill="auto"/>
            <w:hideMark/>
          </w:tcPr>
          <w:p w:rsidR="007507EC" w:rsidRPr="007507EC" w:rsidRDefault="007507EC">
            <w:pPr>
              <w:pStyle w:val="a3"/>
            </w:pPr>
            <w:r w:rsidRPr="007507EC">
              <w:rPr>
                <w:rFonts w:hint="eastAsia"/>
              </w:rPr>
              <w:t xml:space="preserve">固定收益投资 </w:t>
            </w:r>
          </w:p>
        </w:tc>
        <w:tc>
          <w:tcPr>
            <w:tcW w:w="2790" w:type="dxa"/>
            <w:shd w:val="clear" w:color="auto" w:fill="auto"/>
            <w:hideMark/>
          </w:tcPr>
          <w:p w:rsidR="007507EC" w:rsidRPr="007507EC" w:rsidRDefault="007507EC">
            <w:pPr>
              <w:pStyle w:val="a3"/>
              <w:jc w:val="right"/>
            </w:pPr>
            <w:r w:rsidRPr="007507EC">
              <w:rPr>
                <w:rFonts w:hint="eastAsia"/>
              </w:rPr>
              <w:t xml:space="preserve">10,703,796,700.00 </w:t>
            </w:r>
          </w:p>
        </w:tc>
        <w:tc>
          <w:tcPr>
            <w:tcW w:w="2775" w:type="dxa"/>
            <w:shd w:val="clear" w:color="auto" w:fill="auto"/>
            <w:hideMark/>
          </w:tcPr>
          <w:p w:rsidR="007507EC" w:rsidRPr="007507EC" w:rsidRDefault="007507EC">
            <w:pPr>
              <w:pStyle w:val="a3"/>
              <w:jc w:val="right"/>
            </w:pPr>
            <w:r w:rsidRPr="007507EC">
              <w:rPr>
                <w:rFonts w:hint="eastAsia"/>
              </w:rPr>
              <w:t xml:space="preserve">96.60 </w:t>
            </w:r>
          </w:p>
        </w:tc>
      </w:tr>
      <w:tr w:rsidR="007507EC" w:rsidRPr="007507EC" w:rsidTr="007507EC">
        <w:trPr>
          <w:divId w:val="1390038467"/>
        </w:trPr>
        <w:tc>
          <w:tcPr>
            <w:tcW w:w="825" w:type="dxa"/>
            <w:shd w:val="clear" w:color="auto" w:fill="auto"/>
            <w:hideMark/>
          </w:tcPr>
          <w:p w:rsidR="007507EC" w:rsidRPr="007507EC" w:rsidRDefault="007507EC">
            <w:pPr>
              <w:rPr>
                <w:rFonts w:ascii="宋体" w:eastAsia="宋体" w:hAnsi="宋体" w:cs="宋体"/>
                <w:sz w:val="24"/>
                <w:szCs w:val="24"/>
              </w:rPr>
            </w:pPr>
          </w:p>
        </w:tc>
        <w:tc>
          <w:tcPr>
            <w:tcW w:w="4200" w:type="dxa"/>
            <w:shd w:val="clear" w:color="auto" w:fill="auto"/>
            <w:hideMark/>
          </w:tcPr>
          <w:p w:rsidR="007507EC" w:rsidRPr="007507EC" w:rsidRDefault="007507EC">
            <w:pPr>
              <w:pStyle w:val="a3"/>
            </w:pPr>
            <w:r w:rsidRPr="007507EC">
              <w:rPr>
                <w:rFonts w:hint="eastAsia"/>
              </w:rPr>
              <w:t xml:space="preserve">其中：债券 </w:t>
            </w:r>
          </w:p>
        </w:tc>
        <w:tc>
          <w:tcPr>
            <w:tcW w:w="2790" w:type="dxa"/>
            <w:shd w:val="clear" w:color="auto" w:fill="auto"/>
            <w:hideMark/>
          </w:tcPr>
          <w:p w:rsidR="007507EC" w:rsidRPr="007507EC" w:rsidRDefault="007507EC">
            <w:pPr>
              <w:pStyle w:val="a3"/>
              <w:jc w:val="right"/>
            </w:pPr>
            <w:r w:rsidRPr="007507EC">
              <w:rPr>
                <w:rFonts w:hint="eastAsia"/>
              </w:rPr>
              <w:t xml:space="preserve">10,312,997,100.00 </w:t>
            </w:r>
          </w:p>
        </w:tc>
        <w:tc>
          <w:tcPr>
            <w:tcW w:w="2775" w:type="dxa"/>
            <w:shd w:val="clear" w:color="auto" w:fill="auto"/>
            <w:hideMark/>
          </w:tcPr>
          <w:p w:rsidR="007507EC" w:rsidRPr="007507EC" w:rsidRDefault="007507EC">
            <w:pPr>
              <w:pStyle w:val="a3"/>
              <w:jc w:val="right"/>
            </w:pPr>
            <w:r w:rsidRPr="007507EC">
              <w:rPr>
                <w:rFonts w:hint="eastAsia"/>
              </w:rPr>
              <w:t xml:space="preserve">93.07 </w:t>
            </w:r>
          </w:p>
        </w:tc>
      </w:tr>
      <w:tr w:rsidR="007507EC" w:rsidRPr="007507EC" w:rsidTr="007507EC">
        <w:trPr>
          <w:divId w:val="1390038467"/>
        </w:trPr>
        <w:tc>
          <w:tcPr>
            <w:tcW w:w="825" w:type="dxa"/>
            <w:shd w:val="clear" w:color="auto" w:fill="auto"/>
            <w:hideMark/>
          </w:tcPr>
          <w:p w:rsidR="007507EC" w:rsidRPr="007507EC" w:rsidRDefault="007507EC">
            <w:pPr>
              <w:rPr>
                <w:rFonts w:ascii="宋体" w:eastAsia="宋体" w:hAnsi="宋体" w:cs="宋体"/>
                <w:sz w:val="24"/>
                <w:szCs w:val="24"/>
              </w:rPr>
            </w:pPr>
          </w:p>
        </w:tc>
        <w:tc>
          <w:tcPr>
            <w:tcW w:w="4200" w:type="dxa"/>
            <w:shd w:val="clear" w:color="auto" w:fill="auto"/>
            <w:hideMark/>
          </w:tcPr>
          <w:p w:rsidR="007507EC" w:rsidRPr="007507EC" w:rsidRDefault="007507EC">
            <w:pPr>
              <w:pStyle w:val="a3"/>
            </w:pPr>
            <w:r w:rsidRPr="007507EC">
              <w:rPr>
                <w:rFonts w:hint="eastAsia"/>
              </w:rPr>
              <w:t xml:space="preserve">资产支持证券 </w:t>
            </w:r>
          </w:p>
        </w:tc>
        <w:tc>
          <w:tcPr>
            <w:tcW w:w="2790" w:type="dxa"/>
            <w:shd w:val="clear" w:color="auto" w:fill="auto"/>
            <w:hideMark/>
          </w:tcPr>
          <w:p w:rsidR="007507EC" w:rsidRPr="007507EC" w:rsidRDefault="007507EC">
            <w:pPr>
              <w:pStyle w:val="a3"/>
              <w:jc w:val="right"/>
            </w:pPr>
            <w:r w:rsidRPr="007507EC">
              <w:rPr>
                <w:rFonts w:hint="eastAsia"/>
              </w:rPr>
              <w:t xml:space="preserve">390,799,600.00 </w:t>
            </w:r>
          </w:p>
        </w:tc>
        <w:tc>
          <w:tcPr>
            <w:tcW w:w="2775" w:type="dxa"/>
            <w:shd w:val="clear" w:color="auto" w:fill="auto"/>
            <w:hideMark/>
          </w:tcPr>
          <w:p w:rsidR="007507EC" w:rsidRPr="007507EC" w:rsidRDefault="007507EC">
            <w:pPr>
              <w:pStyle w:val="a3"/>
              <w:jc w:val="right"/>
            </w:pPr>
            <w:r w:rsidRPr="007507EC">
              <w:rPr>
                <w:rFonts w:hint="eastAsia"/>
              </w:rPr>
              <w:t xml:space="preserve">3.53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4 </w:t>
            </w:r>
          </w:p>
        </w:tc>
        <w:tc>
          <w:tcPr>
            <w:tcW w:w="4200" w:type="dxa"/>
            <w:shd w:val="clear" w:color="auto" w:fill="auto"/>
            <w:hideMark/>
          </w:tcPr>
          <w:p w:rsidR="007507EC" w:rsidRPr="007507EC" w:rsidRDefault="007507EC">
            <w:pPr>
              <w:pStyle w:val="a3"/>
            </w:pPr>
            <w:r w:rsidRPr="007507EC">
              <w:rPr>
                <w:rFonts w:hint="eastAsia"/>
              </w:rPr>
              <w:t xml:space="preserve">贵金属投资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5 </w:t>
            </w:r>
          </w:p>
        </w:tc>
        <w:tc>
          <w:tcPr>
            <w:tcW w:w="4200" w:type="dxa"/>
            <w:shd w:val="clear" w:color="auto" w:fill="auto"/>
            <w:hideMark/>
          </w:tcPr>
          <w:p w:rsidR="007507EC" w:rsidRPr="007507EC" w:rsidRDefault="007507EC">
            <w:pPr>
              <w:pStyle w:val="a3"/>
            </w:pPr>
            <w:r w:rsidRPr="007507EC">
              <w:rPr>
                <w:rFonts w:hint="eastAsia"/>
              </w:rPr>
              <w:t xml:space="preserve">金融衍生品投资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lastRenderedPageBreak/>
              <w:t xml:space="preserve">6 </w:t>
            </w:r>
          </w:p>
        </w:tc>
        <w:tc>
          <w:tcPr>
            <w:tcW w:w="4200" w:type="dxa"/>
            <w:shd w:val="clear" w:color="auto" w:fill="auto"/>
            <w:hideMark/>
          </w:tcPr>
          <w:p w:rsidR="007507EC" w:rsidRPr="007507EC" w:rsidRDefault="007507EC">
            <w:pPr>
              <w:pStyle w:val="a3"/>
            </w:pPr>
            <w:r w:rsidRPr="007507EC">
              <w:rPr>
                <w:rFonts w:hint="eastAsia"/>
              </w:rPr>
              <w:t xml:space="preserve">买入返售金融资产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rPr>
                <w:rFonts w:ascii="宋体" w:eastAsia="宋体" w:hAnsi="宋体" w:cs="宋体"/>
                <w:sz w:val="24"/>
                <w:szCs w:val="24"/>
              </w:rPr>
            </w:pPr>
          </w:p>
        </w:tc>
        <w:tc>
          <w:tcPr>
            <w:tcW w:w="4200" w:type="dxa"/>
            <w:shd w:val="clear" w:color="auto" w:fill="auto"/>
            <w:hideMark/>
          </w:tcPr>
          <w:p w:rsidR="007507EC" w:rsidRPr="007507EC" w:rsidRDefault="007507EC">
            <w:pPr>
              <w:pStyle w:val="a3"/>
            </w:pPr>
            <w:r w:rsidRPr="007507EC">
              <w:rPr>
                <w:rFonts w:hint="eastAsia"/>
              </w:rPr>
              <w:t xml:space="preserve">其中：买断式回购的买入返售金融资产 </w:t>
            </w:r>
          </w:p>
        </w:tc>
        <w:tc>
          <w:tcPr>
            <w:tcW w:w="2790" w:type="dxa"/>
            <w:shd w:val="clear" w:color="auto" w:fill="auto"/>
            <w:hideMark/>
          </w:tcPr>
          <w:p w:rsidR="007507EC" w:rsidRPr="007507EC" w:rsidRDefault="007507EC">
            <w:pPr>
              <w:pStyle w:val="a3"/>
              <w:jc w:val="right"/>
            </w:pPr>
            <w:r w:rsidRPr="007507EC">
              <w:rPr>
                <w:rFonts w:hint="eastAsia"/>
              </w:rPr>
              <w:t xml:space="preserve">- </w:t>
            </w:r>
          </w:p>
        </w:tc>
        <w:tc>
          <w:tcPr>
            <w:tcW w:w="277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7 </w:t>
            </w:r>
          </w:p>
        </w:tc>
        <w:tc>
          <w:tcPr>
            <w:tcW w:w="4200" w:type="dxa"/>
            <w:shd w:val="clear" w:color="auto" w:fill="auto"/>
            <w:hideMark/>
          </w:tcPr>
          <w:p w:rsidR="007507EC" w:rsidRPr="007507EC" w:rsidRDefault="007507EC">
            <w:pPr>
              <w:pStyle w:val="a3"/>
            </w:pPr>
            <w:r w:rsidRPr="007507EC">
              <w:rPr>
                <w:rFonts w:hint="eastAsia"/>
              </w:rPr>
              <w:t xml:space="preserve">银行存款和结算备付金合计 </w:t>
            </w:r>
          </w:p>
        </w:tc>
        <w:tc>
          <w:tcPr>
            <w:tcW w:w="2790" w:type="dxa"/>
            <w:shd w:val="clear" w:color="auto" w:fill="auto"/>
            <w:hideMark/>
          </w:tcPr>
          <w:p w:rsidR="007507EC" w:rsidRPr="007507EC" w:rsidRDefault="007507EC">
            <w:pPr>
              <w:pStyle w:val="a3"/>
              <w:jc w:val="right"/>
            </w:pPr>
            <w:r w:rsidRPr="007507EC">
              <w:rPr>
                <w:rFonts w:hint="eastAsia"/>
              </w:rPr>
              <w:t xml:space="preserve">184,677,893.44 </w:t>
            </w:r>
          </w:p>
        </w:tc>
        <w:tc>
          <w:tcPr>
            <w:tcW w:w="2775" w:type="dxa"/>
            <w:shd w:val="clear" w:color="auto" w:fill="auto"/>
            <w:hideMark/>
          </w:tcPr>
          <w:p w:rsidR="007507EC" w:rsidRPr="007507EC" w:rsidRDefault="007507EC">
            <w:pPr>
              <w:pStyle w:val="a3"/>
              <w:jc w:val="right"/>
            </w:pPr>
            <w:r w:rsidRPr="007507EC">
              <w:rPr>
                <w:rFonts w:hint="eastAsia"/>
              </w:rPr>
              <w:t xml:space="preserve">1.67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8 </w:t>
            </w:r>
          </w:p>
        </w:tc>
        <w:tc>
          <w:tcPr>
            <w:tcW w:w="4200" w:type="dxa"/>
            <w:shd w:val="clear" w:color="auto" w:fill="auto"/>
            <w:hideMark/>
          </w:tcPr>
          <w:p w:rsidR="007507EC" w:rsidRPr="007507EC" w:rsidRDefault="007507EC">
            <w:pPr>
              <w:pStyle w:val="a3"/>
            </w:pPr>
            <w:r w:rsidRPr="007507EC">
              <w:rPr>
                <w:rFonts w:hint="eastAsia"/>
              </w:rPr>
              <w:t xml:space="preserve">其他各项资产 </w:t>
            </w:r>
          </w:p>
        </w:tc>
        <w:tc>
          <w:tcPr>
            <w:tcW w:w="2790" w:type="dxa"/>
            <w:shd w:val="clear" w:color="auto" w:fill="auto"/>
            <w:hideMark/>
          </w:tcPr>
          <w:p w:rsidR="007507EC" w:rsidRPr="007507EC" w:rsidRDefault="007507EC">
            <w:pPr>
              <w:pStyle w:val="a3"/>
              <w:jc w:val="right"/>
            </w:pPr>
            <w:r w:rsidRPr="007507EC">
              <w:rPr>
                <w:rFonts w:hint="eastAsia"/>
              </w:rPr>
              <w:t xml:space="preserve">192,375,561.64 </w:t>
            </w:r>
          </w:p>
        </w:tc>
        <w:tc>
          <w:tcPr>
            <w:tcW w:w="2775" w:type="dxa"/>
            <w:shd w:val="clear" w:color="auto" w:fill="auto"/>
            <w:hideMark/>
          </w:tcPr>
          <w:p w:rsidR="007507EC" w:rsidRPr="007507EC" w:rsidRDefault="007507EC">
            <w:pPr>
              <w:pStyle w:val="a3"/>
              <w:jc w:val="right"/>
            </w:pPr>
            <w:r w:rsidRPr="007507EC">
              <w:rPr>
                <w:rFonts w:hint="eastAsia"/>
              </w:rPr>
              <w:t xml:space="preserve">1.74 </w:t>
            </w:r>
          </w:p>
        </w:tc>
      </w:tr>
      <w:tr w:rsidR="007507EC" w:rsidRPr="007507EC" w:rsidTr="007507EC">
        <w:trPr>
          <w:divId w:val="1390038467"/>
        </w:trPr>
        <w:tc>
          <w:tcPr>
            <w:tcW w:w="825" w:type="dxa"/>
            <w:shd w:val="clear" w:color="auto" w:fill="auto"/>
            <w:hideMark/>
          </w:tcPr>
          <w:p w:rsidR="007507EC" w:rsidRPr="007507EC" w:rsidRDefault="007507EC">
            <w:pPr>
              <w:pStyle w:val="a3"/>
              <w:jc w:val="center"/>
            </w:pPr>
            <w:r w:rsidRPr="007507EC">
              <w:rPr>
                <w:rFonts w:hint="eastAsia"/>
              </w:rPr>
              <w:t xml:space="preserve">9 </w:t>
            </w:r>
          </w:p>
        </w:tc>
        <w:tc>
          <w:tcPr>
            <w:tcW w:w="4200" w:type="dxa"/>
            <w:shd w:val="clear" w:color="auto" w:fill="auto"/>
            <w:hideMark/>
          </w:tcPr>
          <w:p w:rsidR="007507EC" w:rsidRPr="007507EC" w:rsidRDefault="007507EC">
            <w:pPr>
              <w:pStyle w:val="a3"/>
            </w:pPr>
            <w:r w:rsidRPr="007507EC">
              <w:rPr>
                <w:rFonts w:hint="eastAsia"/>
              </w:rPr>
              <w:t xml:space="preserve">合计 </w:t>
            </w:r>
          </w:p>
        </w:tc>
        <w:tc>
          <w:tcPr>
            <w:tcW w:w="2790" w:type="dxa"/>
            <w:shd w:val="clear" w:color="auto" w:fill="auto"/>
            <w:hideMark/>
          </w:tcPr>
          <w:p w:rsidR="007507EC" w:rsidRPr="007507EC" w:rsidRDefault="007507EC">
            <w:pPr>
              <w:pStyle w:val="a3"/>
              <w:jc w:val="right"/>
            </w:pPr>
            <w:r w:rsidRPr="007507EC">
              <w:rPr>
                <w:rFonts w:hint="eastAsia"/>
              </w:rPr>
              <w:t xml:space="preserve">11,080,850,155.08 </w:t>
            </w:r>
          </w:p>
        </w:tc>
        <w:tc>
          <w:tcPr>
            <w:tcW w:w="2775" w:type="dxa"/>
            <w:shd w:val="clear" w:color="auto" w:fill="auto"/>
            <w:hideMark/>
          </w:tcPr>
          <w:p w:rsidR="007507EC" w:rsidRPr="007507EC" w:rsidRDefault="007507EC">
            <w:pPr>
              <w:pStyle w:val="a3"/>
              <w:jc w:val="right"/>
            </w:pPr>
            <w:r w:rsidRPr="007507EC">
              <w:rPr>
                <w:rFonts w:hint="eastAsia"/>
              </w:rPr>
              <w:t xml:space="preserve">100.00 </w:t>
            </w:r>
          </w:p>
        </w:tc>
      </w:tr>
    </w:tbl>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2报告期末按行业分类的股票投资组合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本基金本报告期末未持有股票。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3报告期末按公允价值占基金资产净值比例大小排序的前十名股票投资明细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本基金本报告期末未持有股票。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4报告期末按债券品种分类的债券投资组合 </w:t>
      </w:r>
    </w:p>
    <w:tbl>
      <w:tblPr>
        <w:tblStyle w:val="a9"/>
        <w:tblW w:w="5000" w:type="pct"/>
        <w:tblLook w:val="04A0" w:firstRow="1" w:lastRow="0" w:firstColumn="1" w:lastColumn="0" w:noHBand="0" w:noVBand="1"/>
      </w:tblPr>
      <w:tblGrid>
        <w:gridCol w:w="702"/>
        <w:gridCol w:w="1811"/>
        <w:gridCol w:w="3222"/>
        <w:gridCol w:w="2781"/>
      </w:tblGrid>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序号 </w:t>
            </w:r>
          </w:p>
        </w:tc>
        <w:tc>
          <w:tcPr>
            <w:tcW w:w="2370" w:type="dxa"/>
            <w:shd w:val="clear" w:color="auto" w:fill="auto"/>
            <w:hideMark/>
          </w:tcPr>
          <w:p w:rsidR="007507EC" w:rsidRPr="007507EC" w:rsidRDefault="007507EC">
            <w:pPr>
              <w:pStyle w:val="a3"/>
              <w:jc w:val="center"/>
            </w:pPr>
            <w:r w:rsidRPr="007507EC">
              <w:rPr>
                <w:rFonts w:hint="eastAsia"/>
              </w:rPr>
              <w:t xml:space="preserve">债券品种 </w:t>
            </w:r>
          </w:p>
        </w:tc>
        <w:tc>
          <w:tcPr>
            <w:tcW w:w="3705" w:type="dxa"/>
            <w:shd w:val="clear" w:color="auto" w:fill="auto"/>
            <w:hideMark/>
          </w:tcPr>
          <w:p w:rsidR="007507EC" w:rsidRPr="007507EC" w:rsidRDefault="007507EC">
            <w:pPr>
              <w:pStyle w:val="a3"/>
              <w:jc w:val="center"/>
            </w:pPr>
            <w:r w:rsidRPr="007507EC">
              <w:rPr>
                <w:rFonts w:hint="eastAsia"/>
              </w:rPr>
              <w:t xml:space="preserve">公允价值(元) </w:t>
            </w:r>
          </w:p>
        </w:tc>
        <w:tc>
          <w:tcPr>
            <w:tcW w:w="3705" w:type="dxa"/>
            <w:shd w:val="clear" w:color="auto" w:fill="auto"/>
            <w:hideMark/>
          </w:tcPr>
          <w:p w:rsidR="007507EC" w:rsidRPr="007507EC" w:rsidRDefault="007507EC">
            <w:pPr>
              <w:pStyle w:val="a3"/>
              <w:jc w:val="center"/>
            </w:pPr>
            <w:r w:rsidRPr="007507EC">
              <w:rPr>
                <w:rFonts w:hint="eastAsia"/>
              </w:rPr>
              <w:t xml:space="preserve">占基金资产净值比例(％)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1 </w:t>
            </w:r>
          </w:p>
        </w:tc>
        <w:tc>
          <w:tcPr>
            <w:tcW w:w="2370" w:type="dxa"/>
            <w:shd w:val="clear" w:color="auto" w:fill="auto"/>
            <w:hideMark/>
          </w:tcPr>
          <w:p w:rsidR="007507EC" w:rsidRPr="007507EC" w:rsidRDefault="007507EC">
            <w:pPr>
              <w:pStyle w:val="a3"/>
            </w:pPr>
            <w:r w:rsidRPr="007507EC">
              <w:rPr>
                <w:rFonts w:hint="eastAsia"/>
              </w:rPr>
              <w:t xml:space="preserve">国家债券 </w:t>
            </w:r>
          </w:p>
        </w:tc>
        <w:tc>
          <w:tcPr>
            <w:tcW w:w="3705" w:type="dxa"/>
            <w:shd w:val="clear" w:color="auto" w:fill="auto"/>
            <w:hideMark/>
          </w:tcPr>
          <w:p w:rsidR="007507EC" w:rsidRPr="007507EC" w:rsidRDefault="007507EC">
            <w:pPr>
              <w:pStyle w:val="a3"/>
              <w:jc w:val="right"/>
            </w:pPr>
            <w:r w:rsidRPr="007507EC">
              <w:rPr>
                <w:rFonts w:hint="eastAsia"/>
              </w:rPr>
              <w:t xml:space="preserve">58,188,000.00 </w:t>
            </w:r>
          </w:p>
        </w:tc>
        <w:tc>
          <w:tcPr>
            <w:tcW w:w="3705" w:type="dxa"/>
            <w:shd w:val="clear" w:color="auto" w:fill="auto"/>
            <w:hideMark/>
          </w:tcPr>
          <w:p w:rsidR="007507EC" w:rsidRPr="007507EC" w:rsidRDefault="007507EC">
            <w:pPr>
              <w:pStyle w:val="a3"/>
              <w:jc w:val="right"/>
            </w:pPr>
            <w:r w:rsidRPr="007507EC">
              <w:rPr>
                <w:rFonts w:hint="eastAsia"/>
              </w:rPr>
              <w:t xml:space="preserve">0.59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2 </w:t>
            </w:r>
          </w:p>
        </w:tc>
        <w:tc>
          <w:tcPr>
            <w:tcW w:w="2370" w:type="dxa"/>
            <w:shd w:val="clear" w:color="auto" w:fill="auto"/>
            <w:hideMark/>
          </w:tcPr>
          <w:p w:rsidR="007507EC" w:rsidRPr="007507EC" w:rsidRDefault="007507EC">
            <w:pPr>
              <w:pStyle w:val="a3"/>
            </w:pPr>
            <w:r w:rsidRPr="007507EC">
              <w:rPr>
                <w:rFonts w:hint="eastAsia"/>
              </w:rPr>
              <w:t xml:space="preserve">央行票据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3 </w:t>
            </w:r>
          </w:p>
        </w:tc>
        <w:tc>
          <w:tcPr>
            <w:tcW w:w="2370" w:type="dxa"/>
            <w:shd w:val="clear" w:color="auto" w:fill="auto"/>
            <w:hideMark/>
          </w:tcPr>
          <w:p w:rsidR="007507EC" w:rsidRPr="007507EC" w:rsidRDefault="007507EC">
            <w:pPr>
              <w:pStyle w:val="a3"/>
            </w:pPr>
            <w:r w:rsidRPr="007507EC">
              <w:rPr>
                <w:rFonts w:hint="eastAsia"/>
              </w:rPr>
              <w:t xml:space="preserve">金融债券 </w:t>
            </w:r>
          </w:p>
        </w:tc>
        <w:tc>
          <w:tcPr>
            <w:tcW w:w="3705" w:type="dxa"/>
            <w:shd w:val="clear" w:color="auto" w:fill="auto"/>
            <w:hideMark/>
          </w:tcPr>
          <w:p w:rsidR="007507EC" w:rsidRPr="007507EC" w:rsidRDefault="007507EC">
            <w:pPr>
              <w:pStyle w:val="a3"/>
              <w:jc w:val="right"/>
            </w:pPr>
            <w:r w:rsidRPr="007507EC">
              <w:rPr>
                <w:rFonts w:hint="eastAsia"/>
              </w:rPr>
              <w:t xml:space="preserve">1,101,833,000.00 </w:t>
            </w:r>
          </w:p>
        </w:tc>
        <w:tc>
          <w:tcPr>
            <w:tcW w:w="3705" w:type="dxa"/>
            <w:shd w:val="clear" w:color="auto" w:fill="auto"/>
            <w:hideMark/>
          </w:tcPr>
          <w:p w:rsidR="007507EC" w:rsidRPr="007507EC" w:rsidRDefault="007507EC">
            <w:pPr>
              <w:pStyle w:val="a3"/>
              <w:jc w:val="right"/>
            </w:pPr>
            <w:r w:rsidRPr="007507EC">
              <w:rPr>
                <w:rFonts w:hint="eastAsia"/>
              </w:rPr>
              <w:t xml:space="preserve">11.16 </w:t>
            </w:r>
          </w:p>
        </w:tc>
      </w:tr>
      <w:tr w:rsidR="007507EC" w:rsidRPr="007507EC" w:rsidTr="007507EC">
        <w:trPr>
          <w:divId w:val="2139839793"/>
        </w:trPr>
        <w:tc>
          <w:tcPr>
            <w:tcW w:w="825" w:type="dxa"/>
            <w:shd w:val="clear" w:color="auto" w:fill="auto"/>
            <w:hideMark/>
          </w:tcPr>
          <w:p w:rsidR="007507EC" w:rsidRPr="007507EC" w:rsidRDefault="007507EC">
            <w:pPr>
              <w:rPr>
                <w:rFonts w:ascii="宋体" w:eastAsia="宋体" w:hAnsi="宋体" w:cs="宋体"/>
                <w:sz w:val="24"/>
                <w:szCs w:val="24"/>
              </w:rPr>
            </w:pPr>
          </w:p>
        </w:tc>
        <w:tc>
          <w:tcPr>
            <w:tcW w:w="2370" w:type="dxa"/>
            <w:shd w:val="clear" w:color="auto" w:fill="auto"/>
            <w:hideMark/>
          </w:tcPr>
          <w:p w:rsidR="007507EC" w:rsidRPr="007507EC" w:rsidRDefault="007507EC">
            <w:pPr>
              <w:pStyle w:val="a3"/>
            </w:pPr>
            <w:r w:rsidRPr="007507EC">
              <w:rPr>
                <w:rFonts w:hint="eastAsia"/>
              </w:rPr>
              <w:t xml:space="preserve">其中：政策性金融债 </w:t>
            </w:r>
          </w:p>
        </w:tc>
        <w:tc>
          <w:tcPr>
            <w:tcW w:w="3705" w:type="dxa"/>
            <w:shd w:val="clear" w:color="auto" w:fill="auto"/>
            <w:hideMark/>
          </w:tcPr>
          <w:p w:rsidR="007507EC" w:rsidRPr="007507EC" w:rsidRDefault="007507EC">
            <w:pPr>
              <w:pStyle w:val="a3"/>
              <w:jc w:val="right"/>
            </w:pPr>
            <w:r w:rsidRPr="007507EC">
              <w:rPr>
                <w:rFonts w:hint="eastAsia"/>
              </w:rPr>
              <w:t xml:space="preserve">726,759,000.00 </w:t>
            </w:r>
          </w:p>
        </w:tc>
        <w:tc>
          <w:tcPr>
            <w:tcW w:w="3705" w:type="dxa"/>
            <w:shd w:val="clear" w:color="auto" w:fill="auto"/>
            <w:hideMark/>
          </w:tcPr>
          <w:p w:rsidR="007507EC" w:rsidRPr="007507EC" w:rsidRDefault="007507EC">
            <w:pPr>
              <w:pStyle w:val="a3"/>
              <w:jc w:val="right"/>
            </w:pPr>
            <w:r w:rsidRPr="007507EC">
              <w:rPr>
                <w:rFonts w:hint="eastAsia"/>
              </w:rPr>
              <w:t xml:space="preserve">7.36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4 </w:t>
            </w:r>
          </w:p>
        </w:tc>
        <w:tc>
          <w:tcPr>
            <w:tcW w:w="2370" w:type="dxa"/>
            <w:shd w:val="clear" w:color="auto" w:fill="auto"/>
            <w:hideMark/>
          </w:tcPr>
          <w:p w:rsidR="007507EC" w:rsidRPr="007507EC" w:rsidRDefault="007507EC">
            <w:pPr>
              <w:pStyle w:val="a3"/>
            </w:pPr>
            <w:r w:rsidRPr="007507EC">
              <w:rPr>
                <w:rFonts w:hint="eastAsia"/>
              </w:rPr>
              <w:t xml:space="preserve">企业债券 </w:t>
            </w:r>
          </w:p>
        </w:tc>
        <w:tc>
          <w:tcPr>
            <w:tcW w:w="3705" w:type="dxa"/>
            <w:shd w:val="clear" w:color="auto" w:fill="auto"/>
            <w:hideMark/>
          </w:tcPr>
          <w:p w:rsidR="007507EC" w:rsidRPr="007507EC" w:rsidRDefault="007507EC">
            <w:pPr>
              <w:pStyle w:val="a3"/>
              <w:jc w:val="right"/>
            </w:pPr>
            <w:r w:rsidRPr="007507EC">
              <w:rPr>
                <w:rFonts w:hint="eastAsia"/>
              </w:rPr>
              <w:t xml:space="preserve">1,276,719,600.00 </w:t>
            </w:r>
          </w:p>
        </w:tc>
        <w:tc>
          <w:tcPr>
            <w:tcW w:w="3705" w:type="dxa"/>
            <w:shd w:val="clear" w:color="auto" w:fill="auto"/>
            <w:hideMark/>
          </w:tcPr>
          <w:p w:rsidR="007507EC" w:rsidRPr="007507EC" w:rsidRDefault="007507EC">
            <w:pPr>
              <w:pStyle w:val="a3"/>
              <w:jc w:val="right"/>
            </w:pPr>
            <w:r w:rsidRPr="007507EC">
              <w:rPr>
                <w:rFonts w:hint="eastAsia"/>
              </w:rPr>
              <w:t xml:space="preserve">12.93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5 </w:t>
            </w:r>
          </w:p>
        </w:tc>
        <w:tc>
          <w:tcPr>
            <w:tcW w:w="2370" w:type="dxa"/>
            <w:shd w:val="clear" w:color="auto" w:fill="auto"/>
            <w:hideMark/>
          </w:tcPr>
          <w:p w:rsidR="007507EC" w:rsidRPr="007507EC" w:rsidRDefault="007507EC">
            <w:pPr>
              <w:pStyle w:val="a3"/>
            </w:pPr>
            <w:r w:rsidRPr="007507EC">
              <w:rPr>
                <w:rFonts w:hint="eastAsia"/>
              </w:rPr>
              <w:t xml:space="preserve">企业短期融资券 </w:t>
            </w:r>
          </w:p>
        </w:tc>
        <w:tc>
          <w:tcPr>
            <w:tcW w:w="3705" w:type="dxa"/>
            <w:shd w:val="clear" w:color="auto" w:fill="auto"/>
            <w:hideMark/>
          </w:tcPr>
          <w:p w:rsidR="007507EC" w:rsidRPr="007507EC" w:rsidRDefault="007507EC">
            <w:pPr>
              <w:pStyle w:val="a3"/>
              <w:jc w:val="right"/>
            </w:pPr>
            <w:r w:rsidRPr="007507EC">
              <w:rPr>
                <w:rFonts w:hint="eastAsia"/>
              </w:rPr>
              <w:t xml:space="preserve">6,329,714,900.00 </w:t>
            </w:r>
          </w:p>
        </w:tc>
        <w:tc>
          <w:tcPr>
            <w:tcW w:w="3705" w:type="dxa"/>
            <w:shd w:val="clear" w:color="auto" w:fill="auto"/>
            <w:hideMark/>
          </w:tcPr>
          <w:p w:rsidR="007507EC" w:rsidRPr="007507EC" w:rsidRDefault="007507EC">
            <w:pPr>
              <w:pStyle w:val="a3"/>
              <w:jc w:val="right"/>
            </w:pPr>
            <w:r w:rsidRPr="007507EC">
              <w:rPr>
                <w:rFonts w:hint="eastAsia"/>
              </w:rPr>
              <w:t xml:space="preserve">64.10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6 </w:t>
            </w:r>
          </w:p>
        </w:tc>
        <w:tc>
          <w:tcPr>
            <w:tcW w:w="2370" w:type="dxa"/>
            <w:shd w:val="clear" w:color="auto" w:fill="auto"/>
            <w:hideMark/>
          </w:tcPr>
          <w:p w:rsidR="007507EC" w:rsidRPr="007507EC" w:rsidRDefault="007507EC">
            <w:pPr>
              <w:pStyle w:val="a3"/>
            </w:pPr>
            <w:r w:rsidRPr="007507EC">
              <w:rPr>
                <w:rFonts w:hint="eastAsia"/>
              </w:rPr>
              <w:t xml:space="preserve">中期票据 </w:t>
            </w:r>
          </w:p>
        </w:tc>
        <w:tc>
          <w:tcPr>
            <w:tcW w:w="3705" w:type="dxa"/>
            <w:shd w:val="clear" w:color="auto" w:fill="auto"/>
            <w:hideMark/>
          </w:tcPr>
          <w:p w:rsidR="007507EC" w:rsidRPr="007507EC" w:rsidRDefault="007507EC">
            <w:pPr>
              <w:pStyle w:val="a3"/>
              <w:jc w:val="right"/>
            </w:pPr>
            <w:r w:rsidRPr="007507EC">
              <w:rPr>
                <w:rFonts w:hint="eastAsia"/>
              </w:rPr>
              <w:t xml:space="preserve">1,400,996,600.00 </w:t>
            </w:r>
          </w:p>
        </w:tc>
        <w:tc>
          <w:tcPr>
            <w:tcW w:w="3705" w:type="dxa"/>
            <w:shd w:val="clear" w:color="auto" w:fill="auto"/>
            <w:hideMark/>
          </w:tcPr>
          <w:p w:rsidR="007507EC" w:rsidRPr="007507EC" w:rsidRDefault="007507EC">
            <w:pPr>
              <w:pStyle w:val="a3"/>
              <w:jc w:val="right"/>
            </w:pPr>
            <w:r w:rsidRPr="007507EC">
              <w:rPr>
                <w:rFonts w:hint="eastAsia"/>
              </w:rPr>
              <w:t xml:space="preserve">14.19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7 </w:t>
            </w:r>
          </w:p>
        </w:tc>
        <w:tc>
          <w:tcPr>
            <w:tcW w:w="2370" w:type="dxa"/>
            <w:shd w:val="clear" w:color="auto" w:fill="auto"/>
            <w:hideMark/>
          </w:tcPr>
          <w:p w:rsidR="007507EC" w:rsidRPr="007507EC" w:rsidRDefault="007507EC">
            <w:pPr>
              <w:pStyle w:val="a3"/>
            </w:pPr>
            <w:r w:rsidRPr="007507EC">
              <w:rPr>
                <w:rFonts w:hint="eastAsia"/>
              </w:rPr>
              <w:t xml:space="preserve">可转债（可交换债）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8 </w:t>
            </w:r>
          </w:p>
        </w:tc>
        <w:tc>
          <w:tcPr>
            <w:tcW w:w="2370" w:type="dxa"/>
            <w:shd w:val="clear" w:color="auto" w:fill="auto"/>
            <w:hideMark/>
          </w:tcPr>
          <w:p w:rsidR="007507EC" w:rsidRPr="007507EC" w:rsidRDefault="007507EC">
            <w:pPr>
              <w:pStyle w:val="a3"/>
            </w:pPr>
            <w:r w:rsidRPr="007507EC">
              <w:rPr>
                <w:rFonts w:hint="eastAsia"/>
              </w:rPr>
              <w:t xml:space="preserve">同业存单 </w:t>
            </w:r>
          </w:p>
        </w:tc>
        <w:tc>
          <w:tcPr>
            <w:tcW w:w="3705" w:type="dxa"/>
            <w:shd w:val="clear" w:color="auto" w:fill="auto"/>
            <w:hideMark/>
          </w:tcPr>
          <w:p w:rsidR="007507EC" w:rsidRPr="007507EC" w:rsidRDefault="007507EC">
            <w:pPr>
              <w:pStyle w:val="a3"/>
              <w:jc w:val="right"/>
            </w:pPr>
            <w:r w:rsidRPr="007507EC">
              <w:rPr>
                <w:rFonts w:hint="eastAsia"/>
              </w:rPr>
              <w:t xml:space="preserve">145,545,000.00 </w:t>
            </w:r>
          </w:p>
        </w:tc>
        <w:tc>
          <w:tcPr>
            <w:tcW w:w="3705" w:type="dxa"/>
            <w:shd w:val="clear" w:color="auto" w:fill="auto"/>
            <w:hideMark/>
          </w:tcPr>
          <w:p w:rsidR="007507EC" w:rsidRPr="007507EC" w:rsidRDefault="007507EC">
            <w:pPr>
              <w:pStyle w:val="a3"/>
              <w:jc w:val="right"/>
            </w:pPr>
            <w:r w:rsidRPr="007507EC">
              <w:rPr>
                <w:rFonts w:hint="eastAsia"/>
              </w:rPr>
              <w:t xml:space="preserve">1.47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9 </w:t>
            </w:r>
          </w:p>
        </w:tc>
        <w:tc>
          <w:tcPr>
            <w:tcW w:w="2370" w:type="dxa"/>
            <w:shd w:val="clear" w:color="auto" w:fill="auto"/>
            <w:hideMark/>
          </w:tcPr>
          <w:p w:rsidR="007507EC" w:rsidRPr="007507EC" w:rsidRDefault="007507EC">
            <w:pPr>
              <w:pStyle w:val="a3"/>
            </w:pPr>
            <w:r w:rsidRPr="007507EC">
              <w:rPr>
                <w:rFonts w:hint="eastAsia"/>
              </w:rPr>
              <w:t xml:space="preserve">其他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c>
          <w:tcPr>
            <w:tcW w:w="3705"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2139839793"/>
        </w:trPr>
        <w:tc>
          <w:tcPr>
            <w:tcW w:w="825" w:type="dxa"/>
            <w:shd w:val="clear" w:color="auto" w:fill="auto"/>
            <w:hideMark/>
          </w:tcPr>
          <w:p w:rsidR="007507EC" w:rsidRPr="007507EC" w:rsidRDefault="007507EC">
            <w:pPr>
              <w:pStyle w:val="a3"/>
              <w:jc w:val="center"/>
            </w:pPr>
            <w:r w:rsidRPr="007507EC">
              <w:rPr>
                <w:rFonts w:hint="eastAsia"/>
              </w:rPr>
              <w:t xml:space="preserve">10 </w:t>
            </w:r>
          </w:p>
        </w:tc>
        <w:tc>
          <w:tcPr>
            <w:tcW w:w="2370" w:type="dxa"/>
            <w:shd w:val="clear" w:color="auto" w:fill="auto"/>
            <w:hideMark/>
          </w:tcPr>
          <w:p w:rsidR="007507EC" w:rsidRPr="007507EC" w:rsidRDefault="007507EC">
            <w:pPr>
              <w:pStyle w:val="a3"/>
            </w:pPr>
            <w:r w:rsidRPr="007507EC">
              <w:rPr>
                <w:rFonts w:hint="eastAsia"/>
              </w:rPr>
              <w:t xml:space="preserve">合计 </w:t>
            </w:r>
          </w:p>
        </w:tc>
        <w:tc>
          <w:tcPr>
            <w:tcW w:w="3705" w:type="dxa"/>
            <w:shd w:val="clear" w:color="auto" w:fill="auto"/>
            <w:hideMark/>
          </w:tcPr>
          <w:p w:rsidR="007507EC" w:rsidRPr="007507EC" w:rsidRDefault="007507EC">
            <w:pPr>
              <w:pStyle w:val="a3"/>
              <w:jc w:val="right"/>
            </w:pPr>
            <w:r w:rsidRPr="007507EC">
              <w:rPr>
                <w:rFonts w:hint="eastAsia"/>
              </w:rPr>
              <w:t xml:space="preserve">10,312,997,100.00 </w:t>
            </w:r>
          </w:p>
        </w:tc>
        <w:tc>
          <w:tcPr>
            <w:tcW w:w="3705" w:type="dxa"/>
            <w:shd w:val="clear" w:color="auto" w:fill="auto"/>
            <w:hideMark/>
          </w:tcPr>
          <w:p w:rsidR="007507EC" w:rsidRPr="007507EC" w:rsidRDefault="007507EC">
            <w:pPr>
              <w:pStyle w:val="a3"/>
              <w:jc w:val="right"/>
            </w:pPr>
            <w:r w:rsidRPr="007507EC">
              <w:rPr>
                <w:rFonts w:hint="eastAsia"/>
              </w:rPr>
              <w:t xml:space="preserve">104.44 </w:t>
            </w:r>
          </w:p>
        </w:tc>
      </w:tr>
    </w:tbl>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5报告期末按公允价值占基金资产净值比例大小排序的前五名债券投资明细 </w:t>
      </w:r>
    </w:p>
    <w:tbl>
      <w:tblPr>
        <w:tblStyle w:val="a9"/>
        <w:tblW w:w="5000" w:type="pct"/>
        <w:tblLook w:val="04A0" w:firstRow="1" w:lastRow="0" w:firstColumn="1" w:lastColumn="0" w:noHBand="0" w:noVBand="1"/>
      </w:tblPr>
      <w:tblGrid>
        <w:gridCol w:w="613"/>
        <w:gridCol w:w="1363"/>
        <w:gridCol w:w="2243"/>
        <w:gridCol w:w="1418"/>
        <w:gridCol w:w="1943"/>
        <w:gridCol w:w="936"/>
      </w:tblGrid>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序号 </w:t>
            </w:r>
          </w:p>
        </w:tc>
        <w:tc>
          <w:tcPr>
            <w:tcW w:w="1363" w:type="dxa"/>
            <w:shd w:val="clear" w:color="auto" w:fill="auto"/>
            <w:hideMark/>
          </w:tcPr>
          <w:p w:rsidR="007507EC" w:rsidRPr="007507EC" w:rsidRDefault="007507EC">
            <w:pPr>
              <w:pStyle w:val="a3"/>
              <w:jc w:val="center"/>
            </w:pPr>
            <w:r w:rsidRPr="007507EC">
              <w:rPr>
                <w:rFonts w:hint="eastAsia"/>
              </w:rPr>
              <w:t xml:space="preserve">债券代码 </w:t>
            </w:r>
          </w:p>
        </w:tc>
        <w:tc>
          <w:tcPr>
            <w:tcW w:w="2243" w:type="dxa"/>
            <w:shd w:val="clear" w:color="auto" w:fill="auto"/>
            <w:hideMark/>
          </w:tcPr>
          <w:p w:rsidR="007507EC" w:rsidRPr="007507EC" w:rsidRDefault="007507EC">
            <w:pPr>
              <w:pStyle w:val="a3"/>
              <w:jc w:val="center"/>
            </w:pPr>
            <w:r w:rsidRPr="007507EC">
              <w:rPr>
                <w:rFonts w:hint="eastAsia"/>
              </w:rPr>
              <w:t xml:space="preserve">债券名称 </w:t>
            </w:r>
          </w:p>
        </w:tc>
        <w:tc>
          <w:tcPr>
            <w:tcW w:w="1418" w:type="dxa"/>
            <w:shd w:val="clear" w:color="auto" w:fill="auto"/>
            <w:hideMark/>
          </w:tcPr>
          <w:p w:rsidR="007507EC" w:rsidRPr="007507EC" w:rsidRDefault="007507EC">
            <w:pPr>
              <w:pStyle w:val="a3"/>
              <w:jc w:val="center"/>
            </w:pPr>
            <w:r w:rsidRPr="007507EC">
              <w:rPr>
                <w:rFonts w:hint="eastAsia"/>
              </w:rPr>
              <w:t xml:space="preserve">数量（张） </w:t>
            </w:r>
          </w:p>
        </w:tc>
        <w:tc>
          <w:tcPr>
            <w:tcW w:w="1943" w:type="dxa"/>
            <w:shd w:val="clear" w:color="auto" w:fill="auto"/>
            <w:hideMark/>
          </w:tcPr>
          <w:p w:rsidR="007507EC" w:rsidRPr="007507EC" w:rsidRDefault="007507EC">
            <w:pPr>
              <w:pStyle w:val="a3"/>
              <w:jc w:val="center"/>
            </w:pPr>
            <w:r w:rsidRPr="007507EC">
              <w:rPr>
                <w:rFonts w:hint="eastAsia"/>
              </w:rPr>
              <w:t xml:space="preserve">公允价值(元) </w:t>
            </w:r>
          </w:p>
        </w:tc>
        <w:tc>
          <w:tcPr>
            <w:tcW w:w="936" w:type="dxa"/>
            <w:shd w:val="clear" w:color="auto" w:fill="auto"/>
            <w:hideMark/>
          </w:tcPr>
          <w:p w:rsidR="007507EC" w:rsidRPr="007507EC" w:rsidRDefault="007507EC">
            <w:pPr>
              <w:pStyle w:val="a3"/>
              <w:jc w:val="center"/>
            </w:pPr>
            <w:r w:rsidRPr="007507EC">
              <w:rPr>
                <w:rFonts w:hint="eastAsia"/>
              </w:rPr>
              <w:t xml:space="preserve">占基金资产净值比例（％） </w:t>
            </w:r>
          </w:p>
        </w:tc>
      </w:tr>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1 </w:t>
            </w:r>
          </w:p>
        </w:tc>
        <w:tc>
          <w:tcPr>
            <w:tcW w:w="1363" w:type="dxa"/>
            <w:shd w:val="clear" w:color="auto" w:fill="auto"/>
            <w:hideMark/>
          </w:tcPr>
          <w:p w:rsidR="007507EC" w:rsidRPr="007507EC" w:rsidRDefault="007507EC">
            <w:pPr>
              <w:pStyle w:val="a3"/>
              <w:jc w:val="center"/>
            </w:pPr>
            <w:r w:rsidRPr="007507EC">
              <w:rPr>
                <w:rFonts w:hint="eastAsia"/>
              </w:rPr>
              <w:t xml:space="preserve">200304 </w:t>
            </w:r>
          </w:p>
        </w:tc>
        <w:tc>
          <w:tcPr>
            <w:tcW w:w="2243" w:type="dxa"/>
            <w:shd w:val="clear" w:color="auto" w:fill="auto"/>
            <w:hideMark/>
          </w:tcPr>
          <w:p w:rsidR="007507EC" w:rsidRPr="007507EC" w:rsidRDefault="007507EC">
            <w:pPr>
              <w:pStyle w:val="a3"/>
              <w:jc w:val="center"/>
            </w:pPr>
            <w:r w:rsidRPr="007507EC">
              <w:rPr>
                <w:rFonts w:hint="eastAsia"/>
              </w:rPr>
              <w:t xml:space="preserve">20进出04 </w:t>
            </w:r>
          </w:p>
        </w:tc>
        <w:tc>
          <w:tcPr>
            <w:tcW w:w="1418" w:type="dxa"/>
            <w:shd w:val="clear" w:color="auto" w:fill="auto"/>
            <w:hideMark/>
          </w:tcPr>
          <w:p w:rsidR="007507EC" w:rsidRPr="007507EC" w:rsidRDefault="007507EC">
            <w:pPr>
              <w:pStyle w:val="a3"/>
              <w:jc w:val="right"/>
            </w:pPr>
            <w:r w:rsidRPr="007507EC">
              <w:rPr>
                <w:rFonts w:hint="eastAsia"/>
              </w:rPr>
              <w:t xml:space="preserve">1,500,000 </w:t>
            </w:r>
          </w:p>
        </w:tc>
        <w:tc>
          <w:tcPr>
            <w:tcW w:w="1943" w:type="dxa"/>
            <w:shd w:val="clear" w:color="auto" w:fill="auto"/>
            <w:hideMark/>
          </w:tcPr>
          <w:p w:rsidR="007507EC" w:rsidRPr="007507EC" w:rsidRDefault="007507EC">
            <w:pPr>
              <w:pStyle w:val="a3"/>
              <w:jc w:val="right"/>
            </w:pPr>
            <w:r w:rsidRPr="007507EC">
              <w:rPr>
                <w:rFonts w:hint="eastAsia"/>
              </w:rPr>
              <w:t xml:space="preserve">149,745,000.00 </w:t>
            </w:r>
          </w:p>
        </w:tc>
        <w:tc>
          <w:tcPr>
            <w:tcW w:w="936" w:type="dxa"/>
            <w:shd w:val="clear" w:color="auto" w:fill="auto"/>
            <w:hideMark/>
          </w:tcPr>
          <w:p w:rsidR="007507EC" w:rsidRPr="007507EC" w:rsidRDefault="007507EC">
            <w:pPr>
              <w:pStyle w:val="a3"/>
              <w:jc w:val="right"/>
            </w:pPr>
            <w:r w:rsidRPr="007507EC">
              <w:rPr>
                <w:rFonts w:hint="eastAsia"/>
              </w:rPr>
              <w:t xml:space="preserve">1.52 </w:t>
            </w:r>
          </w:p>
        </w:tc>
      </w:tr>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2 </w:t>
            </w:r>
          </w:p>
        </w:tc>
        <w:tc>
          <w:tcPr>
            <w:tcW w:w="1363" w:type="dxa"/>
            <w:shd w:val="clear" w:color="auto" w:fill="auto"/>
            <w:hideMark/>
          </w:tcPr>
          <w:p w:rsidR="007507EC" w:rsidRPr="007507EC" w:rsidRDefault="007507EC">
            <w:pPr>
              <w:pStyle w:val="a3"/>
              <w:jc w:val="center"/>
            </w:pPr>
            <w:r w:rsidRPr="007507EC">
              <w:rPr>
                <w:rFonts w:hint="eastAsia"/>
              </w:rPr>
              <w:t xml:space="preserve">101800742 </w:t>
            </w:r>
          </w:p>
        </w:tc>
        <w:tc>
          <w:tcPr>
            <w:tcW w:w="2243" w:type="dxa"/>
            <w:shd w:val="clear" w:color="auto" w:fill="auto"/>
            <w:hideMark/>
          </w:tcPr>
          <w:p w:rsidR="007507EC" w:rsidRPr="007507EC" w:rsidRDefault="007507EC">
            <w:pPr>
              <w:pStyle w:val="a3"/>
              <w:jc w:val="center"/>
            </w:pPr>
            <w:r w:rsidRPr="007507EC">
              <w:rPr>
                <w:rFonts w:hint="eastAsia"/>
              </w:rPr>
              <w:t xml:space="preserve">18平安不动MTN001 </w:t>
            </w:r>
          </w:p>
        </w:tc>
        <w:tc>
          <w:tcPr>
            <w:tcW w:w="1418" w:type="dxa"/>
            <w:shd w:val="clear" w:color="auto" w:fill="auto"/>
            <w:hideMark/>
          </w:tcPr>
          <w:p w:rsidR="007507EC" w:rsidRPr="007507EC" w:rsidRDefault="007507EC">
            <w:pPr>
              <w:pStyle w:val="a3"/>
              <w:jc w:val="right"/>
            </w:pPr>
            <w:r w:rsidRPr="007507EC">
              <w:rPr>
                <w:rFonts w:hint="eastAsia"/>
              </w:rPr>
              <w:t xml:space="preserve">1,300,000 </w:t>
            </w:r>
          </w:p>
        </w:tc>
        <w:tc>
          <w:tcPr>
            <w:tcW w:w="1943" w:type="dxa"/>
            <w:shd w:val="clear" w:color="auto" w:fill="auto"/>
            <w:hideMark/>
          </w:tcPr>
          <w:p w:rsidR="007507EC" w:rsidRPr="007507EC" w:rsidRDefault="007507EC">
            <w:pPr>
              <w:pStyle w:val="a3"/>
              <w:jc w:val="right"/>
            </w:pPr>
            <w:r w:rsidRPr="007507EC">
              <w:rPr>
                <w:rFonts w:hint="eastAsia"/>
              </w:rPr>
              <w:t xml:space="preserve">133,965,000.00 </w:t>
            </w:r>
          </w:p>
        </w:tc>
        <w:tc>
          <w:tcPr>
            <w:tcW w:w="936" w:type="dxa"/>
            <w:shd w:val="clear" w:color="auto" w:fill="auto"/>
            <w:hideMark/>
          </w:tcPr>
          <w:p w:rsidR="007507EC" w:rsidRPr="007507EC" w:rsidRDefault="007507EC">
            <w:pPr>
              <w:pStyle w:val="a3"/>
              <w:jc w:val="right"/>
            </w:pPr>
            <w:r w:rsidRPr="007507EC">
              <w:rPr>
                <w:rFonts w:hint="eastAsia"/>
              </w:rPr>
              <w:t xml:space="preserve">1.36 </w:t>
            </w:r>
          </w:p>
        </w:tc>
      </w:tr>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3 </w:t>
            </w:r>
          </w:p>
        </w:tc>
        <w:tc>
          <w:tcPr>
            <w:tcW w:w="1363" w:type="dxa"/>
            <w:shd w:val="clear" w:color="auto" w:fill="auto"/>
            <w:hideMark/>
          </w:tcPr>
          <w:p w:rsidR="007507EC" w:rsidRPr="007507EC" w:rsidRDefault="007507EC">
            <w:pPr>
              <w:pStyle w:val="a3"/>
              <w:jc w:val="center"/>
            </w:pPr>
            <w:r w:rsidRPr="007507EC">
              <w:rPr>
                <w:rFonts w:hint="eastAsia"/>
              </w:rPr>
              <w:t xml:space="preserve">180208 </w:t>
            </w:r>
          </w:p>
        </w:tc>
        <w:tc>
          <w:tcPr>
            <w:tcW w:w="2243" w:type="dxa"/>
            <w:shd w:val="clear" w:color="auto" w:fill="auto"/>
            <w:hideMark/>
          </w:tcPr>
          <w:p w:rsidR="007507EC" w:rsidRPr="007507EC" w:rsidRDefault="007507EC">
            <w:pPr>
              <w:pStyle w:val="a3"/>
              <w:jc w:val="center"/>
            </w:pPr>
            <w:r w:rsidRPr="007507EC">
              <w:rPr>
                <w:rFonts w:hint="eastAsia"/>
              </w:rPr>
              <w:t xml:space="preserve">18国开08 </w:t>
            </w:r>
          </w:p>
        </w:tc>
        <w:tc>
          <w:tcPr>
            <w:tcW w:w="1418" w:type="dxa"/>
            <w:shd w:val="clear" w:color="auto" w:fill="auto"/>
            <w:hideMark/>
          </w:tcPr>
          <w:p w:rsidR="007507EC" w:rsidRPr="007507EC" w:rsidRDefault="007507EC">
            <w:pPr>
              <w:pStyle w:val="a3"/>
              <w:jc w:val="right"/>
            </w:pPr>
            <w:r w:rsidRPr="007507EC">
              <w:rPr>
                <w:rFonts w:hint="eastAsia"/>
              </w:rPr>
              <w:t xml:space="preserve">1,300,000 </w:t>
            </w:r>
          </w:p>
        </w:tc>
        <w:tc>
          <w:tcPr>
            <w:tcW w:w="1943" w:type="dxa"/>
            <w:shd w:val="clear" w:color="auto" w:fill="auto"/>
            <w:hideMark/>
          </w:tcPr>
          <w:p w:rsidR="007507EC" w:rsidRPr="007507EC" w:rsidRDefault="007507EC">
            <w:pPr>
              <w:pStyle w:val="a3"/>
              <w:jc w:val="right"/>
            </w:pPr>
            <w:r w:rsidRPr="007507EC">
              <w:rPr>
                <w:rFonts w:hint="eastAsia"/>
              </w:rPr>
              <w:t xml:space="preserve">131,963,000.00 </w:t>
            </w:r>
          </w:p>
        </w:tc>
        <w:tc>
          <w:tcPr>
            <w:tcW w:w="936" w:type="dxa"/>
            <w:shd w:val="clear" w:color="auto" w:fill="auto"/>
            <w:hideMark/>
          </w:tcPr>
          <w:p w:rsidR="007507EC" w:rsidRPr="007507EC" w:rsidRDefault="007507EC">
            <w:pPr>
              <w:pStyle w:val="a3"/>
              <w:jc w:val="right"/>
            </w:pPr>
            <w:r w:rsidRPr="007507EC">
              <w:rPr>
                <w:rFonts w:hint="eastAsia"/>
              </w:rPr>
              <w:t xml:space="preserve">1.34 </w:t>
            </w:r>
          </w:p>
        </w:tc>
      </w:tr>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4 </w:t>
            </w:r>
          </w:p>
        </w:tc>
        <w:tc>
          <w:tcPr>
            <w:tcW w:w="1363" w:type="dxa"/>
            <w:shd w:val="clear" w:color="auto" w:fill="auto"/>
            <w:hideMark/>
          </w:tcPr>
          <w:p w:rsidR="007507EC" w:rsidRPr="007507EC" w:rsidRDefault="007507EC">
            <w:pPr>
              <w:pStyle w:val="a3"/>
              <w:jc w:val="center"/>
            </w:pPr>
            <w:r w:rsidRPr="007507EC">
              <w:rPr>
                <w:rFonts w:hint="eastAsia"/>
              </w:rPr>
              <w:t xml:space="preserve">160206 </w:t>
            </w:r>
          </w:p>
        </w:tc>
        <w:tc>
          <w:tcPr>
            <w:tcW w:w="2243" w:type="dxa"/>
            <w:shd w:val="clear" w:color="auto" w:fill="auto"/>
            <w:hideMark/>
          </w:tcPr>
          <w:p w:rsidR="007507EC" w:rsidRPr="007507EC" w:rsidRDefault="007507EC">
            <w:pPr>
              <w:pStyle w:val="a3"/>
              <w:jc w:val="center"/>
            </w:pPr>
            <w:r w:rsidRPr="007507EC">
              <w:rPr>
                <w:rFonts w:hint="eastAsia"/>
              </w:rPr>
              <w:t xml:space="preserve">16国开06 </w:t>
            </w:r>
          </w:p>
        </w:tc>
        <w:tc>
          <w:tcPr>
            <w:tcW w:w="1418" w:type="dxa"/>
            <w:shd w:val="clear" w:color="auto" w:fill="auto"/>
            <w:hideMark/>
          </w:tcPr>
          <w:p w:rsidR="007507EC" w:rsidRPr="007507EC" w:rsidRDefault="007507EC">
            <w:pPr>
              <w:pStyle w:val="a3"/>
              <w:jc w:val="right"/>
            </w:pPr>
            <w:r w:rsidRPr="007507EC">
              <w:rPr>
                <w:rFonts w:hint="eastAsia"/>
              </w:rPr>
              <w:t xml:space="preserve">1,300,000 </w:t>
            </w:r>
          </w:p>
        </w:tc>
        <w:tc>
          <w:tcPr>
            <w:tcW w:w="1943" w:type="dxa"/>
            <w:shd w:val="clear" w:color="auto" w:fill="auto"/>
            <w:hideMark/>
          </w:tcPr>
          <w:p w:rsidR="007507EC" w:rsidRPr="007507EC" w:rsidRDefault="007507EC">
            <w:pPr>
              <w:pStyle w:val="a3"/>
              <w:jc w:val="right"/>
            </w:pPr>
            <w:r w:rsidRPr="007507EC">
              <w:rPr>
                <w:rFonts w:hint="eastAsia"/>
              </w:rPr>
              <w:t xml:space="preserve">130,637,000.00 </w:t>
            </w:r>
          </w:p>
        </w:tc>
        <w:tc>
          <w:tcPr>
            <w:tcW w:w="936" w:type="dxa"/>
            <w:shd w:val="clear" w:color="auto" w:fill="auto"/>
            <w:hideMark/>
          </w:tcPr>
          <w:p w:rsidR="007507EC" w:rsidRPr="007507EC" w:rsidRDefault="007507EC">
            <w:pPr>
              <w:pStyle w:val="a3"/>
              <w:jc w:val="right"/>
            </w:pPr>
            <w:r w:rsidRPr="007507EC">
              <w:rPr>
                <w:rFonts w:hint="eastAsia"/>
              </w:rPr>
              <w:t xml:space="preserve">1.32 </w:t>
            </w:r>
          </w:p>
        </w:tc>
      </w:tr>
      <w:tr w:rsidR="007507EC" w:rsidRPr="007507EC" w:rsidTr="003D6DF4">
        <w:trPr>
          <w:divId w:val="454451108"/>
        </w:trPr>
        <w:tc>
          <w:tcPr>
            <w:tcW w:w="613" w:type="dxa"/>
            <w:shd w:val="clear" w:color="auto" w:fill="auto"/>
            <w:hideMark/>
          </w:tcPr>
          <w:p w:rsidR="007507EC" w:rsidRPr="007507EC" w:rsidRDefault="007507EC">
            <w:pPr>
              <w:pStyle w:val="a3"/>
              <w:jc w:val="center"/>
            </w:pPr>
            <w:r w:rsidRPr="007507EC">
              <w:rPr>
                <w:rFonts w:hint="eastAsia"/>
              </w:rPr>
              <w:t xml:space="preserve">5 </w:t>
            </w:r>
          </w:p>
        </w:tc>
        <w:tc>
          <w:tcPr>
            <w:tcW w:w="1363" w:type="dxa"/>
            <w:shd w:val="clear" w:color="auto" w:fill="auto"/>
            <w:hideMark/>
          </w:tcPr>
          <w:p w:rsidR="007507EC" w:rsidRPr="007507EC" w:rsidRDefault="007507EC">
            <w:pPr>
              <w:pStyle w:val="a3"/>
              <w:jc w:val="center"/>
            </w:pPr>
            <w:r w:rsidRPr="007507EC">
              <w:rPr>
                <w:rFonts w:hint="eastAsia"/>
              </w:rPr>
              <w:t xml:space="preserve">200201 </w:t>
            </w:r>
          </w:p>
        </w:tc>
        <w:tc>
          <w:tcPr>
            <w:tcW w:w="2243" w:type="dxa"/>
            <w:shd w:val="clear" w:color="auto" w:fill="auto"/>
            <w:hideMark/>
          </w:tcPr>
          <w:p w:rsidR="007507EC" w:rsidRPr="007507EC" w:rsidRDefault="007507EC">
            <w:pPr>
              <w:pStyle w:val="a3"/>
              <w:jc w:val="center"/>
            </w:pPr>
            <w:r w:rsidRPr="007507EC">
              <w:rPr>
                <w:rFonts w:hint="eastAsia"/>
              </w:rPr>
              <w:t xml:space="preserve">20国开01 </w:t>
            </w:r>
          </w:p>
        </w:tc>
        <w:tc>
          <w:tcPr>
            <w:tcW w:w="1418" w:type="dxa"/>
            <w:shd w:val="clear" w:color="auto" w:fill="auto"/>
            <w:hideMark/>
          </w:tcPr>
          <w:p w:rsidR="007507EC" w:rsidRPr="007507EC" w:rsidRDefault="007507EC">
            <w:pPr>
              <w:pStyle w:val="a3"/>
              <w:jc w:val="right"/>
            </w:pPr>
            <w:r w:rsidRPr="007507EC">
              <w:rPr>
                <w:rFonts w:hint="eastAsia"/>
              </w:rPr>
              <w:t xml:space="preserve">1,300,000 </w:t>
            </w:r>
          </w:p>
        </w:tc>
        <w:tc>
          <w:tcPr>
            <w:tcW w:w="1943" w:type="dxa"/>
            <w:shd w:val="clear" w:color="auto" w:fill="auto"/>
            <w:hideMark/>
          </w:tcPr>
          <w:p w:rsidR="007507EC" w:rsidRPr="007507EC" w:rsidRDefault="007507EC">
            <w:pPr>
              <w:pStyle w:val="a3"/>
              <w:jc w:val="right"/>
            </w:pPr>
            <w:r w:rsidRPr="007507EC">
              <w:rPr>
                <w:rFonts w:hint="eastAsia"/>
              </w:rPr>
              <w:t xml:space="preserve">130,182,000.00 </w:t>
            </w:r>
          </w:p>
        </w:tc>
        <w:tc>
          <w:tcPr>
            <w:tcW w:w="936" w:type="dxa"/>
            <w:shd w:val="clear" w:color="auto" w:fill="auto"/>
            <w:hideMark/>
          </w:tcPr>
          <w:p w:rsidR="007507EC" w:rsidRPr="007507EC" w:rsidRDefault="007507EC">
            <w:pPr>
              <w:pStyle w:val="a3"/>
              <w:jc w:val="right"/>
            </w:pPr>
            <w:r w:rsidRPr="007507EC">
              <w:rPr>
                <w:rFonts w:hint="eastAsia"/>
              </w:rPr>
              <w:t xml:space="preserve">1.32 </w:t>
            </w:r>
          </w:p>
        </w:tc>
      </w:tr>
    </w:tbl>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6报告期末按公允价值占基金资产净值比例大小排序的前十名资产支持证券投资明细 </w:t>
      </w:r>
    </w:p>
    <w:tbl>
      <w:tblPr>
        <w:tblStyle w:val="a9"/>
        <w:tblW w:w="5000" w:type="pct"/>
        <w:tblLook w:val="04A0" w:firstRow="1" w:lastRow="0" w:firstColumn="1" w:lastColumn="0" w:noHBand="0" w:noVBand="1"/>
      </w:tblPr>
      <w:tblGrid>
        <w:gridCol w:w="622"/>
        <w:gridCol w:w="1247"/>
        <w:gridCol w:w="1280"/>
        <w:gridCol w:w="1550"/>
        <w:gridCol w:w="1869"/>
        <w:gridCol w:w="1948"/>
      </w:tblGrid>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lastRenderedPageBreak/>
              <w:t xml:space="preserve">序号 </w:t>
            </w:r>
          </w:p>
        </w:tc>
        <w:tc>
          <w:tcPr>
            <w:tcW w:w="1515" w:type="dxa"/>
            <w:shd w:val="clear" w:color="auto" w:fill="auto"/>
            <w:hideMark/>
          </w:tcPr>
          <w:p w:rsidR="007507EC" w:rsidRPr="007507EC" w:rsidRDefault="007507EC">
            <w:pPr>
              <w:pStyle w:val="a3"/>
              <w:jc w:val="center"/>
            </w:pPr>
            <w:r w:rsidRPr="007507EC">
              <w:rPr>
                <w:rFonts w:hint="eastAsia"/>
              </w:rPr>
              <w:t xml:space="preserve">证券代码 </w:t>
            </w:r>
          </w:p>
        </w:tc>
        <w:tc>
          <w:tcPr>
            <w:tcW w:w="1785" w:type="dxa"/>
            <w:shd w:val="clear" w:color="auto" w:fill="auto"/>
            <w:hideMark/>
          </w:tcPr>
          <w:p w:rsidR="007507EC" w:rsidRPr="007507EC" w:rsidRDefault="007507EC">
            <w:pPr>
              <w:pStyle w:val="a3"/>
              <w:jc w:val="center"/>
            </w:pPr>
            <w:r w:rsidRPr="007507EC">
              <w:rPr>
                <w:rFonts w:hint="eastAsia"/>
              </w:rPr>
              <w:t xml:space="preserve">证券名称 </w:t>
            </w:r>
          </w:p>
        </w:tc>
        <w:tc>
          <w:tcPr>
            <w:tcW w:w="1665" w:type="dxa"/>
            <w:shd w:val="clear" w:color="auto" w:fill="auto"/>
            <w:hideMark/>
          </w:tcPr>
          <w:p w:rsidR="007507EC" w:rsidRPr="007507EC" w:rsidRDefault="007507EC">
            <w:pPr>
              <w:pStyle w:val="a3"/>
              <w:jc w:val="center"/>
            </w:pPr>
            <w:r w:rsidRPr="007507EC">
              <w:rPr>
                <w:rFonts w:hint="eastAsia"/>
              </w:rPr>
              <w:t xml:space="preserve">数量(张) </w:t>
            </w:r>
          </w:p>
        </w:tc>
        <w:tc>
          <w:tcPr>
            <w:tcW w:w="1950" w:type="dxa"/>
            <w:shd w:val="clear" w:color="auto" w:fill="auto"/>
            <w:hideMark/>
          </w:tcPr>
          <w:p w:rsidR="007507EC" w:rsidRPr="007507EC" w:rsidRDefault="007507EC">
            <w:pPr>
              <w:pStyle w:val="a3"/>
              <w:jc w:val="center"/>
            </w:pPr>
            <w:r w:rsidRPr="007507EC">
              <w:rPr>
                <w:rFonts w:hint="eastAsia"/>
              </w:rPr>
              <w:t xml:space="preserve">公允价值(元) </w:t>
            </w:r>
          </w:p>
        </w:tc>
        <w:tc>
          <w:tcPr>
            <w:tcW w:w="2925" w:type="dxa"/>
            <w:shd w:val="clear" w:color="auto" w:fill="auto"/>
            <w:hideMark/>
          </w:tcPr>
          <w:p w:rsidR="007507EC" w:rsidRPr="007507EC" w:rsidRDefault="007507EC">
            <w:pPr>
              <w:pStyle w:val="a3"/>
              <w:jc w:val="center"/>
            </w:pPr>
            <w:r w:rsidRPr="007507EC">
              <w:rPr>
                <w:rFonts w:hint="eastAsia"/>
              </w:rPr>
              <w:t xml:space="preserve">占基金资产净值比（%）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1 </w:t>
            </w:r>
          </w:p>
        </w:tc>
        <w:tc>
          <w:tcPr>
            <w:tcW w:w="1515" w:type="dxa"/>
            <w:shd w:val="clear" w:color="auto" w:fill="auto"/>
            <w:hideMark/>
          </w:tcPr>
          <w:p w:rsidR="007507EC" w:rsidRPr="007507EC" w:rsidRDefault="007507EC">
            <w:pPr>
              <w:pStyle w:val="a3"/>
              <w:jc w:val="center"/>
            </w:pPr>
            <w:r w:rsidRPr="007507EC">
              <w:rPr>
                <w:rFonts w:hint="eastAsia"/>
              </w:rPr>
              <w:t xml:space="preserve">138391 </w:t>
            </w:r>
          </w:p>
        </w:tc>
        <w:tc>
          <w:tcPr>
            <w:tcW w:w="1785" w:type="dxa"/>
            <w:shd w:val="clear" w:color="auto" w:fill="auto"/>
            <w:hideMark/>
          </w:tcPr>
          <w:p w:rsidR="007507EC" w:rsidRPr="007507EC" w:rsidRDefault="007507EC">
            <w:pPr>
              <w:pStyle w:val="a3"/>
              <w:jc w:val="center"/>
            </w:pPr>
            <w:r w:rsidRPr="007507EC">
              <w:rPr>
                <w:rFonts w:hint="eastAsia"/>
              </w:rPr>
              <w:t xml:space="preserve">海诺1A1 </w:t>
            </w:r>
          </w:p>
        </w:tc>
        <w:tc>
          <w:tcPr>
            <w:tcW w:w="1665" w:type="dxa"/>
            <w:shd w:val="clear" w:color="auto" w:fill="auto"/>
            <w:hideMark/>
          </w:tcPr>
          <w:p w:rsidR="007507EC" w:rsidRPr="007507EC" w:rsidRDefault="007507EC">
            <w:pPr>
              <w:pStyle w:val="a3"/>
              <w:jc w:val="right"/>
            </w:pPr>
            <w:r w:rsidRPr="007507EC">
              <w:rPr>
                <w:rFonts w:hint="eastAsia"/>
              </w:rPr>
              <w:t xml:space="preserve">610,000.00 </w:t>
            </w:r>
          </w:p>
        </w:tc>
        <w:tc>
          <w:tcPr>
            <w:tcW w:w="1950" w:type="dxa"/>
            <w:shd w:val="clear" w:color="auto" w:fill="auto"/>
            <w:hideMark/>
          </w:tcPr>
          <w:p w:rsidR="007507EC" w:rsidRPr="007507EC" w:rsidRDefault="007507EC">
            <w:pPr>
              <w:pStyle w:val="a3"/>
              <w:jc w:val="right"/>
            </w:pPr>
            <w:r w:rsidRPr="007507EC">
              <w:rPr>
                <w:rFonts w:hint="eastAsia"/>
              </w:rPr>
              <w:t xml:space="preserve">61,311,100.00 </w:t>
            </w:r>
          </w:p>
        </w:tc>
        <w:tc>
          <w:tcPr>
            <w:tcW w:w="2925" w:type="dxa"/>
            <w:shd w:val="clear" w:color="auto" w:fill="auto"/>
            <w:hideMark/>
          </w:tcPr>
          <w:p w:rsidR="007507EC" w:rsidRPr="007507EC" w:rsidRDefault="007507EC">
            <w:pPr>
              <w:pStyle w:val="a3"/>
              <w:jc w:val="right"/>
            </w:pPr>
            <w:r w:rsidRPr="007507EC">
              <w:rPr>
                <w:rFonts w:hint="eastAsia"/>
              </w:rPr>
              <w:t xml:space="preserve">0.62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2 </w:t>
            </w:r>
          </w:p>
        </w:tc>
        <w:tc>
          <w:tcPr>
            <w:tcW w:w="1515" w:type="dxa"/>
            <w:shd w:val="clear" w:color="auto" w:fill="auto"/>
            <w:hideMark/>
          </w:tcPr>
          <w:p w:rsidR="007507EC" w:rsidRPr="007507EC" w:rsidRDefault="007507EC">
            <w:pPr>
              <w:pStyle w:val="a3"/>
              <w:jc w:val="center"/>
            </w:pPr>
            <w:r w:rsidRPr="007507EC">
              <w:rPr>
                <w:rFonts w:hint="eastAsia"/>
              </w:rPr>
              <w:t xml:space="preserve">138408 </w:t>
            </w:r>
          </w:p>
        </w:tc>
        <w:tc>
          <w:tcPr>
            <w:tcW w:w="1785" w:type="dxa"/>
            <w:shd w:val="clear" w:color="auto" w:fill="auto"/>
            <w:hideMark/>
          </w:tcPr>
          <w:p w:rsidR="007507EC" w:rsidRPr="007507EC" w:rsidRDefault="007507EC">
            <w:pPr>
              <w:pStyle w:val="a3"/>
              <w:jc w:val="center"/>
            </w:pPr>
            <w:r w:rsidRPr="007507EC">
              <w:rPr>
                <w:rFonts w:hint="eastAsia"/>
              </w:rPr>
              <w:t xml:space="preserve">元熹2优1 </w:t>
            </w:r>
          </w:p>
        </w:tc>
        <w:tc>
          <w:tcPr>
            <w:tcW w:w="1665" w:type="dxa"/>
            <w:shd w:val="clear" w:color="auto" w:fill="auto"/>
            <w:hideMark/>
          </w:tcPr>
          <w:p w:rsidR="007507EC" w:rsidRPr="007507EC" w:rsidRDefault="007507EC">
            <w:pPr>
              <w:pStyle w:val="a3"/>
              <w:jc w:val="right"/>
            </w:pPr>
            <w:r w:rsidRPr="007507EC">
              <w:rPr>
                <w:rFonts w:hint="eastAsia"/>
              </w:rPr>
              <w:t xml:space="preserve">435,000.00 </w:t>
            </w:r>
          </w:p>
        </w:tc>
        <w:tc>
          <w:tcPr>
            <w:tcW w:w="1950" w:type="dxa"/>
            <w:shd w:val="clear" w:color="auto" w:fill="auto"/>
            <w:hideMark/>
          </w:tcPr>
          <w:p w:rsidR="007507EC" w:rsidRPr="007507EC" w:rsidRDefault="007507EC">
            <w:pPr>
              <w:pStyle w:val="a3"/>
              <w:jc w:val="right"/>
            </w:pPr>
            <w:r w:rsidRPr="007507EC">
              <w:rPr>
                <w:rFonts w:hint="eastAsia"/>
              </w:rPr>
              <w:t xml:space="preserve">43,726,200.00 </w:t>
            </w:r>
          </w:p>
        </w:tc>
        <w:tc>
          <w:tcPr>
            <w:tcW w:w="2925" w:type="dxa"/>
            <w:shd w:val="clear" w:color="auto" w:fill="auto"/>
            <w:hideMark/>
          </w:tcPr>
          <w:p w:rsidR="007507EC" w:rsidRPr="007507EC" w:rsidRDefault="007507EC">
            <w:pPr>
              <w:pStyle w:val="a3"/>
              <w:jc w:val="right"/>
            </w:pPr>
            <w:r w:rsidRPr="007507EC">
              <w:rPr>
                <w:rFonts w:hint="eastAsia"/>
              </w:rPr>
              <w:t xml:space="preserve">0.44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3 </w:t>
            </w:r>
          </w:p>
        </w:tc>
        <w:tc>
          <w:tcPr>
            <w:tcW w:w="1515" w:type="dxa"/>
            <w:shd w:val="clear" w:color="auto" w:fill="auto"/>
            <w:hideMark/>
          </w:tcPr>
          <w:p w:rsidR="007507EC" w:rsidRPr="007507EC" w:rsidRDefault="007507EC">
            <w:pPr>
              <w:pStyle w:val="a3"/>
              <w:jc w:val="center"/>
            </w:pPr>
            <w:r w:rsidRPr="007507EC">
              <w:rPr>
                <w:rFonts w:hint="eastAsia"/>
              </w:rPr>
              <w:t xml:space="preserve">138512 </w:t>
            </w:r>
          </w:p>
        </w:tc>
        <w:tc>
          <w:tcPr>
            <w:tcW w:w="1785" w:type="dxa"/>
            <w:shd w:val="clear" w:color="auto" w:fill="auto"/>
            <w:hideMark/>
          </w:tcPr>
          <w:p w:rsidR="007507EC" w:rsidRPr="007507EC" w:rsidRDefault="007507EC">
            <w:pPr>
              <w:pStyle w:val="a3"/>
              <w:jc w:val="center"/>
            </w:pPr>
            <w:r w:rsidRPr="007507EC">
              <w:rPr>
                <w:rFonts w:hint="eastAsia"/>
              </w:rPr>
              <w:t xml:space="preserve">奥发07优 </w:t>
            </w:r>
          </w:p>
        </w:tc>
        <w:tc>
          <w:tcPr>
            <w:tcW w:w="1665" w:type="dxa"/>
            <w:shd w:val="clear" w:color="auto" w:fill="auto"/>
            <w:hideMark/>
          </w:tcPr>
          <w:p w:rsidR="007507EC" w:rsidRPr="007507EC" w:rsidRDefault="007507EC">
            <w:pPr>
              <w:pStyle w:val="a3"/>
              <w:jc w:val="right"/>
            </w:pPr>
            <w:r w:rsidRPr="007507EC">
              <w:rPr>
                <w:rFonts w:hint="eastAsia"/>
              </w:rPr>
              <w:t xml:space="preserve">350,000.00 </w:t>
            </w:r>
          </w:p>
        </w:tc>
        <w:tc>
          <w:tcPr>
            <w:tcW w:w="1950" w:type="dxa"/>
            <w:shd w:val="clear" w:color="auto" w:fill="auto"/>
            <w:hideMark/>
          </w:tcPr>
          <w:p w:rsidR="007507EC" w:rsidRPr="007507EC" w:rsidRDefault="007507EC">
            <w:pPr>
              <w:pStyle w:val="a3"/>
              <w:jc w:val="right"/>
            </w:pPr>
            <w:r w:rsidRPr="007507EC">
              <w:rPr>
                <w:rFonts w:hint="eastAsia"/>
              </w:rPr>
              <w:t xml:space="preserve">35,108,500.00 </w:t>
            </w:r>
          </w:p>
        </w:tc>
        <w:tc>
          <w:tcPr>
            <w:tcW w:w="2925" w:type="dxa"/>
            <w:shd w:val="clear" w:color="auto" w:fill="auto"/>
            <w:hideMark/>
          </w:tcPr>
          <w:p w:rsidR="007507EC" w:rsidRPr="007507EC" w:rsidRDefault="007507EC">
            <w:pPr>
              <w:pStyle w:val="a3"/>
              <w:jc w:val="right"/>
            </w:pPr>
            <w:r w:rsidRPr="007507EC">
              <w:rPr>
                <w:rFonts w:hint="eastAsia"/>
              </w:rPr>
              <w:t xml:space="preserve">0.36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4 </w:t>
            </w:r>
          </w:p>
        </w:tc>
        <w:tc>
          <w:tcPr>
            <w:tcW w:w="1515" w:type="dxa"/>
            <w:shd w:val="clear" w:color="auto" w:fill="auto"/>
            <w:hideMark/>
          </w:tcPr>
          <w:p w:rsidR="007507EC" w:rsidRPr="007507EC" w:rsidRDefault="007507EC">
            <w:pPr>
              <w:pStyle w:val="a3"/>
              <w:jc w:val="center"/>
            </w:pPr>
            <w:r w:rsidRPr="007507EC">
              <w:rPr>
                <w:rFonts w:hint="eastAsia"/>
              </w:rPr>
              <w:t xml:space="preserve">165806 </w:t>
            </w:r>
          </w:p>
        </w:tc>
        <w:tc>
          <w:tcPr>
            <w:tcW w:w="1785" w:type="dxa"/>
            <w:shd w:val="clear" w:color="auto" w:fill="auto"/>
            <w:hideMark/>
          </w:tcPr>
          <w:p w:rsidR="007507EC" w:rsidRPr="007507EC" w:rsidRDefault="007507EC">
            <w:pPr>
              <w:pStyle w:val="a3"/>
              <w:jc w:val="center"/>
            </w:pPr>
            <w:r w:rsidRPr="007507EC">
              <w:rPr>
                <w:rFonts w:hint="eastAsia"/>
              </w:rPr>
              <w:t xml:space="preserve">赤兔02优 </w:t>
            </w:r>
          </w:p>
        </w:tc>
        <w:tc>
          <w:tcPr>
            <w:tcW w:w="1665" w:type="dxa"/>
            <w:shd w:val="clear" w:color="auto" w:fill="auto"/>
            <w:hideMark/>
          </w:tcPr>
          <w:p w:rsidR="007507EC" w:rsidRPr="007507EC" w:rsidRDefault="007507EC">
            <w:pPr>
              <w:pStyle w:val="a3"/>
              <w:jc w:val="right"/>
            </w:pPr>
            <w:r w:rsidRPr="007507EC">
              <w:rPr>
                <w:rFonts w:hint="eastAsia"/>
              </w:rPr>
              <w:t xml:space="preserve">350,000.00 </w:t>
            </w:r>
          </w:p>
        </w:tc>
        <w:tc>
          <w:tcPr>
            <w:tcW w:w="1950" w:type="dxa"/>
            <w:shd w:val="clear" w:color="auto" w:fill="auto"/>
            <w:hideMark/>
          </w:tcPr>
          <w:p w:rsidR="007507EC" w:rsidRPr="007507EC" w:rsidRDefault="007507EC">
            <w:pPr>
              <w:pStyle w:val="a3"/>
              <w:jc w:val="right"/>
            </w:pPr>
            <w:r w:rsidRPr="007507EC">
              <w:rPr>
                <w:rFonts w:hint="eastAsia"/>
              </w:rPr>
              <w:t xml:space="preserve">34,951,000.00 </w:t>
            </w:r>
          </w:p>
        </w:tc>
        <w:tc>
          <w:tcPr>
            <w:tcW w:w="2925" w:type="dxa"/>
            <w:shd w:val="clear" w:color="auto" w:fill="auto"/>
            <w:hideMark/>
          </w:tcPr>
          <w:p w:rsidR="007507EC" w:rsidRPr="007507EC" w:rsidRDefault="007507EC">
            <w:pPr>
              <w:pStyle w:val="a3"/>
              <w:jc w:val="right"/>
            </w:pPr>
            <w:r w:rsidRPr="007507EC">
              <w:rPr>
                <w:rFonts w:hint="eastAsia"/>
              </w:rPr>
              <w:t xml:space="preserve">0.35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5 </w:t>
            </w:r>
          </w:p>
        </w:tc>
        <w:tc>
          <w:tcPr>
            <w:tcW w:w="1515" w:type="dxa"/>
            <w:shd w:val="clear" w:color="auto" w:fill="auto"/>
            <w:hideMark/>
          </w:tcPr>
          <w:p w:rsidR="007507EC" w:rsidRPr="007507EC" w:rsidRDefault="007507EC">
            <w:pPr>
              <w:pStyle w:val="a3"/>
              <w:jc w:val="center"/>
            </w:pPr>
            <w:r w:rsidRPr="007507EC">
              <w:rPr>
                <w:rFonts w:hint="eastAsia"/>
              </w:rPr>
              <w:t xml:space="preserve">138294 </w:t>
            </w:r>
          </w:p>
        </w:tc>
        <w:tc>
          <w:tcPr>
            <w:tcW w:w="1785" w:type="dxa"/>
            <w:shd w:val="clear" w:color="auto" w:fill="auto"/>
            <w:hideMark/>
          </w:tcPr>
          <w:p w:rsidR="007507EC" w:rsidRPr="007507EC" w:rsidRDefault="007507EC">
            <w:pPr>
              <w:pStyle w:val="a3"/>
              <w:jc w:val="center"/>
            </w:pPr>
            <w:r w:rsidRPr="007507EC">
              <w:rPr>
                <w:rFonts w:hint="eastAsia"/>
              </w:rPr>
              <w:t xml:space="preserve">荣耀03A </w:t>
            </w:r>
          </w:p>
        </w:tc>
        <w:tc>
          <w:tcPr>
            <w:tcW w:w="1665" w:type="dxa"/>
            <w:shd w:val="clear" w:color="auto" w:fill="auto"/>
            <w:hideMark/>
          </w:tcPr>
          <w:p w:rsidR="007507EC" w:rsidRPr="007507EC" w:rsidRDefault="007507EC">
            <w:pPr>
              <w:pStyle w:val="a3"/>
              <w:jc w:val="right"/>
            </w:pPr>
            <w:r w:rsidRPr="007507EC">
              <w:rPr>
                <w:rFonts w:hint="eastAsia"/>
              </w:rPr>
              <w:t xml:space="preserve">300,000.00 </w:t>
            </w:r>
          </w:p>
        </w:tc>
        <w:tc>
          <w:tcPr>
            <w:tcW w:w="1950" w:type="dxa"/>
            <w:shd w:val="clear" w:color="auto" w:fill="auto"/>
            <w:hideMark/>
          </w:tcPr>
          <w:p w:rsidR="007507EC" w:rsidRPr="007507EC" w:rsidRDefault="007507EC">
            <w:pPr>
              <w:pStyle w:val="a3"/>
              <w:jc w:val="right"/>
            </w:pPr>
            <w:r w:rsidRPr="007507EC">
              <w:rPr>
                <w:rFonts w:hint="eastAsia"/>
              </w:rPr>
              <w:t xml:space="preserve">30,192,000.00 </w:t>
            </w:r>
          </w:p>
        </w:tc>
        <w:tc>
          <w:tcPr>
            <w:tcW w:w="2925" w:type="dxa"/>
            <w:shd w:val="clear" w:color="auto" w:fill="auto"/>
            <w:hideMark/>
          </w:tcPr>
          <w:p w:rsidR="007507EC" w:rsidRPr="007507EC" w:rsidRDefault="007507EC">
            <w:pPr>
              <w:pStyle w:val="a3"/>
              <w:jc w:val="right"/>
            </w:pPr>
            <w:r w:rsidRPr="007507EC">
              <w:rPr>
                <w:rFonts w:hint="eastAsia"/>
              </w:rPr>
              <w:t xml:space="preserve">0.31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6 </w:t>
            </w:r>
          </w:p>
        </w:tc>
        <w:tc>
          <w:tcPr>
            <w:tcW w:w="1515" w:type="dxa"/>
            <w:shd w:val="clear" w:color="auto" w:fill="auto"/>
            <w:hideMark/>
          </w:tcPr>
          <w:p w:rsidR="007507EC" w:rsidRPr="007507EC" w:rsidRDefault="007507EC">
            <w:pPr>
              <w:pStyle w:val="a3"/>
              <w:jc w:val="center"/>
            </w:pPr>
            <w:r w:rsidRPr="007507EC">
              <w:rPr>
                <w:rFonts w:hint="eastAsia"/>
              </w:rPr>
              <w:t xml:space="preserve">159199 </w:t>
            </w:r>
          </w:p>
        </w:tc>
        <w:tc>
          <w:tcPr>
            <w:tcW w:w="1785" w:type="dxa"/>
            <w:shd w:val="clear" w:color="auto" w:fill="auto"/>
            <w:hideMark/>
          </w:tcPr>
          <w:p w:rsidR="007507EC" w:rsidRPr="007507EC" w:rsidRDefault="007507EC">
            <w:pPr>
              <w:pStyle w:val="a3"/>
              <w:jc w:val="center"/>
            </w:pPr>
            <w:r w:rsidRPr="007507EC">
              <w:rPr>
                <w:rFonts w:hint="eastAsia"/>
              </w:rPr>
              <w:t xml:space="preserve">19龙光优 </w:t>
            </w:r>
          </w:p>
        </w:tc>
        <w:tc>
          <w:tcPr>
            <w:tcW w:w="1665" w:type="dxa"/>
            <w:shd w:val="clear" w:color="auto" w:fill="auto"/>
            <w:hideMark/>
          </w:tcPr>
          <w:p w:rsidR="007507EC" w:rsidRPr="007507EC" w:rsidRDefault="007507EC">
            <w:pPr>
              <w:pStyle w:val="a3"/>
              <w:jc w:val="right"/>
            </w:pPr>
            <w:r w:rsidRPr="007507EC">
              <w:rPr>
                <w:rFonts w:hint="eastAsia"/>
              </w:rPr>
              <w:t xml:space="preserve">300,000.00 </w:t>
            </w:r>
          </w:p>
        </w:tc>
        <w:tc>
          <w:tcPr>
            <w:tcW w:w="1950" w:type="dxa"/>
            <w:shd w:val="clear" w:color="auto" w:fill="auto"/>
            <w:hideMark/>
          </w:tcPr>
          <w:p w:rsidR="007507EC" w:rsidRPr="007507EC" w:rsidRDefault="007507EC">
            <w:pPr>
              <w:pStyle w:val="a3"/>
              <w:jc w:val="right"/>
            </w:pPr>
            <w:r w:rsidRPr="007507EC">
              <w:rPr>
                <w:rFonts w:hint="eastAsia"/>
              </w:rPr>
              <w:t xml:space="preserve">30,192,000.00 </w:t>
            </w:r>
          </w:p>
        </w:tc>
        <w:tc>
          <w:tcPr>
            <w:tcW w:w="2925" w:type="dxa"/>
            <w:shd w:val="clear" w:color="auto" w:fill="auto"/>
            <w:hideMark/>
          </w:tcPr>
          <w:p w:rsidR="007507EC" w:rsidRPr="007507EC" w:rsidRDefault="007507EC">
            <w:pPr>
              <w:pStyle w:val="a3"/>
              <w:jc w:val="right"/>
            </w:pPr>
            <w:r w:rsidRPr="007507EC">
              <w:rPr>
                <w:rFonts w:hint="eastAsia"/>
              </w:rPr>
              <w:t xml:space="preserve">0.31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7 </w:t>
            </w:r>
          </w:p>
        </w:tc>
        <w:tc>
          <w:tcPr>
            <w:tcW w:w="1515" w:type="dxa"/>
            <w:shd w:val="clear" w:color="auto" w:fill="auto"/>
            <w:hideMark/>
          </w:tcPr>
          <w:p w:rsidR="007507EC" w:rsidRPr="007507EC" w:rsidRDefault="007507EC">
            <w:pPr>
              <w:pStyle w:val="a3"/>
              <w:jc w:val="center"/>
            </w:pPr>
            <w:r w:rsidRPr="007507EC">
              <w:rPr>
                <w:rFonts w:hint="eastAsia"/>
              </w:rPr>
              <w:t xml:space="preserve">149882 </w:t>
            </w:r>
          </w:p>
        </w:tc>
        <w:tc>
          <w:tcPr>
            <w:tcW w:w="1785" w:type="dxa"/>
            <w:shd w:val="clear" w:color="auto" w:fill="auto"/>
            <w:hideMark/>
          </w:tcPr>
          <w:p w:rsidR="007507EC" w:rsidRPr="007507EC" w:rsidRDefault="007507EC">
            <w:pPr>
              <w:pStyle w:val="a3"/>
              <w:jc w:val="center"/>
            </w:pPr>
            <w:r w:rsidRPr="007507EC">
              <w:rPr>
                <w:rFonts w:hint="eastAsia"/>
              </w:rPr>
              <w:t xml:space="preserve">18借04A1 </w:t>
            </w:r>
          </w:p>
        </w:tc>
        <w:tc>
          <w:tcPr>
            <w:tcW w:w="1665" w:type="dxa"/>
            <w:shd w:val="clear" w:color="auto" w:fill="auto"/>
            <w:hideMark/>
          </w:tcPr>
          <w:p w:rsidR="007507EC" w:rsidRPr="007507EC" w:rsidRDefault="007507EC">
            <w:pPr>
              <w:pStyle w:val="a3"/>
              <w:jc w:val="right"/>
            </w:pPr>
            <w:r w:rsidRPr="007507EC">
              <w:rPr>
                <w:rFonts w:hint="eastAsia"/>
              </w:rPr>
              <w:t xml:space="preserve">300,000.00 </w:t>
            </w:r>
          </w:p>
        </w:tc>
        <w:tc>
          <w:tcPr>
            <w:tcW w:w="1950" w:type="dxa"/>
            <w:shd w:val="clear" w:color="auto" w:fill="auto"/>
            <w:hideMark/>
          </w:tcPr>
          <w:p w:rsidR="007507EC" w:rsidRPr="007507EC" w:rsidRDefault="007507EC">
            <w:pPr>
              <w:pStyle w:val="a3"/>
              <w:jc w:val="right"/>
            </w:pPr>
            <w:r w:rsidRPr="007507EC">
              <w:rPr>
                <w:rFonts w:hint="eastAsia"/>
              </w:rPr>
              <w:t xml:space="preserve">30,162,000.00 </w:t>
            </w:r>
          </w:p>
        </w:tc>
        <w:tc>
          <w:tcPr>
            <w:tcW w:w="2925" w:type="dxa"/>
            <w:shd w:val="clear" w:color="auto" w:fill="auto"/>
            <w:hideMark/>
          </w:tcPr>
          <w:p w:rsidR="007507EC" w:rsidRPr="007507EC" w:rsidRDefault="007507EC">
            <w:pPr>
              <w:pStyle w:val="a3"/>
              <w:jc w:val="right"/>
            </w:pPr>
            <w:r w:rsidRPr="007507EC">
              <w:rPr>
                <w:rFonts w:hint="eastAsia"/>
              </w:rPr>
              <w:t xml:space="preserve">0.31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8 </w:t>
            </w:r>
          </w:p>
        </w:tc>
        <w:tc>
          <w:tcPr>
            <w:tcW w:w="1515" w:type="dxa"/>
            <w:shd w:val="clear" w:color="auto" w:fill="auto"/>
            <w:hideMark/>
          </w:tcPr>
          <w:p w:rsidR="007507EC" w:rsidRPr="007507EC" w:rsidRDefault="007507EC">
            <w:pPr>
              <w:pStyle w:val="a3"/>
              <w:jc w:val="center"/>
            </w:pPr>
            <w:r w:rsidRPr="007507EC">
              <w:rPr>
                <w:rFonts w:hint="eastAsia"/>
              </w:rPr>
              <w:t xml:space="preserve">139883 </w:t>
            </w:r>
          </w:p>
        </w:tc>
        <w:tc>
          <w:tcPr>
            <w:tcW w:w="1785" w:type="dxa"/>
            <w:shd w:val="clear" w:color="auto" w:fill="auto"/>
            <w:hideMark/>
          </w:tcPr>
          <w:p w:rsidR="007507EC" w:rsidRPr="007507EC" w:rsidRDefault="007507EC">
            <w:pPr>
              <w:pStyle w:val="a3"/>
              <w:jc w:val="center"/>
            </w:pPr>
            <w:r w:rsidRPr="007507EC">
              <w:rPr>
                <w:rFonts w:hint="eastAsia"/>
              </w:rPr>
              <w:t xml:space="preserve">苏宁4A </w:t>
            </w:r>
          </w:p>
        </w:tc>
        <w:tc>
          <w:tcPr>
            <w:tcW w:w="1665" w:type="dxa"/>
            <w:shd w:val="clear" w:color="auto" w:fill="auto"/>
            <w:hideMark/>
          </w:tcPr>
          <w:p w:rsidR="007507EC" w:rsidRPr="007507EC" w:rsidRDefault="007507EC">
            <w:pPr>
              <w:pStyle w:val="a3"/>
              <w:jc w:val="right"/>
            </w:pPr>
            <w:r w:rsidRPr="007507EC">
              <w:rPr>
                <w:rFonts w:hint="eastAsia"/>
              </w:rPr>
              <w:t xml:space="preserve">300,000.00 </w:t>
            </w:r>
          </w:p>
        </w:tc>
        <w:tc>
          <w:tcPr>
            <w:tcW w:w="1950" w:type="dxa"/>
            <w:shd w:val="clear" w:color="auto" w:fill="auto"/>
            <w:hideMark/>
          </w:tcPr>
          <w:p w:rsidR="007507EC" w:rsidRPr="007507EC" w:rsidRDefault="007507EC">
            <w:pPr>
              <w:pStyle w:val="a3"/>
              <w:jc w:val="right"/>
            </w:pPr>
            <w:r w:rsidRPr="007507EC">
              <w:rPr>
                <w:rFonts w:hint="eastAsia"/>
              </w:rPr>
              <w:t xml:space="preserve">30,033,000.00 </w:t>
            </w:r>
          </w:p>
        </w:tc>
        <w:tc>
          <w:tcPr>
            <w:tcW w:w="2925" w:type="dxa"/>
            <w:shd w:val="clear" w:color="auto" w:fill="auto"/>
            <w:hideMark/>
          </w:tcPr>
          <w:p w:rsidR="007507EC" w:rsidRPr="007507EC" w:rsidRDefault="007507EC">
            <w:pPr>
              <w:pStyle w:val="a3"/>
              <w:jc w:val="right"/>
            </w:pPr>
            <w:r w:rsidRPr="007507EC">
              <w:rPr>
                <w:rFonts w:hint="eastAsia"/>
              </w:rPr>
              <w:t xml:space="preserve">0.30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9 </w:t>
            </w:r>
          </w:p>
        </w:tc>
        <w:tc>
          <w:tcPr>
            <w:tcW w:w="1515" w:type="dxa"/>
            <w:shd w:val="clear" w:color="auto" w:fill="auto"/>
            <w:hideMark/>
          </w:tcPr>
          <w:p w:rsidR="007507EC" w:rsidRPr="007507EC" w:rsidRDefault="007507EC">
            <w:pPr>
              <w:pStyle w:val="a3"/>
              <w:jc w:val="center"/>
            </w:pPr>
            <w:r w:rsidRPr="007507EC">
              <w:rPr>
                <w:rFonts w:hint="eastAsia"/>
              </w:rPr>
              <w:t xml:space="preserve">138466 </w:t>
            </w:r>
          </w:p>
        </w:tc>
        <w:tc>
          <w:tcPr>
            <w:tcW w:w="1785" w:type="dxa"/>
            <w:shd w:val="clear" w:color="auto" w:fill="auto"/>
            <w:hideMark/>
          </w:tcPr>
          <w:p w:rsidR="007507EC" w:rsidRPr="007507EC" w:rsidRDefault="007507EC">
            <w:pPr>
              <w:pStyle w:val="a3"/>
              <w:jc w:val="center"/>
            </w:pPr>
            <w:r w:rsidRPr="007507EC">
              <w:rPr>
                <w:rFonts w:hint="eastAsia"/>
              </w:rPr>
              <w:t xml:space="preserve">20华弘1A </w:t>
            </w:r>
          </w:p>
        </w:tc>
        <w:tc>
          <w:tcPr>
            <w:tcW w:w="1665" w:type="dxa"/>
            <w:shd w:val="clear" w:color="auto" w:fill="auto"/>
            <w:hideMark/>
          </w:tcPr>
          <w:p w:rsidR="007507EC" w:rsidRPr="007507EC" w:rsidRDefault="007507EC">
            <w:pPr>
              <w:pStyle w:val="a3"/>
              <w:jc w:val="right"/>
            </w:pPr>
            <w:r w:rsidRPr="007507EC">
              <w:rPr>
                <w:rFonts w:hint="eastAsia"/>
              </w:rPr>
              <w:t xml:space="preserve">270,000.00 </w:t>
            </w:r>
          </w:p>
        </w:tc>
        <w:tc>
          <w:tcPr>
            <w:tcW w:w="1950" w:type="dxa"/>
            <w:shd w:val="clear" w:color="auto" w:fill="auto"/>
            <w:hideMark/>
          </w:tcPr>
          <w:p w:rsidR="007507EC" w:rsidRPr="007507EC" w:rsidRDefault="007507EC">
            <w:pPr>
              <w:pStyle w:val="a3"/>
              <w:jc w:val="right"/>
            </w:pPr>
            <w:r w:rsidRPr="007507EC">
              <w:rPr>
                <w:rFonts w:hint="eastAsia"/>
              </w:rPr>
              <w:t xml:space="preserve">27,045,900.00 </w:t>
            </w:r>
          </w:p>
        </w:tc>
        <w:tc>
          <w:tcPr>
            <w:tcW w:w="2925" w:type="dxa"/>
            <w:shd w:val="clear" w:color="auto" w:fill="auto"/>
            <w:hideMark/>
          </w:tcPr>
          <w:p w:rsidR="007507EC" w:rsidRPr="007507EC" w:rsidRDefault="007507EC">
            <w:pPr>
              <w:pStyle w:val="a3"/>
              <w:jc w:val="right"/>
            </w:pPr>
            <w:r w:rsidRPr="007507EC">
              <w:rPr>
                <w:rFonts w:hint="eastAsia"/>
              </w:rPr>
              <w:t xml:space="preserve">0.27 </w:t>
            </w:r>
          </w:p>
        </w:tc>
      </w:tr>
      <w:tr w:rsidR="007507EC" w:rsidRPr="007507EC" w:rsidTr="007507EC">
        <w:trPr>
          <w:divId w:val="1693190483"/>
        </w:trPr>
        <w:tc>
          <w:tcPr>
            <w:tcW w:w="765" w:type="dxa"/>
            <w:shd w:val="clear" w:color="auto" w:fill="auto"/>
            <w:hideMark/>
          </w:tcPr>
          <w:p w:rsidR="007507EC" w:rsidRPr="007507EC" w:rsidRDefault="007507EC">
            <w:pPr>
              <w:pStyle w:val="a3"/>
              <w:jc w:val="center"/>
            </w:pPr>
            <w:r w:rsidRPr="007507EC">
              <w:rPr>
                <w:rFonts w:hint="eastAsia"/>
              </w:rPr>
              <w:t xml:space="preserve">10 </w:t>
            </w:r>
          </w:p>
        </w:tc>
        <w:tc>
          <w:tcPr>
            <w:tcW w:w="1515" w:type="dxa"/>
            <w:shd w:val="clear" w:color="auto" w:fill="auto"/>
            <w:hideMark/>
          </w:tcPr>
          <w:p w:rsidR="007507EC" w:rsidRPr="007507EC" w:rsidRDefault="007507EC">
            <w:pPr>
              <w:pStyle w:val="a3"/>
              <w:jc w:val="center"/>
            </w:pPr>
            <w:r w:rsidRPr="007507EC">
              <w:rPr>
                <w:rFonts w:hint="eastAsia"/>
              </w:rPr>
              <w:t xml:space="preserve">138488 </w:t>
            </w:r>
          </w:p>
        </w:tc>
        <w:tc>
          <w:tcPr>
            <w:tcW w:w="1785" w:type="dxa"/>
            <w:shd w:val="clear" w:color="auto" w:fill="auto"/>
            <w:hideMark/>
          </w:tcPr>
          <w:p w:rsidR="007507EC" w:rsidRPr="007507EC" w:rsidRDefault="007507EC">
            <w:pPr>
              <w:pStyle w:val="a3"/>
              <w:jc w:val="center"/>
            </w:pPr>
            <w:r w:rsidRPr="007507EC">
              <w:rPr>
                <w:rFonts w:hint="eastAsia"/>
              </w:rPr>
              <w:t xml:space="preserve">滇中01优 </w:t>
            </w:r>
          </w:p>
        </w:tc>
        <w:tc>
          <w:tcPr>
            <w:tcW w:w="1665" w:type="dxa"/>
            <w:shd w:val="clear" w:color="auto" w:fill="auto"/>
            <w:hideMark/>
          </w:tcPr>
          <w:p w:rsidR="007507EC" w:rsidRPr="007507EC" w:rsidRDefault="007507EC">
            <w:pPr>
              <w:pStyle w:val="a3"/>
              <w:jc w:val="right"/>
            </w:pPr>
            <w:r w:rsidRPr="007507EC">
              <w:rPr>
                <w:rFonts w:hint="eastAsia"/>
              </w:rPr>
              <w:t xml:space="preserve">150,000.00 </w:t>
            </w:r>
          </w:p>
        </w:tc>
        <w:tc>
          <w:tcPr>
            <w:tcW w:w="1950" w:type="dxa"/>
            <w:shd w:val="clear" w:color="auto" w:fill="auto"/>
            <w:hideMark/>
          </w:tcPr>
          <w:p w:rsidR="007507EC" w:rsidRPr="007507EC" w:rsidRDefault="007507EC">
            <w:pPr>
              <w:pStyle w:val="a3"/>
              <w:jc w:val="right"/>
            </w:pPr>
            <w:r w:rsidRPr="007507EC">
              <w:rPr>
                <w:rFonts w:hint="eastAsia"/>
              </w:rPr>
              <w:t xml:space="preserve">15,021,000.00 </w:t>
            </w:r>
          </w:p>
        </w:tc>
        <w:tc>
          <w:tcPr>
            <w:tcW w:w="2925" w:type="dxa"/>
            <w:shd w:val="clear" w:color="auto" w:fill="auto"/>
            <w:hideMark/>
          </w:tcPr>
          <w:p w:rsidR="007507EC" w:rsidRPr="007507EC" w:rsidRDefault="007507EC">
            <w:pPr>
              <w:pStyle w:val="a3"/>
              <w:jc w:val="right"/>
            </w:pPr>
            <w:r w:rsidRPr="007507EC">
              <w:rPr>
                <w:rFonts w:hint="eastAsia"/>
              </w:rPr>
              <w:t xml:space="preserve">0.15 </w:t>
            </w:r>
          </w:p>
        </w:tc>
      </w:tr>
    </w:tbl>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7报告期末按公允价值占基金资产净值比例大小排序的前五名贵金属投资明细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本基金本报告期末未持有贵金属投资。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8报告期末按公允价值占基金资产净值比例大小排序的前五名权证投资明细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本基金本报告期末未持有权证投资。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9报告期末本基金投资的股指期货交易情况说明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本基金本报告期末未投资股指期货交易。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10报告期末本基金投资的国债期货交易情况说明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本基金本报告期末未投资国债期货交易。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11投资组合报告附注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11.1报告期内基金投资的前十名证券的发行主体没有被监管部门立案调查，或在报告编制日前一年内受到公开谴责、处罚。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11.2基金投资的前十名股票中，没有投资超出基金合同规定备选股票库之外的股票。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11.3其他资产构成 </w:t>
      </w:r>
    </w:p>
    <w:tbl>
      <w:tblPr>
        <w:tblStyle w:val="a9"/>
        <w:tblW w:w="5000" w:type="pct"/>
        <w:tblLook w:val="04A0" w:firstRow="1" w:lastRow="0" w:firstColumn="1" w:lastColumn="0" w:noHBand="0" w:noVBand="1"/>
      </w:tblPr>
      <w:tblGrid>
        <w:gridCol w:w="716"/>
        <w:gridCol w:w="3708"/>
        <w:gridCol w:w="4092"/>
      </w:tblGrid>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序号 </w:t>
            </w:r>
          </w:p>
        </w:tc>
        <w:tc>
          <w:tcPr>
            <w:tcW w:w="4890" w:type="dxa"/>
            <w:shd w:val="clear" w:color="auto" w:fill="auto"/>
            <w:hideMark/>
          </w:tcPr>
          <w:p w:rsidR="007507EC" w:rsidRPr="007507EC" w:rsidRDefault="007507EC">
            <w:pPr>
              <w:pStyle w:val="a3"/>
              <w:jc w:val="center"/>
            </w:pPr>
            <w:r w:rsidRPr="007507EC">
              <w:rPr>
                <w:rFonts w:hint="eastAsia"/>
              </w:rPr>
              <w:t xml:space="preserve">名称 </w:t>
            </w:r>
          </w:p>
        </w:tc>
        <w:tc>
          <w:tcPr>
            <w:tcW w:w="4890" w:type="dxa"/>
            <w:shd w:val="clear" w:color="auto" w:fill="auto"/>
            <w:hideMark/>
          </w:tcPr>
          <w:p w:rsidR="007507EC" w:rsidRPr="007507EC" w:rsidRDefault="007507EC">
            <w:pPr>
              <w:pStyle w:val="a3"/>
              <w:jc w:val="center"/>
            </w:pPr>
            <w:r w:rsidRPr="007507EC">
              <w:rPr>
                <w:rFonts w:hint="eastAsia"/>
              </w:rPr>
              <w:t xml:space="preserve">金额(元)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1 </w:t>
            </w:r>
          </w:p>
        </w:tc>
        <w:tc>
          <w:tcPr>
            <w:tcW w:w="4890" w:type="dxa"/>
            <w:shd w:val="clear" w:color="auto" w:fill="auto"/>
            <w:hideMark/>
          </w:tcPr>
          <w:p w:rsidR="007507EC" w:rsidRPr="007507EC" w:rsidRDefault="007507EC">
            <w:pPr>
              <w:pStyle w:val="a3"/>
            </w:pPr>
            <w:r w:rsidRPr="007507EC">
              <w:rPr>
                <w:rFonts w:hint="eastAsia"/>
              </w:rPr>
              <w:t xml:space="preserve">存出保证金 </w:t>
            </w:r>
          </w:p>
        </w:tc>
        <w:tc>
          <w:tcPr>
            <w:tcW w:w="4890" w:type="dxa"/>
            <w:shd w:val="clear" w:color="auto" w:fill="auto"/>
            <w:hideMark/>
          </w:tcPr>
          <w:p w:rsidR="007507EC" w:rsidRPr="007507EC" w:rsidRDefault="007507EC">
            <w:pPr>
              <w:pStyle w:val="a3"/>
              <w:jc w:val="right"/>
            </w:pPr>
            <w:r w:rsidRPr="007507EC">
              <w:rPr>
                <w:rFonts w:hint="eastAsia"/>
              </w:rPr>
              <w:t xml:space="preserve">30,779.72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2 </w:t>
            </w:r>
          </w:p>
        </w:tc>
        <w:tc>
          <w:tcPr>
            <w:tcW w:w="4890" w:type="dxa"/>
            <w:shd w:val="clear" w:color="auto" w:fill="auto"/>
            <w:hideMark/>
          </w:tcPr>
          <w:p w:rsidR="007507EC" w:rsidRPr="007507EC" w:rsidRDefault="007507EC">
            <w:pPr>
              <w:pStyle w:val="a3"/>
            </w:pPr>
            <w:r w:rsidRPr="007507EC">
              <w:rPr>
                <w:rFonts w:hint="eastAsia"/>
              </w:rPr>
              <w:t xml:space="preserve">应收证券清算款 </w:t>
            </w:r>
          </w:p>
        </w:tc>
        <w:tc>
          <w:tcPr>
            <w:tcW w:w="4890"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3 </w:t>
            </w:r>
          </w:p>
        </w:tc>
        <w:tc>
          <w:tcPr>
            <w:tcW w:w="4890" w:type="dxa"/>
            <w:shd w:val="clear" w:color="auto" w:fill="auto"/>
            <w:hideMark/>
          </w:tcPr>
          <w:p w:rsidR="007507EC" w:rsidRPr="007507EC" w:rsidRDefault="007507EC">
            <w:pPr>
              <w:pStyle w:val="a3"/>
            </w:pPr>
            <w:r w:rsidRPr="007507EC">
              <w:rPr>
                <w:rFonts w:hint="eastAsia"/>
              </w:rPr>
              <w:t xml:space="preserve">应收股利 </w:t>
            </w:r>
          </w:p>
        </w:tc>
        <w:tc>
          <w:tcPr>
            <w:tcW w:w="4890"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4 </w:t>
            </w:r>
          </w:p>
        </w:tc>
        <w:tc>
          <w:tcPr>
            <w:tcW w:w="4890" w:type="dxa"/>
            <w:shd w:val="clear" w:color="auto" w:fill="auto"/>
            <w:hideMark/>
          </w:tcPr>
          <w:p w:rsidR="007507EC" w:rsidRPr="007507EC" w:rsidRDefault="007507EC">
            <w:pPr>
              <w:pStyle w:val="a3"/>
            </w:pPr>
            <w:r w:rsidRPr="007507EC">
              <w:rPr>
                <w:rFonts w:hint="eastAsia"/>
              </w:rPr>
              <w:t xml:space="preserve">应收利息 </w:t>
            </w:r>
          </w:p>
        </w:tc>
        <w:tc>
          <w:tcPr>
            <w:tcW w:w="4890" w:type="dxa"/>
            <w:shd w:val="clear" w:color="auto" w:fill="auto"/>
            <w:hideMark/>
          </w:tcPr>
          <w:p w:rsidR="007507EC" w:rsidRPr="007507EC" w:rsidRDefault="007507EC">
            <w:pPr>
              <w:pStyle w:val="a3"/>
              <w:jc w:val="right"/>
            </w:pPr>
            <w:r w:rsidRPr="007507EC">
              <w:rPr>
                <w:rFonts w:hint="eastAsia"/>
              </w:rPr>
              <w:t xml:space="preserve">160,798,096.75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5 </w:t>
            </w:r>
          </w:p>
        </w:tc>
        <w:tc>
          <w:tcPr>
            <w:tcW w:w="4890" w:type="dxa"/>
            <w:shd w:val="clear" w:color="auto" w:fill="auto"/>
            <w:hideMark/>
          </w:tcPr>
          <w:p w:rsidR="007507EC" w:rsidRPr="007507EC" w:rsidRDefault="007507EC">
            <w:pPr>
              <w:pStyle w:val="a3"/>
            </w:pPr>
            <w:r w:rsidRPr="007507EC">
              <w:rPr>
                <w:rFonts w:hint="eastAsia"/>
              </w:rPr>
              <w:t xml:space="preserve">应收申购款 </w:t>
            </w:r>
          </w:p>
        </w:tc>
        <w:tc>
          <w:tcPr>
            <w:tcW w:w="4890" w:type="dxa"/>
            <w:shd w:val="clear" w:color="auto" w:fill="auto"/>
            <w:hideMark/>
          </w:tcPr>
          <w:p w:rsidR="007507EC" w:rsidRPr="007507EC" w:rsidRDefault="007507EC">
            <w:pPr>
              <w:pStyle w:val="a3"/>
              <w:jc w:val="right"/>
            </w:pPr>
            <w:r w:rsidRPr="007507EC">
              <w:rPr>
                <w:rFonts w:hint="eastAsia"/>
              </w:rPr>
              <w:t xml:space="preserve">31,546,685.17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6 </w:t>
            </w:r>
          </w:p>
        </w:tc>
        <w:tc>
          <w:tcPr>
            <w:tcW w:w="4890" w:type="dxa"/>
            <w:shd w:val="clear" w:color="auto" w:fill="auto"/>
            <w:hideMark/>
          </w:tcPr>
          <w:p w:rsidR="007507EC" w:rsidRPr="007507EC" w:rsidRDefault="007507EC">
            <w:pPr>
              <w:pStyle w:val="a3"/>
            </w:pPr>
            <w:r w:rsidRPr="007507EC">
              <w:rPr>
                <w:rFonts w:hint="eastAsia"/>
              </w:rPr>
              <w:t xml:space="preserve">其他应收款 </w:t>
            </w:r>
          </w:p>
        </w:tc>
        <w:tc>
          <w:tcPr>
            <w:tcW w:w="4890"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7 </w:t>
            </w:r>
          </w:p>
        </w:tc>
        <w:tc>
          <w:tcPr>
            <w:tcW w:w="4890" w:type="dxa"/>
            <w:shd w:val="clear" w:color="auto" w:fill="auto"/>
            <w:hideMark/>
          </w:tcPr>
          <w:p w:rsidR="007507EC" w:rsidRPr="007507EC" w:rsidRDefault="007507EC">
            <w:pPr>
              <w:pStyle w:val="a3"/>
            </w:pPr>
            <w:r w:rsidRPr="007507EC">
              <w:rPr>
                <w:rFonts w:hint="eastAsia"/>
              </w:rPr>
              <w:t xml:space="preserve">待摊费用 </w:t>
            </w:r>
          </w:p>
        </w:tc>
        <w:tc>
          <w:tcPr>
            <w:tcW w:w="4890"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8 </w:t>
            </w:r>
          </w:p>
        </w:tc>
        <w:tc>
          <w:tcPr>
            <w:tcW w:w="4890" w:type="dxa"/>
            <w:shd w:val="clear" w:color="auto" w:fill="auto"/>
            <w:hideMark/>
          </w:tcPr>
          <w:p w:rsidR="007507EC" w:rsidRPr="007507EC" w:rsidRDefault="007507EC">
            <w:pPr>
              <w:pStyle w:val="a3"/>
            </w:pPr>
            <w:r w:rsidRPr="007507EC">
              <w:rPr>
                <w:rFonts w:hint="eastAsia"/>
              </w:rPr>
              <w:t xml:space="preserve">其他 </w:t>
            </w:r>
          </w:p>
        </w:tc>
        <w:tc>
          <w:tcPr>
            <w:tcW w:w="4890" w:type="dxa"/>
            <w:shd w:val="clear" w:color="auto" w:fill="auto"/>
            <w:hideMark/>
          </w:tcPr>
          <w:p w:rsidR="007507EC" w:rsidRPr="007507EC" w:rsidRDefault="007507EC">
            <w:pPr>
              <w:pStyle w:val="a3"/>
              <w:jc w:val="right"/>
            </w:pPr>
            <w:r w:rsidRPr="007507EC">
              <w:rPr>
                <w:rFonts w:hint="eastAsia"/>
              </w:rPr>
              <w:t xml:space="preserve">- </w:t>
            </w:r>
          </w:p>
        </w:tc>
      </w:tr>
      <w:tr w:rsidR="007507EC" w:rsidRPr="007507EC" w:rsidTr="007507EC">
        <w:trPr>
          <w:divId w:val="1668829112"/>
        </w:trPr>
        <w:tc>
          <w:tcPr>
            <w:tcW w:w="810" w:type="dxa"/>
            <w:shd w:val="clear" w:color="auto" w:fill="auto"/>
            <w:hideMark/>
          </w:tcPr>
          <w:p w:rsidR="007507EC" w:rsidRPr="007507EC" w:rsidRDefault="007507EC">
            <w:pPr>
              <w:pStyle w:val="a3"/>
              <w:jc w:val="center"/>
            </w:pPr>
            <w:r w:rsidRPr="007507EC">
              <w:rPr>
                <w:rFonts w:hint="eastAsia"/>
              </w:rPr>
              <w:t xml:space="preserve">9 </w:t>
            </w:r>
          </w:p>
        </w:tc>
        <w:tc>
          <w:tcPr>
            <w:tcW w:w="4890" w:type="dxa"/>
            <w:shd w:val="clear" w:color="auto" w:fill="auto"/>
            <w:hideMark/>
          </w:tcPr>
          <w:p w:rsidR="007507EC" w:rsidRPr="007507EC" w:rsidRDefault="007507EC">
            <w:pPr>
              <w:pStyle w:val="a3"/>
            </w:pPr>
            <w:r w:rsidRPr="007507EC">
              <w:rPr>
                <w:rFonts w:hint="eastAsia"/>
              </w:rPr>
              <w:t xml:space="preserve">合计 </w:t>
            </w:r>
          </w:p>
        </w:tc>
        <w:tc>
          <w:tcPr>
            <w:tcW w:w="4890" w:type="dxa"/>
            <w:shd w:val="clear" w:color="auto" w:fill="auto"/>
            <w:hideMark/>
          </w:tcPr>
          <w:p w:rsidR="007507EC" w:rsidRPr="007507EC" w:rsidRDefault="007507EC">
            <w:pPr>
              <w:pStyle w:val="a3"/>
              <w:jc w:val="right"/>
            </w:pPr>
            <w:r w:rsidRPr="007507EC">
              <w:rPr>
                <w:rFonts w:hint="eastAsia"/>
              </w:rPr>
              <w:t xml:space="preserve">192,375,561.64 </w:t>
            </w:r>
          </w:p>
        </w:tc>
      </w:tr>
    </w:tbl>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11.4报告期末持有的处于转股期的可转换债券明细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lastRenderedPageBreak/>
        <w:t xml:space="preserve">报告期末本基金未持有处于转股期的可转换债券。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11.5报告期末前十名股票中存在流通受限情况的说明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报告期末本基金前十名股票中不存在流通受限的情况。 </w:t>
      </w:r>
    </w:p>
    <w:p w:rsidR="007507EC" w:rsidRPr="007507EC" w:rsidRDefault="007507EC">
      <w:pPr>
        <w:pStyle w:val="a3"/>
        <w:spacing w:before="0" w:beforeAutospacing="0" w:after="0" w:afterAutospacing="0" w:line="360" w:lineRule="auto"/>
        <w:ind w:firstLine="420"/>
        <w:divId w:val="1789200981"/>
        <w:rPr>
          <w:sz w:val="21"/>
          <w:szCs w:val="21"/>
        </w:rPr>
      </w:pPr>
      <w:r w:rsidRPr="007507EC">
        <w:rPr>
          <w:rFonts w:hint="eastAsia"/>
          <w:sz w:val="21"/>
          <w:szCs w:val="21"/>
        </w:rPr>
        <w:t xml:space="preserve">5.11.6投资组合报告附注的其他文字描述部分 </w:t>
      </w:r>
    </w:p>
    <w:p w:rsidR="007507EC" w:rsidRPr="007507EC" w:rsidRDefault="007507EC" w:rsidP="003D6DF4">
      <w:pPr>
        <w:ind w:firstLineChars="200" w:firstLine="420"/>
        <w:divId w:val="1789200981"/>
        <w:rPr>
          <w:rFonts w:ascii="宋体" w:eastAsia="宋体" w:hAnsi="宋体"/>
          <w:sz w:val="24"/>
          <w:szCs w:val="24"/>
        </w:rPr>
      </w:pPr>
      <w:r w:rsidRPr="007507EC">
        <w:rPr>
          <w:rFonts w:ascii="宋体" w:eastAsia="宋体" w:hAnsi="宋体"/>
        </w:rPr>
        <w:t xml:space="preserve">由于四舍五入的原因，分项之和与合计项之间可能存在尾差。 </w:t>
      </w:r>
    </w:p>
    <w:p w:rsidR="007507EC" w:rsidRPr="007507EC" w:rsidRDefault="007507EC">
      <w:pPr>
        <w:pStyle w:val="a3"/>
        <w:spacing w:before="0" w:beforeAutospacing="0" w:after="0" w:afterAutospacing="0" w:line="360" w:lineRule="auto"/>
        <w:ind w:firstLine="420"/>
        <w:divId w:val="1789200981"/>
        <w:rPr>
          <w:sz w:val="21"/>
          <w:szCs w:val="21"/>
        </w:rPr>
      </w:pPr>
      <w:bookmarkStart w:id="140" w:name="chapter_level1_11_60_section_6_end"/>
      <w:bookmarkEnd w:id="140"/>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41" w:name="chapter_level1_12_3500"/>
      <w:bookmarkStart w:id="142" w:name="_Toc50543300"/>
      <w:r w:rsidRPr="007507EC">
        <w:rPr>
          <w:rFonts w:ascii="宋体" w:eastAsia="宋体" w:hAnsi="宋体" w:hint="eastAsia"/>
          <w:sz w:val="30"/>
        </w:rPr>
        <w:lastRenderedPageBreak/>
        <w:t>第九部分 基金的业绩</w:t>
      </w:r>
      <w:bookmarkEnd w:id="141"/>
      <w:bookmarkEnd w:id="142"/>
    </w:p>
    <w:p w:rsidR="007507EC" w:rsidRPr="007507EC" w:rsidRDefault="007507EC">
      <w:pPr>
        <w:pStyle w:val="a3"/>
        <w:spacing w:before="0" w:beforeAutospacing="0" w:after="0" w:afterAutospacing="0" w:line="360" w:lineRule="auto"/>
        <w:ind w:firstLine="420"/>
        <w:divId w:val="2000112867"/>
        <w:rPr>
          <w:sz w:val="21"/>
          <w:szCs w:val="21"/>
        </w:rPr>
      </w:pPr>
      <w:bookmarkStart w:id="143" w:name="chapter_level1_12_3500_section_1"/>
      <w:bookmarkEnd w:id="143"/>
      <w:r w:rsidRPr="007507EC">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7507EC" w:rsidRPr="007507EC" w:rsidRDefault="007507EC">
      <w:pPr>
        <w:pStyle w:val="a3"/>
        <w:spacing w:before="0" w:beforeAutospacing="0" w:after="0" w:afterAutospacing="0" w:line="360" w:lineRule="auto"/>
        <w:ind w:firstLine="420"/>
        <w:divId w:val="2000112867"/>
        <w:rPr>
          <w:sz w:val="21"/>
          <w:szCs w:val="21"/>
        </w:rPr>
      </w:pPr>
      <w:r w:rsidRPr="007507EC">
        <w:rPr>
          <w:rFonts w:hint="eastAsia"/>
          <w:sz w:val="21"/>
          <w:szCs w:val="21"/>
        </w:rPr>
        <w:t xml:space="preserve">自基金合同生效开始，基金份额净值增长率及其与同期业绩比较基准收益率的比较 </w:t>
      </w:r>
    </w:p>
    <w:p w:rsidR="007507EC" w:rsidRPr="007507EC" w:rsidRDefault="007507EC">
      <w:pPr>
        <w:pStyle w:val="a3"/>
        <w:spacing w:before="0" w:beforeAutospacing="0" w:after="0" w:afterAutospacing="0" w:line="360" w:lineRule="auto"/>
        <w:ind w:firstLine="420"/>
        <w:divId w:val="2000112867"/>
        <w:rPr>
          <w:sz w:val="21"/>
          <w:szCs w:val="21"/>
        </w:rPr>
      </w:pPr>
      <w:bookmarkStart w:id="144" w:name="field_0_indatatable_1_start"/>
      <w:bookmarkEnd w:id="144"/>
      <w:r w:rsidRPr="007507EC">
        <w:rPr>
          <w:rFonts w:hint="eastAsia"/>
          <w:sz w:val="21"/>
          <w:szCs w:val="21"/>
        </w:rPr>
        <w:t xml:space="preserve">博时安盈债券A </w:t>
      </w:r>
    </w:p>
    <w:tbl>
      <w:tblPr>
        <w:tblStyle w:val="a9"/>
        <w:tblW w:w="0" w:type="auto"/>
        <w:tblLook w:val="04A0" w:firstRow="1" w:lastRow="0" w:firstColumn="1" w:lastColumn="0" w:noHBand="0" w:noVBand="1"/>
      </w:tblPr>
      <w:tblGrid>
        <w:gridCol w:w="2421"/>
        <w:gridCol w:w="994"/>
        <w:gridCol w:w="1062"/>
        <w:gridCol w:w="1192"/>
        <w:gridCol w:w="1260"/>
        <w:gridCol w:w="846"/>
        <w:gridCol w:w="741"/>
      </w:tblGrid>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期间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①净值增长率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②净值增长率标准差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③业绩比较基准收益率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④业绩比较基准收益率标准差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①-③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②-④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2013.04.23-2013.12.31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2.40%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0.32%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0.03%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2014.01.01-2014.12.31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3.55%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2.97%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0.58%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0.07%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2015.01.01-2015.12.31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6.54%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2.12%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4.42%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2016.01.01-2016.12.31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0.52%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2017.01.01-2017.12.31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0.57%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0.04%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2018.01.01-2018.12.31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5.94%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4.44%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2019.01.01-2019.12.31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3.70%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2.20%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2020.01.01-2020.06.30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1.64%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0.03%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0.74%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0.90%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2013.04.23-2020.06.30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31.35%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13.91%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17.44%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r>
    </w:tbl>
    <w:p w:rsidR="007507EC" w:rsidRPr="007507EC" w:rsidRDefault="007507EC">
      <w:pPr>
        <w:pStyle w:val="a3"/>
        <w:spacing w:before="0" w:beforeAutospacing="0" w:after="0" w:afterAutospacing="0" w:line="360" w:lineRule="auto"/>
        <w:ind w:firstLine="420"/>
        <w:divId w:val="2000112867"/>
        <w:rPr>
          <w:sz w:val="21"/>
          <w:szCs w:val="21"/>
        </w:rPr>
      </w:pPr>
      <w:r w:rsidRPr="007507EC">
        <w:rPr>
          <w:rFonts w:hint="eastAsia"/>
          <w:sz w:val="21"/>
          <w:szCs w:val="21"/>
        </w:rPr>
        <w:t xml:space="preserve">博时安盈债券C </w:t>
      </w:r>
    </w:p>
    <w:tbl>
      <w:tblPr>
        <w:tblStyle w:val="a9"/>
        <w:tblW w:w="0" w:type="auto"/>
        <w:tblLook w:val="04A0" w:firstRow="1" w:lastRow="0" w:firstColumn="1" w:lastColumn="0" w:noHBand="0" w:noVBand="1"/>
      </w:tblPr>
      <w:tblGrid>
        <w:gridCol w:w="2421"/>
        <w:gridCol w:w="994"/>
        <w:gridCol w:w="1062"/>
        <w:gridCol w:w="1192"/>
        <w:gridCol w:w="1260"/>
        <w:gridCol w:w="846"/>
        <w:gridCol w:w="741"/>
      </w:tblGrid>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期间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①净值增长率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②净值增长率标准差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③业绩比较基准收益率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④业绩比较基准收益率标准差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①-③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②-④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2013.04.23-2013.12.31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0.03%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2014.01.01-2014.12.31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3.17%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2.97%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0.20%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0.07%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2015.01.01-2015.12.31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6.07%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2.12%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3.95%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2016.01.01-2016.12.31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0.08%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2017.01.01-2017.12.31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1.73%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0.23%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2018.01.01-2018.12.31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5.50%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4.00%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2019.01.01-2019.12.31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3.39%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1.50%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1.89%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2020.01.01-2020.06.30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1.49%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0.03%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0.74%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0.75%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0.02% </w:t>
            </w:r>
          </w:p>
        </w:tc>
      </w:tr>
      <w:tr w:rsidR="007507EC" w:rsidRPr="007507EC" w:rsidTr="007507EC">
        <w:trPr>
          <w:divId w:val="2000112867"/>
        </w:trPr>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2013.04.23-2020.06.30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27.68%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0.06%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13.91%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0.01%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13.77% </w:t>
            </w:r>
          </w:p>
        </w:tc>
        <w:tc>
          <w:tcPr>
            <w:tcW w:w="0" w:type="auto"/>
            <w:shd w:val="clear" w:color="auto" w:fill="auto"/>
            <w:hideMark/>
          </w:tcPr>
          <w:p w:rsidR="007507EC" w:rsidRPr="007507EC" w:rsidRDefault="007507EC">
            <w:pPr>
              <w:jc w:val="center"/>
              <w:rPr>
                <w:rFonts w:ascii="宋体" w:eastAsia="宋体" w:hAnsi="宋体" w:cs="宋体"/>
                <w:sz w:val="24"/>
                <w:szCs w:val="24"/>
              </w:rPr>
            </w:pPr>
            <w:r w:rsidRPr="007507EC">
              <w:rPr>
                <w:rFonts w:ascii="宋体" w:eastAsia="宋体" w:hAnsi="宋体" w:hint="eastAsia"/>
              </w:rPr>
              <w:t xml:space="preserve">0.05% </w:t>
            </w:r>
          </w:p>
        </w:tc>
      </w:tr>
    </w:tbl>
    <w:p w:rsidR="007507EC" w:rsidRPr="007507EC" w:rsidRDefault="007507EC">
      <w:pPr>
        <w:pStyle w:val="a3"/>
        <w:spacing w:before="0" w:beforeAutospacing="0" w:after="0" w:afterAutospacing="0" w:line="360" w:lineRule="auto"/>
        <w:ind w:firstLine="420"/>
        <w:divId w:val="2000112867"/>
        <w:rPr>
          <w:sz w:val="21"/>
          <w:szCs w:val="21"/>
        </w:rPr>
      </w:pPr>
      <w:bookmarkStart w:id="145" w:name="chapter_level1_12_3500_section_1_end"/>
      <w:bookmarkStart w:id="146" w:name="field_0_indatatable_1_end"/>
      <w:bookmarkEnd w:id="145"/>
      <w:bookmarkEnd w:id="146"/>
      <w:r w:rsidRPr="007507EC">
        <w:rPr>
          <w:rFonts w:hint="eastAsia"/>
          <w:sz w:val="21"/>
          <w:szCs w:val="21"/>
        </w:rPr>
        <w:t xml:space="preserve">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47" w:name="chapter_level1_13_62"/>
      <w:bookmarkStart w:id="148" w:name="_Toc50543301"/>
      <w:r w:rsidRPr="007507EC">
        <w:rPr>
          <w:rFonts w:ascii="宋体" w:eastAsia="宋体" w:hAnsi="宋体" w:hint="eastAsia"/>
          <w:sz w:val="30"/>
        </w:rPr>
        <w:lastRenderedPageBreak/>
        <w:t>第十部分  基金的财产</w:t>
      </w:r>
      <w:bookmarkEnd w:id="147"/>
      <w:bookmarkEnd w:id="148"/>
    </w:p>
    <w:p w:rsidR="007507EC" w:rsidRPr="007507EC" w:rsidRDefault="007507EC">
      <w:pPr>
        <w:pStyle w:val="a3"/>
        <w:spacing w:before="0" w:beforeAutospacing="0" w:after="0" w:afterAutospacing="0" w:line="360" w:lineRule="auto"/>
        <w:ind w:firstLine="420"/>
        <w:divId w:val="606430970"/>
        <w:rPr>
          <w:sz w:val="21"/>
          <w:szCs w:val="21"/>
        </w:rPr>
      </w:pPr>
      <w:bookmarkStart w:id="149" w:name="chapter_level1_13_62_section_1"/>
      <w:bookmarkEnd w:id="149"/>
      <w:r w:rsidRPr="007507EC">
        <w:rPr>
          <w:rStyle w:val="a4"/>
          <w:rFonts w:hint="eastAsia"/>
          <w:sz w:val="21"/>
          <w:szCs w:val="21"/>
        </w:rPr>
        <w:t>一、基金资产总值</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Fonts w:hint="eastAsia"/>
          <w:sz w:val="21"/>
          <w:szCs w:val="21"/>
        </w:rPr>
        <w:t xml:space="preserve">基金资产总值是指购买的各类证券及票据价值、银行存款本息和基金应收的申购基金款以及其他投资所形成的价值总和。 </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Style w:val="a4"/>
          <w:rFonts w:hint="eastAsia"/>
          <w:sz w:val="21"/>
          <w:szCs w:val="21"/>
        </w:rPr>
        <w:t>二、基金资产净值</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Fonts w:hint="eastAsia"/>
          <w:sz w:val="21"/>
          <w:szCs w:val="21"/>
        </w:rPr>
        <w:t xml:space="preserve">基金资产净值是指基金资产总值减去基金负债后的价值。 </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Style w:val="a4"/>
          <w:rFonts w:hint="eastAsia"/>
          <w:sz w:val="21"/>
          <w:szCs w:val="21"/>
        </w:rPr>
        <w:t>三、基金财产的账户</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Fonts w:hint="eastAsia"/>
          <w:sz w:val="21"/>
          <w:szCs w:val="21"/>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Style w:val="a4"/>
          <w:rFonts w:hint="eastAsia"/>
          <w:sz w:val="21"/>
          <w:szCs w:val="21"/>
        </w:rPr>
        <w:t>四、基金财产的保管和处分</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7507EC" w:rsidRPr="007507EC" w:rsidRDefault="007507EC">
      <w:pPr>
        <w:pStyle w:val="a3"/>
        <w:spacing w:before="0" w:beforeAutospacing="0" w:after="0" w:afterAutospacing="0" w:line="360" w:lineRule="auto"/>
        <w:ind w:firstLine="420"/>
        <w:divId w:val="606430970"/>
        <w:rPr>
          <w:sz w:val="21"/>
          <w:szCs w:val="21"/>
        </w:rPr>
      </w:pPr>
      <w:r w:rsidRPr="007507EC">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50" w:name="chapter_level1_13_62_section_1_end"/>
      <w:bookmarkEnd w:id="150"/>
      <w:r w:rsidRPr="007507EC">
        <w:rPr>
          <w:rFonts w:hint="eastAsia"/>
          <w:sz w:val="21"/>
          <w:szCs w:val="21"/>
        </w:rPr>
        <w:t xml:space="preserve">得相互抵销。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51" w:name="chapter_level1_14_63"/>
      <w:bookmarkStart w:id="152" w:name="_Toc50543302"/>
      <w:r w:rsidRPr="007507EC">
        <w:rPr>
          <w:rFonts w:ascii="宋体" w:eastAsia="宋体" w:hAnsi="宋体" w:hint="eastAsia"/>
          <w:sz w:val="30"/>
        </w:rPr>
        <w:lastRenderedPageBreak/>
        <w:t>第十一部分  基金资产的估值</w:t>
      </w:r>
      <w:bookmarkEnd w:id="151"/>
      <w:bookmarkEnd w:id="152"/>
    </w:p>
    <w:p w:rsidR="007507EC" w:rsidRPr="007507EC" w:rsidRDefault="007507EC">
      <w:pPr>
        <w:pStyle w:val="a3"/>
        <w:spacing w:before="0" w:beforeAutospacing="0" w:after="0" w:afterAutospacing="0" w:line="360" w:lineRule="auto"/>
        <w:ind w:firstLine="420"/>
        <w:divId w:val="738283304"/>
        <w:rPr>
          <w:sz w:val="21"/>
          <w:szCs w:val="21"/>
        </w:rPr>
      </w:pPr>
      <w:bookmarkStart w:id="153" w:name="chapter_level1_14_63_section_1"/>
      <w:bookmarkEnd w:id="153"/>
      <w:r w:rsidRPr="007507EC">
        <w:rPr>
          <w:rStyle w:val="a4"/>
          <w:rFonts w:hint="eastAsia"/>
          <w:sz w:val="21"/>
          <w:szCs w:val="21"/>
        </w:rPr>
        <w:t>一、估值日</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本基金的估值日为本基金相关的证券交易场所的交易日以及国家法律法规规定需要对外披露基金净值的非交易日。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Style w:val="a4"/>
          <w:rFonts w:hint="eastAsia"/>
          <w:sz w:val="21"/>
          <w:szCs w:val="21"/>
        </w:rPr>
        <w:t>二、估值对象</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基金所拥有的债券和银行存款本息、应收款项、其它投资等资产及负债。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Style w:val="a4"/>
          <w:rFonts w:hint="eastAsia"/>
          <w:sz w:val="21"/>
          <w:szCs w:val="21"/>
        </w:rPr>
        <w:t>三、估值方法</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1、证券交易所上市的有价证券的估值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1）除本部分另有约定的品种外，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（2）交易所上市交易或挂牌转让的固定收益品种（基金合同另有规定的除外），选取估值日第三方估值机构提供的相应品种对应的估值净价估值，具体估值机构由基金管理人与托管人另行协商约定；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3）交易所上市交易的可转换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2、首次公开发行未上市的债券，采用估值技术确定公允价值，在估值技术难以可靠计量公允价值的情况下，按成本估值；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lastRenderedPageBreak/>
        <w:t xml:space="preserve">3、全国银行间债券市场交易的债券、资产支持证券等固定收益品种，采用估值技术确定公允价值。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4、同一债券同时在两个或两个以上市场交易的，按债券所处的市场分别估值。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5、本基金投资股指期货合约，一般以估值当日结算价进行估值，估值当日无结算价的，且最近交易日后经济环境未发生重大变化的，采用最近交易日结算价估值。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6、中小企业私募债券，采用估值技术确定公允价值。在估值技术难以可靠计量公允价值的情况下，按成本估值。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7、如有确凿证据表明按上述方法进行估值不能客观反映其公允价值的，基金管理人可根据具体情况与基金托管人商定后，按最能反映公允价值的价格估值。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8、相关法律法规以及监管部门有强制规定的，从其规定。如有新增事项，按国家最新规定估值。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7507EC" w:rsidRPr="007507EC" w:rsidRDefault="007507EC">
      <w:pPr>
        <w:pStyle w:val="a3"/>
        <w:spacing w:before="0" w:beforeAutospacing="0" w:after="0" w:afterAutospacing="0" w:line="360" w:lineRule="auto"/>
        <w:ind w:firstLine="420"/>
        <w:divId w:val="738283304"/>
        <w:rPr>
          <w:sz w:val="21"/>
          <w:szCs w:val="21"/>
        </w:rPr>
      </w:pPr>
      <w:r w:rsidRPr="007507EC">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54" w:name="chapter_level1_14_63_section_1_end"/>
      <w:bookmarkEnd w:id="154"/>
      <w:r w:rsidRPr="007507EC">
        <w:rPr>
          <w:rFonts w:hint="eastAsia"/>
          <w:sz w:val="21"/>
          <w:szCs w:val="21"/>
        </w:rPr>
        <w:t xml:space="preserve">予以公布。  </w:t>
      </w:r>
    </w:p>
    <w:p w:rsidR="007507EC" w:rsidRPr="007507EC" w:rsidRDefault="007507EC">
      <w:pPr>
        <w:pStyle w:val="a3"/>
        <w:spacing w:before="0" w:beforeAutospacing="0" w:after="0" w:afterAutospacing="0" w:line="360" w:lineRule="auto"/>
        <w:ind w:firstLine="420"/>
        <w:divId w:val="1910119315"/>
        <w:rPr>
          <w:sz w:val="21"/>
          <w:szCs w:val="21"/>
        </w:rPr>
      </w:pPr>
      <w:bookmarkStart w:id="155" w:name="chapter_level1_14_63_section_2"/>
      <w:bookmarkEnd w:id="155"/>
      <w:r w:rsidRPr="007507EC">
        <w:rPr>
          <w:rStyle w:val="a4"/>
          <w:rFonts w:hint="eastAsia"/>
          <w:sz w:val="21"/>
          <w:szCs w:val="21"/>
        </w:rPr>
        <w:t>四、估值程序</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1、基金份额净值是按照每个工作日闭市后，基金资产净值除以当日基金份额的余额数量计算，精确到</w:t>
      </w:r>
      <w:bookmarkStart w:id="156" w:name="field_63_netdecimalvalue_1"/>
      <w:r w:rsidR="00981FA3">
        <w:rPr>
          <w:sz w:val="21"/>
          <w:szCs w:val="21"/>
        </w:rPr>
        <w:t>0.00</w:t>
      </w:r>
      <w:r w:rsidR="005F023D">
        <w:rPr>
          <w:sz w:val="21"/>
          <w:szCs w:val="21"/>
        </w:rPr>
        <w:t>0</w:t>
      </w:r>
      <w:r w:rsidR="00981FA3">
        <w:rPr>
          <w:sz w:val="21"/>
          <w:szCs w:val="21"/>
        </w:rPr>
        <w:t>1</w:t>
      </w:r>
      <w:bookmarkEnd w:id="156"/>
      <w:r w:rsidRPr="007507EC">
        <w:rPr>
          <w:rFonts w:hint="eastAsia"/>
          <w:sz w:val="21"/>
          <w:szCs w:val="21"/>
        </w:rPr>
        <w:t xml:space="preserve">元，小数点后第5位四舍五入。国家另有规定的，从其规定。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每个工作日计算基金资产净值及各类基金份额的基金份额净值，并按规定公告。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基金管理人应每个工作日对基金资产估值。但基金管理人根据法律法规或基金合同的规定暂停估值时除外。基金管理人每个工作日对基金资产估值后，将各类基金份额的基金份额净值结果发送基金托管人，经基金托管人复核无误后，由基金管理人对外公布。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Style w:val="a4"/>
          <w:rFonts w:hint="eastAsia"/>
          <w:sz w:val="21"/>
          <w:szCs w:val="21"/>
        </w:rPr>
        <w:t>五、估值错误的处理</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基金管理人和基金托管人将采取必要、适当、合理的措施确保基金资产估值的准确性、及时性。当基金份额净值小数点后</w:t>
      </w:r>
      <w:r w:rsidR="005F023D">
        <w:rPr>
          <w:sz w:val="21"/>
          <w:szCs w:val="21"/>
        </w:rPr>
        <w:t>4</w:t>
      </w:r>
      <w:r w:rsidRPr="007507EC">
        <w:rPr>
          <w:rFonts w:hint="eastAsia"/>
          <w:sz w:val="21"/>
          <w:szCs w:val="21"/>
        </w:rPr>
        <w:t>位以内(含第</w:t>
      </w:r>
      <w:r w:rsidR="005F023D">
        <w:rPr>
          <w:sz w:val="21"/>
          <w:szCs w:val="21"/>
        </w:rPr>
        <w:t>4</w:t>
      </w:r>
      <w:r w:rsidRPr="007507EC">
        <w:rPr>
          <w:rFonts w:hint="eastAsia"/>
          <w:sz w:val="21"/>
          <w:szCs w:val="21"/>
        </w:rPr>
        <w:t xml:space="preserve">位)发生估值错误时，视为基金份额净值错误。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lastRenderedPageBreak/>
        <w:t xml:space="preserve">基金合同的当事人应按照以下约定处理：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1、估值错误类型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上述估值错误的主要类型包括但不限于：资料申报差错、数据传输差错、数据计算差错、系统故障差错、下达指令差错等。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2、估值错误处理原则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（2）估值错误的责任方对有关当事人的直接损失负责，不对间接损失负责，并且仅对估值错误的有关直接当事人负责，不对第三方负责。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（4）估值错误调整采用尽量恢复至假设未发生估值错误的正确情形的方式。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3、估值错误处理程序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估值错误被发现后，有关的当事人应当及时进行处理，处理的程序如下：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（1）查明估值错误发生的原因，列明所有的当事人，并根据估值错误发生的原因确定估值错误的责任方；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（2）根据估值错误处理原则或当事人协商的方法对因估值错误造成的损失进行评估；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lastRenderedPageBreak/>
        <w:t xml:space="preserve">（3）根据估值错误处理原则或当事人协商的方法由估值错误的责任方进行更正和赔偿损失；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（4）根据估值错误处理的方法，需要修改基金登记机构交易数据的，由基金登记机构进行更正，并就估值错误的更正向有关当事人进行确认。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4、基金份额净值估值错误处理的方法如下：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（1）基金份额净值计算出现错误时，基金管理人应当立即予以纠正，通报基金托管人，并采取合理的措施防止损失进一步扩大。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（3）前述内容如法律法规或监管机关另有规定的，从其规定处理。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Style w:val="a4"/>
          <w:rFonts w:hint="eastAsia"/>
          <w:sz w:val="21"/>
          <w:szCs w:val="21"/>
        </w:rPr>
        <w:t>六、暂停估值的情形</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1、基金投资所涉及的证券交易市场遇法定节假日或因其他原因暂停营业时；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2、因不可抗力致使基金管理人、基金托管人无法准确评估基金资产价值时；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3、当前一估值日基金资产净值50%以上的资产出现无可参考的活跃市场价格且采用估值技术仍导致公允价值存在重大不确定性时，经与基金托管人协商一致的，应当暂停估值；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 xml:space="preserve">4、法律法规规定、中国证监会和基金合同认定的其它情形。 </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Style w:val="a4"/>
          <w:rFonts w:hint="eastAsia"/>
          <w:sz w:val="21"/>
          <w:szCs w:val="21"/>
        </w:rPr>
        <w:t>七、基金净值的确认</w:t>
      </w:r>
    </w:p>
    <w:p w:rsidR="007507EC" w:rsidRPr="007507EC" w:rsidRDefault="007507EC">
      <w:pPr>
        <w:pStyle w:val="a3"/>
        <w:spacing w:before="0" w:beforeAutospacing="0" w:after="0" w:afterAutospacing="0" w:line="360" w:lineRule="auto"/>
        <w:ind w:firstLine="420"/>
        <w:divId w:val="1910119315"/>
        <w:rPr>
          <w:sz w:val="21"/>
          <w:szCs w:val="21"/>
        </w:rPr>
      </w:pPr>
      <w:r w:rsidRPr="007507EC">
        <w:rPr>
          <w:rFonts w:hint="eastAsia"/>
          <w:sz w:val="21"/>
          <w:szCs w:val="21"/>
        </w:rPr>
        <w:t>基金资产净值和各类基金份额的基金份额净值由基金管理人负责计算，基金托管人负责进行复核。基金管理人应于每个开放日交易结束后计算当日的基金资产净值和各类基金份额的基金份额净值并发送给基金托管人。基金托管人对净值计算结果复核确认后发送给基金管</w:t>
      </w:r>
      <w:bookmarkStart w:id="157" w:name="chapter_level1_14_63_section_2_end"/>
      <w:bookmarkEnd w:id="157"/>
      <w:r w:rsidRPr="007507EC">
        <w:rPr>
          <w:rFonts w:hint="eastAsia"/>
          <w:sz w:val="21"/>
          <w:szCs w:val="21"/>
        </w:rPr>
        <w:t xml:space="preserve">理人，由基金管理人按规定对基金净值予以公布。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58" w:name="chapter_level1_15_64"/>
      <w:bookmarkStart w:id="159" w:name="_Toc50543303"/>
      <w:r w:rsidRPr="007507EC">
        <w:rPr>
          <w:rFonts w:ascii="宋体" w:eastAsia="宋体" w:hAnsi="宋体" w:hint="eastAsia"/>
          <w:sz w:val="30"/>
        </w:rPr>
        <w:lastRenderedPageBreak/>
        <w:t>第十二部分  基金的收益与分配</w:t>
      </w:r>
      <w:bookmarkEnd w:id="158"/>
      <w:bookmarkEnd w:id="159"/>
    </w:p>
    <w:p w:rsidR="007507EC" w:rsidRPr="007507EC" w:rsidRDefault="007507EC">
      <w:pPr>
        <w:pStyle w:val="a3"/>
        <w:spacing w:before="0" w:beforeAutospacing="0" w:after="0" w:afterAutospacing="0" w:line="360" w:lineRule="auto"/>
        <w:ind w:firstLine="420"/>
        <w:divId w:val="258413881"/>
        <w:rPr>
          <w:sz w:val="21"/>
          <w:szCs w:val="21"/>
        </w:rPr>
      </w:pPr>
      <w:bookmarkStart w:id="160" w:name="chapter_level1_15_64_section_1"/>
      <w:bookmarkEnd w:id="160"/>
      <w:r w:rsidRPr="007507EC">
        <w:rPr>
          <w:rStyle w:val="a4"/>
          <w:rFonts w:hint="eastAsia"/>
          <w:sz w:val="21"/>
          <w:szCs w:val="21"/>
        </w:rPr>
        <w:t>一、基金利润的构成</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Style w:val="a4"/>
          <w:rFonts w:hint="eastAsia"/>
          <w:sz w:val="21"/>
          <w:szCs w:val="21"/>
        </w:rPr>
        <w:t>二、基金可供分配利润</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基金可供分配利润指截至收益分配基准日基金未分配利润与未分配利润中已实现收益的孰低数。 </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Style w:val="a4"/>
          <w:rFonts w:hint="eastAsia"/>
          <w:sz w:val="21"/>
          <w:szCs w:val="21"/>
        </w:rPr>
        <w:t>三、基金收益分配原则</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1、在符合有关基金分红条件的前提下，本基金每年收益分配次数最多为4次，每次收益分配比例不得低于该次可供分配利润的50%，若《基金合同》生效不满3个月可不进行收益分配； </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2、本基金收益分配方式分两种：现金分红与红利再投资，投资者可选择现金红利或将现金红利自动转为基金份额进行再投资；若投资者不选择，本基金默认的收益分配方式是现金分红； </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3、基金收益分配后基金份额净值不能低于面值；即基金收益分配基准日的基金份额净值减去每单位基金份额收益分配金额后不能低于面值。 </w:t>
      </w:r>
    </w:p>
    <w:p w:rsidR="007507EC" w:rsidRPr="007507EC" w:rsidRDefault="007507EC">
      <w:pPr>
        <w:pStyle w:val="a3"/>
        <w:spacing w:before="0" w:beforeAutospacing="0" w:after="0" w:afterAutospacing="0" w:line="360" w:lineRule="auto"/>
        <w:ind w:firstLine="420"/>
        <w:divId w:val="258413881"/>
        <w:rPr>
          <w:sz w:val="21"/>
          <w:szCs w:val="21"/>
        </w:rPr>
      </w:pPr>
      <w:r w:rsidRPr="007507EC">
        <w:rPr>
          <w:rFonts w:hint="eastAsia"/>
          <w:sz w:val="21"/>
          <w:szCs w:val="21"/>
        </w:rPr>
        <w:t xml:space="preserve">4、由于本基金A类基金份额不收取销售服务费，C类基金份额收取销售服务费，各基金份额类别对应的可分配收益将有所不同。本基金同一基金份额类别的每一基金份额享有同等分配权； </w:t>
      </w:r>
    </w:p>
    <w:p w:rsidR="007507EC" w:rsidRPr="007507EC" w:rsidRDefault="007507EC">
      <w:pPr>
        <w:pStyle w:val="a3"/>
        <w:spacing w:before="0" w:beforeAutospacing="0" w:after="0" w:afterAutospacing="0" w:line="360" w:lineRule="auto"/>
        <w:ind w:firstLine="420"/>
        <w:divId w:val="258413881"/>
        <w:rPr>
          <w:sz w:val="21"/>
          <w:szCs w:val="21"/>
        </w:rPr>
      </w:pPr>
      <w:bookmarkStart w:id="161" w:name="chapter_level1_15_64_section_1_end"/>
      <w:bookmarkEnd w:id="161"/>
      <w:r w:rsidRPr="007507EC">
        <w:rPr>
          <w:rFonts w:hint="eastAsia"/>
          <w:sz w:val="21"/>
          <w:szCs w:val="21"/>
        </w:rPr>
        <w:t xml:space="preserve">5、法律法规或监管机关另有规定的，从其规定。 </w:t>
      </w:r>
    </w:p>
    <w:p w:rsidR="007507EC" w:rsidRPr="007507EC" w:rsidRDefault="007507EC">
      <w:pPr>
        <w:pStyle w:val="a3"/>
        <w:spacing w:before="0" w:beforeAutospacing="0" w:after="0" w:afterAutospacing="0" w:line="360" w:lineRule="auto"/>
        <w:ind w:firstLine="420"/>
        <w:divId w:val="504438002"/>
        <w:rPr>
          <w:sz w:val="21"/>
          <w:szCs w:val="21"/>
        </w:rPr>
      </w:pPr>
      <w:bookmarkStart w:id="162" w:name="chapter_level1_15_64_section_2"/>
      <w:bookmarkEnd w:id="162"/>
      <w:r w:rsidRPr="007507EC">
        <w:rPr>
          <w:rStyle w:val="a4"/>
          <w:rFonts w:hint="eastAsia"/>
          <w:sz w:val="21"/>
          <w:szCs w:val="21"/>
        </w:rPr>
        <w:t>四、收益分配方案</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Fonts w:hint="eastAsia"/>
          <w:sz w:val="21"/>
          <w:szCs w:val="21"/>
        </w:rPr>
        <w:t xml:space="preserve">基金收益分配方案中应载明截止收益分配基准日的可供分配利润、基金收益分配对象、分配时间、分配数额及比例、分配方式等内容。 </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Style w:val="a4"/>
          <w:rFonts w:hint="eastAsia"/>
          <w:sz w:val="21"/>
          <w:szCs w:val="21"/>
        </w:rPr>
        <w:t>五、收益分配方案的确定、公告与实施</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Fonts w:hint="eastAsia"/>
          <w:sz w:val="21"/>
          <w:szCs w:val="21"/>
        </w:rPr>
        <w:t xml:space="preserve">本基金收益分配方案由基金管理人拟定，并由基金托管人复核，按规定在指定媒介公告。 </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Fonts w:hint="eastAsia"/>
          <w:sz w:val="21"/>
          <w:szCs w:val="21"/>
        </w:rPr>
        <w:t xml:space="preserve">基金红利发放日距离收益分配基准日（即可供分配利润计算截止日）的时间不得超过15个工作日。 </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Style w:val="a4"/>
          <w:rFonts w:hint="eastAsia"/>
          <w:sz w:val="21"/>
          <w:szCs w:val="21"/>
        </w:rPr>
        <w:t>六、基金收益分配中发生的费用</w:t>
      </w:r>
    </w:p>
    <w:p w:rsidR="007507EC" w:rsidRPr="007507EC" w:rsidRDefault="007507EC">
      <w:pPr>
        <w:pStyle w:val="a3"/>
        <w:spacing w:before="0" w:beforeAutospacing="0" w:after="0" w:afterAutospacing="0" w:line="360" w:lineRule="auto"/>
        <w:ind w:firstLine="420"/>
        <w:divId w:val="504438002"/>
        <w:rPr>
          <w:sz w:val="21"/>
          <w:szCs w:val="21"/>
        </w:rPr>
      </w:pPr>
      <w:r w:rsidRPr="007507EC">
        <w:rPr>
          <w:rFonts w:hint="eastAsia"/>
          <w:sz w:val="21"/>
          <w:szCs w:val="21"/>
        </w:rPr>
        <w:lastRenderedPageBreak/>
        <w:t>基金收益分配时所发生的银行转账或其他手续费用由投资人自行承担。当投资人的现金红利小于一定金额，不足于支付银行转账或其他手续费用时，基金登记机构可将基金份额持</w:t>
      </w:r>
      <w:bookmarkStart w:id="163" w:name="chapter_level1_15_64_section_2_end"/>
      <w:bookmarkEnd w:id="163"/>
      <w:r w:rsidRPr="007507EC">
        <w:rPr>
          <w:rFonts w:hint="eastAsia"/>
          <w:sz w:val="21"/>
          <w:szCs w:val="21"/>
        </w:rPr>
        <w:t xml:space="preserve">有人的现金红利自动转为基金份额。红利再投资的计算方法，依照《业务规则》执行。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64" w:name="chapter_level1_16_65"/>
      <w:bookmarkStart w:id="165" w:name="_Toc50543304"/>
      <w:r w:rsidRPr="007507EC">
        <w:rPr>
          <w:rFonts w:ascii="宋体" w:eastAsia="宋体" w:hAnsi="宋体" w:hint="eastAsia"/>
          <w:sz w:val="30"/>
        </w:rPr>
        <w:lastRenderedPageBreak/>
        <w:t>第十三部分  基金费用与税收</w:t>
      </w:r>
      <w:bookmarkEnd w:id="164"/>
      <w:bookmarkEnd w:id="165"/>
    </w:p>
    <w:p w:rsidR="007507EC" w:rsidRPr="007507EC" w:rsidRDefault="007507EC">
      <w:pPr>
        <w:pStyle w:val="a3"/>
        <w:spacing w:before="0" w:beforeAutospacing="0" w:after="0" w:afterAutospacing="0" w:line="360" w:lineRule="auto"/>
        <w:ind w:firstLine="420"/>
        <w:divId w:val="1136147803"/>
        <w:rPr>
          <w:sz w:val="21"/>
          <w:szCs w:val="21"/>
        </w:rPr>
      </w:pPr>
      <w:bookmarkStart w:id="166" w:name="chapter_level1_16_65_section_1"/>
      <w:bookmarkEnd w:id="166"/>
      <w:r w:rsidRPr="007507EC">
        <w:rPr>
          <w:rFonts w:hint="eastAsia"/>
          <w:b/>
          <w:bCs/>
          <w:sz w:val="21"/>
          <w:szCs w:val="21"/>
        </w:rPr>
        <w:t>一、与基金运作有关的费用</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（一）、基金费用的种类</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1、基金管理人的管理费；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2、基金托管人的托管费；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3、C类基金份额的销售服务费；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4、《基金合同》生效后与基金相关的信息披露费用，法律法规、中国证监会另有规定的除外；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5、《基金合同》生效后与基金相关的会计师费、律师费和诉讼费；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6、基金份额持有人大会费用；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7、基金的证券交易费用；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8、基金的银行汇划费用；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9、基金的开户费用、账户维护费用；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10、按照国家有关规定和《基金合同》约定，可以在基金财产中列支的其他费用。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（二）、基金费用计提方法、计提标准和支付方式</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1、基金管理人的管理费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本基金的管理费按前一日基金资产净值的</w:t>
      </w:r>
      <w:bookmarkStart w:id="167" w:name="field_0_managementrate_1"/>
      <w:r w:rsidR="00981FA3">
        <w:rPr>
          <w:sz w:val="21"/>
          <w:szCs w:val="21"/>
        </w:rPr>
        <w:t>0.30</w:t>
      </w:r>
      <w:bookmarkEnd w:id="167"/>
      <w:r w:rsidRPr="007507EC">
        <w:rPr>
          <w:rFonts w:hint="eastAsia"/>
          <w:sz w:val="21"/>
          <w:szCs w:val="21"/>
        </w:rPr>
        <w:t xml:space="preserve">%年费率计提。管理费的计算方法如下：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H＝E×</w:t>
      </w:r>
      <w:bookmarkStart w:id="168" w:name="field_0_managementrate_2"/>
      <w:r w:rsidR="00981FA3">
        <w:rPr>
          <w:sz w:val="21"/>
          <w:szCs w:val="21"/>
        </w:rPr>
        <w:t>0.30</w:t>
      </w:r>
      <w:bookmarkEnd w:id="168"/>
      <w:r w:rsidRPr="007507EC">
        <w:rPr>
          <w:rFonts w:hint="eastAsia"/>
          <w:sz w:val="21"/>
          <w:szCs w:val="21"/>
        </w:rPr>
        <w:t xml:space="preserve">%÷当年天数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H为每日应计提的基金管理费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E为前一日的基金资产净值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管理费每日计算，逐日累计至每月月末，按月支付，由基金管理人向基金托管人发送基金管理费划款指令，基金托管人复核后于次月前3个工作日内从基金财产中一次性支付给基金管理人。若遇法定节假日、公休假等,支付日期顺延。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2、基金托管人的托管费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本基金的托管费按前一日基金资产净值的</w:t>
      </w:r>
      <w:bookmarkStart w:id="169" w:name="field_0_trusteerate_1"/>
      <w:r w:rsidR="00981FA3">
        <w:rPr>
          <w:sz w:val="21"/>
          <w:szCs w:val="21"/>
        </w:rPr>
        <w:t>0.08</w:t>
      </w:r>
      <w:bookmarkEnd w:id="169"/>
      <w:r w:rsidRPr="007507EC">
        <w:rPr>
          <w:rFonts w:hint="eastAsia"/>
          <w:sz w:val="21"/>
          <w:szCs w:val="21"/>
        </w:rPr>
        <w:t xml:space="preserve">%的年费率计提。托管费的计算方法如下：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H＝E×</w:t>
      </w:r>
      <w:bookmarkStart w:id="170" w:name="field_0_trusteerate_2"/>
      <w:r w:rsidR="00981FA3">
        <w:rPr>
          <w:sz w:val="21"/>
          <w:szCs w:val="21"/>
        </w:rPr>
        <w:t>0.08</w:t>
      </w:r>
      <w:bookmarkEnd w:id="170"/>
      <w:r w:rsidRPr="007507EC">
        <w:rPr>
          <w:rFonts w:hint="eastAsia"/>
          <w:sz w:val="21"/>
          <w:szCs w:val="21"/>
        </w:rPr>
        <w:t xml:space="preserve">%÷当年天数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lastRenderedPageBreak/>
        <w:t xml:space="preserve">H为每日应计提的基金托管费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E为前一日的基金资产净值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托管费每日计算，逐日累计至每月月末，按月支付，由基金管理人向基金托管人发送基金托管费划款指令，基金托管人复核后于次月前3个工作日内从基金财产中一次性支取。若遇法定节假日、公休日等,支付日期顺延。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3、C类份额的销售服务费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本基金A类基金份额不收取销售服务费，C类基金份额的销售服务费年费率为0.40%。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本基金销售服务费按前一日C类基金资产净值的0.40%年费率计提。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计算方法如下：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H＝E×年销售服务费率÷当年天数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H为C类基金份额每日应计提的销售服务费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E为C类基金份额前一日基金资产净值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销售服务费每日计提，按月支付。由基金管理人向基金托管人发送基金销售服务费划付指令，经基金托管人复核后于次月首日起3个工作日内从基金财产中一次性划出，由登记机构代收，登记机构收到后按相关合同规定支付给基金销售机构。若遇法定节假日、公休日等，支付日期顺延。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销售服务费主要用于本基金持续销售以及基金份额持有人服务等各项费用。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上述“一、基金费用的种类中第4－10项费用”，根据有关法规及相应协议规定，按费用实际支出金额列入当期费用，由基金托管人从基金财产中支付。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二、与基金销售有关的费用</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1、申购费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本基金基金份额申购费率最高不超过5％，投资人可以多次申购本基金，申购费率按每笔申购申请单独计算。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本基金基金份额采用前端收费模式收取基金申购费用。  </w:t>
      </w:r>
    </w:p>
    <w:p w:rsidR="007507EC" w:rsidRPr="007507EC" w:rsidRDefault="007507EC">
      <w:pPr>
        <w:pStyle w:val="a3"/>
        <w:spacing w:before="0" w:beforeAutospacing="0" w:after="0" w:afterAutospacing="0" w:line="360" w:lineRule="auto"/>
        <w:ind w:firstLine="420"/>
        <w:jc w:val="center"/>
        <w:divId w:val="1136147803"/>
        <w:rPr>
          <w:sz w:val="21"/>
          <w:szCs w:val="21"/>
        </w:rPr>
      </w:pPr>
      <w:r w:rsidRPr="007507EC">
        <w:rPr>
          <w:rFonts w:hint="eastAsia"/>
          <w:sz w:val="21"/>
          <w:szCs w:val="21"/>
        </w:rPr>
        <w:t xml:space="preserve">表：本基金份额的申购费率  </w:t>
      </w:r>
    </w:p>
    <w:tbl>
      <w:tblPr>
        <w:tblStyle w:val="a9"/>
        <w:tblW w:w="5000" w:type="pct"/>
        <w:tblLook w:val="04A0" w:firstRow="1" w:lastRow="0" w:firstColumn="1" w:lastColumn="0" w:noHBand="0" w:noVBand="1"/>
      </w:tblPr>
      <w:tblGrid>
        <w:gridCol w:w="4088"/>
        <w:gridCol w:w="4428"/>
      </w:tblGrid>
      <w:tr w:rsidR="007507EC" w:rsidRPr="007507EC" w:rsidTr="007507EC">
        <w:trPr>
          <w:divId w:val="850996047"/>
        </w:trPr>
        <w:tc>
          <w:tcPr>
            <w:tcW w:w="5000" w:type="pct"/>
            <w:gridSpan w:val="2"/>
            <w:shd w:val="clear" w:color="auto" w:fill="auto"/>
            <w:hideMark/>
          </w:tcPr>
          <w:p w:rsidR="007507EC" w:rsidRPr="007507EC" w:rsidRDefault="007507EC">
            <w:pPr>
              <w:pStyle w:val="a3"/>
              <w:jc w:val="center"/>
            </w:pPr>
            <w:r w:rsidRPr="007507EC">
              <w:rPr>
                <w:rFonts w:hint="eastAsia"/>
                <w:b/>
                <w:bCs/>
              </w:rPr>
              <w:t>A类基金份额</w:t>
            </w:r>
          </w:p>
        </w:tc>
      </w:tr>
      <w:tr w:rsidR="007507EC" w:rsidRPr="007507EC" w:rsidTr="007507EC">
        <w:trPr>
          <w:divId w:val="850996047"/>
        </w:trPr>
        <w:tc>
          <w:tcPr>
            <w:tcW w:w="2400" w:type="pct"/>
            <w:shd w:val="clear" w:color="auto" w:fill="auto"/>
            <w:hideMark/>
          </w:tcPr>
          <w:p w:rsidR="007507EC" w:rsidRPr="007507EC" w:rsidRDefault="007507EC">
            <w:pPr>
              <w:pStyle w:val="a3"/>
              <w:jc w:val="center"/>
            </w:pPr>
            <w:r w:rsidRPr="007507EC">
              <w:rPr>
                <w:rFonts w:hint="eastAsia"/>
              </w:rPr>
              <w:t xml:space="preserve">金额（M）  </w:t>
            </w:r>
          </w:p>
        </w:tc>
        <w:tc>
          <w:tcPr>
            <w:tcW w:w="2550" w:type="pct"/>
            <w:shd w:val="clear" w:color="auto" w:fill="auto"/>
            <w:hideMark/>
          </w:tcPr>
          <w:p w:rsidR="007507EC" w:rsidRPr="007507EC" w:rsidRDefault="007507EC">
            <w:pPr>
              <w:pStyle w:val="a3"/>
              <w:jc w:val="center"/>
            </w:pPr>
            <w:r w:rsidRPr="007507EC">
              <w:rPr>
                <w:rFonts w:hint="eastAsia"/>
              </w:rPr>
              <w:t xml:space="preserve">申购费率  </w:t>
            </w:r>
          </w:p>
        </w:tc>
      </w:tr>
      <w:tr w:rsidR="007507EC" w:rsidRPr="007507EC" w:rsidTr="007507EC">
        <w:trPr>
          <w:divId w:val="850996047"/>
        </w:trPr>
        <w:tc>
          <w:tcPr>
            <w:tcW w:w="2400" w:type="pct"/>
            <w:shd w:val="clear" w:color="auto" w:fill="auto"/>
            <w:hideMark/>
          </w:tcPr>
          <w:p w:rsidR="007507EC" w:rsidRPr="007507EC" w:rsidRDefault="007507EC">
            <w:pPr>
              <w:pStyle w:val="a3"/>
              <w:jc w:val="center"/>
            </w:pPr>
            <w:r w:rsidRPr="007507EC">
              <w:rPr>
                <w:rFonts w:hint="eastAsia"/>
              </w:rPr>
              <w:t xml:space="preserve">M＜100万元  </w:t>
            </w:r>
          </w:p>
        </w:tc>
        <w:tc>
          <w:tcPr>
            <w:tcW w:w="2550" w:type="pct"/>
            <w:shd w:val="clear" w:color="auto" w:fill="auto"/>
            <w:hideMark/>
          </w:tcPr>
          <w:p w:rsidR="007507EC" w:rsidRPr="007507EC" w:rsidRDefault="007507EC">
            <w:pPr>
              <w:pStyle w:val="a3"/>
              <w:jc w:val="center"/>
            </w:pPr>
            <w:r w:rsidRPr="007507EC">
              <w:rPr>
                <w:rFonts w:hint="eastAsia"/>
              </w:rPr>
              <w:t xml:space="preserve">0.30%  </w:t>
            </w:r>
          </w:p>
        </w:tc>
      </w:tr>
      <w:tr w:rsidR="007507EC" w:rsidRPr="007507EC" w:rsidTr="007507EC">
        <w:trPr>
          <w:divId w:val="850996047"/>
        </w:trPr>
        <w:tc>
          <w:tcPr>
            <w:tcW w:w="2400" w:type="pct"/>
            <w:shd w:val="clear" w:color="auto" w:fill="auto"/>
            <w:hideMark/>
          </w:tcPr>
          <w:p w:rsidR="007507EC" w:rsidRPr="007507EC" w:rsidRDefault="007507EC">
            <w:pPr>
              <w:pStyle w:val="a3"/>
              <w:jc w:val="center"/>
            </w:pPr>
            <w:r w:rsidRPr="007507EC">
              <w:rPr>
                <w:rFonts w:hint="eastAsia"/>
              </w:rPr>
              <w:t xml:space="preserve">100万元≤M＜500万元  </w:t>
            </w:r>
          </w:p>
        </w:tc>
        <w:tc>
          <w:tcPr>
            <w:tcW w:w="2550" w:type="pct"/>
            <w:shd w:val="clear" w:color="auto" w:fill="auto"/>
            <w:hideMark/>
          </w:tcPr>
          <w:p w:rsidR="007507EC" w:rsidRPr="007507EC" w:rsidRDefault="007507EC">
            <w:pPr>
              <w:pStyle w:val="a3"/>
              <w:jc w:val="center"/>
            </w:pPr>
            <w:r w:rsidRPr="007507EC">
              <w:rPr>
                <w:rFonts w:hint="eastAsia"/>
              </w:rPr>
              <w:t xml:space="preserve">0.15%  </w:t>
            </w:r>
          </w:p>
        </w:tc>
      </w:tr>
      <w:tr w:rsidR="007507EC" w:rsidRPr="007507EC" w:rsidTr="007507EC">
        <w:trPr>
          <w:divId w:val="850996047"/>
        </w:trPr>
        <w:tc>
          <w:tcPr>
            <w:tcW w:w="2400" w:type="pct"/>
            <w:shd w:val="clear" w:color="auto" w:fill="auto"/>
            <w:hideMark/>
          </w:tcPr>
          <w:p w:rsidR="007507EC" w:rsidRPr="007507EC" w:rsidRDefault="007507EC">
            <w:pPr>
              <w:pStyle w:val="a3"/>
              <w:jc w:val="center"/>
            </w:pPr>
            <w:r w:rsidRPr="007507EC">
              <w:rPr>
                <w:rFonts w:hint="eastAsia"/>
              </w:rPr>
              <w:t xml:space="preserve">500万元≤M＜1000万元  </w:t>
            </w:r>
          </w:p>
        </w:tc>
        <w:tc>
          <w:tcPr>
            <w:tcW w:w="2550" w:type="pct"/>
            <w:shd w:val="clear" w:color="auto" w:fill="auto"/>
            <w:hideMark/>
          </w:tcPr>
          <w:p w:rsidR="007507EC" w:rsidRPr="007507EC" w:rsidRDefault="007507EC">
            <w:pPr>
              <w:pStyle w:val="a3"/>
              <w:jc w:val="center"/>
            </w:pPr>
            <w:r w:rsidRPr="007507EC">
              <w:rPr>
                <w:rFonts w:hint="eastAsia"/>
              </w:rPr>
              <w:t xml:space="preserve">0.10%  </w:t>
            </w:r>
          </w:p>
        </w:tc>
      </w:tr>
      <w:tr w:rsidR="007507EC" w:rsidRPr="007507EC" w:rsidTr="007507EC">
        <w:trPr>
          <w:divId w:val="850996047"/>
        </w:trPr>
        <w:tc>
          <w:tcPr>
            <w:tcW w:w="2400" w:type="pct"/>
            <w:shd w:val="clear" w:color="auto" w:fill="auto"/>
            <w:hideMark/>
          </w:tcPr>
          <w:p w:rsidR="007507EC" w:rsidRPr="007507EC" w:rsidRDefault="007507EC">
            <w:pPr>
              <w:pStyle w:val="a3"/>
              <w:jc w:val="center"/>
            </w:pPr>
            <w:r w:rsidRPr="007507EC">
              <w:rPr>
                <w:rFonts w:hint="eastAsia"/>
              </w:rPr>
              <w:t xml:space="preserve">M≥1000万元  </w:t>
            </w:r>
          </w:p>
        </w:tc>
        <w:tc>
          <w:tcPr>
            <w:tcW w:w="2550" w:type="pct"/>
            <w:shd w:val="clear" w:color="auto" w:fill="auto"/>
            <w:hideMark/>
          </w:tcPr>
          <w:p w:rsidR="007507EC" w:rsidRPr="007507EC" w:rsidRDefault="007507EC">
            <w:pPr>
              <w:pStyle w:val="a3"/>
              <w:jc w:val="center"/>
            </w:pPr>
            <w:r w:rsidRPr="007507EC">
              <w:rPr>
                <w:rFonts w:hint="eastAsia"/>
              </w:rPr>
              <w:t xml:space="preserve">1000元/笔  </w:t>
            </w:r>
          </w:p>
        </w:tc>
      </w:tr>
      <w:tr w:rsidR="007507EC" w:rsidRPr="007507EC" w:rsidTr="007507EC">
        <w:trPr>
          <w:divId w:val="850996047"/>
        </w:trPr>
        <w:tc>
          <w:tcPr>
            <w:tcW w:w="5000" w:type="pct"/>
            <w:gridSpan w:val="2"/>
            <w:shd w:val="clear" w:color="auto" w:fill="auto"/>
            <w:hideMark/>
          </w:tcPr>
          <w:p w:rsidR="007507EC" w:rsidRPr="007507EC" w:rsidRDefault="007507EC">
            <w:pPr>
              <w:pStyle w:val="a3"/>
              <w:jc w:val="center"/>
            </w:pPr>
            <w:r w:rsidRPr="007507EC">
              <w:rPr>
                <w:rFonts w:hint="eastAsia"/>
                <w:b/>
                <w:bCs/>
              </w:rPr>
              <w:lastRenderedPageBreak/>
              <w:t>C类基金份额</w:t>
            </w:r>
          </w:p>
        </w:tc>
      </w:tr>
      <w:tr w:rsidR="007507EC" w:rsidRPr="007507EC" w:rsidTr="007507EC">
        <w:trPr>
          <w:divId w:val="850996047"/>
        </w:trPr>
        <w:tc>
          <w:tcPr>
            <w:tcW w:w="5000" w:type="pct"/>
            <w:gridSpan w:val="2"/>
            <w:shd w:val="clear" w:color="auto" w:fill="auto"/>
            <w:hideMark/>
          </w:tcPr>
          <w:p w:rsidR="007507EC" w:rsidRPr="007507EC" w:rsidRDefault="007507EC">
            <w:pPr>
              <w:pStyle w:val="a3"/>
              <w:jc w:val="center"/>
            </w:pPr>
            <w:r w:rsidRPr="007507EC">
              <w:rPr>
                <w:rFonts w:hint="eastAsia"/>
              </w:rPr>
              <w:t xml:space="preserve">申购费率为零  </w:t>
            </w:r>
          </w:p>
        </w:tc>
      </w:tr>
    </w:tbl>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本基金的申购费用由投资人承担，主要用于本基金的市场推广、销售、注册登记等各项费用，不列入基金财产。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2、赎回费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本基金基金份额赎回费率最高不超过5%。赎回费率见下表：  </w:t>
      </w:r>
    </w:p>
    <w:p w:rsidR="007507EC" w:rsidRPr="007507EC" w:rsidRDefault="007507EC">
      <w:pPr>
        <w:pStyle w:val="a3"/>
        <w:spacing w:before="0" w:beforeAutospacing="0" w:after="0" w:afterAutospacing="0" w:line="360" w:lineRule="auto"/>
        <w:ind w:firstLine="420"/>
        <w:jc w:val="center"/>
        <w:divId w:val="1136147803"/>
        <w:rPr>
          <w:sz w:val="21"/>
          <w:szCs w:val="21"/>
        </w:rPr>
      </w:pPr>
      <w:r w:rsidRPr="007507EC">
        <w:rPr>
          <w:rFonts w:hint="eastAsia"/>
          <w:sz w:val="21"/>
          <w:szCs w:val="21"/>
        </w:rPr>
        <w:t xml:space="preserve">表：本基金份额的赎回费率结构  </w:t>
      </w:r>
    </w:p>
    <w:tbl>
      <w:tblPr>
        <w:tblStyle w:val="a9"/>
        <w:tblW w:w="8761" w:type="dxa"/>
        <w:tblLook w:val="04A0" w:firstRow="1" w:lastRow="0" w:firstColumn="1" w:lastColumn="0" w:noHBand="0" w:noVBand="1"/>
      </w:tblPr>
      <w:tblGrid>
        <w:gridCol w:w="4669"/>
        <w:gridCol w:w="222"/>
        <w:gridCol w:w="3870"/>
      </w:tblGrid>
      <w:tr w:rsidR="007507EC" w:rsidRPr="007507EC" w:rsidTr="007507EC">
        <w:trPr>
          <w:divId w:val="1054964539"/>
        </w:trPr>
        <w:tc>
          <w:tcPr>
            <w:tcW w:w="4785" w:type="dxa"/>
            <w:shd w:val="clear" w:color="auto" w:fill="auto"/>
            <w:hideMark/>
          </w:tcPr>
          <w:p w:rsidR="007507EC" w:rsidRPr="007507EC" w:rsidRDefault="007507EC">
            <w:pPr>
              <w:pStyle w:val="a3"/>
              <w:jc w:val="center"/>
            </w:pPr>
            <w:r w:rsidRPr="007507EC">
              <w:rPr>
                <w:rFonts w:hint="eastAsia"/>
              </w:rPr>
              <w:t xml:space="preserve">持有期间（M）  </w:t>
            </w:r>
          </w:p>
        </w:tc>
        <w:tc>
          <w:tcPr>
            <w:tcW w:w="3975" w:type="dxa"/>
            <w:gridSpan w:val="2"/>
            <w:shd w:val="clear" w:color="auto" w:fill="auto"/>
            <w:hideMark/>
          </w:tcPr>
          <w:p w:rsidR="007507EC" w:rsidRPr="007507EC" w:rsidRDefault="007507EC">
            <w:pPr>
              <w:pStyle w:val="a3"/>
              <w:jc w:val="center"/>
            </w:pPr>
            <w:r w:rsidRPr="007507EC">
              <w:rPr>
                <w:rFonts w:hint="eastAsia"/>
              </w:rPr>
              <w:t xml:space="preserve">A类基金份额的赎回费率  </w:t>
            </w:r>
          </w:p>
        </w:tc>
      </w:tr>
      <w:tr w:rsidR="007507EC" w:rsidRPr="007507EC" w:rsidTr="007507EC">
        <w:trPr>
          <w:divId w:val="1054964539"/>
        </w:trPr>
        <w:tc>
          <w:tcPr>
            <w:tcW w:w="4785" w:type="dxa"/>
            <w:shd w:val="clear" w:color="auto" w:fill="auto"/>
            <w:hideMark/>
          </w:tcPr>
          <w:p w:rsidR="007507EC" w:rsidRPr="007507EC" w:rsidRDefault="007507EC">
            <w:pPr>
              <w:pStyle w:val="a3"/>
              <w:jc w:val="center"/>
            </w:pPr>
            <w:r w:rsidRPr="007507EC">
              <w:rPr>
                <w:rFonts w:hint="eastAsia"/>
              </w:rPr>
              <w:t xml:space="preserve">Y＜7天  </w:t>
            </w:r>
          </w:p>
        </w:tc>
        <w:tc>
          <w:tcPr>
            <w:tcW w:w="3975" w:type="dxa"/>
            <w:gridSpan w:val="2"/>
            <w:shd w:val="clear" w:color="auto" w:fill="auto"/>
            <w:hideMark/>
          </w:tcPr>
          <w:p w:rsidR="007507EC" w:rsidRPr="007507EC" w:rsidRDefault="007507EC">
            <w:pPr>
              <w:pStyle w:val="a3"/>
              <w:jc w:val="center"/>
            </w:pPr>
            <w:r w:rsidRPr="007507EC">
              <w:rPr>
                <w:rFonts w:hint="eastAsia"/>
              </w:rPr>
              <w:t xml:space="preserve">1.50%  </w:t>
            </w:r>
          </w:p>
        </w:tc>
      </w:tr>
      <w:tr w:rsidR="007507EC" w:rsidRPr="007507EC" w:rsidTr="007507EC">
        <w:trPr>
          <w:divId w:val="1054964539"/>
        </w:trPr>
        <w:tc>
          <w:tcPr>
            <w:tcW w:w="4785" w:type="dxa"/>
            <w:shd w:val="clear" w:color="auto" w:fill="auto"/>
            <w:hideMark/>
          </w:tcPr>
          <w:p w:rsidR="007507EC" w:rsidRPr="007507EC" w:rsidRDefault="007507EC">
            <w:pPr>
              <w:pStyle w:val="a3"/>
              <w:jc w:val="center"/>
            </w:pPr>
            <w:r w:rsidRPr="007507EC">
              <w:rPr>
                <w:rFonts w:hint="eastAsia"/>
              </w:rPr>
              <w:t xml:space="preserve">7天≤Y＜0.5年  </w:t>
            </w:r>
          </w:p>
        </w:tc>
        <w:tc>
          <w:tcPr>
            <w:tcW w:w="3975" w:type="dxa"/>
            <w:gridSpan w:val="2"/>
            <w:shd w:val="clear" w:color="auto" w:fill="auto"/>
            <w:hideMark/>
          </w:tcPr>
          <w:p w:rsidR="007507EC" w:rsidRPr="007507EC" w:rsidRDefault="007507EC">
            <w:pPr>
              <w:pStyle w:val="a3"/>
              <w:jc w:val="center"/>
            </w:pPr>
            <w:r w:rsidRPr="007507EC">
              <w:rPr>
                <w:rFonts w:hint="eastAsia"/>
              </w:rPr>
              <w:t xml:space="preserve">0.10%  </w:t>
            </w:r>
          </w:p>
        </w:tc>
      </w:tr>
      <w:tr w:rsidR="007507EC" w:rsidRPr="007507EC" w:rsidTr="007507EC">
        <w:trPr>
          <w:divId w:val="1054964539"/>
        </w:trPr>
        <w:tc>
          <w:tcPr>
            <w:tcW w:w="4785" w:type="dxa"/>
            <w:shd w:val="clear" w:color="auto" w:fill="auto"/>
            <w:hideMark/>
          </w:tcPr>
          <w:p w:rsidR="007507EC" w:rsidRPr="007507EC" w:rsidRDefault="007507EC">
            <w:pPr>
              <w:pStyle w:val="a3"/>
              <w:jc w:val="center"/>
            </w:pPr>
            <w:r w:rsidRPr="007507EC">
              <w:rPr>
                <w:rFonts w:hint="eastAsia"/>
              </w:rPr>
              <w:t xml:space="preserve">0.5年≤Y＜1年  </w:t>
            </w:r>
          </w:p>
        </w:tc>
        <w:tc>
          <w:tcPr>
            <w:tcW w:w="3975" w:type="dxa"/>
            <w:gridSpan w:val="2"/>
            <w:shd w:val="clear" w:color="auto" w:fill="auto"/>
            <w:hideMark/>
          </w:tcPr>
          <w:p w:rsidR="007507EC" w:rsidRPr="007507EC" w:rsidRDefault="007507EC">
            <w:pPr>
              <w:pStyle w:val="a3"/>
              <w:jc w:val="center"/>
            </w:pPr>
            <w:r w:rsidRPr="007507EC">
              <w:rPr>
                <w:rFonts w:hint="eastAsia"/>
              </w:rPr>
              <w:t xml:space="preserve">0.05%  </w:t>
            </w:r>
          </w:p>
        </w:tc>
      </w:tr>
      <w:tr w:rsidR="007507EC" w:rsidRPr="007507EC" w:rsidTr="007507EC">
        <w:trPr>
          <w:divId w:val="1054964539"/>
        </w:trPr>
        <w:tc>
          <w:tcPr>
            <w:tcW w:w="4785" w:type="dxa"/>
            <w:shd w:val="clear" w:color="auto" w:fill="auto"/>
            <w:hideMark/>
          </w:tcPr>
          <w:p w:rsidR="007507EC" w:rsidRPr="007507EC" w:rsidRDefault="007507EC">
            <w:pPr>
              <w:pStyle w:val="a3"/>
              <w:jc w:val="center"/>
            </w:pPr>
            <w:r w:rsidRPr="007507EC">
              <w:rPr>
                <w:rFonts w:hint="eastAsia"/>
              </w:rPr>
              <w:t xml:space="preserve">Y≥1年  </w:t>
            </w:r>
          </w:p>
        </w:tc>
        <w:tc>
          <w:tcPr>
            <w:tcW w:w="3975" w:type="dxa"/>
            <w:gridSpan w:val="2"/>
            <w:shd w:val="clear" w:color="auto" w:fill="auto"/>
            <w:hideMark/>
          </w:tcPr>
          <w:p w:rsidR="007507EC" w:rsidRPr="007507EC" w:rsidRDefault="007507EC">
            <w:pPr>
              <w:pStyle w:val="a3"/>
              <w:jc w:val="center"/>
            </w:pPr>
            <w:r w:rsidRPr="007507EC">
              <w:rPr>
                <w:rFonts w:hint="eastAsia"/>
              </w:rPr>
              <w:t xml:space="preserve">0  </w:t>
            </w:r>
          </w:p>
        </w:tc>
      </w:tr>
      <w:tr w:rsidR="007507EC" w:rsidRPr="007507EC" w:rsidTr="007507EC">
        <w:trPr>
          <w:divId w:val="1054964539"/>
        </w:trPr>
        <w:tc>
          <w:tcPr>
            <w:tcW w:w="8760" w:type="dxa"/>
            <w:gridSpan w:val="3"/>
            <w:shd w:val="clear" w:color="auto" w:fill="auto"/>
            <w:hideMark/>
          </w:tcPr>
          <w:p w:rsidR="007507EC" w:rsidRPr="007507EC" w:rsidRDefault="007507EC">
            <w:pPr>
              <w:pStyle w:val="a3"/>
              <w:jc w:val="center"/>
            </w:pPr>
            <w:r w:rsidRPr="007507EC">
              <w:rPr>
                <w:rFonts w:hint="eastAsia"/>
                <w:b/>
                <w:bCs/>
              </w:rPr>
              <w:t>C类基金份额</w:t>
            </w:r>
          </w:p>
        </w:tc>
      </w:tr>
      <w:tr w:rsidR="007507EC" w:rsidRPr="007507EC" w:rsidTr="007507EC">
        <w:trPr>
          <w:divId w:val="1054964539"/>
        </w:trPr>
        <w:tc>
          <w:tcPr>
            <w:tcW w:w="4800" w:type="dxa"/>
            <w:gridSpan w:val="2"/>
            <w:shd w:val="clear" w:color="auto" w:fill="auto"/>
            <w:hideMark/>
          </w:tcPr>
          <w:p w:rsidR="007507EC" w:rsidRPr="007507EC" w:rsidRDefault="007507EC">
            <w:pPr>
              <w:pStyle w:val="a3"/>
              <w:jc w:val="center"/>
            </w:pPr>
            <w:r w:rsidRPr="007507EC">
              <w:rPr>
                <w:rFonts w:hint="eastAsia"/>
              </w:rPr>
              <w:t xml:space="preserve">Y＜7天  </w:t>
            </w:r>
          </w:p>
        </w:tc>
        <w:tc>
          <w:tcPr>
            <w:tcW w:w="3960" w:type="dxa"/>
            <w:shd w:val="clear" w:color="auto" w:fill="auto"/>
            <w:hideMark/>
          </w:tcPr>
          <w:p w:rsidR="007507EC" w:rsidRPr="007507EC" w:rsidRDefault="007507EC">
            <w:pPr>
              <w:pStyle w:val="a3"/>
              <w:jc w:val="center"/>
            </w:pPr>
            <w:r w:rsidRPr="007507EC">
              <w:rPr>
                <w:rFonts w:hint="eastAsia"/>
              </w:rPr>
              <w:t xml:space="preserve">1.50%  </w:t>
            </w:r>
          </w:p>
        </w:tc>
      </w:tr>
      <w:tr w:rsidR="007507EC" w:rsidRPr="007507EC" w:rsidTr="007507EC">
        <w:trPr>
          <w:divId w:val="1054964539"/>
        </w:trPr>
        <w:tc>
          <w:tcPr>
            <w:tcW w:w="4800" w:type="dxa"/>
            <w:gridSpan w:val="2"/>
            <w:shd w:val="clear" w:color="auto" w:fill="auto"/>
            <w:hideMark/>
          </w:tcPr>
          <w:p w:rsidR="007507EC" w:rsidRPr="007507EC" w:rsidRDefault="007507EC">
            <w:pPr>
              <w:pStyle w:val="a3"/>
              <w:jc w:val="center"/>
            </w:pPr>
            <w:r w:rsidRPr="007507EC">
              <w:rPr>
                <w:rFonts w:hint="eastAsia"/>
              </w:rPr>
              <w:t xml:space="preserve">7天≤Y  </w:t>
            </w:r>
          </w:p>
        </w:tc>
        <w:tc>
          <w:tcPr>
            <w:tcW w:w="3960" w:type="dxa"/>
            <w:shd w:val="clear" w:color="auto" w:fill="auto"/>
            <w:hideMark/>
          </w:tcPr>
          <w:p w:rsidR="007507EC" w:rsidRPr="007507EC" w:rsidRDefault="007507EC">
            <w:pPr>
              <w:pStyle w:val="a3"/>
              <w:jc w:val="center"/>
            </w:pPr>
            <w:r w:rsidRPr="007507EC">
              <w:rPr>
                <w:rFonts w:hint="eastAsia"/>
              </w:rPr>
              <w:t xml:space="preserve">0  </w:t>
            </w:r>
          </w:p>
        </w:tc>
      </w:tr>
      <w:tr w:rsidR="007507EC" w:rsidRPr="007507EC" w:rsidTr="007507EC">
        <w:trPr>
          <w:divId w:val="1054964539"/>
        </w:trPr>
        <w:tc>
          <w:tcPr>
            <w:tcW w:w="4785" w:type="dxa"/>
            <w:shd w:val="clear" w:color="auto" w:fill="auto"/>
            <w:hideMark/>
          </w:tcPr>
          <w:p w:rsidR="007507EC" w:rsidRPr="007507EC" w:rsidRDefault="007507EC">
            <w:pPr>
              <w:rPr>
                <w:rFonts w:ascii="宋体" w:eastAsia="宋体" w:hAnsi="宋体" w:cs="宋体"/>
                <w:sz w:val="24"/>
                <w:szCs w:val="24"/>
              </w:rPr>
            </w:pPr>
          </w:p>
        </w:tc>
        <w:tc>
          <w:tcPr>
            <w:tcW w:w="15" w:type="dxa"/>
            <w:shd w:val="clear" w:color="auto" w:fill="auto"/>
            <w:hideMark/>
          </w:tcPr>
          <w:p w:rsidR="007507EC" w:rsidRPr="007507EC" w:rsidRDefault="007507EC">
            <w:pPr>
              <w:rPr>
                <w:rFonts w:ascii="宋体" w:eastAsia="宋体" w:hAnsi="宋体" w:cs="宋体"/>
                <w:sz w:val="24"/>
                <w:szCs w:val="24"/>
              </w:rPr>
            </w:pPr>
          </w:p>
        </w:tc>
        <w:tc>
          <w:tcPr>
            <w:tcW w:w="3960" w:type="dxa"/>
            <w:shd w:val="clear" w:color="auto" w:fill="auto"/>
            <w:hideMark/>
          </w:tcPr>
          <w:p w:rsidR="007507EC" w:rsidRPr="007507EC" w:rsidRDefault="007507EC">
            <w:pPr>
              <w:rPr>
                <w:rFonts w:ascii="宋体" w:eastAsia="宋体" w:hAnsi="宋体" w:cs="宋体"/>
                <w:sz w:val="24"/>
                <w:szCs w:val="24"/>
              </w:rPr>
            </w:pPr>
          </w:p>
        </w:tc>
      </w:tr>
    </w:tbl>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赎回费用由赎回基金份额的基金份额持有人承担，在基金份额持有人赎回基金份额时收取。其中，对持续持有期少于7日的投资者收取不低于1.5%的赎回费，并将上述赎回费全额计入基金财产。对持续持有期不少于7日的投资者收取的赎回费将不低于赎回费总额的25%计入基金财产。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3、转换费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基金转换费用由转出基金赎回费和申购费补差两部分构成，其中：申购费补差具体收取情况，视每次转换时的两只基金的申购费率的差异情况而定。基金转换费用由基金份额持有人承担。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4、基金管理人可以在法律法规和基金合同规定范围内调整申购费率和赎回费率。费率如发生变更，基金管理人应在调整实施日前按照《信息披露办法》的有关规定在指定媒介上公告。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三、不列入基金费用的项目</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下列费用不列入基金费用：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1、基金管理人和基金托管人因未履行或未完全履行义务导致的费用支出或基金财产的损失；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2、基金管理人和基金托管人处理与基金运作无关的事项发生的费用；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3、《基金合同》生效前的相关费用；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lastRenderedPageBreak/>
        <w:t xml:space="preserve">4、其他根据相关法律法规及中国证监会的有关规定不得列入基金费用的项目。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四、费用调整</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基金管理人和基金托管人协商一致后，可根据基金发展情况调整基金管理费率、基金托管费率、基金销售费率等相关费率。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调高基金管理费率、基金托管费率或基金销售费率等费率，须召开基金份额持有人大会审议；调低基金管理费率、基金托管费率或基金销售费率等费率，无须召开基金份额持有人大会。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sz w:val="21"/>
          <w:szCs w:val="21"/>
        </w:rPr>
        <w:t xml:space="preserve">基金管理人必须最迟于新的费率实施日前按规定在指定媒介上公告。  </w:t>
      </w:r>
    </w:p>
    <w:p w:rsidR="007507EC" w:rsidRPr="007507EC" w:rsidRDefault="007507EC">
      <w:pPr>
        <w:pStyle w:val="a3"/>
        <w:spacing w:before="0" w:beforeAutospacing="0" w:after="0" w:afterAutospacing="0" w:line="360" w:lineRule="auto"/>
        <w:ind w:firstLine="420"/>
        <w:divId w:val="1136147803"/>
        <w:rPr>
          <w:sz w:val="21"/>
          <w:szCs w:val="21"/>
        </w:rPr>
      </w:pPr>
      <w:r w:rsidRPr="007507EC">
        <w:rPr>
          <w:rFonts w:hint="eastAsia"/>
          <w:b/>
          <w:bCs/>
          <w:sz w:val="21"/>
          <w:szCs w:val="21"/>
        </w:rPr>
        <w:t>五、基金税收</w:t>
      </w:r>
    </w:p>
    <w:p w:rsidR="007507EC" w:rsidRPr="007507EC" w:rsidRDefault="007507EC">
      <w:pPr>
        <w:pStyle w:val="a3"/>
        <w:spacing w:before="0" w:beforeAutospacing="0" w:after="0" w:afterAutospacing="0" w:line="360" w:lineRule="auto"/>
        <w:ind w:firstLine="420"/>
        <w:divId w:val="1136147803"/>
        <w:rPr>
          <w:sz w:val="21"/>
          <w:szCs w:val="21"/>
        </w:rPr>
      </w:pPr>
      <w:bookmarkStart w:id="171" w:name="chapter_level1_16_65_section_1_end"/>
      <w:bookmarkEnd w:id="171"/>
      <w:r w:rsidRPr="007507EC">
        <w:rPr>
          <w:rFonts w:hint="eastAsia"/>
          <w:sz w:val="21"/>
          <w:szCs w:val="21"/>
        </w:rPr>
        <w:t xml:space="preserve">本基金运作过程中涉及的各纳税主体，其纳税义务按国家税收法律、法规执行。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72" w:name="chapter_level1_17_66"/>
      <w:bookmarkStart w:id="173" w:name="_Toc50543305"/>
      <w:r w:rsidRPr="007507EC">
        <w:rPr>
          <w:rFonts w:ascii="宋体" w:eastAsia="宋体" w:hAnsi="宋体" w:hint="eastAsia"/>
          <w:sz w:val="30"/>
        </w:rPr>
        <w:lastRenderedPageBreak/>
        <w:t>第十四部分  基金的会计与审计</w:t>
      </w:r>
      <w:bookmarkEnd w:id="172"/>
      <w:bookmarkEnd w:id="173"/>
    </w:p>
    <w:p w:rsidR="007507EC" w:rsidRPr="007507EC" w:rsidRDefault="007507EC">
      <w:pPr>
        <w:pStyle w:val="a3"/>
        <w:spacing w:before="0" w:beforeAutospacing="0" w:after="0" w:afterAutospacing="0" w:line="360" w:lineRule="auto"/>
        <w:ind w:firstLine="420"/>
        <w:divId w:val="754477932"/>
        <w:rPr>
          <w:sz w:val="21"/>
          <w:szCs w:val="21"/>
        </w:rPr>
      </w:pPr>
      <w:bookmarkStart w:id="174" w:name="chapter_level1_17_66_section_1"/>
      <w:bookmarkEnd w:id="174"/>
      <w:r w:rsidRPr="007507EC">
        <w:rPr>
          <w:rStyle w:val="a4"/>
          <w:rFonts w:hint="eastAsia"/>
          <w:sz w:val="21"/>
          <w:szCs w:val="21"/>
        </w:rPr>
        <w:t>一、基金会计政策</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1、基金管理人为本基金的基金会计责任方；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3、基金核算以人民币为记账本位币，以人民币元为记账单位；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4、会计制度执行国家有关会计制度；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5、本基金独立建账、独立核算；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6、基金管理人及基金托管人各自保留完整的会计账目、凭证并进行日常的会计核算，按照有关规定编制基金会计报表；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7、基金托管人每月与基金管理人就基金的会计核算、报表编制等进行核对并以书面方式确认。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Style w:val="a4"/>
          <w:rFonts w:hint="eastAsia"/>
          <w:sz w:val="21"/>
          <w:szCs w:val="21"/>
        </w:rPr>
        <w:t>二、基金的年度审计</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 xml:space="preserve">2、会计师事务所更换经办注册会计师，应事先征得基金管理人同意。 </w:t>
      </w:r>
    </w:p>
    <w:p w:rsidR="007507EC" w:rsidRPr="007507EC" w:rsidRDefault="007507EC">
      <w:pPr>
        <w:pStyle w:val="a3"/>
        <w:spacing w:before="0" w:beforeAutospacing="0" w:after="0" w:afterAutospacing="0" w:line="360" w:lineRule="auto"/>
        <w:ind w:firstLine="420"/>
        <w:divId w:val="754477932"/>
        <w:rPr>
          <w:sz w:val="21"/>
          <w:szCs w:val="21"/>
        </w:rPr>
      </w:pPr>
      <w:r w:rsidRPr="007507EC">
        <w:rPr>
          <w:rFonts w:hint="eastAsia"/>
          <w:sz w:val="21"/>
          <w:szCs w:val="21"/>
        </w:rPr>
        <w:t>3、基金管理人认为有充足理由更换会计师事务所，须通报基金托管人。更换会计师事</w:t>
      </w:r>
      <w:bookmarkStart w:id="175" w:name="chapter_level1_17_66_section_1_end"/>
      <w:bookmarkEnd w:id="175"/>
      <w:r w:rsidRPr="007507EC">
        <w:rPr>
          <w:rFonts w:hint="eastAsia"/>
          <w:sz w:val="21"/>
          <w:szCs w:val="21"/>
        </w:rPr>
        <w:t xml:space="preserve">务所需按规定在指定媒介公告。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76" w:name="chapter_level1_18_67"/>
      <w:bookmarkStart w:id="177" w:name="_Toc50543306"/>
      <w:r w:rsidRPr="007507EC">
        <w:rPr>
          <w:rFonts w:ascii="宋体" w:eastAsia="宋体" w:hAnsi="宋体" w:hint="eastAsia"/>
          <w:sz w:val="30"/>
        </w:rPr>
        <w:lastRenderedPageBreak/>
        <w:t>第十五部分  基金的信息披露</w:t>
      </w:r>
      <w:bookmarkEnd w:id="176"/>
      <w:bookmarkEnd w:id="177"/>
    </w:p>
    <w:p w:rsidR="007507EC" w:rsidRPr="007507EC" w:rsidRDefault="007507EC">
      <w:pPr>
        <w:pStyle w:val="a3"/>
        <w:spacing w:before="0" w:beforeAutospacing="0" w:after="0" w:afterAutospacing="0" w:line="360" w:lineRule="auto"/>
        <w:ind w:firstLine="420"/>
        <w:divId w:val="1912108879"/>
        <w:rPr>
          <w:sz w:val="21"/>
          <w:szCs w:val="21"/>
        </w:rPr>
      </w:pPr>
      <w:bookmarkStart w:id="178" w:name="chapter_level1_18_67_section_1"/>
      <w:bookmarkEnd w:id="178"/>
      <w:r w:rsidRPr="007507EC">
        <w:rPr>
          <w:rStyle w:val="a4"/>
          <w:rFonts w:hint="eastAsia"/>
          <w:sz w:val="21"/>
          <w:szCs w:val="21"/>
        </w:rPr>
        <w:t>一、本基金的信息披露应符合《基金法》、《运作办法》、《信息披露办法》、《基金合同》及其他有关规定。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Style w:val="a4"/>
          <w:rFonts w:hint="eastAsia"/>
          <w:sz w:val="21"/>
          <w:szCs w:val="21"/>
        </w:rPr>
        <w:t>二、信息披露义务人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Style w:val="a4"/>
          <w:rFonts w:hint="eastAsia"/>
          <w:sz w:val="21"/>
          <w:szCs w:val="21"/>
        </w:rPr>
        <w:t>三、本基金信息披露义务人承诺公开披露的基金信息，不得有下列行为：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1、虚假记载、误导性陈述或者重大遗漏；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2、对证券投资业绩进行预测；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3、违规承诺收益或者承担损失；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4、诋毁其他基金管理人、基金托管人或者基金销售机构；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5、登载任何自然人、法人和非法人组织的祝贺性、恭维性或推荐性的文字；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Fonts w:hint="eastAsia"/>
          <w:sz w:val="21"/>
          <w:szCs w:val="21"/>
        </w:rPr>
        <w:t xml:space="preserve">6、中国证监会禁止的其他行为。 </w:t>
      </w:r>
    </w:p>
    <w:p w:rsidR="007507EC" w:rsidRPr="007507EC" w:rsidRDefault="007507EC">
      <w:pPr>
        <w:pStyle w:val="a3"/>
        <w:spacing w:before="0" w:beforeAutospacing="0" w:after="0" w:afterAutospacing="0" w:line="360" w:lineRule="auto"/>
        <w:ind w:firstLine="420"/>
        <w:divId w:val="1912108879"/>
        <w:rPr>
          <w:sz w:val="21"/>
          <w:szCs w:val="21"/>
        </w:rPr>
      </w:pPr>
      <w:r w:rsidRPr="007507EC">
        <w:rPr>
          <w:rStyle w:val="a4"/>
          <w:rFonts w:hint="eastAsia"/>
          <w:sz w:val="21"/>
          <w:szCs w:val="21"/>
        </w:rPr>
        <w:t>四、本基金公开披露的信息应采用中文文本。如同时采用外文文本的，基金信息披露义务人应保证不同文本的内容一致。不同文本之间发生歧义的，以中文文本为准。</w:t>
      </w:r>
    </w:p>
    <w:p w:rsidR="007507EC" w:rsidRPr="007507EC" w:rsidRDefault="007507EC">
      <w:pPr>
        <w:pStyle w:val="a3"/>
        <w:spacing w:before="0" w:beforeAutospacing="0" w:after="0" w:afterAutospacing="0" w:line="360" w:lineRule="auto"/>
        <w:ind w:firstLine="420"/>
        <w:divId w:val="1912108879"/>
        <w:rPr>
          <w:sz w:val="21"/>
          <w:szCs w:val="21"/>
        </w:rPr>
      </w:pPr>
      <w:bookmarkStart w:id="179" w:name="chapter_level1_18_67_section_1_end"/>
      <w:bookmarkEnd w:id="179"/>
      <w:r w:rsidRPr="007507EC">
        <w:rPr>
          <w:rFonts w:hint="eastAsia"/>
          <w:sz w:val="21"/>
          <w:szCs w:val="21"/>
        </w:rPr>
        <w:t xml:space="preserve">本基金公开披露的信息采用阿拉伯数字；除特别说明外，货币单位为人民币元。 </w:t>
      </w:r>
    </w:p>
    <w:p w:rsidR="007507EC" w:rsidRPr="007507EC" w:rsidRDefault="007507EC">
      <w:pPr>
        <w:pStyle w:val="a3"/>
        <w:spacing w:before="0" w:beforeAutospacing="0" w:after="0" w:afterAutospacing="0" w:line="360" w:lineRule="auto"/>
        <w:ind w:firstLine="420"/>
        <w:divId w:val="542258344"/>
        <w:rPr>
          <w:sz w:val="21"/>
          <w:szCs w:val="21"/>
        </w:rPr>
      </w:pPr>
      <w:bookmarkStart w:id="180" w:name="chapter_level1_18_67_section_2"/>
      <w:bookmarkEnd w:id="180"/>
      <w:r w:rsidRPr="007507EC">
        <w:rPr>
          <w:rFonts w:hint="eastAsia"/>
          <w:sz w:val="21"/>
          <w:szCs w:val="21"/>
        </w:rPr>
        <w:t xml:space="preserve">五、公开披露的基金信息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公开披露的基金信息包括：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（一）基金招募说明书、《基金合同》、基金托管协议、基金产品资料概要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3、基金托管协议是界定基金托管人和基金管理人在基金财产保管及基金运作监督等活动中的权利、义务关系的法律文件。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5、基金募集申请经中国证监会核准后，基金管理人在基金份额发售的3日前，将基金招募说明书、《基金合同》摘要登载在指定报刊上；基金管理人、基金托管人应当将《基金合同》、基金托管协议登载在网站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（二）基金份额发售公告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基金管理人应当就基金份额发售的具体事宜编制基金份额发售公告，并在披露招募说明书的当日登载于指定媒介上。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（三）《基金合同》生效公告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基金管理人应当在收到中国证监会确认文件的次日在指定报刊和网站上登载《基金合同》生效公告。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（四）基金净值信息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《基金合同》生效后，在开始办理基金份额申购或者赎回前，基金管理人应当至少每周在指定网站披露一次各类基金份额的基金份额净值和基金份额累计净值。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在开始办理基金份额申购或者赎回后，基金管理人应当在不晚于每个开放日的次日，通过指定网站、基金销售机构网站或者营业网点披露开放日各类基金份额的基金份额净值和基金份额累计净值。 </w:t>
      </w:r>
    </w:p>
    <w:p w:rsidR="007507EC" w:rsidRPr="007507EC" w:rsidRDefault="007507EC" w:rsidP="003D6DF4">
      <w:pPr>
        <w:pStyle w:val="a3"/>
        <w:spacing w:before="0" w:beforeAutospacing="0" w:after="0" w:afterAutospacing="0" w:line="360" w:lineRule="auto"/>
        <w:ind w:firstLine="420"/>
        <w:divId w:val="542258344"/>
        <w:rPr>
          <w:sz w:val="21"/>
          <w:szCs w:val="21"/>
        </w:rPr>
      </w:pPr>
      <w:r w:rsidRPr="007507EC">
        <w:rPr>
          <w:rFonts w:hint="eastAsia"/>
          <w:sz w:val="21"/>
          <w:szCs w:val="21"/>
        </w:rPr>
        <w:lastRenderedPageBreak/>
        <w:t xml:space="preserve">基金管理人应当在不晚于半年度和年度最后一日的次日，在指定网站披露半年度和年度最后一日的各类基金份额净值和基金份额累计净值。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（五）基金份额申购、赎回价格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基金管理人应当在《基金合同》、招募说明书等信息披露文件上载明基金份额申购、赎回价格的计算方式及有关申购、赎回费率，并保证投资者能够在基金销售机构网站或营业网点查阅或者复制前述信息资料。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（六）基金定期报告，包括基金年度报告、基金中期报告和基金季度报告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基金管理人应当在季度结束之日起15个工作日内，编制完成基金季度报告，将季度报告登载在指定网站上，并将季度报告提示性公告登载在指定报刊上。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《基金合同》生效不足2个月的，基金管理人可以不编制当期季度报告、中期报告或者年度报告。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本基金持续运作过程中,应当在基金年度报告和中期报告中披露基金组合资产情况及其流动性风险分析等。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（七）临时报告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本基金发生重大事件，有关信息披露义务人应当在2日内编制临时报告书，并登载在指定报刊和指定网站上。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前款所称重大事件，是指可能对基金份额持有人权益或者基金份额的价格产生重大影响的下列事件：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1、基金份额持有人大会的召开及决定的事项；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2、《基金合同》终止、基金清算；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lastRenderedPageBreak/>
        <w:t xml:space="preserve">3、转换基金运作方式、基金合并；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4、更换基金管理人、基金托管人、基金份额登记机构，基金改聘会计师事务所；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5、基金管理人委托基金服务机构代为办理基金的份额登记、核算、估值等事项，基金托管人委托基金服务机构代为办理基金的核算、估值、复核等事项；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6、基金管理人、基金托管人的法定名称、住所发生变更；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7、基金管理人变更持有百分之五以上股权的股东、基金管理人的实际控制人变更；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8、基金募集期延长；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9、基金管理人的高级管理人员、基金经理和基金托管人专门基金托管部门负责人发生变动；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11、涉及基金财产、基金管理业务、基金托管业务的诉讼或仲裁；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但中国证监会另有规定的除外；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14、基金收益分配事项；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15、管理费、托管费、销售服务费、申购费、赎回费等费用计提标准、计提方式和费率发生变更；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16、基金份额净值计价错误达基金份额净值百分之零点五；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17、本基金开始办理申购、赎回；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18、本基金发生巨额赎回并延期办理；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19、本基金连续发生巨额赎回并暂停接受赎回申请或延缓支付赎回款项；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20、本基金暂停接受申购、赎回申请或重新接受申购、赎回申请；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21、发生涉及本基金申购、赎回事项调整或潜在影响投资者赎回等重大事项时；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22、调整基金份额类别的设置；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lastRenderedPageBreak/>
        <w:t xml:space="preserve">23、基金信息披露义务人认为可能对基金份额持有人权益或者基金份额的价格产生重大影响的其他事项或中国证监会规定的其他事项。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（八）澄清公告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（九）基金份额持有人大会决议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基金份额持有人大会决定的事项，应当依法报国务院证券监督管理机构核准或者备案，并予以公告。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（十）清算报告 </w:t>
      </w:r>
    </w:p>
    <w:p w:rsidR="007507EC" w:rsidRPr="007507EC" w:rsidRDefault="007507EC">
      <w:pPr>
        <w:pStyle w:val="a3"/>
        <w:spacing w:before="0" w:beforeAutospacing="0" w:after="0" w:afterAutospacing="0" w:line="360" w:lineRule="auto"/>
        <w:ind w:firstLine="420"/>
        <w:divId w:val="542258344"/>
        <w:rPr>
          <w:sz w:val="21"/>
          <w:szCs w:val="21"/>
        </w:rPr>
      </w:pPr>
      <w:r w:rsidRPr="007507EC">
        <w:rPr>
          <w:rFonts w:hint="eastAsia"/>
          <w:sz w:val="21"/>
          <w:szCs w:val="21"/>
        </w:rPr>
        <w:t xml:space="preserve">基金终止运作的，基金管理人应当依法组织基金财产清算小组对基金财产进行清算并作出清算报告。基金财产清算小组应当将清算报告登载在指定网站上，并将清算报告提示性公告登载在指定报刊上。 </w:t>
      </w:r>
    </w:p>
    <w:p w:rsidR="007507EC" w:rsidRPr="007507EC" w:rsidRDefault="007507EC">
      <w:pPr>
        <w:pStyle w:val="a3"/>
        <w:spacing w:before="0" w:beforeAutospacing="0" w:after="0" w:afterAutospacing="0" w:line="360" w:lineRule="auto"/>
        <w:ind w:firstLine="420"/>
        <w:divId w:val="542258344"/>
        <w:rPr>
          <w:sz w:val="21"/>
          <w:szCs w:val="21"/>
        </w:rPr>
      </w:pPr>
      <w:bookmarkStart w:id="181" w:name="chapter_level1_18_67_section_2_end"/>
      <w:bookmarkEnd w:id="181"/>
      <w:r w:rsidRPr="007507EC">
        <w:rPr>
          <w:rFonts w:hint="eastAsia"/>
          <w:sz w:val="21"/>
          <w:szCs w:val="21"/>
        </w:rPr>
        <w:t xml:space="preserve">（十一）中国证监会规定的其他信息。 </w:t>
      </w:r>
    </w:p>
    <w:p w:rsidR="007507EC" w:rsidRPr="007507EC" w:rsidRDefault="007507EC">
      <w:pPr>
        <w:pStyle w:val="a3"/>
        <w:spacing w:before="0" w:beforeAutospacing="0" w:after="0" w:afterAutospacing="0" w:line="360" w:lineRule="auto"/>
        <w:ind w:firstLine="420"/>
        <w:divId w:val="1810171448"/>
        <w:rPr>
          <w:sz w:val="21"/>
          <w:szCs w:val="21"/>
        </w:rPr>
      </w:pPr>
      <w:bookmarkStart w:id="182" w:name="chapter_level1_18_67_section_3"/>
      <w:bookmarkEnd w:id="182"/>
      <w:r w:rsidRPr="007507EC">
        <w:rPr>
          <w:rStyle w:val="a4"/>
          <w:rFonts w:hint="eastAsia"/>
          <w:sz w:val="21"/>
          <w:szCs w:val="21"/>
        </w:rPr>
        <w:t>六、信息披露事务管理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基金管理人、基金托管人应当建立健全信息披露管理制度，指定专门部门及高级管理人员负责管理信息披露事务。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基金信息披露义务人公开披露基金信息，应当符合中国证监会相关基金信息披露内容与格式准则等法规规定。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基金管理人、基金托管人应当在指定报刊中选择一家报刊披露本基金信息。基金管理人、基金托管人应当向中国证监会基金电子披露网站报送拟披露的基金信息，并保证相关报送信息的真实、准确、完整、及时。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lastRenderedPageBreak/>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Style w:val="a4"/>
          <w:rFonts w:hint="eastAsia"/>
          <w:sz w:val="21"/>
          <w:szCs w:val="21"/>
        </w:rPr>
        <w:t>七、信息披露文件的存放与查阅 </w:t>
      </w:r>
    </w:p>
    <w:p w:rsidR="007507EC" w:rsidRPr="007507EC" w:rsidRDefault="007507EC">
      <w:pPr>
        <w:pStyle w:val="a3"/>
        <w:spacing w:before="0" w:beforeAutospacing="0" w:after="0" w:afterAutospacing="0" w:line="360" w:lineRule="auto"/>
        <w:ind w:firstLine="420"/>
        <w:divId w:val="1810171448"/>
        <w:rPr>
          <w:sz w:val="21"/>
          <w:szCs w:val="21"/>
        </w:rPr>
      </w:pPr>
      <w:r w:rsidRPr="007507EC">
        <w:rPr>
          <w:rFonts w:hint="eastAsia"/>
          <w:sz w:val="21"/>
          <w:szCs w:val="21"/>
        </w:rPr>
        <w:t>依法必须披露的信息发布后，基金管理人、基金托管人应当按照相关法律法规规定将信</w:t>
      </w:r>
      <w:bookmarkStart w:id="183" w:name="chapter_level1_18_67_section_3_end"/>
      <w:bookmarkEnd w:id="183"/>
      <w:r w:rsidRPr="007507EC">
        <w:rPr>
          <w:rFonts w:hint="eastAsia"/>
          <w:sz w:val="21"/>
          <w:szCs w:val="21"/>
        </w:rPr>
        <w:t xml:space="preserve">息置备于各自住所，供社会公众查阅、复制。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84" w:name="chapter_level1_19_68"/>
      <w:bookmarkStart w:id="185" w:name="_Toc50543307"/>
      <w:r w:rsidRPr="007507EC">
        <w:rPr>
          <w:rFonts w:ascii="宋体" w:eastAsia="宋体" w:hAnsi="宋体" w:hint="eastAsia"/>
          <w:sz w:val="30"/>
        </w:rPr>
        <w:lastRenderedPageBreak/>
        <w:t>第十六部分  风险揭示</w:t>
      </w:r>
      <w:bookmarkEnd w:id="184"/>
      <w:bookmarkEnd w:id="185"/>
    </w:p>
    <w:p w:rsidR="007507EC" w:rsidRPr="007507EC" w:rsidRDefault="007507EC">
      <w:pPr>
        <w:pStyle w:val="a3"/>
        <w:spacing w:before="0" w:beforeAutospacing="0" w:after="0" w:afterAutospacing="0" w:line="360" w:lineRule="auto"/>
        <w:ind w:firstLine="420"/>
        <w:divId w:val="1964538804"/>
        <w:rPr>
          <w:sz w:val="21"/>
          <w:szCs w:val="21"/>
        </w:rPr>
      </w:pPr>
      <w:bookmarkStart w:id="186" w:name="chapter_level1_19_68_section_1"/>
      <w:bookmarkEnd w:id="186"/>
      <w:r w:rsidRPr="007507EC">
        <w:rPr>
          <w:rStyle w:val="a4"/>
          <w:rFonts w:hint="eastAsia"/>
          <w:sz w:val="21"/>
          <w:szCs w:val="21"/>
        </w:rPr>
        <w:t>一、投资于本基金的主要风险</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投资于本基金的主要风险有：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1、市场风险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证券市场价格受到各种因素的影响，导致基金收益水平变化而产生风险，主要包括：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（1）政策风险。因国家宏观政策（如货币政策、财政政策、行业政策、地区发展政策等）发生变化，导致市场价格波动而产生风险。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（2）经济周期风险。随着经济运行的周期性变化，证券市场的收益水平也呈周期性变化。本基金主要投资于债券，收益水平也会随之变化，从而产生风险。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（3）利率风险。金融市场利率的波动会导致证券市场价格和收益率的变动。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（4）通货膨胀风险。如果发生通货膨胀，基金投资于证券所获得的收益可能会被通货膨胀抵消，从而影响基金资产的保值增值。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（5）再投资风险。再投资风险反映了利率下降对固定收益证券利息收入再投资收益的影响，这与利率上升所带来的价格风险（即利率风险）互为消长。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（6）购买力风险。基金的利润将主要通过现金形式来分配，而现金可能因为通货膨胀的影响而导致购买力下降，从而使基金的实际收益下降。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2、信用风险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信用风险主要指债券、资产支持证券等信用证券发行主体信用状况恶化，导致信用评级下降甚至到期不能履行合约进行兑付的风险，另外，信用风险也包括证券交易对手因违约而产生的证券交割风险。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3、流动性风险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（1）基金申购、赎回安排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w:t>
      </w:r>
      <w:r w:rsidRPr="007507EC">
        <w:rPr>
          <w:rFonts w:hint="eastAsia"/>
          <w:sz w:val="21"/>
          <w:szCs w:val="21"/>
        </w:rPr>
        <w:lastRenderedPageBreak/>
        <w:t xml:space="preserve">的前提下可按照法律法规及基金合同的规定，审慎确认申购赎回申请并综合运用各类流动性风险管理工具作为辅助措施，全面应对流动性风险。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（2）拟投资市场、行业及资产的流动性风险评估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债券和货币市场工具等），同时本基金基于分散投资的原则在行业和个券方面未有高集中度的特征，综合评估在正常市场环境下本基金的流动性风险适中。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（3）巨额赎回情形下的流动性风险管理措施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（4）实施备用的流动性风险管理工具的情形、程序及对投资者的潜在影响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4、操作风险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操作风险是指基金运作过程中，因内部控制存在缺陷或者人为因素造成操作失误或违反操作规程等引致的风险，例如，越权违规交易、会计部门欺诈、交易错误、IT系统故障等风险。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5、管理风险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基金运作过程中由于基金投资策略、人为因素、管理系统设置不当造成操作失误或公司内部失控而可能产生的损失。管理风险包括：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lastRenderedPageBreak/>
        <w:t xml:space="preserve">（1）决策风险：指基金投资的投资策略制定、投资决策执行和投资绩效监督检查过程中，由于决策失误而给基金资产造成的可能的损失；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（2）操作风险：指基金投资决策执行中，由于投资指令不明晰、交易操作失误等人为因素而可能导致的损失；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（3）技术风险：是指公司管理信息系统设置不当等因素而可能造成的损失。 </w:t>
      </w:r>
    </w:p>
    <w:p w:rsidR="007507EC" w:rsidRPr="007507EC" w:rsidRDefault="003D6DF4">
      <w:pPr>
        <w:divId w:val="1964538804"/>
        <w:rPr>
          <w:rFonts w:ascii="宋体" w:eastAsia="宋体" w:hAnsi="宋体"/>
          <w:sz w:val="24"/>
          <w:szCs w:val="24"/>
        </w:rPr>
      </w:pPr>
      <w:r>
        <w:rPr>
          <w:rFonts w:ascii="宋体" w:eastAsia="宋体" w:hAnsi="宋体"/>
        </w:rPr>
        <w:t>  </w:t>
      </w:r>
      <w:r w:rsidR="007507EC" w:rsidRPr="007507EC">
        <w:rPr>
          <w:rFonts w:ascii="宋体" w:eastAsia="宋体" w:hAnsi="宋体"/>
        </w:rPr>
        <w:t xml:space="preserve">（4）基金估值风险：指每日基金估值可能发生错误的风险。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6、合规风险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合规风险指基金管理或运作过程中，违反国家法律、法规的规定，或者违反《基金合同》有关规定的风险。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7、本基金的特有风险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本基金对债券资产的投资比例不低于基金资产的80%，因此，本基金需要承担由于市场利率波动造成的风险。特别的，本基金投资于短期融资券和超级短期融资券的比例不低于基金资产的60%，投资比例较高。如果短期融资券的发债主体信用恶化，组合将面临较高的信用风险。如果债券市场出现整体下跌，本基金将无法完全避免债券市场系统性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此外，根据本基金特定的赎回费规则，短期投资本基金的投资者将承担较高的赎回费，具体规则请参考基金费用相关章节。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Style w:val="a4"/>
          <w:rFonts w:hint="eastAsia"/>
          <w:sz w:val="21"/>
          <w:szCs w:val="21"/>
        </w:rPr>
        <w:t>二、声明</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 xml:space="preserve">1、投资者投资于本基金，须自行承担投资风险； </w:t>
      </w:r>
    </w:p>
    <w:p w:rsidR="007507EC" w:rsidRPr="007507EC" w:rsidRDefault="007507EC">
      <w:pPr>
        <w:pStyle w:val="a3"/>
        <w:spacing w:before="0" w:beforeAutospacing="0" w:after="0" w:afterAutospacing="0" w:line="360" w:lineRule="auto"/>
        <w:ind w:firstLine="420"/>
        <w:divId w:val="1964538804"/>
        <w:rPr>
          <w:sz w:val="21"/>
          <w:szCs w:val="21"/>
        </w:rPr>
      </w:pPr>
      <w:r w:rsidRPr="007507EC">
        <w:rPr>
          <w:rFonts w:hint="eastAsia"/>
          <w:sz w:val="21"/>
          <w:szCs w:val="21"/>
        </w:rPr>
        <w:t>2、除基金管理人直接办理本基金的销售外，本基金还通过中国工商银行等基金代销机</w:t>
      </w:r>
      <w:bookmarkStart w:id="187" w:name="chapter_level1_19_68_section_1_end"/>
      <w:bookmarkEnd w:id="187"/>
      <w:r w:rsidRPr="007507EC">
        <w:rPr>
          <w:rFonts w:hint="eastAsia"/>
          <w:sz w:val="21"/>
          <w:szCs w:val="21"/>
        </w:rPr>
        <w:t xml:space="preserve">构代理销售，基金管理人与基金代销机构都不能保证其收益或本金安全。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88" w:name="chapter_level1_20_69"/>
      <w:bookmarkStart w:id="189" w:name="_Toc50543308"/>
      <w:r w:rsidRPr="007507EC">
        <w:rPr>
          <w:rFonts w:ascii="宋体" w:eastAsia="宋体" w:hAnsi="宋体" w:hint="eastAsia"/>
          <w:sz w:val="30"/>
        </w:rPr>
        <w:lastRenderedPageBreak/>
        <w:t>第十七部分  基金合同的变更、终止与基金财产的清算</w:t>
      </w:r>
      <w:bookmarkEnd w:id="188"/>
      <w:bookmarkEnd w:id="189"/>
    </w:p>
    <w:p w:rsidR="007507EC" w:rsidRPr="007507EC" w:rsidRDefault="007507EC">
      <w:pPr>
        <w:pStyle w:val="a3"/>
        <w:spacing w:before="0" w:beforeAutospacing="0" w:after="0" w:afterAutospacing="0" w:line="360" w:lineRule="auto"/>
        <w:ind w:firstLine="420"/>
        <w:divId w:val="227612247"/>
        <w:rPr>
          <w:sz w:val="21"/>
          <w:szCs w:val="21"/>
        </w:rPr>
      </w:pPr>
      <w:bookmarkStart w:id="190" w:name="chapter_level1_20_69_section_1"/>
      <w:bookmarkEnd w:id="190"/>
      <w:r w:rsidRPr="007507EC">
        <w:rPr>
          <w:rStyle w:val="a4"/>
          <w:rFonts w:hint="eastAsia"/>
          <w:sz w:val="21"/>
          <w:szCs w:val="21"/>
        </w:rPr>
        <w:t>一、《基金合同》的变更</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2、关于《基金合同》变更的基金份额持有人大会决议经中国证监会核准或出具无异议意见后方可执行，自决议生效后按规定在指定媒介公告。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Style w:val="a4"/>
          <w:rFonts w:hint="eastAsia"/>
          <w:sz w:val="21"/>
          <w:szCs w:val="21"/>
        </w:rPr>
        <w:t>二、《基金合同》的终止事由</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有下列情形之一的，《基金合同》应当终止：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1、基金份额持有人大会决定终止的；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2、基金管理人、基金托管人职责终止，在6个月内没有新基金管理人、新基金托管人承接的；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3、《基金合同》约定的其他情形；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4、相关法律法规和中国证监会规定的其他情况。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Style w:val="a4"/>
          <w:rFonts w:hint="eastAsia"/>
          <w:sz w:val="21"/>
          <w:szCs w:val="21"/>
        </w:rPr>
        <w:t>三、基金财产的清算</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3、基金财产清算小组职责：基金财产清算小组负责基金财产的保管、清理、估价、变现和分配。基金财产清算小组可以依法进行必要的民事活动。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4、基金财产清算程序：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（1）《基金合同》终止情形出现时，由基金财产清算小组统一接管基金；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（2）对基金财产和债权债务进行清理和确认；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（3）对基金财产进行估值和变现；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（4）制作清算报告；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lastRenderedPageBreak/>
        <w:t xml:space="preserve">（5）聘请会计师事务所对清算报告进行外部审计，聘请律师事务所对清算报告出具法律意见书；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（6）将清算报告报中国证监会备案并公告；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（7）对基金财产进行分配。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5、基金财产清算的期限为6个月。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四、清算费用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清算费用是指基金财产清算小组在进行基金清算过程中发生的所有合理费用，清算费用由基金财产清算小组优先从基金财产中支付。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Style w:val="a4"/>
          <w:rFonts w:hint="eastAsia"/>
          <w:sz w:val="21"/>
          <w:szCs w:val="21"/>
        </w:rPr>
        <w:t>五、基金财产清算剩余资产的分配</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Style w:val="a4"/>
          <w:rFonts w:hint="eastAsia"/>
          <w:sz w:val="21"/>
          <w:szCs w:val="21"/>
        </w:rPr>
        <w:t>六、基金财产清算的公告</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7507EC" w:rsidRPr="007507EC" w:rsidRDefault="007507EC">
      <w:pPr>
        <w:pStyle w:val="a3"/>
        <w:spacing w:before="0" w:beforeAutospacing="0" w:after="0" w:afterAutospacing="0" w:line="360" w:lineRule="auto"/>
        <w:ind w:firstLine="420"/>
        <w:divId w:val="227612247"/>
        <w:rPr>
          <w:sz w:val="21"/>
          <w:szCs w:val="21"/>
        </w:rPr>
      </w:pPr>
      <w:r w:rsidRPr="007507EC">
        <w:rPr>
          <w:rStyle w:val="a4"/>
          <w:rFonts w:hint="eastAsia"/>
          <w:sz w:val="21"/>
          <w:szCs w:val="21"/>
        </w:rPr>
        <w:t>七、基金财产清算账册及文件的保存</w:t>
      </w:r>
    </w:p>
    <w:p w:rsidR="007507EC" w:rsidRPr="007507EC" w:rsidRDefault="007507EC">
      <w:pPr>
        <w:pStyle w:val="a3"/>
        <w:spacing w:before="0" w:beforeAutospacing="0" w:after="0" w:afterAutospacing="0" w:line="360" w:lineRule="auto"/>
        <w:ind w:firstLine="420"/>
        <w:divId w:val="227612247"/>
        <w:rPr>
          <w:sz w:val="21"/>
          <w:szCs w:val="21"/>
        </w:rPr>
      </w:pPr>
      <w:bookmarkStart w:id="191" w:name="chapter_level1_20_69_section_1_end"/>
      <w:bookmarkEnd w:id="191"/>
      <w:r w:rsidRPr="007507EC">
        <w:rPr>
          <w:rFonts w:hint="eastAsia"/>
          <w:sz w:val="21"/>
          <w:szCs w:val="21"/>
        </w:rPr>
        <w:t xml:space="preserve">基金财产清算账册及有关文件由基金托管人保存15年以上。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92" w:name="chapter_level1_21_71"/>
      <w:bookmarkStart w:id="193" w:name="_Toc50543309"/>
      <w:r w:rsidRPr="007507EC">
        <w:rPr>
          <w:rFonts w:ascii="宋体" w:eastAsia="宋体" w:hAnsi="宋体" w:hint="eastAsia"/>
          <w:sz w:val="30"/>
        </w:rPr>
        <w:lastRenderedPageBreak/>
        <w:t>第十八部分  基金合同的内容摘要</w:t>
      </w:r>
      <w:bookmarkEnd w:id="192"/>
      <w:bookmarkEnd w:id="193"/>
    </w:p>
    <w:p w:rsidR="007507EC" w:rsidRPr="007507EC" w:rsidRDefault="007507EC">
      <w:pPr>
        <w:pStyle w:val="a3"/>
        <w:spacing w:before="0" w:beforeAutospacing="0" w:after="0" w:afterAutospacing="0" w:line="360" w:lineRule="auto"/>
        <w:ind w:firstLine="420"/>
        <w:divId w:val="497431135"/>
        <w:rPr>
          <w:sz w:val="21"/>
          <w:szCs w:val="21"/>
        </w:rPr>
      </w:pPr>
      <w:bookmarkStart w:id="194" w:name="chapter_level1_21_71_section_1"/>
      <w:bookmarkEnd w:id="194"/>
      <w:r w:rsidRPr="007507EC">
        <w:rPr>
          <w:rStyle w:val="a4"/>
          <w:rFonts w:hint="eastAsia"/>
          <w:sz w:val="21"/>
          <w:szCs w:val="21"/>
        </w:rPr>
        <w:t>一、基金份额持有人、基金管理人和基金托管人的权利、义务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（一）基金份额持有人的权利、义务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投资者持有本基金基金份额的行为即视为对《基金合同》的承认和接受，基金投资者自依据《基金合同》取得的基金份额，即成为本基金份额持有人和《基金合同》的当事人，直至其不再持有本基金的基金份额。基金份额持有人作为《基金合同》当事人并不以在《基金合同》上书面签章或签字为必要条件。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同一类别每份基金份额具有同等的合法权益。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1、根据《基金法》、《运作办法》及其他有关规定，基金份额持有人的权利包括但不限于：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（1）分享基金财产收益；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（2）参与分配清算后的剩余基金财产；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（3）依法申请赎回其持有的基金份额；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（4）按照规定要求召开基金份额持有人大会；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（5）出席或者委派代表出席基金份额持有人大会，对基金份额持有人大会审议事项行使表决权；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（6）查阅或者复制公开披露的基金信息资料；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（7）监督基金管理人的投资运作；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（8）对基金管理人、基金托管人、基金销售机构损害其合法权益的行为依法提起诉讼或仲裁；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（9）法律法规及中国证监会规定的和《基金合同》约定的其他权利。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2、根据《基金法》、《运作办法》及其他有关规定，基金份额持有人的义务包括但不限于：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（1）认真阅读并遵守《基金合同》；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（2）了解所投资基金产品，了解自身风险承受能力，自行承担投资风险；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（3）关注基金信息披露，及时行使权利和履行义务；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（4）缴纳基金认购、申购、赎回款项及法律法规和《基金合同》所规定的费用；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（5）在其持有的基金份额范围内，承担基金亏损或者《基金合同》终止的有限责任；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（6）不从事任何有损基金及其他《基金合同》当事人合法权益的活动；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（7）执行生效的基金份额持有人大会的决定；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（8）返还在基金交易过程中因任何原因获得的不当得利；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（9）法律法规及中国证监会规定的和《基金合同》约定的其他义务。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（二）基金管理人的权利、义务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1、根据《基金法》、《运作办法》及其他有关规定，基金管理人的权利包括但不限于：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（1）依法募集基金；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（2）自《基金合同》生效之日起，根据法律法规和《基金合同》独立运用并管理基金财产；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（3）依照《基金合同》收取基金管理费以及法律法规规定或中国证监会批准的其他费用；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（4）销售基金份额；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（5）召集基金份额持有人大会；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（7）在基金托管人更换时，提名新的基金托管人；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（8）选择、更换基金销售机构，对基金销售机构的相关行为进行监督和处理；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（9）担任或委托其他符合条件的机构担任基金登记机构办理基金登记业务并获得《基金合同》规定的费用；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（10）依据《基金合同》及有关法律规定决定基金收益的分配方案；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（11）在《基金合同》约定的范围内，拒绝或暂停受理申购与赎回申请；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（12）依照法律法规为基金的利益行使因基金财产投资于证券所产生的权利；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（13）在法律法规允许的前提下，为基金的利益依法为基金进行融资；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（14）以基金管理人的名义，代表基金份额持有人的利益行使诉讼权利或者实施其他法律行为；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（15）选择、更换律师事务所、会计师事务所、证券经纪商或其他为基金提供服务的外部机构；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（16）在符合有关法律、法规的前提下，制订和调整有关基金认购、申购、赎回、转换和非交易过户的业务规则；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（17）法律法规及中国证监会规定的和《基金合同》约定的其他权利。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2、根据《基金法》、《运作办法》及其他有关规定，基金管理人的义务包括但不限于：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（1）依法募集基金，办理或者委托经中国证监会认定的其他机构代为办理基金份额的发售、申购、赎回和登记事宜；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（2）办理基金备案手续；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（3）自《基金合同》生效之日起,以诚实信用、谨慎勤勉的原则管理和运用基金财产；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（4）配备足够的具有专业资格的人员进行基金投资分析、决策，以专业化的经营方式管理和运作基金财产；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（6）除依据《基金法》、《基金合同》及其他有关规定外,不得利用基金财产为自己及任何第三人谋取利益，不得委托第三人运作基金财产；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（7）依法接受基金托管人的监督；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（9）进行基金会计核算并编制基金财务会计报告；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（10）编制季度报告、中期报告和年度报告；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（11）严格按照《基金法》、《基金合同》及其他有关规定，履行信息披露及报告义务；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（13）按《基金合同》的约定确定基金收益分配方案，及时向基金份额持有人分配基金收益；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（14）按规定受理申购与赎回申请，及时、足额支付赎回款项；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（15）依据《基金法》、《基金合同》及其他有关规定召集基金份额持有人大会或配合基金托管人、基金份额持有人依法召集基金份额持有人大会；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（16）按规定保存基金财产管理业务活动的会计账册、报表、记录和其他相关资料15年以上；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（18）组织并参加基金财产清算小组,参与基金财产的保管、清理、估价、变现和分配；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（19）面临解散、依法被撤销或者被依法宣告破产时，及时报告中国证监会并通知基金托管人；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（20）因违反《基金合同》导致基金财产的损失或损害基金份额持有人合法权益时，应当承担赔偿责任，其赔偿责任不因其退任而免除；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（22）当基金管理人将其义务委托第三方处理时，应当对第三方处理有关基金事务的行为承担责任；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（23）以基金管理人名义，代表基金份额持有人利益行使诉讼权利或实施其他法律行为；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（24）基金管理人在募集期间未能达到基金的备案条件，《基金合同》不能生效，基金管理人承担全部募集费用，将已募集资金并加计银行同期存款利息在基金募集期结束后30日内退还基金认购人；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（25）执行生效的基金份额持有人大会的决议；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（26）建立并保存基金份额持有人名册；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（27）法律法规及中国证监会规定的和《基金合同》约定的其他义务。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（三） 基金托管人的权利与义务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1、根据《基金法》、《运作办法》及其他有关规定，基金托管人的权利包括但不限于：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（1）自《基金合同》生效之日起，依法律法规和《基金合同》的规定安全保管基金财产；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（2）依《基金合同》约定获得基金托管费以及法律法规规定或监管部门批准的其他费用；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（4）根据相关市场规则，为基金开设证券账户、为基金办理证券交易资金清算；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（5）提议召开或召集基金份额持有人大会；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（6）在基金管理人更换时，提名新的基金管理人；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（7）法律法规及中国证监会规定的和《基金合同》约定的其他权利。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2、根据《基金法》、《运作办法》及其他有关规定，基金托管人的义务包括但不限于：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（1）以诚实信用、勤勉尽责的原则持有并安全保管基金财产；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（2）设立专门的基金托管部门，具有符合要求的营业场所，配备足够的、合格的熟悉基金托管业务的专职人员，负责基金财产托管事宜；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（4）除依据《基金法》、《基金合同》及其他有关规定外，不得利用基金财产为自己及任何第三人谋取利益，不得委托第三人托管基金财产；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（5）保管由基金管理人代表基金签订的与基金有关的重大合同及有关凭证；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（6）按规定开设基金财产的资金账户和证券账户,按照《基金合同》的约定，根据基金管理人的投资指令，及时办理清算、交割事宜；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（7）保守基金商业秘密，除《基金法》、《基金合同》及其他有关规定另有规定外，在基金信息公开披露前予以保密，不得向他人泄露；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（8）复核、审查基金管理人计算的基金资产净值、基金份额净值、基金份额申购、赎回价格；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（9）办理与基金托管业务活动有关的信息披露事项；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（11）保存基金托管业务活动的记录、账册、报表和其他相关资料15年以上；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（12）建立并保存基金份额持有人名册；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（13）按规定制作相关账册并与基金管理人核对；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（14）依据基金管理人的指令或有关规定向基金份额持有人支付基金收益和赎回款项；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（15）依据《基金法》、《基金合同》及其他有关规定，召集基金份额持有人大会或配合基金管理人、基金份额持有人依法召集基金份额持有人大会；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（16）按照法律法规和《基金合同》的规定监督基金管理人的投资运作；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（17）参加基金财产清算小组，参与基金财产的保管、清理、估价、变现和分配；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（18）面临解散、依法被撤销或者被依法宣告破产时，及时报告中国证监会和银行监管机构，并通知基金管理人；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（19）因违反《基金合同》导致基金财产损失时，应承担赔偿责任，其赔偿责任不因其退任而免除；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（21）执行生效的基金份额持有人大会的决定；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（22）法律法规及中国证监会规定的和《基金合同》约定的其他义务。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Style w:val="a4"/>
          <w:rFonts w:hint="eastAsia"/>
          <w:sz w:val="21"/>
          <w:szCs w:val="21"/>
        </w:rPr>
        <w:t>二、基金份额持有人大会召集、议事及表决的程序和规则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（一）召开事由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1、当出现或需要决定下列事由之一的，应当召开基金份额持有人大会：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（1）终止《基金合同》；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（2）更换基金管理人；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（3）更换基金托管人；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（4）转换基金运作方式；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（5）提高基金管理人、基金托管人的报酬标准；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（6）变更基金类别；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（7）本基金与其他基金的合并；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（8）变更基金投资目标、范围或策略；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（9）变更基金份额持有人大会程序；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（10）基金管理人或基金托管人要求召开基金份额持有人大会；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（12）对基金当事人权利和义务产生重大影响的其他事项；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（13）法律法规、《基金合同》或中国证监会规定的其他应当召开基金份额持有人大会的事项。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2、以下情况可由基金管理人和基金托管人协商后修改，不需召开基金份额持有人大会：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（1）调低基金管理费、基金托管费和销售服务费；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（2）法律法规要求增加的基金费用的收取；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（3）在法律法规和《基金合同》规定的范围内调整本基金的申购费率、调低赎回费率或变更收费方式，调整基金份额类别的设置；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（4）因相应的法律法规发生变动而应当对《基金合同》进行修改；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（5）对《基金合同》的修改对基金份额持有人利益无实质性不利影响或修改不涉及《基金合同》当事人权利义务关系发生重大变化；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（6）如法律法规或监管机构以后允许基金投资银行承兑汇票，基金管理人经与基金托管人协商一致后，可将银行承兑汇票纳入本基金投资范围；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（7）按照法律法规和《基金合同》规定不需召开基金份额持有人大会的以外的其他情形。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（二）会议召集人及召集方式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1、除法律法规规定或《基金合同》另有约定外，基金份额持有人大会由基金管理人召集；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2、基金管理人未按规定召集或不能召集时，由基金托管人召集；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4、代表基金份额10%以上（含10%）的基金份额持有人就同一事项书面要求召开基金份额持有人大会，应当向基金管理人提出书面提议。基金管理人应当自收到书面提议之日起</w:t>
      </w:r>
      <w:r w:rsidRPr="007507EC">
        <w:rPr>
          <w:rFonts w:hint="eastAsia"/>
          <w:sz w:val="21"/>
          <w:szCs w:val="21"/>
        </w:rPr>
        <w:lastRenderedPageBreak/>
        <w:t xml:space="preserve">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6、基金份额持有人会议的召集人负责选择确定开会时间、地点、方式和权益登记日。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（三）召开基金份额持有人大会的通知时间、通知内容、通知方式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1、召开基金份额持有人大会，召集人应于会议召开前30日，在指定媒介公告。基金份额持有人大会通知应至少载明以下内容：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（1）会议召开的时间、地点和会议形式；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（2）会议拟审议的事项、议事程序和表决方式；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（3）有权出席基金份额持有人大会的基金份额持有人的权益登记日；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（4）授权委托证明的内容要求（包括但不限于代理人身份，代理权限和代理有效期限等）、送达时间和地点;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（5）会务常设联系人姓名及联系电话；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（6）出席会议者必须准备的文件和必须履行的手续；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（7）召集人需要通知的其他事项。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w:t>
      </w:r>
      <w:r w:rsidRPr="007507EC">
        <w:rPr>
          <w:rFonts w:hint="eastAsia"/>
          <w:sz w:val="21"/>
          <w:szCs w:val="21"/>
        </w:rPr>
        <w:lastRenderedPageBreak/>
        <w:t xml:space="preserve">到指定地点对表决意见的计票进行监督。基金管理人或基金托管人拒不派代表对书面表决意见的计票进行监督的，不影响表决意见的计票效力。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（四）基金份额持有人出席会议的方式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基金份额持有人大会可通过现场开会方式或通讯开会方式等方式召开，会议的召开方式由会议召集人确定。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托管人不派代表列席的，不影响表决效力。现场开会同时符合以下条件时，可以进行基金份额持有人大会议程：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（2）经核对，汇总到会者出示的在权益登记日持有基金份额的凭证显示，有效的基金份额不少于本基金在权益登记日基金总份额的50%（含50%）。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在同时符合以下条件时，通讯开会的方式视为有效：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（1）会议召集人按《基金合同》约定公布会议通知后，在2个工作日内连续公布相关提示性公告；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（3）本人直接出具书面意见或授权他人代表出具书面意见的，基金份额持有人所持有的基金份额不小于在权益登记日基金总份额的50%（含50%）；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（4）上述第（3）项中直接出具书面意见的基金份额持有人或受托代表他人出具书面意见的代理人，同时提交的持有基金份额的凭证、受托出具书面意见的代理人出具的委托人持</w:t>
      </w:r>
      <w:r w:rsidRPr="007507EC">
        <w:rPr>
          <w:rFonts w:hint="eastAsia"/>
          <w:sz w:val="21"/>
          <w:szCs w:val="21"/>
        </w:rPr>
        <w:lastRenderedPageBreak/>
        <w:t xml:space="preserve">有基金份额的凭证及委托人的代理投票授权委托证明符合法律法规、《基金合同》和会议通知的规定，并与基金登记注册机构记录相符；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（5）会议通知公布前报中国证监会备案。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3、在法律法规或监管机构允许的情况下，经会议通知载明，基金份额持有人也可以采用网络、电话或其他方式进行表决，或者采用网络、电话或其他方式授权他人代为出席会议并表决。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（五）议事内容与程序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1、议事内容及提案权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基金份额持有人大会的召集人发出召集会议的通知后，对原有提案的修改应当在基金份额持有人大会召开前及时公告。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基金份额持有人大会不得对未事先公告的议事内容进行表决。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2、议事程序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（1）现场开会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50%以上（含50%）选举产生一名基金份额持有人作为该次基金份额持有人大会的主持人。基金管理人和基金托管人拒不出席或主持基金份额持有人大会，不影响基金份额持有人大会作出的决议的效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（2）通讯开会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（六）表决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基金份额持有人所持每份基金份额有一票表决权。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基金份额持有人大会决议分为一般决议和特别决议：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1、一般决议，一般决议须经参加大会的基金份额持有人或其代理人所持表决权的50%以上（含50%）通过方为有效；除下列第2项所规定的须以特别决议通过事项以外的其他事项均以一般决议的方式通过。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以特别决议通过方为有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基金份额持有人大会采取记名方式进行投票表决。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基金份额持有人大会的各项提案或同一项提案内并列的各项议题应当分开审议、逐项表决。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（七）计票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1、现场开会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（2）监票人应当在基金份额持有人表决后立即进行清点并由大会主持人当场公布计票结果。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（4）计票过程应由公证机关予以公证,基金管理人或基金托管人拒不出席大会的，不影响计票的效力。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2、通讯开会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（八）生效与公告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基金份额持有人大会的决议，召集人应当自通过之日起5日内报中国证监会核准或者备案。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基金份额持有人大会的决议自中国证监会依法核准或者出具无异议意见之日起生效。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基金份额持有人大会决议自生效之日起按规定在指定媒介上公告。如果采用通讯方式进行表决，在公告基金份额持有人大会决议时，必须将公证书全文、公证机构、公证员姓名等一同公告。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九）本部分关于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Style w:val="a4"/>
          <w:rFonts w:hint="eastAsia"/>
          <w:sz w:val="21"/>
          <w:szCs w:val="21"/>
        </w:rPr>
        <w:t>三、基金合同解除和终止的事由、程序以及基金财产清算方式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（一）《基金合同》的变更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变更基金合同涉及法律法规规定或本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2、关于《基金合同》变更的基金份额持有人大会决议经中国证监会核准或出具无异议意见后方可执行，自决议生效后按规定在指定媒介公告。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（二）《基金合同》的终止事由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有下列情形之一的，《基金合同》应当终止：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1、基金份额持有人大会决定终止的；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2、基金管理人、基金托管人职责终止，在6个月内没有新基金管理人、新基金托管人承接的；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3、《基金合同》约定的其他情形；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4、相关法律法规和中国证监会规定的其他情况。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（三）基金财产的清算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3、基金财产清算小组职责：基金财产清算小组负责基金财产的保管、清理、估价、变现和分配。基金财产清算小组可以依法进行必要的民事活动。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4、基金财产清算程序：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（1）《基金合同》终止情形出现时，由基金财产清算小组统一接管基金；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（2）对基金财产和债权债务进行清理和确认；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（3）对基金财产进行估值和变现；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（4）制作清算报告；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（5）聘请会计师事务所对清算报告进行外部审计，聘请律师事务所对清算报告出具法律意见书；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（6）将清算报告报中国证监会备案并公告；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（7）对基金财产进行分配。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5、基金财产清算的期限为6个月。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（四）清算费用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清算费用是指基金财产清算小组在进行基金清算过程中发生的所有合理费用，清算费用由基金财产清算小组优先从基金财产中支付。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（五）基金财产清算剩余资产的分配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lastRenderedPageBreak/>
        <w:t xml:space="preserve">依据基金财产清算的分配方案，将基金财产清算后的全部剩余资产扣除基金财产清算费用、交纳所欠税款并清偿基金债务后，按基金份额持有人持有的基金份额比例进行分配。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（六）基金财产清算的公告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（七）基金财产清算账册及文件的保存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基金财产清算账册及有关文件由基金托管人保存15年以上。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Style w:val="a4"/>
          <w:rFonts w:hint="eastAsia"/>
          <w:sz w:val="21"/>
          <w:szCs w:val="21"/>
        </w:rPr>
        <w:t>四、争议解决方式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对于因基金合同的订立、内容、履行和解释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争议处理期间，基金合同当事人应恪守各自的职责，继续忠实、勤勉、尽责地履行基金合同规定的义务，维护基金份额持有人的合法权益。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 xml:space="preserve">《基金合同》受中国法律管辖。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Style w:val="a4"/>
          <w:rFonts w:hint="eastAsia"/>
          <w:sz w:val="21"/>
          <w:szCs w:val="21"/>
        </w:rPr>
        <w:t>五、基金合同存放地和投资者取得基金合同的方式 </w:t>
      </w:r>
    </w:p>
    <w:p w:rsidR="007507EC" w:rsidRPr="007507EC" w:rsidRDefault="007507EC">
      <w:pPr>
        <w:pStyle w:val="a3"/>
        <w:spacing w:before="0" w:beforeAutospacing="0" w:after="0" w:afterAutospacing="0" w:line="360" w:lineRule="auto"/>
        <w:ind w:firstLine="420"/>
        <w:divId w:val="497431135"/>
        <w:rPr>
          <w:sz w:val="21"/>
          <w:szCs w:val="21"/>
        </w:rPr>
      </w:pPr>
      <w:r w:rsidRPr="007507EC">
        <w:rPr>
          <w:rFonts w:hint="eastAsia"/>
          <w:sz w:val="21"/>
          <w:szCs w:val="21"/>
        </w:rPr>
        <w:t>《基金合同》可印制成册，供投资者在基金管理人、基金托管人、销售机构的办公场所</w:t>
      </w:r>
      <w:bookmarkStart w:id="195" w:name="chapter_level1_21_71_section_1_end"/>
      <w:bookmarkEnd w:id="195"/>
      <w:r w:rsidRPr="007507EC">
        <w:rPr>
          <w:rFonts w:hint="eastAsia"/>
          <w:sz w:val="21"/>
          <w:szCs w:val="21"/>
        </w:rPr>
        <w:t xml:space="preserve">和营业场所查阅。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196" w:name="chapter_level1_22_72"/>
      <w:bookmarkStart w:id="197" w:name="_Toc50543310"/>
      <w:r w:rsidRPr="007507EC">
        <w:rPr>
          <w:rFonts w:ascii="宋体" w:eastAsia="宋体" w:hAnsi="宋体" w:hint="eastAsia"/>
          <w:sz w:val="30"/>
        </w:rPr>
        <w:lastRenderedPageBreak/>
        <w:t>第十九部分  基金托管协议的内容摘要</w:t>
      </w:r>
      <w:bookmarkEnd w:id="196"/>
      <w:bookmarkEnd w:id="197"/>
    </w:p>
    <w:p w:rsidR="007507EC" w:rsidRPr="007507EC" w:rsidRDefault="007507EC">
      <w:pPr>
        <w:pStyle w:val="a3"/>
        <w:spacing w:before="0" w:beforeAutospacing="0" w:after="0" w:afterAutospacing="0" w:line="360" w:lineRule="auto"/>
        <w:ind w:firstLine="420"/>
        <w:divId w:val="587470819"/>
        <w:rPr>
          <w:sz w:val="21"/>
          <w:szCs w:val="21"/>
        </w:rPr>
      </w:pPr>
      <w:bookmarkStart w:id="198" w:name="chapter_level1_22_72_section_1"/>
      <w:bookmarkEnd w:id="198"/>
      <w:r w:rsidRPr="007507EC">
        <w:rPr>
          <w:rStyle w:val="a4"/>
          <w:rFonts w:hint="eastAsia"/>
          <w:sz w:val="21"/>
          <w:szCs w:val="21"/>
        </w:rPr>
        <w:t>一、托管协议当事人</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（一）基金管理人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名称：博时基金管理有限公司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住所：深圳市福田区莲花街道福新社区益田路5999号基金大厦21层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法定代表人：江向阳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成立时间：1998年7月13日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批准设立机关及批准设立文号：中国证监会证监基字[1998]26号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注册资本：2.5亿元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组织形式:有限责任公司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经营范围：基金募集；基金销售；资产管理；中国证监会许可的其他业务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存续期间：持续经营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电话：  0755-83169999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传真：0755-83195140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联系人：韩强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（二）基金托管人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名称：中国工商银行股份有限公司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住所：北京市西城区复兴门内大街55号（100032）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法定代表人：陈四清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电话：（010）66105799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传真：（010）66105798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联系人：郭明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成立时间：1984年1月1日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组织形式：股份有限公司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注册资本：人民币35,640,625.7089万元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批准设立机关和设立文号：国务院《关于中国人民银行专门行使中央银行职能的决定》（国发[1983]146号）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存续期间：持续经营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经营范围：办理人民币存款、贷款、同业拆借业务；国内外结算；办理票据承兑、贴现、转贴现、各类汇兑业务；代理资金清算；提供信用证服务及担保；代理销售业务；代理发行、代理承销、代理兑付政府债券；代收代付业务；代理证券投资基金清算业务（银证转账）；保险代理业务；代理政策性银行、外国政府和国际金融机构贷款业务；保管箱服务；发行金融债券；买卖政府债券、金融债券；证券投资基金、企业年金托管业务；企业年金受托管理服务；年金账户管理服务；开放式基金的注册登记、认购、申购和赎回业务；资信调查、咨询、见证业务；贷款承诺；企业、个人财务顾问服务；组织或参加银团贷款；外汇存款；外汇贷款；外币兑换；出口托收及进口代收；外汇票据承兑和贴现；外汇借款；外汇担保；发行、代理发行、买卖或代理买卖股票以外的外币有价证券；自营、代客外汇买卖；外汇金融衍生业务；银行卡业务；电话银行、网上银行、手机银行业务；办理结汇、售汇业务；经国务院银行业监督管理机构批准的其他业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二、基金托管人对基金管理人的业务监督和核查</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（一）基金托管人对基金管理人的投资行为行使监督权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1、基金托管人根据有关法律法规的规定和《基金合同》的约定，对下述基金投资范围、投资对象进行监督。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本基金将投资于以下金融工具：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基金主要投资于短期融资券和超级短期融资券。本基金的投资范围为具有良好流动性的金融工具，包括国内依法发行上市的短期融资券、超级短期融资券、国家债券、金融债券、次级债券、中央银行票据、企业债券、公司债券、中期票据、可分离交易可转债的纯债、资产支持证券、回购和银行存款等金融工具以及法律法规或中国证监会允许基金投资的其他固定收益类证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基金不直接从二级市场买入股票、权证等权益类证券，不参与一级市场的新股申购、增发新股、可转换债券以及可分离交易可转债（纯债部分除外），也不投资二级市场的可转换债券。本基金不得投资于相关法律、法规、部门规章及《基金合同》禁止投资的投资工具。如法律法规或监管机构以后允许基金投资的其他品种，基金管理人在履行适当程序后，可以将其纳入投资范围。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2、基金托管人根据有关法律法规的规定及《基金合同》的约定对下述基金投融资比例进行监督：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（1）按法律法规的规定及《基金合同》的约定，本基金的投资资产配置比例为：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本基金投资于债券资产比例不低于基金资产的80%；投资于短期融资券和超级短期融资券的比例不低于基金资产的60%。本基金持有现金或者到期日在一年以内的政府债券不低于基金资产净值的5%，其中，现金不包括结算备付金、存出保证金、应收申购款等。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因基金规模或市场变化等因素导致投资组合不符合上述规定的，基金管理人应在合理的期限内调整基金的投资组合，以符合上述比例限定。法律法规另有规定时，从其规定。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如法律法规或监管机构以后允许本基金投资其他品种，基金管理人在履行适当程序后，可以将其纳入投资范围，并可依据届时有效的法律法规适时合理地调整投资范围。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（2）根据法律法规的规定及《基金合同》的约定，本基金投资组合遵循以下投资限制：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a、本基金管理人管理的且由本基金托管人托管的全部基金持有一家公司发行的证券，不超过该证券的10％；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b、本基金进入全国银行间同业市场进行债券回购的资金余额不得超过基金资产净值的40%；在全国银行间同业市场中的债券回购最长期限为1年，债券回购到期后不展期；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c、现金和到期日不超过1年的政府债券不低于5%；其中，现金不包括结算备付金、存出保证金、应收申购款等；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d、本基金持有的全部资产支持证券，其市值不得超过基金资产净值的20%；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e、本基金投资于同一原始权益人的各类资产支持证券的比例，不得超过基金资产净值的10％；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f、本基金持有的同一（指同一信用级别）资产支持证券的比例，不得超过该资产支持证券规模的10%；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g、本基金管理人管理的且由本基金托管人托管的全部基金投资于同一原始权益人的各类资产支持证券，不得超过其各类资产支持证券合计规模的10％；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h、本基金应投资于信用级别评级为BBB以上(含BBB)的资产支持证券。基金持有资产支持证券期间，如果其信用等级下降、不再符合投资标准，应在评级报告发布之日起3个月内予以全部卖出；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i、本基金主动投资于流动性受限资产的市值合计不得超过本基金资产净值的15%；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《基金法》及其他有关法律法规或监管部门取消上述限制的，履行适当程序后，基金不受上述限制。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除投资资产配置外，基金托管人对基金的投资的监督和检查自基金合同生效之日起开始。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（3）法规允许的基金投资比例调整期限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基金管理人应当自基金合同生效之日起6个月内使基金的投资组合比例符合基金合同的有关约定。除上述第c、h、i项外，由于证券市场波动、债券发行人合并或基金规模变动等基金管理人之外的原因导致的投资组合不符合上述约定的比例，不在限制之内，但基金管理人应在10个交易日内进行调整，以达到规定的投资比例限制要求。法律法规另有规定的从其规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（4）本基金可以按照国家的有关规定进行融资融券。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基金托管人对基金投资的监督和检查自《基金合同》生效之日起开始。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3、基金托管人根据有关法律法规的规定及《基金合同》的约定对下述基金投资禁止行为进行监督：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根据法律法规的规定及《基金合同》的约定，本基金禁止从事下列行为：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（1）承销证券；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（2）向他人贷款或提供担保；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（3）从事承担无限责任的投资；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（4）买卖其他基金份额，但法律法规或中国证监会另有规定的除外；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（5）向基金管理人、基金托管人出资或者买卖其基金管理人、基金托管人发行的股票或债券；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（6）买卖与基金管理人、基金托管人有控股关系的股东或者与基金管理人、基金托管人有其他重大利害关系的公司发行的证券或者承销期内承销的证券；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如法律法规或监管部门取消上述禁止性规定，基金管理人在履行适当程序后可不受上述规定的限制。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4、基金托管人依据有关法律法规的规定和《基金合同》的约定对于基金关联投资限制进行监督。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根据法律法规有关基金禁止从事的关联交易的规定，基金管理人和基金托管人应事先相互提供与本机构有控股关系的股东或与本机构有其他重大利害关系的公司名单及其更新，加盖公章并书面提交，并确保所提供的关联交易名单的真实性、完整性、全面性。基金管理人有责任保管真实、完整、全面的关联交易名单，并负责及时更新该名单。名单变更后基金管理人应及时发送基金托管人，基金托管人于2个工作日内进行回函确认已知名单的变更。如果基金托管人在运作中严格遵循了监督流程，基金管理人仍违规进行关联交易，并造成基金资产损失的，由基金管理人承担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若基金托管人发现基金管理人与关联交易名单中列示的关联方进行法律法规禁止基金从事的关联交易时，基金托管人应及时提醒并协助基金管理人采取必要措施阻止该关联交易的发生，若基金托管人采取必要措施后仍无法阻止关联交易发生时，基金托管人有权向中国证监会报告。对于交易所场内已成交的违规关联交易，基金托管人应按相关法律法规和交易所规则的规定进行结算，同时向中国证监会报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5、基金托管人依据有关法律法规的规定和《基金合同》的约定对基金管理人参与银行间债券市场进行监督。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（1）基金托管人按以下方式对基金管理人参与银行间市场交易的交易对手资信风险控制措施进行监督。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向基金托管人提供符合法律法规及行业标准的银行间市场交易对手的名单，并按照审慎的风险控制原则在该名单中约定各交易对手所适用的交易结算方式。基金托管人在收到名单后2个工作日内回函确认收到该名单。基金管理人应定期或不定期对银行间市场现券及回购交易对手的名单进行更新，名单中增加或减少银行间市场交易对手时须提前书面通知基金托管人，基金托管人于2个工作日内回函确认收到后，对名单进行更新。基金管理人收到基金托管人书面确认后，被确认调整的名单开始生效，新名单生效前已与本次剔除的交易对手所进行但尚未结算的交易，仍应按照协议进行结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如果基金托管人发现基金管理人与不在名单内的银行间市场交易对手进行交易，应及时提醒基金管理人撤销交易，经提醒后基金管理人仍执行交易并造成基金资产损失的，基金托管人不承担责任，发生此种情形时，托管人有权报告中国证监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（2）基金托管人对于基金管理人参与银行间市场交易的交易方式的控制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在银行间市场进行现券买卖和回购交易时，需按交易对手名单中约定的该交易对手所适用的交易结算方式进行交易。如果基金托管人发现基金管理人没有按照事先约定的交易方式进行交易时，基金托管人应及时提醒基金管理人与交易对手重新确定交易方式，经提醒后仍未改正时造成基金资产损失的，基金托管人不承担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3）基金管理人参与银行间市场交易的核心交易对手为中国工商银行、中国银行、中国建设银行、中国农业银行和交通银行，基金管理人在通知基金托管人后，可以根据当时的市场情况调整核心交易对手名单。基金管理人有责任控制交易对手的资信风险，在与核心交易对手以外的交易对手进行交易时，由于交易对手资信风险引起的损失先由基金管理人承担，</w:t>
      </w:r>
      <w:r w:rsidRPr="007507EC">
        <w:rPr>
          <w:rFonts w:hint="eastAsia"/>
          <w:sz w:val="21"/>
          <w:szCs w:val="21"/>
        </w:rPr>
        <w:lastRenderedPageBreak/>
        <w:t xml:space="preserve">其后有权要求相关责任人进行赔偿。基金托管人的监督责任仅限于根据已提供的名单，审核交易对手是否在名单内列明。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6、基金托管人对基金管理人选择存款银行进行监督。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基金投资银行存款的信用风险主要包括存款银行的信用等级、存款银行的支付能力等涉及到存款银行选择方面的风险。本基金核心存款银行名单为中国工商银行、中国银行、中国建设银行、中国农业银行和交通银行，本基金投资除核心存款银行以外的银行存款出现由于存款银行信用风险而造成的损失时，先由基金管理人负责赔偿，之后有权要求相关责任人进行赔偿。基金管理人在通知基金托管人后，可以根据当时的市场情况对于核心存款银行名单进行调整。基金托管人的监督责任仅限于根据已提供的名单，审核核心存款银行是否在名单内列明。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7、基金托管人对基金投资流通受限证券的监督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（1）基金投资流通受限证券，应遵守《关于规范基金投资非公开发行证券行为的紧急通知》、《关于基金投资非公开发行股票等流通受限证券有关问题的通知》等有关法律法规规定。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（2）流通受限证券，不包括由于发布重大消息或其他原因而临时停牌的证券、已发行未上市证券、回购交易中的质押券等流通受限证券。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（3）基金管理人应在基金首次投资流通受限证券前，向基金托管人提供经基金管理人董事会批准的有关基金投资流通受限证券的投资决策流程、风险控制制度。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应至少于首次执行投资指令之前两个工作日将上述资料书面发至基金托管人，保证基金托管人有足够的时间进行审核。基金托管人应在收到上述资料后两个工作日内，以书面或其他双方认可的方式确认收到上述资料。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基金投资流通受限证券前，基金管理人应向基金托管人提供符合法律法规要求的有关书面信息，包括但不限于拟发行证券主体的中国证监会批准文件、发行证券数量、发行价格、锁定期，基金拟认购的数量、价格、总成本、总成本占基金资产净值的比例、已持有流通受限证券市值占资产净值的比例、资金划付时间等。基金管理人应保证上述信息的真实、完整，并应至少于拟执行投资指令前两个工作日将上述信息书面发至基金托管人，保证基金托管人有足够的时间进行审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如基金管理人和基金托管人无法达成一致，应及时上报中国证监会请求解决。如果基金托管人切实履行监督职责，则不承担任何责任。如果基金托管人没有切实履行监督职责，导致基金出现风险，基金托管人应承担连带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三）基金托管人发现基金管理人的投资运作及其他运作违反《基金法》、《基金合同》、基金托管协议有关规定时，应及时以书面形式通知基金管理人限期纠正，基金管理人收到通知后应在下一个工作日及时核对，并以书面形式向基金托管人发出回函，进行解释或举证。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在限期内，基金托管人有权随时对通知事项进行复查，督促基金管理人改正。基金管理人对基金托管人通知的违规事项未能在限期内纠正的，基金托管人应报告中国证监会。基金托管人有义务要求基金管理人赔偿因其违反《基金合同》而致使投资者遭受的损失。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对于依据交易程序尚未成交的且基金托管人在交易前能够监控的投资指令，基金托管人发现该投资指令违反关法律法规规定或者违反《基金合同》约定的，应当拒绝执行，立即通知基金管理人，并向中国证监会报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对于必须于估值完成后方可获知的监控指标或依据交易程序已经成交的投资指令，基金托管人发现该投资指令违反法律法规或者违反《基金合同》约定的，应当立即通知基金管理人，并报告中国证监会。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应积极配合和协助基金托管人的监督和核查，必须在规定时间内答复基金托管人并改正，就基金托管人的疑义进行解释或举证，对基金托管人按照法规要求需向中国证监会报送基金监督报告的，基金管理人应积极配合提供相关数据资料和制度等。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基金托管人发现基金管理人有重大违规行为，应立即报告中国证监会，同时通知基金管理人限期纠正。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无正当理由，拒绝、阻挠基金托管人根据本协议规定行使监督权，或采取拖延、欺诈等手段妨碍基金托管人进行有效监督，情节严重或经基金托管人提出警告仍不改正的，基金托管人应报告中国证监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三、基金管理人对基金托管人的业务监督、核查</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基金管理人对基金托管人履行托管职责情况进行核查，核查事项包括但不限于基金托管人安全保管基金财产、开设基金财产的资金账户和证券账户、复核基金管理人计算的基金资</w:t>
      </w:r>
      <w:r w:rsidRPr="007507EC">
        <w:rPr>
          <w:rFonts w:hint="eastAsia"/>
          <w:sz w:val="21"/>
          <w:szCs w:val="21"/>
        </w:rPr>
        <w:lastRenderedPageBreak/>
        <w:t xml:space="preserve">产净值和基金份额净值、根据管理人指令办理清算交收、相关信息披露和监督基金投资运作等行为。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确认并以书面形式向基金管理人发出回函。在限期内，基金管理人有权随时对通知事项进行复查，督促基金托管人改正，并予协助配合。基金托管人对基金管理人通知的违规事项未能在限期内纠正的，基金管理人应报告中国证监会。基金管理人有义务要求基金托管人赔偿基金因此所遭受的损失。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基金管理人发现基金托管人有重大违规行为，应立即报告中国证监会和银行业监督管理机构，同时通知基金托管人限期纠正。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基金托管人应积极配合基金管理人的核查行为，包括但不限于：提交相关资料以供基金管理人核查托管财产的完整性和真实性，在规定时间内答复基金管理人并改正。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无正当理由，拒绝、阻挠基金管理人根据本协议规定行使监督权，或采取拖延、欺诈等手段妨碍基金管理人进行有效监督，情节严重或经基金管理人提出警告仍不改正的，基金管理人应报告中国证监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四、基金财产的保管</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（一）基金财产保管的原则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1、基金财产应独立于基金管理人、基金托管人的固有财产。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2、基金托管人应安全保管基金财产。未经基金管理人的正当指令，不得自行运用、处分、分配基金的任何财产。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3、基金托管人按照规定开设基金财产的资金账户和证券账户。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4、基金托管人对所托管的不同基金财产分别设置账户，与基金托管人的其他业务和其他基金的托管业务实行严格的分账管理，确保基金财产的完整与独立。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对于因基金认（申）购、基金投资过程中产生的应收财产，应由基金管理人负责与有关当事人确定到账日期并通知基金托管人，到账日基金财产没有到达基金托管人处的，基金托管人应及时通知基金管理人采取措施进行催收。由此给基金造成损失的，基金管理人应负责向有关当事人追偿基金的损失，基金托管人对此不承担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（二）募集资金的验证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募集期内销售机构按销售与服务代理协议的约定，将认购资金划入基金管理人在商业银行开设的</w:t>
      </w:r>
      <w:bookmarkStart w:id="199" w:name="field_49_managerorgfullname_7"/>
      <w:r w:rsidR="00981FA3">
        <w:rPr>
          <w:rFonts w:hint="eastAsia"/>
          <w:sz w:val="21"/>
          <w:szCs w:val="21"/>
        </w:rPr>
        <w:t>博时基金管理有限公司</w:t>
      </w:r>
      <w:bookmarkEnd w:id="199"/>
      <w:r w:rsidRPr="007507EC">
        <w:rPr>
          <w:rFonts w:hint="eastAsia"/>
          <w:sz w:val="21"/>
          <w:szCs w:val="21"/>
        </w:rPr>
        <w:t xml:space="preserve">基金认购专户。该账户由基金管理人开立并管理。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有效。验资完成，基金管理人应将募集的属于本基金财产的全部资金划入基金托管人为基金开立的资产托管专户中，基金托管人在收到资金当日出具确认文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若基金募集期限届满，未能达到《基金合同》生效的条件，由基金管理人按规定办理退款事宜。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（三）基金的银行账户的开立和管理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基金托管人以本基金的名义在其营业机构开设资产托管专户，保管基金的银行存款。该账户的开设和管理由基金托管人承担。本基金的一切货币收支活动，均需通过基金托管人的资产托管专户进行。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资产托管专户的开立和使用，限于满足开展本基金业务的需要。基金托管人和基金管理人不得假借本基金的名义开立其他任何银行账户；亦不得使用基金的任何银行账户进行本基金业务以外的活动。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资产托管专户的管理应符合《人民币银行结算账户管理办法》、《现金管理暂行条例》、《人民币利率管理规定》、《利率管理暂行规定》、《支付结算办法》以及银行业监督管理机构的其他规定。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（四）基金证券账户与证券交易资金账户的开设和管理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基金托管人以基金托管人和本基金联名的方式在中国证券登记结算有限公司上海分公司/深圳分公司开设证券账户。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基金托管人以基金托管人的名义在中国证券登记结算有限责任公司上海分公司/深圳分公司开立基金证券交易资金账户，用于证券清算。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基金证券账户的开立和使用，限于满足开展本基金业务的需要。基金托管人和基金管理人不得出借和未经对方同意擅自转让基金的任何证券账户；亦不得使用基金的任何账户进行本基金业务以外的活动。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（五）债券托管账户的开立和管理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1、《基金合同》生效后，基金管理人负责以本基金的名义申请并取得进入全国银行间同业拆借市场的交易资格，并代表基金进行交易；基金托管人负责以基金的名义在中央国债登记结算有限责任公司开设银行间债券市场债券托管自营账户，并由基金托管人负责基金的债券的后台匹配及资金的清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2、基金管理人和基金托管人应一起负责为基金对外签订全国银行间债券市场回购主协议，正本由基金托管人保管，基金管理人保存副本。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（六）其他账户的开设和管理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在本托管协议订立日之后，本基金被允许从事符合法律法规规定和《基金合同》约定的其他投资品种的投资业务时，如果涉及相关账户的开设和使用，由基金管理人协助托管人根据有关法律法规的规定和《基金合同》的约定，开立有关账户。该账户按有关规则使用并管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（七）基金财产投资的有关实物证券、银行定期存款存单等有价凭证的保管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财产投资的有关实物证券由基金托管人存放于基金托管人的保管库；其中实物证券也可存入中央国债登记结算有限责任公司或中国证券登记结算有限责任公司上海分公司/深圳分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证券不承担保管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（八）与基金财产有关的重大合同的保管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五、基金资产净值计算与复核</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（一）基金资产净值的计算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1、基金资产净值的计算、复核的时间和程序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基金资产净值是指基金资产总值减去负债后的价值。基金份额净值是指计算日基金资产净值除以该计算日基金份额总份额后的数值。基金份额净值的计算保留到小数点后4位，小数点后第5位四舍五入，由此产生的误差计入基金财产。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应每工作日对基金资产估值。估值原则应符合《基金合同》、《证券投资基金会计核算办法》及其他法律、法规的规定。基金资产净值和基金份额净值由基金管理人负责计算，基金托管人复核。基金管理人应于每个工作日交易结束后计算当日的基金份额资产净值并以双方认可的方式发送给基金托管人。基金托管人对净值计算结果复核后以双方认可的方式发送给基金管理人，由基金管理人按规定对基金净值予以公布。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根据《基金法》，基金管理人计算并公告基金净值，基金托管人复核、审查基金管理人计算的基金净值。因此，本基金的会计责任方是基金管理人，就与本基金有关的会计问题，如经相关各方在平等基础上充分讨论后，仍无法达成一致的意见，按照基金管理人对基金净值的计算结果对外予以公布。法律法规以及监管部门有强制规定的，从其规定。如有新增事项，按国家最新规定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（二）基金资产估值方法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1、估值对象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基金所拥有的债券和银行存款本息、应收款项、其它投资等资产及负债。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2、估值方法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本基金的估值方法为：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（1）证券交易所上市的有价证券的估值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①交易所上市的有价证券，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②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③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④交易所上市不存在活跃市场的有价证券，采用估值技术确定公允价值。交易所上市的资产支持证券，采用估值技术确定公允价值，在估值技术难以可靠计量公允价值的情况下，按成本估值。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（2）首次公开发行未上市的债券，采用估值技术确定公允价值，在估值技术难以可靠计量公允价值的情况下，按成本估值。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（3）全国银行间债券市场交易的债券、资产支持证券等固定收益品种，采用估值技术确定公允价值。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 同一债券同时在两个或两个以上市场交易的，按债券所处的市场分别估值。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（5）如有确凿证据表明按上述方法进行估值不能客观反映其公允价值的，基金管理人可根据具体情况与基金托管人商定后，按最能反映公允价值的价格估值。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（6）相关法律法规以及监管部门有强制规定的，从其规定。如有新增事项，按国家最新规定估值。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（三）估值差错处理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因基金估值错误给投资者造成损失的应先由基金管理人承担，基金管理人对不应由其承担的责任，有权向过错人追偿。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当基金管理人计算的基金净值已由基金托管人复核确认后公告的，由此造成的投资者或基金的损失，应根据法律法规的规定对投资者或基金支付赔偿金，就实际向投资者或基金支付的赔偿金额，由基金管理人与基金托管人按照管理费率和托管费率的比例各自承担相应的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由于一方当事人提供的信息错误，另一方当事人在采取了必要合理的措施后仍不能发现该错误，进而导致基金资产净值、基金份额净值计算错误造成投资者或基金的损失，以及由</w:t>
      </w:r>
      <w:r w:rsidRPr="007507EC">
        <w:rPr>
          <w:rFonts w:hint="eastAsia"/>
          <w:sz w:val="21"/>
          <w:szCs w:val="21"/>
        </w:rPr>
        <w:lastRenderedPageBreak/>
        <w:t xml:space="preserve">此造成以后交易日基金资产净值、基金份额净值计算顺延错误而引起的投资者或基金的损失，由提供错误信息的当事人一方负责赔偿。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由于证券交易所及其登记结算公司发送的数据错误，或由于其他不可抗力原因，基金管理人和基金托管人虽然已经采取必要、适当、合理的措施进行检查，但是未能发现该错误的，由此造成的基金资产估值错误，基金管理人和基金托管人可以免除赔偿责任。但基金管理人和基金托管人应当积极采取必要的措施消除或减轻由此造成的影响。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当基金管理人计算的基金净值与基金托管人的计算结果不一致时，相关各方应本着勤勉尽责的态度重新计算核对，如果最后仍无法达成一致，应以基金管理人的计算结果为准对外公布，由此造成的损失以及因该交易日基金净值计算顺延错误而引起的损失由基金管理人承担赔偿责任，基金托管人不负赔偿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（四）暂停估值的情形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1、基金投资所涉及的证券交易市场遇法定节假日或因其他原因暂停营业时；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2、因不可抗力致使基金管理人、基金托管人无法准确评估基金资产价值时；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3、当前一估值日基金资产净值50%以上的资产出现无可参考的活跃市场价格且采用估值技术仍导致公允价值存在重大不确定性时，经与基金托管人协商一致的，应当暂停估值；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4、法律法规规定、中国证监会和基金合同认定的其它情形。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（五）基金账册的建立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和基金托管人在《基金合同》生效后，应按照相关各方约定的同一记账方法和会计处理原则，分别独立地设置、登录和保管本基金的全套账册，对相关各方各自的账册定期进行核对，互相监督，以保证基金资产的安全。若双方对会计处理方法存在分歧，应以基金管理人的处理方法为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经对账发现相关各方的账目存在不符的，基金管理人和基金托管人必须及时查明原因并纠正，保证相关各方平行登录的账册记录完全相符。若当日核对不符，暂时无法查找到错账的原因而影响到基金资产净值的计算和公告的，以基金管理人的账册为准。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（六）基金定期报告的编制和复核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基金财务报表由基金管理人和基金托管人每月分别独立编制。月度报表的编制，应于每月终了后5个工作日内完成。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《基金合同》生效后，基金招募说明书、基金产品资料概要的信息发生重大变更的，基金管理人应当在三个工作日内，更新基金招募说明书和基金产品资料概要并登载在指定网站</w:t>
      </w:r>
      <w:r w:rsidRPr="007507EC">
        <w:rPr>
          <w:rFonts w:hint="eastAsia"/>
          <w:sz w:val="21"/>
          <w:szCs w:val="21"/>
        </w:rPr>
        <w:lastRenderedPageBreak/>
        <w:t xml:space="preserve">上；基金招募说明书、基金产品资料概要其他信息发生变更的，基金管理人至少每年更新一次。基金终止运作的，基金管理人不再更新招募说明书、基金产品资料概要。基金管理人在每个季度结束之日起15个工作日内完成季度报告编制并公告；在会计年度半年终了后两个月内完成中期报告编制并公告；在会计年度结束后三个月内完成年度报告编制并公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在月度报告完成当日，对报告加盖公章后，以加密传真方式将有关报告提供基金托管人复核；基金托管人在3个工作日内进行复核，并将复核结果及时书面通知基金管理人。基金管理人在季度报告完成当日，以电子文件方式将有关报告提供基金托管人复核，基金托管人在收到后7个工作日内进行复核，并将复核结果以书面通知和电子文件签名的方式基金管理人。基金管理人在中期报告完成当日，以电子文件方式将有关报告提供基金托管人复核，基金托管人在收到后30日内进行复核，并将复核结果以书面和电子文件签名的方式通知基金管理人。基金管理人在年度报告完成当日，以电子文件方式将有关报告提供基金托管人复核，基金托管人在收到后45日内复核，并将复核结果以书面和电子文件签名的方式通知基金管理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在复核过程中，发现相关各方的报表存在不符时，基金管理人和基金托管人应共同查明原因，进行调整，调整以相关各方认可的账务处理方式为准。核对无误后，基金托管人在基金管理人提供的报告上加盖业务印鉴或者出具加盖托管业务部门公章的复核意见书，相关各方各自留存一份。如果基金管理人与基金托管人不能于应当发布公告之日之前就相关报表达成一致，基金管理人有权按照其编制的报表对外发布公告，基金托管人有权就相关情况报证监会备案。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基金托管人在对财务会计报告、中期报告或年度报告复核完毕后，需盖章确认或出具相应的复核确认书，以备有权机构对相关文件审核时提示。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六、基金份额持有人名册的登记与保管</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管理人和基金托管人须分别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份额持有人名册由基金的基金注册登记机构根据基金管理人的指令编制和保管，基金管理人和基金托管人应按照目前相关规则分别保管基金份额持有人名册。保管方式可以采用电子或文档的形式。保管期限为15年。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基金管理人应当及时向基金托管人提交下列日期的基金份额持有人名册：《基金合同》生效日、《基金合同》终止日、基金份额持有人大会权益登记日、每年6月30日、每年12月31日的基金份额持有人名册。基金份额持有人名册的内容必须包括基金份额持有人的名称和持有的基金份额。其中每年12月31日的基金份额持有人名册应于下月前十个工作日内提交；《基金合同》生效日、《基金合同》终止日等涉及到基金重要事项日期的基金份额持有人名册应于发生日后十个工作日内提交。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基金托管人以电子版形式妥善保管基金份额持有人名册，并定期刻成光盘备份，保存期限为15年。基金托管人不得将所保管的基金份额持有人名册用于基金托管业务以外的其他用途，并应遵守保密义务。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若基金管理人或基金托管人由于自身原因无法妥善保管基金份额持有人名册，应按有关法规规定各自承担相应的责任。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七、争议解决方式</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相关各方当事人同意，因本协议而产生的或与本协议有关的一切争议，除经友好协商可以解决的，应提交中国国际经济贸易仲裁委员会根据该会当时有效的仲裁规则进行仲裁，仲裁的地点在北京，仲裁裁决是终局性的并对相关各方均有约束力，仲裁费用由败诉方承担。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争议处理期间，相关各方当事人应恪守基金管理人和基金托管人职责，继续忠实、勤勉、尽责地履行《基金合同》和托管协议规定的义务，维护基金份额持有人的合法权益。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本协议受中国法律管辖。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Style w:val="a4"/>
          <w:rFonts w:hint="eastAsia"/>
          <w:sz w:val="21"/>
          <w:szCs w:val="21"/>
        </w:rPr>
        <w:t>八、托管协议的修改与终止</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（一）托管协议的变更与终止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1、托管协议的变更程序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本协议双方当事人经协商一致，可以对协议的内容进行变更。变更后的托管协议，其内容不得与《基金合同》的规定有任何冲突。基金托管协议的变更报中国证监会核准后生效。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2、基金托管协议终止的情形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发生以下情况，本托管协议终止：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（1）《基金合同》终止；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（2）基金托管人解散、依法被撤销、破产或有其他基金托管人接管基金资产；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（3）基金管理人解散、依法被撤销、破产或有其他基金管理人接管基金管理权；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（4）发生法律法规或《基金合同》规定的终止事项。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（二）基金财产的清算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2、在基金财产清算小组接管基金财产之前，基金管理人和基金托管人应按照《基金合同》和本托管协议的规定继续履行保护基金财产安全的职责。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基金财产清算小组组成：基金财产清算小组成员由基金管理人、基金托管人、具有从事证券、期货相关业务资格的注册会计师、律师以及中国证监会指定的人员组成。基金财产清算小组可以聘用必要的工作人员。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4、基金财产清算小组职责：基金财产清算小组负责基金财产的保管、清理、估价、变现和分配。基金财产清算小组可以依法进行必要的民事活动。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5、基金财产清算程序：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（1）《基金合同》终止后，由基金财产清算小组统一接管基金；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（2）对基金财产和债权债务进行清理和确认；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（3）对基金财产进行估值和变现；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（4）制作清算报告；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（5）聘请会计师事务所对清算报告进行外部审计，聘请律师事务所对清算报告出具法律意见书；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（6）将清算报告报告中国证监会备案并公告；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（7）对基金财产进行分配；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6、清算费用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清算费用是指基金清算小组在进行基金清算过程中发生的所有合理费用，清算费用由基金清算小组优先从基金财产中支付。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7、基金财产按下列顺序清偿：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(1)支付清算费用；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(2)交纳所欠税款；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(3)清偿基金债务；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(4)按基金份额持有人持有的基金份额比例进行分配。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基金财产未按前款(1)－(3)项规定清偿前，不分配给基金份额持有人。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（三）基金财产清算的公告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lastRenderedPageBreak/>
        <w:t xml:space="preserve">清算过程中的有关重大事项须及时公告；基金财产清算报告经具有从事证券、期货相关业务资格的会计师事务所审计并由律师事务所出具法律意见书后报中国证监会备案并公告。基金财产清算报告于《基金合同》终止并报中国证监会备案后5个工作日内由基金财产清算小组进行公告。 </w:t>
      </w:r>
    </w:p>
    <w:p w:rsidR="007507EC" w:rsidRPr="007507EC" w:rsidRDefault="007507EC">
      <w:pPr>
        <w:pStyle w:val="a3"/>
        <w:spacing w:before="0" w:beforeAutospacing="0" w:after="0" w:afterAutospacing="0" w:line="360" w:lineRule="auto"/>
        <w:ind w:firstLine="420"/>
        <w:divId w:val="587470819"/>
        <w:rPr>
          <w:sz w:val="21"/>
          <w:szCs w:val="21"/>
        </w:rPr>
      </w:pPr>
      <w:r w:rsidRPr="007507EC">
        <w:rPr>
          <w:rFonts w:hint="eastAsia"/>
          <w:sz w:val="21"/>
          <w:szCs w:val="21"/>
        </w:rPr>
        <w:t xml:space="preserve">（四）基金财产清算账册及文件的保存 </w:t>
      </w:r>
    </w:p>
    <w:p w:rsidR="007507EC" w:rsidRPr="007507EC" w:rsidRDefault="007507EC">
      <w:pPr>
        <w:pStyle w:val="a3"/>
        <w:spacing w:before="0" w:beforeAutospacing="0" w:after="0" w:afterAutospacing="0" w:line="360" w:lineRule="auto"/>
        <w:ind w:firstLine="420"/>
        <w:divId w:val="587470819"/>
        <w:rPr>
          <w:sz w:val="21"/>
          <w:szCs w:val="21"/>
        </w:rPr>
      </w:pPr>
      <w:bookmarkStart w:id="200" w:name="chapter_level1_22_72_section_1_end"/>
      <w:bookmarkEnd w:id="200"/>
      <w:r w:rsidRPr="007507EC">
        <w:rPr>
          <w:rFonts w:hint="eastAsia"/>
          <w:sz w:val="21"/>
          <w:szCs w:val="21"/>
        </w:rPr>
        <w:t xml:space="preserve">基金财产清算账册及有关文件由基金托管人保存15年以上。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201" w:name="chapter_level1_23_75"/>
      <w:bookmarkStart w:id="202" w:name="_Toc50543311"/>
      <w:r w:rsidRPr="007507EC">
        <w:rPr>
          <w:rFonts w:ascii="宋体" w:eastAsia="宋体" w:hAnsi="宋体" w:hint="eastAsia"/>
          <w:sz w:val="30"/>
        </w:rPr>
        <w:lastRenderedPageBreak/>
        <w:t>第二十部分  对基金份额持有人的服务</w:t>
      </w:r>
      <w:bookmarkEnd w:id="201"/>
      <w:bookmarkEnd w:id="202"/>
    </w:p>
    <w:p w:rsidR="007507EC" w:rsidRPr="007507EC" w:rsidRDefault="007507EC">
      <w:pPr>
        <w:pStyle w:val="a3"/>
        <w:spacing w:before="0" w:beforeAutospacing="0" w:after="0" w:afterAutospacing="0" w:line="360" w:lineRule="auto"/>
        <w:ind w:firstLine="420"/>
        <w:divId w:val="965159233"/>
        <w:rPr>
          <w:sz w:val="21"/>
          <w:szCs w:val="21"/>
        </w:rPr>
      </w:pPr>
      <w:bookmarkStart w:id="203" w:name="chapter_level1_23_75_section_1"/>
      <w:bookmarkEnd w:id="203"/>
      <w:r w:rsidRPr="007507EC">
        <w:rPr>
          <w:rFonts w:hint="eastAsia"/>
          <w:sz w:val="21"/>
          <w:szCs w:val="21"/>
        </w:rPr>
        <w:t xml:space="preserve">基金管理人承诺为基金份额持有人提供一系列的服务。基金管理人根据基金份额持有人的需要和市场的变化，有权增加或变更服务项目。主要服务内容如下：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Style w:val="a4"/>
          <w:rFonts w:hint="eastAsia"/>
          <w:sz w:val="21"/>
          <w:szCs w:val="21"/>
        </w:rPr>
        <w:t>一、持有人交易资料的寄送服务</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1、正常开放期，每次交易结束后，投资者可在T+2个工作日后通过销售机构的网点查询和打印交易确认单，或在T+1个工作日后通过博时一线通电话、博时快e通网上服务手段查询交易确认情况。基金管理人不向投资者寄送交易确认单。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2、每月结束后，基金管理人向所有订阅电子邮件对账单的投资者发送电子邮件对账单。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投资者可以登录基金管理人网站（http://www.bosera.com）“博时快e通”系统网上自助订阅；或发送“订阅电子对账单”邮件到客服邮箱</w:t>
      </w:r>
      <w:hyperlink r:id="rId6" w:history="1">
        <w:r w:rsidRPr="007507EC">
          <w:rPr>
            <w:rStyle w:val="a5"/>
            <w:rFonts w:hint="eastAsia"/>
            <w:sz w:val="21"/>
            <w:szCs w:val="21"/>
          </w:rPr>
          <w:t>service@bosera.com</w:t>
        </w:r>
      </w:hyperlink>
      <w:r w:rsidRPr="007507EC">
        <w:rPr>
          <w:rFonts w:hint="eastAsia"/>
          <w:sz w:val="21"/>
          <w:szCs w:val="21"/>
        </w:rPr>
        <w:t xml:space="preserve">；也可直接拨打博时一线通95105568（免长途话费）订阅。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Style w:val="a4"/>
          <w:rFonts w:hint="eastAsia"/>
          <w:sz w:val="21"/>
          <w:szCs w:val="21"/>
        </w:rPr>
        <w:t>二、网上理财服务</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通过基金管理人网站，投资者可获得如下服务：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1、自助开户交易：投资者使用建设银行、农业银行、工商银行、交通银行、招商银行、兴业银行、浦发银行、邮储银行、民生银行、中信银行、光大银行、平安银行、中国银行、广发银行的借记卡或招商银行i理财账户、汇付天下天天盈账户、支付宝理财专户均可以在基金管理人网站上自助开户并进行网上交易。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2、查询服务：投资者可以通过基金管理人网站查询所持有基金的基金份额、交易记录等信息，同时可以修改基金账户信息等基本资料。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3、信息咨询服务：投资者可以利用基金管理人网站获取基金和基金管理人各类信息，包括基金法律文件、基金管理人最新动态、热点问题等。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Style w:val="a4"/>
          <w:rFonts w:hint="eastAsia"/>
          <w:sz w:val="21"/>
          <w:szCs w:val="21"/>
        </w:rPr>
        <w:t>三、短信服务</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Fonts w:hint="eastAsia"/>
          <w:sz w:val="21"/>
          <w:szCs w:val="21"/>
        </w:rPr>
        <w:t xml:space="preserve">基金管理人向订制短信服务的基金份额持有人提供相应短信服务。 </w:t>
      </w:r>
    </w:p>
    <w:p w:rsidR="007507EC" w:rsidRPr="007507EC" w:rsidRDefault="007507EC">
      <w:pPr>
        <w:pStyle w:val="a3"/>
        <w:spacing w:before="0" w:beforeAutospacing="0" w:after="0" w:afterAutospacing="0" w:line="360" w:lineRule="auto"/>
        <w:ind w:firstLine="420"/>
        <w:divId w:val="965159233"/>
        <w:rPr>
          <w:sz w:val="21"/>
          <w:szCs w:val="21"/>
        </w:rPr>
      </w:pPr>
      <w:r w:rsidRPr="007507EC">
        <w:rPr>
          <w:rStyle w:val="a4"/>
          <w:rFonts w:hint="eastAsia"/>
          <w:sz w:val="21"/>
          <w:szCs w:val="21"/>
        </w:rPr>
        <w:t>四、电子邮件服务</w:t>
      </w:r>
    </w:p>
    <w:p w:rsidR="007507EC" w:rsidRPr="007507EC" w:rsidRDefault="007507EC">
      <w:pPr>
        <w:pStyle w:val="a3"/>
        <w:spacing w:before="0" w:beforeAutospacing="0" w:after="0" w:afterAutospacing="0" w:line="360" w:lineRule="auto"/>
        <w:ind w:firstLine="420"/>
        <w:divId w:val="965159233"/>
        <w:rPr>
          <w:sz w:val="21"/>
          <w:szCs w:val="21"/>
        </w:rPr>
      </w:pPr>
      <w:bookmarkStart w:id="204" w:name="chapter_level1_23_75_section_1_end"/>
      <w:bookmarkEnd w:id="204"/>
      <w:r w:rsidRPr="007507EC">
        <w:rPr>
          <w:rFonts w:hint="eastAsia"/>
          <w:sz w:val="21"/>
          <w:szCs w:val="21"/>
        </w:rPr>
        <w:t xml:space="preserve">基金管理人为投资者提供电子邮件方式的业务咨询、投诉受理、基金份额净值等服务。 </w:t>
      </w:r>
    </w:p>
    <w:p w:rsidR="007507EC" w:rsidRPr="007507EC" w:rsidRDefault="007507EC">
      <w:pPr>
        <w:pStyle w:val="a3"/>
        <w:spacing w:before="0" w:beforeAutospacing="0" w:after="0" w:afterAutospacing="0" w:line="360" w:lineRule="auto"/>
        <w:ind w:firstLine="420"/>
        <w:divId w:val="612788076"/>
        <w:rPr>
          <w:sz w:val="21"/>
          <w:szCs w:val="21"/>
        </w:rPr>
      </w:pPr>
      <w:bookmarkStart w:id="205" w:name="chapter_level1_23_75_section_2"/>
      <w:bookmarkEnd w:id="205"/>
      <w:r w:rsidRPr="007507EC">
        <w:rPr>
          <w:rStyle w:val="a4"/>
          <w:rFonts w:hint="eastAsia"/>
          <w:sz w:val="21"/>
          <w:szCs w:val="21"/>
        </w:rPr>
        <w:lastRenderedPageBreak/>
        <w:t>五、手机理财服务</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投资者可以通过手机登陆博时移动版直销网上交易系统（m.bosera.com）、手机基金交易系统（wap.bosera.com）和博时App版直销网上交易系统，享受基金理财所需的基金交易、理财查询、账户管理、信息服务等功能。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Style w:val="a4"/>
          <w:rFonts w:hint="eastAsia"/>
          <w:sz w:val="21"/>
          <w:szCs w:val="21"/>
        </w:rPr>
        <w:t>六、信息订阅服务</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投资者可以通过基金管理人网站博时快e通、客服中心提交信息订制的申请，基金管理人将以电子邮件、手机短信的形式定期为投资者发送所订制的信息。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Style w:val="a4"/>
          <w:rFonts w:hint="eastAsia"/>
          <w:sz w:val="21"/>
          <w:szCs w:val="21"/>
        </w:rPr>
        <w:t>七、电话理财服务</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投资者拨打博时一线通：95105568（免长途话费）可享有投资理财交易的一站式综合服务：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3、人工电话服务：投资者可以获得业务咨询、信息查询、资料修改、投诉受理、信息订制、电话交易人工服务、账户诊断等服务。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4、电话留言服务：非人工服务时间或线路繁忙时，投资者可进行电话留言。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基金管理人的互联网地址及电子信箱 </w:t>
      </w:r>
    </w:p>
    <w:p w:rsidR="007507EC" w:rsidRPr="007507EC" w:rsidRDefault="007507EC">
      <w:pPr>
        <w:pStyle w:val="a3"/>
        <w:spacing w:before="0" w:beforeAutospacing="0" w:after="0" w:afterAutospacing="0" w:line="360" w:lineRule="auto"/>
        <w:ind w:firstLine="420"/>
        <w:divId w:val="612788076"/>
        <w:rPr>
          <w:sz w:val="21"/>
          <w:szCs w:val="21"/>
        </w:rPr>
      </w:pPr>
      <w:r w:rsidRPr="007507EC">
        <w:rPr>
          <w:rFonts w:hint="eastAsia"/>
          <w:sz w:val="21"/>
          <w:szCs w:val="21"/>
        </w:rPr>
        <w:t xml:space="preserve">网址：www.bosera.com </w:t>
      </w:r>
    </w:p>
    <w:p w:rsidR="007507EC" w:rsidRPr="007507EC" w:rsidRDefault="007507EC">
      <w:pPr>
        <w:pStyle w:val="a3"/>
        <w:spacing w:before="0" w:beforeAutospacing="0" w:after="0" w:afterAutospacing="0" w:line="360" w:lineRule="auto"/>
        <w:ind w:firstLine="420"/>
        <w:divId w:val="612788076"/>
        <w:rPr>
          <w:sz w:val="21"/>
          <w:szCs w:val="21"/>
        </w:rPr>
      </w:pPr>
      <w:bookmarkStart w:id="206" w:name="chapter_level1_23_75_section_2_end"/>
      <w:bookmarkEnd w:id="206"/>
      <w:r w:rsidRPr="007507EC">
        <w:rPr>
          <w:rFonts w:hint="eastAsia"/>
          <w:sz w:val="21"/>
          <w:szCs w:val="21"/>
        </w:rPr>
        <w:t>电子信箱：</w:t>
      </w:r>
      <w:hyperlink r:id="rId7" w:history="1">
        <w:r w:rsidRPr="007507EC">
          <w:rPr>
            <w:rStyle w:val="a5"/>
            <w:rFonts w:hint="eastAsia"/>
            <w:sz w:val="21"/>
            <w:szCs w:val="21"/>
          </w:rPr>
          <w:t>service@bosera.com</w:t>
        </w:r>
      </w:hyperlink>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207" w:name="chapter_level1_24_3499"/>
      <w:bookmarkStart w:id="208" w:name="_Toc50543312"/>
      <w:r w:rsidRPr="007507EC">
        <w:rPr>
          <w:rFonts w:ascii="宋体" w:eastAsia="宋体" w:hAnsi="宋体" w:hint="eastAsia"/>
          <w:sz w:val="30"/>
        </w:rPr>
        <w:lastRenderedPageBreak/>
        <w:t>第二十一部分 其他应披露的事项</w:t>
      </w:r>
      <w:bookmarkEnd w:id="207"/>
      <w:bookmarkEnd w:id="208"/>
    </w:p>
    <w:p w:rsidR="007507EC" w:rsidRPr="007507EC" w:rsidRDefault="007507EC">
      <w:pPr>
        <w:pStyle w:val="a3"/>
        <w:spacing w:before="0" w:beforeAutospacing="0" w:after="0" w:afterAutospacing="0" w:line="360" w:lineRule="auto"/>
        <w:ind w:firstLine="420"/>
        <w:divId w:val="518397944"/>
        <w:rPr>
          <w:sz w:val="21"/>
          <w:szCs w:val="21"/>
        </w:rPr>
      </w:pPr>
      <w:bookmarkStart w:id="209" w:name="chapter_level1_24_3499_section_1"/>
      <w:bookmarkStart w:id="210" w:name="field_0_bsrevealinfo_1_start"/>
      <w:bookmarkEnd w:id="209"/>
      <w:bookmarkEnd w:id="210"/>
      <w:r w:rsidRPr="007507EC">
        <w:rPr>
          <w:rFonts w:hint="eastAsia"/>
          <w:sz w:val="21"/>
          <w:szCs w:val="21"/>
        </w:rPr>
        <w:t xml:space="preserve">（一）、 2020年08月31日，我公司公告了《博时安盈债券型证券投资基金2020年中期报告》；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（二）、 2020年08月27日，我公司公告了《博时安盈债券型证券投资基金（博时安盈债券A）基金产品资料概要更新》、《博时安盈债券型证券投资基金（博时安盈债券C）基金产品资料概要更新》；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（三）、 2020年08月05日，我公司公告了《博时基金管理有限公司关于暂停使用通联支付提供的中信银行、中国银行快捷支付通道办理直销网上交易部分业务的公告》；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（四）、 2020年07月23日，我公司公告了《博时基金管理有限公司关于暂停使用中国农业银行非快捷支付服务办理直销网上交易部分业务的公告》；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（五）、 2020年07月21日，我公司公告了《博时安盈债券型证券投资基金2020年第2季度报告》；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（六）、 2020年07月09日，我公司公告了《博时基金管理有限公司关于暂停使用上海银联提供的光大银行通道办理直销网上交易部分业务的公告》；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（八）、 2020年06月01日，我公司公告了《关于博时旗下部分基金参加招商银行申购及定投业务费率优惠活动的公告》；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（九）、 2020年04月22日，我公司公告了《博时安盈债券型证券投资基金2020年第1季度报告》；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（十）、 2020年04月17日，我公司公告了《博时基金管理有限公司关于高级管理人员变更的公告》；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（十一）、 2020年03月27日，我公司公告了《博时安盈债券型证券投资基金2019年年度报告》；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（十二）、 2020年02月29日，我公司公告了《博时安盈债券型证券投资基金调整大额申购、转换转入及定期定额投资业务金额限制的公告》；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lastRenderedPageBreak/>
        <w:t xml:space="preserve">（十三）、 2020年01月28日，我公司公告了《博时基金管理有限公司关于2020年春节假期延长期间暂停办理申购赎回等业务的公告》；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 xml:space="preserve">（十四）、 2020年01月17日，我公司公告了《博时安盈债券型证券投资基金2019年第4季度报告》； </w:t>
      </w:r>
    </w:p>
    <w:p w:rsidR="007507EC" w:rsidRPr="007507EC" w:rsidRDefault="007507EC">
      <w:pPr>
        <w:pStyle w:val="a3"/>
        <w:spacing w:before="0" w:beforeAutospacing="0" w:after="0" w:afterAutospacing="0" w:line="360" w:lineRule="auto"/>
        <w:ind w:firstLine="420"/>
        <w:divId w:val="518397944"/>
        <w:rPr>
          <w:sz w:val="21"/>
          <w:szCs w:val="21"/>
        </w:rPr>
      </w:pPr>
      <w:r w:rsidRPr="007507EC">
        <w:rPr>
          <w:rFonts w:hint="eastAsia"/>
          <w:sz w:val="21"/>
          <w:szCs w:val="21"/>
        </w:rPr>
        <w:t>（十五）、 2019年12月31日，我公司公告了《博时安盈债券型证券投资基金基金合同》、《博时安盈债券型证券投资基金更新招募说明书（摘要）》、《博时基金管理有限公司根据《公开募集证券投资基金信息披露管理办法》修改旗下博时安盈债券型证券投资基</w:t>
      </w:r>
      <w:bookmarkStart w:id="211" w:name="chapter_level1_24_3499_section_1_end"/>
      <w:bookmarkEnd w:id="211"/>
      <w:r w:rsidRPr="007507EC">
        <w:rPr>
          <w:rFonts w:hint="eastAsia"/>
          <w:sz w:val="21"/>
          <w:szCs w:val="21"/>
        </w:rPr>
        <w:t>金法律文件的公告》、《博时安盈债券型证券投资基金托管协议》。</w:t>
      </w:r>
      <w:bookmarkStart w:id="212" w:name="field_0_bsrevealinfo_1_end"/>
      <w:bookmarkEnd w:id="212"/>
      <w:r w:rsidRPr="007507EC">
        <w:rPr>
          <w:rFonts w:hint="eastAsia"/>
          <w:sz w:val="21"/>
          <w:szCs w:val="21"/>
        </w:rPr>
        <w:t xml:space="preserve">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213" w:name="chapter_level1_25_77"/>
      <w:bookmarkStart w:id="214" w:name="_Toc50543313"/>
      <w:r w:rsidRPr="007507EC">
        <w:rPr>
          <w:rFonts w:ascii="宋体" w:eastAsia="宋体" w:hAnsi="宋体" w:hint="eastAsia"/>
          <w:sz w:val="30"/>
        </w:rPr>
        <w:lastRenderedPageBreak/>
        <w:t>第二十二部分  招募说明书存放及查阅方式</w:t>
      </w:r>
      <w:bookmarkEnd w:id="213"/>
      <w:bookmarkEnd w:id="214"/>
    </w:p>
    <w:p w:rsidR="007507EC" w:rsidRPr="007507EC" w:rsidRDefault="007507EC">
      <w:pPr>
        <w:pStyle w:val="a3"/>
        <w:spacing w:before="0" w:beforeAutospacing="0" w:after="0" w:afterAutospacing="0" w:line="360" w:lineRule="auto"/>
        <w:ind w:firstLine="420"/>
        <w:divId w:val="1816989517"/>
        <w:rPr>
          <w:sz w:val="21"/>
          <w:szCs w:val="21"/>
        </w:rPr>
      </w:pPr>
      <w:bookmarkStart w:id="215" w:name="chapter_level1_25_77_section_1"/>
      <w:bookmarkEnd w:id="215"/>
      <w:r w:rsidRPr="007507EC">
        <w:rPr>
          <w:rFonts w:hint="eastAsia"/>
          <w:sz w:val="21"/>
          <w:szCs w:val="21"/>
        </w:rPr>
        <w:t xml:space="preserve">依法必须披露的信息发布后，基金管理人、基金托管人应当按照相关法律法规规定将信息置备于各自住所，供社会公众查阅、复制。投资者在支付工本费后，可在合理时间内取得上述文件复制件或复印件。对投资者按此种方式所获得的文件及其复印件，基金管理人保证文本的内容与所公告的内容完全一致。  </w:t>
      </w:r>
    </w:p>
    <w:p w:rsidR="007507EC" w:rsidRPr="007507EC" w:rsidRDefault="007507EC">
      <w:pPr>
        <w:pStyle w:val="a3"/>
        <w:spacing w:before="0" w:beforeAutospacing="0" w:after="0" w:afterAutospacing="0" w:line="360" w:lineRule="auto"/>
        <w:ind w:firstLine="420"/>
        <w:divId w:val="1816989517"/>
        <w:rPr>
          <w:sz w:val="21"/>
          <w:szCs w:val="21"/>
        </w:rPr>
      </w:pPr>
      <w:bookmarkStart w:id="216" w:name="chapter_level1_25_77_section_1_end"/>
      <w:bookmarkEnd w:id="216"/>
      <w:r w:rsidRPr="007507EC">
        <w:rPr>
          <w:rFonts w:hint="eastAsia"/>
          <w:sz w:val="21"/>
          <w:szCs w:val="21"/>
        </w:rPr>
        <w:t xml:space="preserve">投资者还可以直接登录基金管理人的网站（www.bosera.com）查阅和下载招募说明书。 </w:t>
      </w:r>
    </w:p>
    <w:p w:rsidR="007507EC" w:rsidRPr="007507EC" w:rsidRDefault="007507EC">
      <w:pPr>
        <w:widowControl/>
        <w:jc w:val="left"/>
        <w:rPr>
          <w:rFonts w:ascii="宋体" w:eastAsia="宋体" w:hAnsi="宋体"/>
        </w:rPr>
      </w:pPr>
      <w:r w:rsidRPr="007507EC">
        <w:rPr>
          <w:rFonts w:ascii="宋体" w:eastAsia="宋体" w:hAnsi="宋体"/>
        </w:rPr>
        <w:br w:type="page"/>
      </w:r>
    </w:p>
    <w:p w:rsidR="007507EC" w:rsidRPr="007507EC" w:rsidRDefault="007507EC" w:rsidP="007507EC">
      <w:pPr>
        <w:pStyle w:val="2"/>
        <w:jc w:val="center"/>
        <w:rPr>
          <w:rFonts w:ascii="宋体" w:eastAsia="宋体" w:hAnsi="宋体"/>
          <w:sz w:val="30"/>
        </w:rPr>
      </w:pPr>
      <w:bookmarkStart w:id="217" w:name="chapter_level1_26_332"/>
      <w:bookmarkStart w:id="218" w:name="_Toc50543314"/>
      <w:r w:rsidRPr="007507EC">
        <w:rPr>
          <w:rFonts w:ascii="宋体" w:eastAsia="宋体" w:hAnsi="宋体" w:hint="eastAsia"/>
          <w:sz w:val="30"/>
        </w:rPr>
        <w:lastRenderedPageBreak/>
        <w:t>第二十三部分  备查文件</w:t>
      </w:r>
      <w:bookmarkEnd w:id="217"/>
      <w:bookmarkEnd w:id="218"/>
    </w:p>
    <w:p w:rsidR="007507EC" w:rsidRPr="007507EC" w:rsidRDefault="007507EC">
      <w:pPr>
        <w:pStyle w:val="a3"/>
        <w:spacing w:before="0" w:beforeAutospacing="0" w:after="0" w:afterAutospacing="0" w:line="360" w:lineRule="auto"/>
        <w:ind w:firstLine="420"/>
        <w:divId w:val="309093828"/>
        <w:rPr>
          <w:sz w:val="21"/>
          <w:szCs w:val="21"/>
        </w:rPr>
      </w:pPr>
      <w:bookmarkStart w:id="219" w:name="chapter_level1_26_332_section_1"/>
      <w:bookmarkEnd w:id="219"/>
      <w:r w:rsidRPr="007507EC">
        <w:rPr>
          <w:rFonts w:hint="eastAsia"/>
          <w:sz w:val="21"/>
          <w:szCs w:val="21"/>
        </w:rPr>
        <w:t xml:space="preserve">以下备查文件存放在基金管理人的办公场所，在办公时间可供免费查阅。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（一）中国证监会批准</w:t>
      </w:r>
      <w:bookmarkStart w:id="220" w:name="field_49_productfullname_13"/>
      <w:r w:rsidR="00981FA3">
        <w:rPr>
          <w:rFonts w:hint="eastAsia"/>
          <w:sz w:val="21"/>
          <w:szCs w:val="21"/>
        </w:rPr>
        <w:t>博时安盈债券型证券投资基金</w:t>
      </w:r>
      <w:bookmarkEnd w:id="220"/>
      <w:r w:rsidRPr="007507EC">
        <w:rPr>
          <w:rFonts w:hint="eastAsia"/>
          <w:sz w:val="21"/>
          <w:szCs w:val="21"/>
        </w:rPr>
        <w:t xml:space="preserve">募集的文件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（二）《</w:t>
      </w:r>
      <w:bookmarkStart w:id="221" w:name="field_49_productfullname_14"/>
      <w:r w:rsidR="00981FA3">
        <w:rPr>
          <w:rFonts w:hint="eastAsia"/>
          <w:sz w:val="21"/>
          <w:szCs w:val="21"/>
        </w:rPr>
        <w:t>博时安盈债券型证券投资基金</w:t>
      </w:r>
      <w:bookmarkEnd w:id="221"/>
      <w:r w:rsidRPr="007507EC">
        <w:rPr>
          <w:rFonts w:hint="eastAsia"/>
          <w:sz w:val="21"/>
          <w:szCs w:val="21"/>
        </w:rPr>
        <w:t xml:space="preserve">基金合同》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（三）《</w:t>
      </w:r>
      <w:bookmarkStart w:id="222" w:name="field_49_productfullname_15"/>
      <w:r w:rsidR="00981FA3">
        <w:rPr>
          <w:rFonts w:hint="eastAsia"/>
          <w:sz w:val="21"/>
          <w:szCs w:val="21"/>
        </w:rPr>
        <w:t>博时安盈债券型证券投资基金</w:t>
      </w:r>
      <w:bookmarkEnd w:id="222"/>
      <w:r w:rsidRPr="007507EC">
        <w:rPr>
          <w:rFonts w:hint="eastAsia"/>
          <w:sz w:val="21"/>
          <w:szCs w:val="21"/>
        </w:rPr>
        <w:t xml:space="preserve">托管协议》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 xml:space="preserve">（四）基金管理人业务资格批件、营业执照和公司章程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 xml:space="preserve">（五）基金托管人业务资格批件、营业执照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（六）关于申请募集</w:t>
      </w:r>
      <w:bookmarkStart w:id="223" w:name="field_49_productfullname_16"/>
      <w:r w:rsidR="00981FA3">
        <w:rPr>
          <w:rFonts w:hint="eastAsia"/>
          <w:sz w:val="21"/>
          <w:szCs w:val="21"/>
        </w:rPr>
        <w:t>博时安盈债券型证券投资基金</w:t>
      </w:r>
      <w:bookmarkEnd w:id="223"/>
      <w:r w:rsidRPr="007507EC">
        <w:rPr>
          <w:rFonts w:hint="eastAsia"/>
          <w:sz w:val="21"/>
          <w:szCs w:val="21"/>
        </w:rPr>
        <w:t xml:space="preserve">之法律意见书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 xml:space="preserve">（七）中国证监会要求的其他文件 </w:t>
      </w:r>
    </w:p>
    <w:p w:rsidR="007507EC" w:rsidRPr="007507EC" w:rsidRDefault="007507EC">
      <w:pPr>
        <w:pStyle w:val="a3"/>
        <w:spacing w:before="0" w:beforeAutospacing="0" w:after="0" w:afterAutospacing="0" w:line="360" w:lineRule="auto"/>
        <w:ind w:firstLine="420"/>
        <w:divId w:val="309093828"/>
        <w:rPr>
          <w:sz w:val="21"/>
          <w:szCs w:val="21"/>
        </w:rPr>
      </w:pPr>
      <w:r w:rsidRPr="007507EC">
        <w:rPr>
          <w:rFonts w:hint="eastAsia"/>
          <w:sz w:val="21"/>
          <w:szCs w:val="21"/>
        </w:rPr>
        <w:t xml:space="preserve">查阅方式：投资者可在营业时间免费查阅，也可按工本费购买复印件。 </w:t>
      </w:r>
    </w:p>
    <w:p w:rsidR="007507EC" w:rsidRPr="007507EC" w:rsidRDefault="007507EC">
      <w:pPr>
        <w:pStyle w:val="a3"/>
        <w:spacing w:before="0" w:beforeAutospacing="0" w:after="0" w:afterAutospacing="0" w:line="360" w:lineRule="auto"/>
        <w:ind w:firstLine="420"/>
        <w:divId w:val="309093828"/>
        <w:rPr>
          <w:sz w:val="21"/>
          <w:szCs w:val="21"/>
        </w:rPr>
      </w:pPr>
    </w:p>
    <w:p w:rsidR="007507EC" w:rsidRPr="007507EC" w:rsidRDefault="007507EC">
      <w:pPr>
        <w:pStyle w:val="a3"/>
        <w:spacing w:before="0" w:beforeAutospacing="0" w:after="0" w:afterAutospacing="0" w:line="360" w:lineRule="auto"/>
        <w:ind w:firstLine="420"/>
        <w:divId w:val="309093828"/>
        <w:rPr>
          <w:sz w:val="21"/>
          <w:szCs w:val="21"/>
        </w:rPr>
      </w:pPr>
    </w:p>
    <w:p w:rsidR="007507EC" w:rsidRPr="007507EC" w:rsidRDefault="007507EC">
      <w:pPr>
        <w:pStyle w:val="a3"/>
        <w:spacing w:before="0" w:beforeAutospacing="0" w:after="0" w:afterAutospacing="0" w:line="360" w:lineRule="auto"/>
        <w:ind w:firstLine="420"/>
        <w:divId w:val="309093828"/>
        <w:rPr>
          <w:sz w:val="21"/>
          <w:szCs w:val="21"/>
        </w:rPr>
      </w:pPr>
    </w:p>
    <w:p w:rsidR="007507EC" w:rsidRPr="007507EC" w:rsidRDefault="00981FA3">
      <w:pPr>
        <w:pStyle w:val="a3"/>
        <w:spacing w:before="0" w:beforeAutospacing="0" w:after="0" w:afterAutospacing="0" w:line="360" w:lineRule="auto"/>
        <w:ind w:firstLine="420"/>
        <w:jc w:val="right"/>
        <w:divId w:val="309093828"/>
        <w:rPr>
          <w:sz w:val="21"/>
          <w:szCs w:val="21"/>
        </w:rPr>
      </w:pPr>
      <w:bookmarkStart w:id="224" w:name="field_49_managerorgfullname_8"/>
      <w:r>
        <w:rPr>
          <w:rFonts w:hint="eastAsia"/>
          <w:sz w:val="21"/>
          <w:szCs w:val="21"/>
        </w:rPr>
        <w:t>博时基金管理有限公司</w:t>
      </w:r>
      <w:bookmarkEnd w:id="224"/>
      <w:r w:rsidR="007507EC" w:rsidRPr="007507EC">
        <w:rPr>
          <w:rFonts w:hint="eastAsia"/>
          <w:sz w:val="21"/>
          <w:szCs w:val="21"/>
        </w:rPr>
        <w:t xml:space="preserve"> </w:t>
      </w:r>
    </w:p>
    <w:p w:rsidR="007507EC" w:rsidRPr="007507EC" w:rsidRDefault="00981FA3">
      <w:pPr>
        <w:pStyle w:val="a3"/>
        <w:spacing w:before="0" w:beforeAutospacing="0" w:after="0" w:afterAutospacing="0" w:line="360" w:lineRule="auto"/>
        <w:ind w:firstLine="420"/>
        <w:jc w:val="right"/>
        <w:divId w:val="309093828"/>
        <w:rPr>
          <w:sz w:val="21"/>
          <w:szCs w:val="21"/>
        </w:rPr>
      </w:pPr>
      <w:bookmarkStart w:id="225" w:name="field_0_commitmenttime_1"/>
      <w:r>
        <w:rPr>
          <w:sz w:val="21"/>
          <w:szCs w:val="21"/>
        </w:rPr>
        <w:t>2020年09月30日</w:t>
      </w:r>
      <w:bookmarkEnd w:id="225"/>
      <w:r w:rsidR="007507EC" w:rsidRPr="007507EC">
        <w:rPr>
          <w:rFonts w:hint="eastAsia"/>
          <w:sz w:val="21"/>
          <w:szCs w:val="21"/>
        </w:rPr>
        <w:t xml:space="preserve"> </w:t>
      </w:r>
    </w:p>
    <w:p w:rsidR="007507EC" w:rsidRPr="007507EC" w:rsidRDefault="007507EC">
      <w:pPr>
        <w:pStyle w:val="a3"/>
        <w:spacing w:before="0" w:beforeAutospacing="0" w:after="0" w:afterAutospacing="0" w:line="360" w:lineRule="auto"/>
        <w:ind w:firstLine="420"/>
        <w:divId w:val="309093828"/>
        <w:rPr>
          <w:sz w:val="21"/>
          <w:szCs w:val="21"/>
        </w:rPr>
      </w:pPr>
    </w:p>
    <w:p w:rsidR="007507EC" w:rsidRPr="007507EC" w:rsidRDefault="007507EC">
      <w:pPr>
        <w:pStyle w:val="a3"/>
        <w:spacing w:before="0" w:beforeAutospacing="0" w:after="0" w:afterAutospacing="0" w:line="360" w:lineRule="auto"/>
        <w:ind w:firstLine="420"/>
        <w:divId w:val="309093828"/>
        <w:rPr>
          <w:sz w:val="21"/>
          <w:szCs w:val="21"/>
        </w:rPr>
      </w:pPr>
      <w:bookmarkStart w:id="226" w:name="chapter_level1_26_332_section_1_end"/>
      <w:bookmarkEnd w:id="226"/>
    </w:p>
    <w:p w:rsidR="007507EC" w:rsidRPr="007507EC" w:rsidRDefault="007507EC" w:rsidP="007507EC">
      <w:pPr>
        <w:rPr>
          <w:rFonts w:ascii="宋体" w:eastAsia="宋体" w:hAnsi="宋体"/>
        </w:rPr>
      </w:pPr>
      <w:bookmarkStart w:id="227" w:name="end"/>
      <w:bookmarkEnd w:id="227"/>
    </w:p>
    <w:sectPr w:rsidR="007507EC" w:rsidRPr="007507EC" w:rsidSect="007507EC">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13A5" w:rsidRDefault="009C13A5" w:rsidP="007507EC">
      <w:r>
        <w:separator/>
      </w:r>
    </w:p>
  </w:endnote>
  <w:endnote w:type="continuationSeparator" w:id="0">
    <w:p w:rsidR="009C13A5" w:rsidRDefault="009C13A5" w:rsidP="007507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23D" w:rsidRPr="007507EC" w:rsidRDefault="005F023D" w:rsidP="007507EC">
    <w:pPr>
      <w:pStyle w:val="a7"/>
      <w:jc w:val="center"/>
    </w:pPr>
    <w:r w:rsidRPr="007507EC">
      <w:rPr>
        <w:rFonts w:hint="eastAsia"/>
      </w:rPr>
      <w:t>第</w:t>
    </w:r>
    <w:r w:rsidRPr="007507EC">
      <w:fldChar w:fldCharType="begin"/>
    </w:r>
    <w:r w:rsidRPr="007507EC">
      <w:instrText xml:space="preserve"> </w:instrText>
    </w:r>
    <w:r w:rsidRPr="007507EC">
      <w:rPr>
        <w:rFonts w:hint="eastAsia"/>
      </w:rPr>
      <w:instrText>Page \* MERGEFORMAT</w:instrText>
    </w:r>
    <w:r w:rsidRPr="007507EC">
      <w:instrText xml:space="preserve"> </w:instrText>
    </w:r>
    <w:r w:rsidRPr="007507EC">
      <w:fldChar w:fldCharType="separate"/>
    </w:r>
    <w:r w:rsidR="00CF47C2">
      <w:rPr>
        <w:noProof/>
      </w:rPr>
      <w:t>3</w:t>
    </w:r>
    <w:r w:rsidRPr="007507EC">
      <w:fldChar w:fldCharType="end"/>
    </w:r>
    <w:r w:rsidRPr="007507EC">
      <w:rPr>
        <w:rFonts w:hint="eastAsia"/>
      </w:rPr>
      <w:t>页</w:t>
    </w:r>
    <w:r w:rsidRPr="007507EC">
      <w:rPr>
        <w:rFonts w:hint="eastAsia"/>
      </w:rPr>
      <w:t xml:space="preserve"> </w:t>
    </w:r>
    <w:r w:rsidRPr="007507EC">
      <w:rPr>
        <w:rFonts w:hint="eastAsia"/>
      </w:rPr>
      <w:t>共</w:t>
    </w:r>
    <w:r w:rsidR="009C13A5">
      <w:rPr>
        <w:noProof/>
      </w:rPr>
      <w:fldChar w:fldCharType="begin"/>
    </w:r>
    <w:r w:rsidR="009C13A5">
      <w:rPr>
        <w:noProof/>
      </w:rPr>
      <w:instrText xml:space="preserve"> NumPages \* MERGEFORMAT </w:instrText>
    </w:r>
    <w:r w:rsidR="009C13A5">
      <w:rPr>
        <w:noProof/>
      </w:rPr>
      <w:fldChar w:fldCharType="separate"/>
    </w:r>
    <w:r w:rsidR="00CF47C2">
      <w:rPr>
        <w:noProof/>
      </w:rPr>
      <w:t>158</w:t>
    </w:r>
    <w:r w:rsidR="009C13A5">
      <w:rPr>
        <w:noProof/>
      </w:rPr>
      <w:fldChar w:fldCharType="end"/>
    </w:r>
    <w:r w:rsidRPr="007507EC">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13A5" w:rsidRDefault="009C13A5" w:rsidP="007507EC">
      <w:r>
        <w:separator/>
      </w:r>
    </w:p>
  </w:footnote>
  <w:footnote w:type="continuationSeparator" w:id="0">
    <w:p w:rsidR="009C13A5" w:rsidRDefault="009C13A5" w:rsidP="007507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23D" w:rsidRDefault="005F023D" w:rsidP="007507EC">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5F023D" w:rsidRPr="007507EC" w:rsidRDefault="005F023D" w:rsidP="007507EC">
    <w:pPr>
      <w:pStyle w:val="a6"/>
      <w:jc w:val="right"/>
    </w:pPr>
    <w:r w:rsidRPr="007507EC">
      <w:rPr>
        <w:rFonts w:hint="eastAsia"/>
      </w:rPr>
      <w:t>博时安盈债券型证券投资基金更新招募说明书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7EC"/>
    <w:rsid w:val="003D6DF4"/>
    <w:rsid w:val="005F023D"/>
    <w:rsid w:val="007507EC"/>
    <w:rsid w:val="00981FA3"/>
    <w:rsid w:val="009C13A5"/>
    <w:rsid w:val="00AD3451"/>
    <w:rsid w:val="00CF47C2"/>
    <w:rsid w:val="00E67E13"/>
    <w:rsid w:val="00FE56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96354EB-57B8-4294-BFDF-D0F8724B9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7507EC"/>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7507EC"/>
    <w:rPr>
      <w:rFonts w:asciiTheme="majorHAnsi" w:eastAsiaTheme="majorEastAsia" w:hAnsiTheme="majorHAnsi" w:cstheme="majorBidi"/>
      <w:b/>
      <w:bCs/>
      <w:sz w:val="32"/>
      <w:szCs w:val="32"/>
    </w:rPr>
  </w:style>
  <w:style w:type="paragraph" w:styleId="a3">
    <w:name w:val="Normal (Web)"/>
    <w:basedOn w:val="a"/>
    <w:uiPriority w:val="99"/>
    <w:unhideWhenUsed/>
    <w:rsid w:val="007507EC"/>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7507EC"/>
    <w:rPr>
      <w:b/>
      <w:bCs/>
    </w:rPr>
  </w:style>
  <w:style w:type="character" w:styleId="a5">
    <w:name w:val="Hyperlink"/>
    <w:basedOn w:val="a0"/>
    <w:uiPriority w:val="99"/>
    <w:unhideWhenUsed/>
    <w:rsid w:val="007507EC"/>
    <w:rPr>
      <w:color w:val="0000FF"/>
      <w:u w:val="single"/>
    </w:rPr>
  </w:style>
  <w:style w:type="paragraph" w:styleId="20">
    <w:name w:val="toc 2"/>
    <w:basedOn w:val="a"/>
    <w:next w:val="a"/>
    <w:autoRedefine/>
    <w:uiPriority w:val="39"/>
    <w:unhideWhenUsed/>
    <w:rsid w:val="007507EC"/>
    <w:pPr>
      <w:ind w:leftChars="200" w:left="420"/>
    </w:pPr>
  </w:style>
  <w:style w:type="paragraph" w:styleId="a6">
    <w:name w:val="header"/>
    <w:basedOn w:val="a"/>
    <w:link w:val="Char"/>
    <w:uiPriority w:val="99"/>
    <w:unhideWhenUsed/>
    <w:rsid w:val="007507E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7507EC"/>
    <w:rPr>
      <w:sz w:val="18"/>
      <w:szCs w:val="18"/>
    </w:rPr>
  </w:style>
  <w:style w:type="paragraph" w:styleId="a7">
    <w:name w:val="footer"/>
    <w:basedOn w:val="a"/>
    <w:link w:val="Char0"/>
    <w:uiPriority w:val="99"/>
    <w:unhideWhenUsed/>
    <w:rsid w:val="007507EC"/>
    <w:pPr>
      <w:tabs>
        <w:tab w:val="center" w:pos="4153"/>
        <w:tab w:val="right" w:pos="8306"/>
      </w:tabs>
      <w:snapToGrid w:val="0"/>
      <w:jc w:val="left"/>
    </w:pPr>
    <w:rPr>
      <w:sz w:val="18"/>
      <w:szCs w:val="18"/>
    </w:rPr>
  </w:style>
  <w:style w:type="character" w:customStyle="1" w:styleId="Char0">
    <w:name w:val="页脚 Char"/>
    <w:basedOn w:val="a0"/>
    <w:link w:val="a7"/>
    <w:uiPriority w:val="99"/>
    <w:rsid w:val="007507EC"/>
    <w:rPr>
      <w:sz w:val="18"/>
      <w:szCs w:val="18"/>
    </w:rPr>
  </w:style>
  <w:style w:type="paragraph" w:styleId="a8">
    <w:name w:val="Balloon Text"/>
    <w:basedOn w:val="a"/>
    <w:link w:val="Char1"/>
    <w:uiPriority w:val="99"/>
    <w:semiHidden/>
    <w:unhideWhenUsed/>
    <w:rsid w:val="007507EC"/>
    <w:rPr>
      <w:sz w:val="18"/>
      <w:szCs w:val="18"/>
    </w:rPr>
  </w:style>
  <w:style w:type="character" w:customStyle="1" w:styleId="Char1">
    <w:name w:val="批注框文本 Char"/>
    <w:basedOn w:val="a0"/>
    <w:link w:val="a8"/>
    <w:uiPriority w:val="99"/>
    <w:semiHidden/>
    <w:rsid w:val="007507EC"/>
    <w:rPr>
      <w:sz w:val="18"/>
      <w:szCs w:val="18"/>
    </w:rPr>
  </w:style>
  <w:style w:type="table" w:styleId="a9">
    <w:name w:val="Table Grid"/>
    <w:basedOn w:val="a1"/>
    <w:uiPriority w:val="59"/>
    <w:rsid w:val="00750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9904790">
      <w:bodyDiv w:val="1"/>
      <w:marLeft w:val="0"/>
      <w:marRight w:val="0"/>
      <w:marTop w:val="0"/>
      <w:marBottom w:val="0"/>
      <w:divBdr>
        <w:top w:val="none" w:sz="0" w:space="0" w:color="auto"/>
        <w:left w:val="none" w:sz="0" w:space="0" w:color="auto"/>
        <w:bottom w:val="none" w:sz="0" w:space="0" w:color="auto"/>
        <w:right w:val="none" w:sz="0" w:space="0" w:color="auto"/>
      </w:divBdr>
    </w:div>
    <w:div w:id="227612247">
      <w:bodyDiv w:val="1"/>
      <w:marLeft w:val="0"/>
      <w:marRight w:val="0"/>
      <w:marTop w:val="0"/>
      <w:marBottom w:val="0"/>
      <w:divBdr>
        <w:top w:val="none" w:sz="0" w:space="0" w:color="auto"/>
        <w:left w:val="none" w:sz="0" w:space="0" w:color="auto"/>
        <w:bottom w:val="none" w:sz="0" w:space="0" w:color="auto"/>
        <w:right w:val="none" w:sz="0" w:space="0" w:color="auto"/>
      </w:divBdr>
    </w:div>
    <w:div w:id="235822205">
      <w:bodyDiv w:val="1"/>
      <w:marLeft w:val="0"/>
      <w:marRight w:val="0"/>
      <w:marTop w:val="0"/>
      <w:marBottom w:val="0"/>
      <w:divBdr>
        <w:top w:val="none" w:sz="0" w:space="0" w:color="auto"/>
        <w:left w:val="none" w:sz="0" w:space="0" w:color="auto"/>
        <w:bottom w:val="none" w:sz="0" w:space="0" w:color="auto"/>
        <w:right w:val="none" w:sz="0" w:space="0" w:color="auto"/>
      </w:divBdr>
    </w:div>
    <w:div w:id="258413881">
      <w:bodyDiv w:val="1"/>
      <w:marLeft w:val="0"/>
      <w:marRight w:val="0"/>
      <w:marTop w:val="0"/>
      <w:marBottom w:val="0"/>
      <w:divBdr>
        <w:top w:val="none" w:sz="0" w:space="0" w:color="auto"/>
        <w:left w:val="none" w:sz="0" w:space="0" w:color="auto"/>
        <w:bottom w:val="none" w:sz="0" w:space="0" w:color="auto"/>
        <w:right w:val="none" w:sz="0" w:space="0" w:color="auto"/>
      </w:divBdr>
    </w:div>
    <w:div w:id="306472692">
      <w:bodyDiv w:val="1"/>
      <w:marLeft w:val="0"/>
      <w:marRight w:val="0"/>
      <w:marTop w:val="0"/>
      <w:marBottom w:val="0"/>
      <w:divBdr>
        <w:top w:val="none" w:sz="0" w:space="0" w:color="auto"/>
        <w:left w:val="none" w:sz="0" w:space="0" w:color="auto"/>
        <w:bottom w:val="none" w:sz="0" w:space="0" w:color="auto"/>
        <w:right w:val="none" w:sz="0" w:space="0" w:color="auto"/>
      </w:divBdr>
    </w:div>
    <w:div w:id="307710062">
      <w:bodyDiv w:val="1"/>
      <w:marLeft w:val="0"/>
      <w:marRight w:val="0"/>
      <w:marTop w:val="0"/>
      <w:marBottom w:val="0"/>
      <w:divBdr>
        <w:top w:val="none" w:sz="0" w:space="0" w:color="auto"/>
        <w:left w:val="none" w:sz="0" w:space="0" w:color="auto"/>
        <w:bottom w:val="none" w:sz="0" w:space="0" w:color="auto"/>
        <w:right w:val="none" w:sz="0" w:space="0" w:color="auto"/>
      </w:divBdr>
      <w:divsChild>
        <w:div w:id="835532300">
          <w:marLeft w:val="0"/>
          <w:marRight w:val="0"/>
          <w:marTop w:val="0"/>
          <w:marBottom w:val="0"/>
          <w:divBdr>
            <w:top w:val="none" w:sz="0" w:space="0" w:color="auto"/>
            <w:left w:val="none" w:sz="0" w:space="0" w:color="auto"/>
            <w:bottom w:val="none" w:sz="0" w:space="0" w:color="auto"/>
            <w:right w:val="none" w:sz="0" w:space="0" w:color="auto"/>
          </w:divBdr>
        </w:div>
      </w:divsChild>
    </w:div>
    <w:div w:id="309093828">
      <w:bodyDiv w:val="1"/>
      <w:marLeft w:val="0"/>
      <w:marRight w:val="0"/>
      <w:marTop w:val="0"/>
      <w:marBottom w:val="0"/>
      <w:divBdr>
        <w:top w:val="none" w:sz="0" w:space="0" w:color="auto"/>
        <w:left w:val="none" w:sz="0" w:space="0" w:color="auto"/>
        <w:bottom w:val="none" w:sz="0" w:space="0" w:color="auto"/>
        <w:right w:val="none" w:sz="0" w:space="0" w:color="auto"/>
      </w:divBdr>
    </w:div>
    <w:div w:id="391470342">
      <w:bodyDiv w:val="1"/>
      <w:marLeft w:val="0"/>
      <w:marRight w:val="0"/>
      <w:marTop w:val="0"/>
      <w:marBottom w:val="0"/>
      <w:divBdr>
        <w:top w:val="none" w:sz="0" w:space="0" w:color="auto"/>
        <w:left w:val="none" w:sz="0" w:space="0" w:color="auto"/>
        <w:bottom w:val="none" w:sz="0" w:space="0" w:color="auto"/>
        <w:right w:val="none" w:sz="0" w:space="0" w:color="auto"/>
      </w:divBdr>
    </w:div>
    <w:div w:id="442192449">
      <w:bodyDiv w:val="1"/>
      <w:marLeft w:val="0"/>
      <w:marRight w:val="0"/>
      <w:marTop w:val="0"/>
      <w:marBottom w:val="0"/>
      <w:divBdr>
        <w:top w:val="none" w:sz="0" w:space="0" w:color="auto"/>
        <w:left w:val="none" w:sz="0" w:space="0" w:color="auto"/>
        <w:bottom w:val="none" w:sz="0" w:space="0" w:color="auto"/>
        <w:right w:val="none" w:sz="0" w:space="0" w:color="auto"/>
      </w:divBdr>
    </w:div>
    <w:div w:id="497431135">
      <w:bodyDiv w:val="1"/>
      <w:marLeft w:val="0"/>
      <w:marRight w:val="0"/>
      <w:marTop w:val="0"/>
      <w:marBottom w:val="0"/>
      <w:divBdr>
        <w:top w:val="none" w:sz="0" w:space="0" w:color="auto"/>
        <w:left w:val="none" w:sz="0" w:space="0" w:color="auto"/>
        <w:bottom w:val="none" w:sz="0" w:space="0" w:color="auto"/>
        <w:right w:val="none" w:sz="0" w:space="0" w:color="auto"/>
      </w:divBdr>
    </w:div>
    <w:div w:id="504438002">
      <w:bodyDiv w:val="1"/>
      <w:marLeft w:val="0"/>
      <w:marRight w:val="0"/>
      <w:marTop w:val="0"/>
      <w:marBottom w:val="0"/>
      <w:divBdr>
        <w:top w:val="none" w:sz="0" w:space="0" w:color="auto"/>
        <w:left w:val="none" w:sz="0" w:space="0" w:color="auto"/>
        <w:bottom w:val="none" w:sz="0" w:space="0" w:color="auto"/>
        <w:right w:val="none" w:sz="0" w:space="0" w:color="auto"/>
      </w:divBdr>
    </w:div>
    <w:div w:id="518397944">
      <w:bodyDiv w:val="1"/>
      <w:marLeft w:val="0"/>
      <w:marRight w:val="0"/>
      <w:marTop w:val="0"/>
      <w:marBottom w:val="0"/>
      <w:divBdr>
        <w:top w:val="none" w:sz="0" w:space="0" w:color="auto"/>
        <w:left w:val="none" w:sz="0" w:space="0" w:color="auto"/>
        <w:bottom w:val="none" w:sz="0" w:space="0" w:color="auto"/>
        <w:right w:val="none" w:sz="0" w:space="0" w:color="auto"/>
      </w:divBdr>
    </w:div>
    <w:div w:id="542258344">
      <w:bodyDiv w:val="1"/>
      <w:marLeft w:val="0"/>
      <w:marRight w:val="0"/>
      <w:marTop w:val="0"/>
      <w:marBottom w:val="0"/>
      <w:divBdr>
        <w:top w:val="none" w:sz="0" w:space="0" w:color="auto"/>
        <w:left w:val="none" w:sz="0" w:space="0" w:color="auto"/>
        <w:bottom w:val="none" w:sz="0" w:space="0" w:color="auto"/>
        <w:right w:val="none" w:sz="0" w:space="0" w:color="auto"/>
      </w:divBdr>
    </w:div>
    <w:div w:id="587470819">
      <w:bodyDiv w:val="1"/>
      <w:marLeft w:val="0"/>
      <w:marRight w:val="0"/>
      <w:marTop w:val="0"/>
      <w:marBottom w:val="0"/>
      <w:divBdr>
        <w:top w:val="none" w:sz="0" w:space="0" w:color="auto"/>
        <w:left w:val="none" w:sz="0" w:space="0" w:color="auto"/>
        <w:bottom w:val="none" w:sz="0" w:space="0" w:color="auto"/>
        <w:right w:val="none" w:sz="0" w:space="0" w:color="auto"/>
      </w:divBdr>
    </w:div>
    <w:div w:id="604843890">
      <w:bodyDiv w:val="1"/>
      <w:marLeft w:val="0"/>
      <w:marRight w:val="0"/>
      <w:marTop w:val="0"/>
      <w:marBottom w:val="0"/>
      <w:divBdr>
        <w:top w:val="none" w:sz="0" w:space="0" w:color="auto"/>
        <w:left w:val="none" w:sz="0" w:space="0" w:color="auto"/>
        <w:bottom w:val="none" w:sz="0" w:space="0" w:color="auto"/>
        <w:right w:val="none" w:sz="0" w:space="0" w:color="auto"/>
      </w:divBdr>
    </w:div>
    <w:div w:id="606430970">
      <w:bodyDiv w:val="1"/>
      <w:marLeft w:val="0"/>
      <w:marRight w:val="0"/>
      <w:marTop w:val="0"/>
      <w:marBottom w:val="0"/>
      <w:divBdr>
        <w:top w:val="none" w:sz="0" w:space="0" w:color="auto"/>
        <w:left w:val="none" w:sz="0" w:space="0" w:color="auto"/>
        <w:bottom w:val="none" w:sz="0" w:space="0" w:color="auto"/>
        <w:right w:val="none" w:sz="0" w:space="0" w:color="auto"/>
      </w:divBdr>
    </w:div>
    <w:div w:id="612788076">
      <w:bodyDiv w:val="1"/>
      <w:marLeft w:val="0"/>
      <w:marRight w:val="0"/>
      <w:marTop w:val="0"/>
      <w:marBottom w:val="0"/>
      <w:divBdr>
        <w:top w:val="none" w:sz="0" w:space="0" w:color="auto"/>
        <w:left w:val="none" w:sz="0" w:space="0" w:color="auto"/>
        <w:bottom w:val="none" w:sz="0" w:space="0" w:color="auto"/>
        <w:right w:val="none" w:sz="0" w:space="0" w:color="auto"/>
      </w:divBdr>
    </w:div>
    <w:div w:id="707071036">
      <w:bodyDiv w:val="1"/>
      <w:marLeft w:val="0"/>
      <w:marRight w:val="0"/>
      <w:marTop w:val="0"/>
      <w:marBottom w:val="0"/>
      <w:divBdr>
        <w:top w:val="none" w:sz="0" w:space="0" w:color="auto"/>
        <w:left w:val="none" w:sz="0" w:space="0" w:color="auto"/>
        <w:bottom w:val="none" w:sz="0" w:space="0" w:color="auto"/>
        <w:right w:val="none" w:sz="0" w:space="0" w:color="auto"/>
      </w:divBdr>
    </w:div>
    <w:div w:id="738283304">
      <w:bodyDiv w:val="1"/>
      <w:marLeft w:val="0"/>
      <w:marRight w:val="0"/>
      <w:marTop w:val="0"/>
      <w:marBottom w:val="0"/>
      <w:divBdr>
        <w:top w:val="none" w:sz="0" w:space="0" w:color="auto"/>
        <w:left w:val="none" w:sz="0" w:space="0" w:color="auto"/>
        <w:bottom w:val="none" w:sz="0" w:space="0" w:color="auto"/>
        <w:right w:val="none" w:sz="0" w:space="0" w:color="auto"/>
      </w:divBdr>
    </w:div>
    <w:div w:id="741561974">
      <w:bodyDiv w:val="1"/>
      <w:marLeft w:val="0"/>
      <w:marRight w:val="0"/>
      <w:marTop w:val="0"/>
      <w:marBottom w:val="0"/>
      <w:divBdr>
        <w:top w:val="none" w:sz="0" w:space="0" w:color="auto"/>
        <w:left w:val="none" w:sz="0" w:space="0" w:color="auto"/>
        <w:bottom w:val="none" w:sz="0" w:space="0" w:color="auto"/>
        <w:right w:val="none" w:sz="0" w:space="0" w:color="auto"/>
      </w:divBdr>
    </w:div>
    <w:div w:id="754477932">
      <w:bodyDiv w:val="1"/>
      <w:marLeft w:val="0"/>
      <w:marRight w:val="0"/>
      <w:marTop w:val="0"/>
      <w:marBottom w:val="0"/>
      <w:divBdr>
        <w:top w:val="none" w:sz="0" w:space="0" w:color="auto"/>
        <w:left w:val="none" w:sz="0" w:space="0" w:color="auto"/>
        <w:bottom w:val="none" w:sz="0" w:space="0" w:color="auto"/>
        <w:right w:val="none" w:sz="0" w:space="0" w:color="auto"/>
      </w:divBdr>
    </w:div>
    <w:div w:id="769355194">
      <w:bodyDiv w:val="1"/>
      <w:marLeft w:val="0"/>
      <w:marRight w:val="0"/>
      <w:marTop w:val="0"/>
      <w:marBottom w:val="0"/>
      <w:divBdr>
        <w:top w:val="none" w:sz="0" w:space="0" w:color="auto"/>
        <w:left w:val="none" w:sz="0" w:space="0" w:color="auto"/>
        <w:bottom w:val="none" w:sz="0" w:space="0" w:color="auto"/>
        <w:right w:val="none" w:sz="0" w:space="0" w:color="auto"/>
      </w:divBdr>
    </w:div>
    <w:div w:id="793139835">
      <w:bodyDiv w:val="1"/>
      <w:marLeft w:val="0"/>
      <w:marRight w:val="0"/>
      <w:marTop w:val="0"/>
      <w:marBottom w:val="0"/>
      <w:divBdr>
        <w:top w:val="none" w:sz="0" w:space="0" w:color="auto"/>
        <w:left w:val="none" w:sz="0" w:space="0" w:color="auto"/>
        <w:bottom w:val="none" w:sz="0" w:space="0" w:color="auto"/>
        <w:right w:val="none" w:sz="0" w:space="0" w:color="auto"/>
      </w:divBdr>
    </w:div>
    <w:div w:id="965159233">
      <w:bodyDiv w:val="1"/>
      <w:marLeft w:val="0"/>
      <w:marRight w:val="0"/>
      <w:marTop w:val="0"/>
      <w:marBottom w:val="0"/>
      <w:divBdr>
        <w:top w:val="none" w:sz="0" w:space="0" w:color="auto"/>
        <w:left w:val="none" w:sz="0" w:space="0" w:color="auto"/>
        <w:bottom w:val="none" w:sz="0" w:space="0" w:color="auto"/>
        <w:right w:val="none" w:sz="0" w:space="0" w:color="auto"/>
      </w:divBdr>
    </w:div>
    <w:div w:id="1136147803">
      <w:bodyDiv w:val="1"/>
      <w:marLeft w:val="0"/>
      <w:marRight w:val="0"/>
      <w:marTop w:val="0"/>
      <w:marBottom w:val="0"/>
      <w:divBdr>
        <w:top w:val="none" w:sz="0" w:space="0" w:color="auto"/>
        <w:left w:val="none" w:sz="0" w:space="0" w:color="auto"/>
        <w:bottom w:val="none" w:sz="0" w:space="0" w:color="auto"/>
        <w:right w:val="none" w:sz="0" w:space="0" w:color="auto"/>
      </w:divBdr>
      <w:divsChild>
        <w:div w:id="850996047">
          <w:marLeft w:val="0"/>
          <w:marRight w:val="0"/>
          <w:marTop w:val="0"/>
          <w:marBottom w:val="0"/>
          <w:divBdr>
            <w:top w:val="none" w:sz="0" w:space="0" w:color="auto"/>
            <w:left w:val="none" w:sz="0" w:space="0" w:color="auto"/>
            <w:bottom w:val="none" w:sz="0" w:space="0" w:color="auto"/>
            <w:right w:val="none" w:sz="0" w:space="0" w:color="auto"/>
          </w:divBdr>
        </w:div>
        <w:div w:id="1054964539">
          <w:marLeft w:val="0"/>
          <w:marRight w:val="0"/>
          <w:marTop w:val="0"/>
          <w:marBottom w:val="0"/>
          <w:divBdr>
            <w:top w:val="none" w:sz="0" w:space="0" w:color="auto"/>
            <w:left w:val="none" w:sz="0" w:space="0" w:color="auto"/>
            <w:bottom w:val="none" w:sz="0" w:space="0" w:color="auto"/>
            <w:right w:val="none" w:sz="0" w:space="0" w:color="auto"/>
          </w:divBdr>
        </w:div>
      </w:divsChild>
    </w:div>
    <w:div w:id="1176111695">
      <w:bodyDiv w:val="1"/>
      <w:marLeft w:val="0"/>
      <w:marRight w:val="0"/>
      <w:marTop w:val="0"/>
      <w:marBottom w:val="0"/>
      <w:divBdr>
        <w:top w:val="none" w:sz="0" w:space="0" w:color="auto"/>
        <w:left w:val="none" w:sz="0" w:space="0" w:color="auto"/>
        <w:bottom w:val="none" w:sz="0" w:space="0" w:color="auto"/>
        <w:right w:val="none" w:sz="0" w:space="0" w:color="auto"/>
      </w:divBdr>
    </w:div>
    <w:div w:id="1296369239">
      <w:bodyDiv w:val="1"/>
      <w:marLeft w:val="0"/>
      <w:marRight w:val="0"/>
      <w:marTop w:val="0"/>
      <w:marBottom w:val="0"/>
      <w:divBdr>
        <w:top w:val="none" w:sz="0" w:space="0" w:color="auto"/>
        <w:left w:val="none" w:sz="0" w:space="0" w:color="auto"/>
        <w:bottom w:val="none" w:sz="0" w:space="0" w:color="auto"/>
        <w:right w:val="none" w:sz="0" w:space="0" w:color="auto"/>
      </w:divBdr>
    </w:div>
    <w:div w:id="1299141065">
      <w:bodyDiv w:val="1"/>
      <w:marLeft w:val="0"/>
      <w:marRight w:val="0"/>
      <w:marTop w:val="0"/>
      <w:marBottom w:val="0"/>
      <w:divBdr>
        <w:top w:val="none" w:sz="0" w:space="0" w:color="auto"/>
        <w:left w:val="none" w:sz="0" w:space="0" w:color="auto"/>
        <w:bottom w:val="none" w:sz="0" w:space="0" w:color="auto"/>
        <w:right w:val="none" w:sz="0" w:space="0" w:color="auto"/>
      </w:divBdr>
      <w:divsChild>
        <w:div w:id="2094426572">
          <w:marLeft w:val="0"/>
          <w:marRight w:val="0"/>
          <w:marTop w:val="0"/>
          <w:marBottom w:val="0"/>
          <w:divBdr>
            <w:top w:val="none" w:sz="0" w:space="0" w:color="auto"/>
            <w:left w:val="none" w:sz="0" w:space="0" w:color="auto"/>
            <w:bottom w:val="none" w:sz="0" w:space="0" w:color="auto"/>
            <w:right w:val="none" w:sz="0" w:space="0" w:color="auto"/>
          </w:divBdr>
        </w:div>
      </w:divsChild>
    </w:div>
    <w:div w:id="1363363520">
      <w:bodyDiv w:val="1"/>
      <w:marLeft w:val="0"/>
      <w:marRight w:val="0"/>
      <w:marTop w:val="0"/>
      <w:marBottom w:val="0"/>
      <w:divBdr>
        <w:top w:val="none" w:sz="0" w:space="0" w:color="auto"/>
        <w:left w:val="none" w:sz="0" w:space="0" w:color="auto"/>
        <w:bottom w:val="none" w:sz="0" w:space="0" w:color="auto"/>
        <w:right w:val="none" w:sz="0" w:space="0" w:color="auto"/>
      </w:divBdr>
    </w:div>
    <w:div w:id="1529443457">
      <w:bodyDiv w:val="1"/>
      <w:marLeft w:val="0"/>
      <w:marRight w:val="0"/>
      <w:marTop w:val="0"/>
      <w:marBottom w:val="0"/>
      <w:divBdr>
        <w:top w:val="none" w:sz="0" w:space="0" w:color="auto"/>
        <w:left w:val="none" w:sz="0" w:space="0" w:color="auto"/>
        <w:bottom w:val="none" w:sz="0" w:space="0" w:color="auto"/>
        <w:right w:val="none" w:sz="0" w:space="0" w:color="auto"/>
      </w:divBdr>
    </w:div>
    <w:div w:id="1546091878">
      <w:bodyDiv w:val="1"/>
      <w:marLeft w:val="0"/>
      <w:marRight w:val="0"/>
      <w:marTop w:val="0"/>
      <w:marBottom w:val="0"/>
      <w:divBdr>
        <w:top w:val="none" w:sz="0" w:space="0" w:color="auto"/>
        <w:left w:val="none" w:sz="0" w:space="0" w:color="auto"/>
        <w:bottom w:val="none" w:sz="0" w:space="0" w:color="auto"/>
        <w:right w:val="none" w:sz="0" w:space="0" w:color="auto"/>
      </w:divBdr>
    </w:div>
    <w:div w:id="1558586981">
      <w:bodyDiv w:val="1"/>
      <w:marLeft w:val="0"/>
      <w:marRight w:val="0"/>
      <w:marTop w:val="0"/>
      <w:marBottom w:val="0"/>
      <w:divBdr>
        <w:top w:val="none" w:sz="0" w:space="0" w:color="auto"/>
        <w:left w:val="none" w:sz="0" w:space="0" w:color="auto"/>
        <w:bottom w:val="none" w:sz="0" w:space="0" w:color="auto"/>
        <w:right w:val="none" w:sz="0" w:space="0" w:color="auto"/>
      </w:divBdr>
    </w:div>
    <w:div w:id="1571309709">
      <w:bodyDiv w:val="1"/>
      <w:marLeft w:val="0"/>
      <w:marRight w:val="0"/>
      <w:marTop w:val="0"/>
      <w:marBottom w:val="0"/>
      <w:divBdr>
        <w:top w:val="none" w:sz="0" w:space="0" w:color="auto"/>
        <w:left w:val="none" w:sz="0" w:space="0" w:color="auto"/>
        <w:bottom w:val="none" w:sz="0" w:space="0" w:color="auto"/>
        <w:right w:val="none" w:sz="0" w:space="0" w:color="auto"/>
      </w:divBdr>
    </w:div>
    <w:div w:id="1668053460">
      <w:bodyDiv w:val="1"/>
      <w:marLeft w:val="0"/>
      <w:marRight w:val="0"/>
      <w:marTop w:val="0"/>
      <w:marBottom w:val="0"/>
      <w:divBdr>
        <w:top w:val="none" w:sz="0" w:space="0" w:color="auto"/>
        <w:left w:val="none" w:sz="0" w:space="0" w:color="auto"/>
        <w:bottom w:val="none" w:sz="0" w:space="0" w:color="auto"/>
        <w:right w:val="none" w:sz="0" w:space="0" w:color="auto"/>
      </w:divBdr>
    </w:div>
    <w:div w:id="1679773524">
      <w:bodyDiv w:val="1"/>
      <w:marLeft w:val="0"/>
      <w:marRight w:val="0"/>
      <w:marTop w:val="0"/>
      <w:marBottom w:val="0"/>
      <w:divBdr>
        <w:top w:val="none" w:sz="0" w:space="0" w:color="auto"/>
        <w:left w:val="none" w:sz="0" w:space="0" w:color="auto"/>
        <w:bottom w:val="none" w:sz="0" w:space="0" w:color="auto"/>
        <w:right w:val="none" w:sz="0" w:space="0" w:color="auto"/>
      </w:divBdr>
    </w:div>
    <w:div w:id="1772387429">
      <w:bodyDiv w:val="1"/>
      <w:marLeft w:val="0"/>
      <w:marRight w:val="0"/>
      <w:marTop w:val="0"/>
      <w:marBottom w:val="0"/>
      <w:divBdr>
        <w:top w:val="none" w:sz="0" w:space="0" w:color="auto"/>
        <w:left w:val="none" w:sz="0" w:space="0" w:color="auto"/>
        <w:bottom w:val="none" w:sz="0" w:space="0" w:color="auto"/>
        <w:right w:val="none" w:sz="0" w:space="0" w:color="auto"/>
      </w:divBdr>
    </w:div>
    <w:div w:id="1789200981">
      <w:bodyDiv w:val="1"/>
      <w:marLeft w:val="0"/>
      <w:marRight w:val="0"/>
      <w:marTop w:val="0"/>
      <w:marBottom w:val="0"/>
      <w:divBdr>
        <w:top w:val="none" w:sz="0" w:space="0" w:color="auto"/>
        <w:left w:val="none" w:sz="0" w:space="0" w:color="auto"/>
        <w:bottom w:val="none" w:sz="0" w:space="0" w:color="auto"/>
        <w:right w:val="none" w:sz="0" w:space="0" w:color="auto"/>
      </w:divBdr>
      <w:divsChild>
        <w:div w:id="1390038467">
          <w:marLeft w:val="0"/>
          <w:marRight w:val="0"/>
          <w:marTop w:val="0"/>
          <w:marBottom w:val="0"/>
          <w:divBdr>
            <w:top w:val="none" w:sz="0" w:space="0" w:color="auto"/>
            <w:left w:val="none" w:sz="0" w:space="0" w:color="auto"/>
            <w:bottom w:val="none" w:sz="0" w:space="0" w:color="auto"/>
            <w:right w:val="none" w:sz="0" w:space="0" w:color="auto"/>
          </w:divBdr>
        </w:div>
        <w:div w:id="2139839793">
          <w:marLeft w:val="0"/>
          <w:marRight w:val="0"/>
          <w:marTop w:val="0"/>
          <w:marBottom w:val="0"/>
          <w:divBdr>
            <w:top w:val="none" w:sz="0" w:space="0" w:color="auto"/>
            <w:left w:val="none" w:sz="0" w:space="0" w:color="auto"/>
            <w:bottom w:val="none" w:sz="0" w:space="0" w:color="auto"/>
            <w:right w:val="none" w:sz="0" w:space="0" w:color="auto"/>
          </w:divBdr>
        </w:div>
        <w:div w:id="454451108">
          <w:marLeft w:val="0"/>
          <w:marRight w:val="0"/>
          <w:marTop w:val="0"/>
          <w:marBottom w:val="0"/>
          <w:divBdr>
            <w:top w:val="none" w:sz="0" w:space="0" w:color="auto"/>
            <w:left w:val="none" w:sz="0" w:space="0" w:color="auto"/>
            <w:bottom w:val="none" w:sz="0" w:space="0" w:color="auto"/>
            <w:right w:val="none" w:sz="0" w:space="0" w:color="auto"/>
          </w:divBdr>
        </w:div>
        <w:div w:id="1693190483">
          <w:marLeft w:val="0"/>
          <w:marRight w:val="0"/>
          <w:marTop w:val="0"/>
          <w:marBottom w:val="0"/>
          <w:divBdr>
            <w:top w:val="none" w:sz="0" w:space="0" w:color="auto"/>
            <w:left w:val="none" w:sz="0" w:space="0" w:color="auto"/>
            <w:bottom w:val="none" w:sz="0" w:space="0" w:color="auto"/>
            <w:right w:val="none" w:sz="0" w:space="0" w:color="auto"/>
          </w:divBdr>
        </w:div>
        <w:div w:id="1668829112">
          <w:marLeft w:val="0"/>
          <w:marRight w:val="0"/>
          <w:marTop w:val="0"/>
          <w:marBottom w:val="0"/>
          <w:divBdr>
            <w:top w:val="none" w:sz="0" w:space="0" w:color="auto"/>
            <w:left w:val="none" w:sz="0" w:space="0" w:color="auto"/>
            <w:bottom w:val="none" w:sz="0" w:space="0" w:color="auto"/>
            <w:right w:val="none" w:sz="0" w:space="0" w:color="auto"/>
          </w:divBdr>
        </w:div>
      </w:divsChild>
    </w:div>
    <w:div w:id="1810171448">
      <w:bodyDiv w:val="1"/>
      <w:marLeft w:val="0"/>
      <w:marRight w:val="0"/>
      <w:marTop w:val="0"/>
      <w:marBottom w:val="0"/>
      <w:divBdr>
        <w:top w:val="none" w:sz="0" w:space="0" w:color="auto"/>
        <w:left w:val="none" w:sz="0" w:space="0" w:color="auto"/>
        <w:bottom w:val="none" w:sz="0" w:space="0" w:color="auto"/>
        <w:right w:val="none" w:sz="0" w:space="0" w:color="auto"/>
      </w:divBdr>
    </w:div>
    <w:div w:id="1816989517">
      <w:bodyDiv w:val="1"/>
      <w:marLeft w:val="0"/>
      <w:marRight w:val="0"/>
      <w:marTop w:val="0"/>
      <w:marBottom w:val="0"/>
      <w:divBdr>
        <w:top w:val="none" w:sz="0" w:space="0" w:color="auto"/>
        <w:left w:val="none" w:sz="0" w:space="0" w:color="auto"/>
        <w:bottom w:val="none" w:sz="0" w:space="0" w:color="auto"/>
        <w:right w:val="none" w:sz="0" w:space="0" w:color="auto"/>
      </w:divBdr>
    </w:div>
    <w:div w:id="1818187997">
      <w:bodyDiv w:val="1"/>
      <w:marLeft w:val="0"/>
      <w:marRight w:val="0"/>
      <w:marTop w:val="0"/>
      <w:marBottom w:val="0"/>
      <w:divBdr>
        <w:top w:val="none" w:sz="0" w:space="0" w:color="auto"/>
        <w:left w:val="none" w:sz="0" w:space="0" w:color="auto"/>
        <w:bottom w:val="none" w:sz="0" w:space="0" w:color="auto"/>
        <w:right w:val="none" w:sz="0" w:space="0" w:color="auto"/>
      </w:divBdr>
    </w:div>
    <w:div w:id="1900893513">
      <w:bodyDiv w:val="1"/>
      <w:marLeft w:val="0"/>
      <w:marRight w:val="0"/>
      <w:marTop w:val="0"/>
      <w:marBottom w:val="0"/>
      <w:divBdr>
        <w:top w:val="none" w:sz="0" w:space="0" w:color="auto"/>
        <w:left w:val="none" w:sz="0" w:space="0" w:color="auto"/>
        <w:bottom w:val="none" w:sz="0" w:space="0" w:color="auto"/>
        <w:right w:val="none" w:sz="0" w:space="0" w:color="auto"/>
      </w:divBdr>
    </w:div>
    <w:div w:id="1910119315">
      <w:bodyDiv w:val="1"/>
      <w:marLeft w:val="0"/>
      <w:marRight w:val="0"/>
      <w:marTop w:val="0"/>
      <w:marBottom w:val="0"/>
      <w:divBdr>
        <w:top w:val="none" w:sz="0" w:space="0" w:color="auto"/>
        <w:left w:val="none" w:sz="0" w:space="0" w:color="auto"/>
        <w:bottom w:val="none" w:sz="0" w:space="0" w:color="auto"/>
        <w:right w:val="none" w:sz="0" w:space="0" w:color="auto"/>
      </w:divBdr>
    </w:div>
    <w:div w:id="1912108879">
      <w:bodyDiv w:val="1"/>
      <w:marLeft w:val="0"/>
      <w:marRight w:val="0"/>
      <w:marTop w:val="0"/>
      <w:marBottom w:val="0"/>
      <w:divBdr>
        <w:top w:val="none" w:sz="0" w:space="0" w:color="auto"/>
        <w:left w:val="none" w:sz="0" w:space="0" w:color="auto"/>
        <w:bottom w:val="none" w:sz="0" w:space="0" w:color="auto"/>
        <w:right w:val="none" w:sz="0" w:space="0" w:color="auto"/>
      </w:divBdr>
    </w:div>
    <w:div w:id="1946769042">
      <w:bodyDiv w:val="1"/>
      <w:marLeft w:val="0"/>
      <w:marRight w:val="0"/>
      <w:marTop w:val="0"/>
      <w:marBottom w:val="0"/>
      <w:divBdr>
        <w:top w:val="none" w:sz="0" w:space="0" w:color="auto"/>
        <w:left w:val="none" w:sz="0" w:space="0" w:color="auto"/>
        <w:bottom w:val="none" w:sz="0" w:space="0" w:color="auto"/>
        <w:right w:val="none" w:sz="0" w:space="0" w:color="auto"/>
      </w:divBdr>
    </w:div>
    <w:div w:id="1964538804">
      <w:bodyDiv w:val="1"/>
      <w:marLeft w:val="0"/>
      <w:marRight w:val="0"/>
      <w:marTop w:val="0"/>
      <w:marBottom w:val="0"/>
      <w:divBdr>
        <w:top w:val="none" w:sz="0" w:space="0" w:color="auto"/>
        <w:left w:val="none" w:sz="0" w:space="0" w:color="auto"/>
        <w:bottom w:val="none" w:sz="0" w:space="0" w:color="auto"/>
        <w:right w:val="none" w:sz="0" w:space="0" w:color="auto"/>
      </w:divBdr>
    </w:div>
    <w:div w:id="2000112867">
      <w:bodyDiv w:val="1"/>
      <w:marLeft w:val="0"/>
      <w:marRight w:val="0"/>
      <w:marTop w:val="0"/>
      <w:marBottom w:val="0"/>
      <w:divBdr>
        <w:top w:val="none" w:sz="0" w:space="0" w:color="auto"/>
        <w:left w:val="none" w:sz="0" w:space="0" w:color="auto"/>
        <w:bottom w:val="none" w:sz="0" w:space="0" w:color="auto"/>
        <w:right w:val="none" w:sz="0" w:space="0" w:color="auto"/>
      </w:divBdr>
    </w:div>
    <w:div w:id="2059356148">
      <w:bodyDiv w:val="1"/>
      <w:marLeft w:val="0"/>
      <w:marRight w:val="0"/>
      <w:marTop w:val="0"/>
      <w:marBottom w:val="0"/>
      <w:divBdr>
        <w:top w:val="none" w:sz="0" w:space="0" w:color="auto"/>
        <w:left w:val="none" w:sz="0" w:space="0" w:color="auto"/>
        <w:bottom w:val="none" w:sz="0" w:space="0" w:color="auto"/>
        <w:right w:val="none" w:sz="0" w:space="0" w:color="auto"/>
      </w:divBdr>
    </w:div>
    <w:div w:id="2120370780">
      <w:bodyDiv w:val="1"/>
      <w:marLeft w:val="0"/>
      <w:marRight w:val="0"/>
      <w:marTop w:val="0"/>
      <w:marBottom w:val="0"/>
      <w:divBdr>
        <w:top w:val="none" w:sz="0" w:space="0" w:color="auto"/>
        <w:left w:val="none" w:sz="0" w:space="0" w:color="auto"/>
        <w:bottom w:val="none" w:sz="0" w:space="0" w:color="auto"/>
        <w:right w:val="none" w:sz="0" w:space="0" w:color="auto"/>
      </w:divBdr>
    </w:div>
    <w:div w:id="212345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ervice@boser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rvice@bosera.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158</Pages>
  <Words>19270</Words>
  <Characters>109843</Characters>
  <Application>Microsoft Office Word</Application>
  <DocSecurity>0</DocSecurity>
  <Lines>915</Lines>
  <Paragraphs>257</Paragraphs>
  <ScaleCrop>false</ScaleCrop>
  <Company>mycompany</Company>
  <LinksUpToDate>false</LinksUpToDate>
  <CharactersWithSpaces>128856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张丰羽</cp:lastModifiedBy>
  <cp:revision>5</cp:revision>
  <dcterms:created xsi:type="dcterms:W3CDTF">2020-09-09T03:28:00Z</dcterms:created>
  <dcterms:modified xsi:type="dcterms:W3CDTF">2020-09-25T05:19:00Z</dcterms:modified>
</cp:coreProperties>
</file>