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6A" w:rsidRDefault="0057376A">
      <w:pPr>
        <w:snapToGrid w:val="0"/>
        <w:spacing w:line="360" w:lineRule="auto"/>
        <w:jc w:val="center"/>
        <w:rPr>
          <w:rFonts w:ascii="Arial" w:hAnsi="Arial" w:cs="Arial"/>
          <w:b/>
          <w:sz w:val="24"/>
        </w:rPr>
      </w:pPr>
    </w:p>
    <w:p w:rsidR="0057376A" w:rsidRDefault="0057376A">
      <w:pPr>
        <w:snapToGrid w:val="0"/>
        <w:spacing w:line="360" w:lineRule="auto"/>
        <w:jc w:val="center"/>
        <w:rPr>
          <w:rFonts w:ascii="Arial" w:hAnsi="Arial" w:cs="Arial"/>
          <w:b/>
          <w:sz w:val="24"/>
        </w:rPr>
      </w:pPr>
    </w:p>
    <w:p w:rsidR="0057376A" w:rsidRDefault="0057376A">
      <w:pPr>
        <w:snapToGrid w:val="0"/>
        <w:spacing w:line="360" w:lineRule="auto"/>
        <w:jc w:val="center"/>
        <w:rPr>
          <w:rFonts w:ascii="Arial" w:hAnsi="Arial" w:cs="Arial"/>
          <w:b/>
          <w:sz w:val="24"/>
        </w:rPr>
      </w:pPr>
    </w:p>
    <w:p w:rsidR="0057376A" w:rsidRDefault="0057376A">
      <w:pPr>
        <w:snapToGrid w:val="0"/>
        <w:spacing w:line="360" w:lineRule="auto"/>
        <w:rPr>
          <w:rFonts w:ascii="Arial" w:hAnsi="Arial" w:cs="Arial"/>
          <w:b/>
          <w:sz w:val="24"/>
        </w:rPr>
      </w:pPr>
    </w:p>
    <w:p w:rsidR="0057376A" w:rsidRDefault="00117DFA">
      <w:pPr>
        <w:snapToGrid w:val="0"/>
        <w:spacing w:line="360" w:lineRule="auto"/>
        <w:jc w:val="center"/>
        <w:rPr>
          <w:rFonts w:ascii="Arial" w:hAnsi="Arial" w:cs="Arial"/>
          <w:b/>
          <w:sz w:val="48"/>
          <w:szCs w:val="48"/>
        </w:rPr>
      </w:pPr>
      <w:r>
        <w:rPr>
          <w:rFonts w:ascii="Arial" w:hAnsi="宋体" w:cs="Arial"/>
          <w:b/>
          <w:sz w:val="48"/>
          <w:szCs w:val="48"/>
        </w:rPr>
        <w:t>博时宏观回报债券型证券投资基金</w:t>
      </w:r>
    </w:p>
    <w:p w:rsidR="0057376A" w:rsidRDefault="00117DFA">
      <w:pPr>
        <w:snapToGrid w:val="0"/>
        <w:spacing w:line="360" w:lineRule="auto"/>
        <w:jc w:val="center"/>
        <w:rPr>
          <w:rFonts w:ascii="Arial" w:hAnsi="Arial" w:cs="Arial"/>
          <w:b/>
          <w:sz w:val="48"/>
          <w:szCs w:val="48"/>
        </w:rPr>
      </w:pPr>
      <w:r>
        <w:rPr>
          <w:rFonts w:ascii="Arial" w:hAnsi="宋体" w:cs="Arial"/>
          <w:b/>
          <w:sz w:val="48"/>
          <w:szCs w:val="48"/>
        </w:rPr>
        <w:t>基金合同</w:t>
      </w:r>
    </w:p>
    <w:p w:rsidR="0057376A" w:rsidRDefault="0057376A">
      <w:pPr>
        <w:snapToGrid w:val="0"/>
        <w:spacing w:line="360" w:lineRule="auto"/>
        <w:jc w:val="center"/>
        <w:rPr>
          <w:rFonts w:ascii="Arial" w:hAnsi="Arial" w:cs="Arial"/>
          <w:b/>
          <w:sz w:val="36"/>
          <w:szCs w:val="36"/>
        </w:rPr>
      </w:pPr>
    </w:p>
    <w:p w:rsidR="0057376A" w:rsidRDefault="0057376A">
      <w:pPr>
        <w:snapToGrid w:val="0"/>
        <w:spacing w:line="360" w:lineRule="auto"/>
        <w:jc w:val="center"/>
        <w:rPr>
          <w:rFonts w:ascii="Arial" w:hAnsi="Arial" w:cs="Arial"/>
          <w:b/>
          <w:sz w:val="48"/>
          <w:szCs w:val="48"/>
        </w:rPr>
      </w:pPr>
    </w:p>
    <w:p w:rsidR="0057376A" w:rsidRDefault="0057376A">
      <w:pPr>
        <w:snapToGrid w:val="0"/>
        <w:spacing w:line="360" w:lineRule="auto"/>
        <w:jc w:val="center"/>
        <w:rPr>
          <w:rFonts w:ascii="Arial" w:hAnsi="Arial" w:cs="Arial"/>
          <w:b/>
          <w:sz w:val="32"/>
          <w:szCs w:val="32"/>
        </w:rPr>
      </w:pPr>
    </w:p>
    <w:p w:rsidR="0057376A" w:rsidRDefault="0057376A">
      <w:pPr>
        <w:snapToGrid w:val="0"/>
        <w:spacing w:line="360" w:lineRule="auto"/>
        <w:rPr>
          <w:rFonts w:ascii="Arial" w:hAnsi="Arial" w:cs="Arial"/>
          <w:sz w:val="32"/>
          <w:szCs w:val="32"/>
        </w:rPr>
      </w:pPr>
    </w:p>
    <w:p w:rsidR="0057376A" w:rsidRDefault="0057376A">
      <w:pPr>
        <w:snapToGrid w:val="0"/>
        <w:spacing w:line="360" w:lineRule="auto"/>
        <w:rPr>
          <w:rFonts w:ascii="Arial" w:hAnsi="Arial" w:cs="Arial"/>
          <w:sz w:val="32"/>
          <w:szCs w:val="32"/>
        </w:rPr>
      </w:pPr>
    </w:p>
    <w:p w:rsidR="0057376A" w:rsidRDefault="0057376A">
      <w:pPr>
        <w:snapToGrid w:val="0"/>
        <w:spacing w:line="360" w:lineRule="auto"/>
        <w:rPr>
          <w:rFonts w:ascii="Arial" w:hAnsi="Arial" w:cs="Arial"/>
          <w:sz w:val="24"/>
        </w:rPr>
      </w:pPr>
    </w:p>
    <w:p w:rsidR="0057376A" w:rsidRDefault="0057376A">
      <w:pPr>
        <w:snapToGrid w:val="0"/>
        <w:spacing w:line="360" w:lineRule="auto"/>
        <w:rPr>
          <w:rFonts w:ascii="Arial" w:hAnsi="Arial" w:cs="Arial"/>
          <w:sz w:val="24"/>
        </w:rPr>
      </w:pPr>
    </w:p>
    <w:p w:rsidR="0057376A" w:rsidRDefault="0057376A">
      <w:pPr>
        <w:snapToGrid w:val="0"/>
        <w:spacing w:line="360" w:lineRule="auto"/>
        <w:rPr>
          <w:rFonts w:ascii="Arial" w:hAnsi="Arial" w:cs="Arial"/>
          <w:sz w:val="24"/>
        </w:rPr>
      </w:pPr>
    </w:p>
    <w:p w:rsidR="0057376A" w:rsidRDefault="0057376A">
      <w:pPr>
        <w:snapToGrid w:val="0"/>
        <w:spacing w:line="360" w:lineRule="auto"/>
        <w:rPr>
          <w:rFonts w:ascii="Arial" w:hAnsi="Arial" w:cs="Arial"/>
          <w:sz w:val="24"/>
        </w:rPr>
      </w:pPr>
    </w:p>
    <w:p w:rsidR="0057376A" w:rsidRDefault="0057376A">
      <w:pPr>
        <w:snapToGrid w:val="0"/>
        <w:spacing w:line="360" w:lineRule="auto"/>
        <w:jc w:val="center"/>
        <w:rPr>
          <w:rFonts w:ascii="Arial" w:hAnsi="Arial" w:cs="Arial"/>
          <w:sz w:val="24"/>
        </w:rPr>
      </w:pPr>
    </w:p>
    <w:p w:rsidR="0057376A" w:rsidRDefault="00117DFA">
      <w:pPr>
        <w:snapToGrid w:val="0"/>
        <w:spacing w:line="360" w:lineRule="auto"/>
        <w:ind w:firstLineChars="700" w:firstLine="1968"/>
        <w:rPr>
          <w:rFonts w:ascii="Arial" w:hAnsi="Arial" w:cs="Arial"/>
          <w:b/>
          <w:sz w:val="28"/>
          <w:szCs w:val="28"/>
        </w:rPr>
      </w:pPr>
      <w:r>
        <w:rPr>
          <w:rFonts w:ascii="Arial" w:hAnsi="宋体" w:cs="Arial"/>
          <w:b/>
          <w:sz w:val="28"/>
          <w:szCs w:val="28"/>
        </w:rPr>
        <w:t>基金管理人：博时基金管理有限公司</w:t>
      </w:r>
    </w:p>
    <w:p w:rsidR="0057376A" w:rsidRDefault="00117DFA">
      <w:pPr>
        <w:snapToGrid w:val="0"/>
        <w:spacing w:line="360" w:lineRule="auto"/>
        <w:ind w:firstLineChars="700" w:firstLine="1968"/>
        <w:rPr>
          <w:rFonts w:ascii="Arial" w:hAnsi="Arial" w:cs="Arial"/>
          <w:b/>
          <w:sz w:val="28"/>
          <w:szCs w:val="28"/>
        </w:rPr>
      </w:pPr>
      <w:r>
        <w:rPr>
          <w:rFonts w:ascii="Arial" w:hAnsi="宋体" w:cs="Arial"/>
          <w:b/>
          <w:sz w:val="28"/>
          <w:szCs w:val="28"/>
        </w:rPr>
        <w:t>基金托管人：中国银行股份有限公司</w:t>
      </w:r>
    </w:p>
    <w:p w:rsidR="0057376A" w:rsidRDefault="0057376A">
      <w:pPr>
        <w:snapToGrid w:val="0"/>
        <w:spacing w:line="360" w:lineRule="auto"/>
        <w:rPr>
          <w:rFonts w:ascii="Arial" w:hAnsi="Arial" w:cs="Arial"/>
          <w:b/>
          <w:caps/>
          <w:sz w:val="24"/>
        </w:rPr>
      </w:pPr>
    </w:p>
    <w:p w:rsidR="0057376A" w:rsidRDefault="00AF56F2">
      <w:pPr>
        <w:snapToGrid w:val="0"/>
        <w:spacing w:line="360" w:lineRule="auto"/>
        <w:jc w:val="center"/>
        <w:rPr>
          <w:rFonts w:ascii="Arial" w:hAnsi="Arial" w:cs="Arial"/>
          <w:b/>
          <w:sz w:val="28"/>
          <w:szCs w:val="28"/>
        </w:rPr>
        <w:sectPr w:rsidR="0057376A">
          <w:headerReference w:type="default" r:id="rId10"/>
          <w:footerReference w:type="default" r:id="rId11"/>
          <w:pgSz w:w="11906" w:h="16838"/>
          <w:pgMar w:top="1440" w:right="1800" w:bottom="1440" w:left="1800" w:header="851" w:footer="992" w:gutter="0"/>
          <w:pgNumType w:start="1"/>
          <w:cols w:space="425"/>
          <w:docGrid w:type="lines" w:linePitch="312"/>
        </w:sectPr>
      </w:pPr>
      <w:r w:rsidRPr="00AF56F2">
        <w:rPr>
          <w:rFonts w:ascii="Arial" w:hAnsi="宋体" w:cs="Arial" w:hint="eastAsia"/>
          <w:b/>
          <w:sz w:val="28"/>
          <w:szCs w:val="28"/>
        </w:rPr>
        <w:t>二○一九年十二月</w:t>
      </w:r>
    </w:p>
    <w:p w:rsidR="0057376A" w:rsidRDefault="00117DFA">
      <w:pPr>
        <w:snapToGrid w:val="0"/>
        <w:spacing w:line="360" w:lineRule="auto"/>
        <w:jc w:val="center"/>
        <w:outlineLvl w:val="0"/>
        <w:rPr>
          <w:rStyle w:val="af"/>
          <w:rFonts w:ascii="Arial" w:hAnsi="Arial" w:cs="Arial"/>
          <w:smallCaps/>
          <w:szCs w:val="21"/>
        </w:rPr>
      </w:pPr>
      <w:bookmarkStart w:id="0" w:name="_Toc252381866"/>
      <w:bookmarkStart w:id="1" w:name="_Toc253128691"/>
      <w:bookmarkStart w:id="2" w:name="_Toc122336538"/>
      <w:r>
        <w:rPr>
          <w:rFonts w:ascii="Arial" w:hAnsi="宋体" w:cs="Arial"/>
          <w:b/>
          <w:sz w:val="28"/>
          <w:szCs w:val="28"/>
        </w:rPr>
        <w:lastRenderedPageBreak/>
        <w:t>目</w:t>
      </w:r>
      <w:r>
        <w:rPr>
          <w:rFonts w:ascii="Arial" w:hAnsi="Arial" w:cs="Arial"/>
          <w:b/>
          <w:sz w:val="28"/>
          <w:szCs w:val="28"/>
        </w:rPr>
        <w:t xml:space="preserve"> </w:t>
      </w:r>
      <w:r>
        <w:rPr>
          <w:rFonts w:ascii="Arial" w:hAnsi="宋体" w:cs="Arial"/>
          <w:b/>
          <w:sz w:val="28"/>
          <w:szCs w:val="28"/>
        </w:rPr>
        <w:t>录</w:t>
      </w:r>
      <w:bookmarkEnd w:id="0"/>
      <w:bookmarkEnd w:id="1"/>
      <w:bookmarkEnd w:id="2"/>
      <w:r>
        <w:rPr>
          <w:rStyle w:val="af"/>
          <w:rFonts w:cs="Arial"/>
        </w:rPr>
        <w:fldChar w:fldCharType="begin"/>
      </w:r>
      <w:r>
        <w:rPr>
          <w:rStyle w:val="af"/>
          <w:rFonts w:cs="Arial"/>
          <w:szCs w:val="21"/>
        </w:rPr>
        <w:instrText xml:space="preserve"> TOC \o "1-3" \h \z \u </w:instrText>
      </w:r>
      <w:r>
        <w:rPr>
          <w:rStyle w:val="af"/>
          <w:rFonts w:cs="Arial"/>
        </w:rPr>
        <w:fldChar w:fldCharType="separate"/>
      </w:r>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2" w:history="1">
        <w:r w:rsidR="00117DFA">
          <w:rPr>
            <w:rStyle w:val="af"/>
            <w:rFonts w:ascii="Arial" w:hAnsi="宋体" w:cs="Arial"/>
            <w:sz w:val="21"/>
            <w:szCs w:val="21"/>
          </w:rPr>
          <w:t>一、前言</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_Toc253128692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1</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3" w:history="1">
        <w:r w:rsidR="00117DFA">
          <w:rPr>
            <w:rStyle w:val="af"/>
            <w:rFonts w:ascii="Arial" w:hAnsi="宋体" w:cs="Arial"/>
            <w:kern w:val="0"/>
            <w:sz w:val="21"/>
            <w:szCs w:val="21"/>
          </w:rPr>
          <w:t>二、释义</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_Toc253128693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2</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4" w:history="1">
        <w:r w:rsidR="00117DFA">
          <w:rPr>
            <w:rStyle w:val="af"/>
            <w:rFonts w:ascii="Arial" w:hAnsi="宋体" w:cs="Arial"/>
            <w:kern w:val="0"/>
            <w:sz w:val="21"/>
            <w:szCs w:val="21"/>
          </w:rPr>
          <w:t>三、基金的基本情况</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_Toc253128694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6</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5" w:history="1">
        <w:r w:rsidR="00117DFA">
          <w:rPr>
            <w:rStyle w:val="af"/>
            <w:rFonts w:ascii="Arial" w:hAnsi="宋体" w:cs="Arial"/>
            <w:kern w:val="0"/>
            <w:sz w:val="21"/>
            <w:szCs w:val="21"/>
          </w:rPr>
          <w:t>四、基金份额的发售与认购</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_Toc253128695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7</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6" w:history="1">
        <w:r w:rsidR="00117DFA">
          <w:rPr>
            <w:rStyle w:val="af"/>
            <w:rFonts w:ascii="Arial" w:hAnsi="宋体" w:cs="Arial"/>
            <w:kern w:val="0"/>
            <w:sz w:val="21"/>
            <w:szCs w:val="21"/>
          </w:rPr>
          <w:t>五、基金的备案</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_Toc253128696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8</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7" w:history="1">
        <w:r w:rsidR="00117DFA">
          <w:rPr>
            <w:rStyle w:val="af"/>
            <w:rFonts w:ascii="Arial" w:hAnsi="宋体" w:cs="Arial"/>
            <w:kern w:val="0"/>
            <w:sz w:val="21"/>
            <w:szCs w:val="21"/>
          </w:rPr>
          <w:t>六、基金份额的申购、赎回与转换</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_Toc253128697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9</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8" w:history="1">
        <w:r w:rsidR="00117DFA">
          <w:rPr>
            <w:rStyle w:val="af"/>
            <w:rFonts w:ascii="Arial" w:hAnsi="宋体" w:cs="Arial"/>
            <w:kern w:val="0"/>
            <w:sz w:val="21"/>
            <w:szCs w:val="21"/>
          </w:rPr>
          <w:t>七、基金的非交易过户、转托管、冻结与质押</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_Toc253128698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15</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699" w:history="1">
        <w:r w:rsidR="00117DFA">
          <w:rPr>
            <w:rStyle w:val="af"/>
            <w:rFonts w:ascii="Arial" w:hAnsi="宋体" w:cs="Arial"/>
            <w:kern w:val="0"/>
            <w:sz w:val="21"/>
            <w:szCs w:val="21"/>
          </w:rPr>
          <w:t>八、基金合同当事人及其权利义务</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_Toc253128699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16</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0" w:history="1">
        <w:r w:rsidR="00117DFA">
          <w:rPr>
            <w:rStyle w:val="af"/>
            <w:rFonts w:ascii="Arial" w:hAnsi="宋体" w:cs="Arial"/>
            <w:kern w:val="0"/>
            <w:sz w:val="21"/>
            <w:szCs w:val="21"/>
          </w:rPr>
          <w:t>九、基金份额持有人大会</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_Toc253128700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21</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1" w:history="1">
        <w:r w:rsidR="00117DFA">
          <w:rPr>
            <w:rStyle w:val="af"/>
            <w:rFonts w:ascii="Arial" w:hAnsi="宋体" w:cs="Arial"/>
            <w:kern w:val="0"/>
            <w:sz w:val="21"/>
            <w:szCs w:val="21"/>
          </w:rPr>
          <w:t>十、基金管理人、基金托管人的更换条件和程序</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_Toc253128701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26</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2" w:history="1">
        <w:r w:rsidR="00117DFA">
          <w:rPr>
            <w:rStyle w:val="af"/>
            <w:rFonts w:ascii="Arial" w:hAnsi="宋体" w:cs="Arial"/>
            <w:kern w:val="0"/>
            <w:sz w:val="21"/>
            <w:szCs w:val="21"/>
          </w:rPr>
          <w:t>十一、基金的托管</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_Toc253128702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28</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3" w:history="1">
        <w:r w:rsidR="00117DFA">
          <w:rPr>
            <w:rStyle w:val="af"/>
            <w:rFonts w:ascii="Arial" w:hAnsi="宋体" w:cs="Arial"/>
            <w:kern w:val="0"/>
            <w:sz w:val="21"/>
            <w:szCs w:val="21"/>
          </w:rPr>
          <w:t>十二、基金的销售</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_Toc253128703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29</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4" w:history="1">
        <w:r w:rsidR="00117DFA">
          <w:rPr>
            <w:rStyle w:val="af"/>
            <w:rFonts w:ascii="Arial" w:hAnsi="宋体" w:cs="Arial"/>
            <w:kern w:val="0"/>
            <w:sz w:val="21"/>
            <w:szCs w:val="21"/>
          </w:rPr>
          <w:t>十三、基金份额的注册登记</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_Toc253128704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30</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5" w:history="1">
        <w:r w:rsidR="00117DFA">
          <w:rPr>
            <w:rStyle w:val="af"/>
            <w:rFonts w:ascii="Arial" w:hAnsi="宋体" w:cs="Arial"/>
            <w:kern w:val="0"/>
            <w:sz w:val="21"/>
            <w:szCs w:val="21"/>
          </w:rPr>
          <w:t>十四、基金的投资</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_Toc253128705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31</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6" w:history="1">
        <w:r w:rsidR="00117DFA">
          <w:rPr>
            <w:rStyle w:val="af"/>
            <w:rFonts w:ascii="Arial" w:hAnsi="宋体" w:cs="Arial"/>
            <w:kern w:val="0"/>
            <w:sz w:val="21"/>
            <w:szCs w:val="21"/>
          </w:rPr>
          <w:t>十五、基金的融资、融券</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_Toc253128706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37</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7" w:history="1">
        <w:r w:rsidR="00117DFA">
          <w:rPr>
            <w:rStyle w:val="af"/>
            <w:rFonts w:ascii="Arial" w:hAnsi="宋体" w:cs="Arial"/>
            <w:kern w:val="0"/>
            <w:sz w:val="21"/>
            <w:szCs w:val="21"/>
          </w:rPr>
          <w:t>十六、基金的财产</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_Toc253128707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38</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8" w:history="1">
        <w:r w:rsidR="00117DFA">
          <w:rPr>
            <w:rStyle w:val="af"/>
            <w:rFonts w:ascii="Arial" w:hAnsi="宋体" w:cs="Arial"/>
            <w:kern w:val="0"/>
            <w:sz w:val="21"/>
            <w:szCs w:val="21"/>
          </w:rPr>
          <w:t>十七、基金资产的估值</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_Toc253128708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39</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09" w:history="1">
        <w:r w:rsidR="00117DFA">
          <w:rPr>
            <w:rStyle w:val="af"/>
            <w:rFonts w:ascii="Arial" w:hAnsi="宋体" w:cs="Arial"/>
            <w:kern w:val="0"/>
            <w:sz w:val="21"/>
            <w:szCs w:val="21"/>
          </w:rPr>
          <w:t>十八、基金费用与税收</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_Toc253128709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44</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0" w:history="1">
        <w:r w:rsidR="00117DFA">
          <w:rPr>
            <w:rStyle w:val="af"/>
            <w:rFonts w:ascii="Arial" w:hAnsi="宋体" w:cs="Arial"/>
            <w:kern w:val="0"/>
            <w:sz w:val="21"/>
            <w:szCs w:val="21"/>
          </w:rPr>
          <w:t>十九、基金收益与分配</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_Toc253128710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46</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1" w:history="1">
        <w:r w:rsidR="00117DFA">
          <w:rPr>
            <w:rStyle w:val="af"/>
            <w:rFonts w:ascii="Arial" w:hAnsi="宋体" w:cs="Arial"/>
            <w:kern w:val="0"/>
            <w:sz w:val="21"/>
            <w:szCs w:val="21"/>
          </w:rPr>
          <w:t>二十、基金的会计与审计</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_Toc253128711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47</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2" w:history="1">
        <w:r w:rsidR="00117DFA">
          <w:rPr>
            <w:rStyle w:val="af"/>
            <w:rFonts w:ascii="Arial" w:hAnsi="宋体" w:cs="Arial"/>
            <w:kern w:val="0"/>
            <w:sz w:val="21"/>
            <w:szCs w:val="21"/>
          </w:rPr>
          <w:t>二十一、基金的信息披露</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_Toc253128712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48</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3" w:history="1">
        <w:r w:rsidR="00117DFA">
          <w:rPr>
            <w:rStyle w:val="af"/>
            <w:rFonts w:ascii="Arial" w:hAnsi="宋体" w:cs="Arial"/>
            <w:kern w:val="0"/>
            <w:sz w:val="21"/>
            <w:szCs w:val="21"/>
          </w:rPr>
          <w:t>二十二、基金的业务规则</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_Toc253128713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51</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4" w:history="1">
        <w:r w:rsidR="00117DFA">
          <w:rPr>
            <w:rStyle w:val="af"/>
            <w:rFonts w:ascii="Arial" w:hAnsi="宋体" w:cs="Arial"/>
            <w:kern w:val="0"/>
            <w:sz w:val="21"/>
            <w:szCs w:val="21"/>
          </w:rPr>
          <w:t>二十三、基金合同的变更、终止与基金财产的清算</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_Toc253128714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52</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5" w:history="1">
        <w:r w:rsidR="00117DFA">
          <w:rPr>
            <w:rStyle w:val="af"/>
            <w:rFonts w:ascii="Arial" w:hAnsi="宋体" w:cs="Arial"/>
            <w:kern w:val="0"/>
            <w:sz w:val="21"/>
            <w:szCs w:val="21"/>
          </w:rPr>
          <w:t>二十四、违约责任</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_Toc253128715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54</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6" w:history="1">
        <w:r w:rsidR="00117DFA">
          <w:rPr>
            <w:rStyle w:val="af"/>
            <w:rFonts w:ascii="Arial" w:hAnsi="宋体" w:cs="Arial"/>
            <w:kern w:val="0"/>
            <w:sz w:val="21"/>
            <w:szCs w:val="21"/>
          </w:rPr>
          <w:t>二十五、争议的处理</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_Toc253128716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55</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7" w:history="1">
        <w:r w:rsidR="00117DFA">
          <w:rPr>
            <w:rStyle w:val="af"/>
            <w:rFonts w:ascii="Arial" w:hAnsi="宋体" w:cs="Arial"/>
            <w:kern w:val="0"/>
            <w:sz w:val="21"/>
            <w:szCs w:val="21"/>
          </w:rPr>
          <w:t>二十六、基金合同的效力</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_Toc253128717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56</w:t>
        </w:r>
        <w:r w:rsidR="00117DFA">
          <w:rPr>
            <w:rFonts w:ascii="Arial" w:hAnsi="Arial" w:cs="Arial"/>
            <w:sz w:val="21"/>
            <w:szCs w:val="21"/>
          </w:rPr>
          <w:fldChar w:fldCharType="end"/>
        </w:r>
      </w:hyperlink>
    </w:p>
    <w:p w:rsidR="0057376A" w:rsidRDefault="00D734A2">
      <w:pPr>
        <w:pStyle w:val="21"/>
        <w:tabs>
          <w:tab w:val="right" w:leader="dot" w:pos="8296"/>
        </w:tabs>
        <w:snapToGrid w:val="0"/>
        <w:spacing w:line="360" w:lineRule="auto"/>
        <w:ind w:left="0"/>
        <w:rPr>
          <w:rFonts w:ascii="Arial" w:hAnsi="Arial" w:cs="Arial"/>
          <w:smallCaps w:val="0"/>
          <w:sz w:val="21"/>
          <w:szCs w:val="21"/>
        </w:rPr>
      </w:pPr>
      <w:hyperlink w:anchor="_Toc253128718" w:history="1">
        <w:r w:rsidR="00117DFA">
          <w:rPr>
            <w:rStyle w:val="af"/>
            <w:rFonts w:ascii="Arial" w:hAnsi="宋体" w:cs="Arial"/>
            <w:kern w:val="0"/>
            <w:sz w:val="21"/>
            <w:szCs w:val="21"/>
          </w:rPr>
          <w:t>二十七、基金合同内容摘要</w:t>
        </w:r>
        <w:r w:rsidR="00117DFA">
          <w:rPr>
            <w:rFonts w:ascii="Arial" w:hAnsi="Arial" w:cs="Arial"/>
            <w:sz w:val="21"/>
            <w:szCs w:val="21"/>
          </w:rPr>
          <w:tab/>
        </w:r>
        <w:r w:rsidR="00117DFA">
          <w:rPr>
            <w:rFonts w:ascii="Arial" w:hAnsi="Arial" w:cs="Arial"/>
            <w:sz w:val="21"/>
            <w:szCs w:val="21"/>
          </w:rPr>
          <w:fldChar w:fldCharType="begin"/>
        </w:r>
        <w:r w:rsidR="00117DFA">
          <w:rPr>
            <w:rFonts w:ascii="Arial" w:hAnsi="Arial" w:cs="Arial"/>
            <w:sz w:val="21"/>
            <w:szCs w:val="21"/>
          </w:rPr>
          <w:instrText xml:space="preserve"> PAGEREF _Toc253128718 \h </w:instrText>
        </w:r>
        <w:r w:rsidR="00117DFA">
          <w:rPr>
            <w:rFonts w:ascii="Arial" w:hAnsi="Arial" w:cs="Arial"/>
            <w:sz w:val="21"/>
            <w:szCs w:val="21"/>
          </w:rPr>
        </w:r>
        <w:r w:rsidR="00117DFA">
          <w:rPr>
            <w:rFonts w:ascii="Arial" w:hAnsi="Arial" w:cs="Arial"/>
            <w:sz w:val="21"/>
            <w:szCs w:val="21"/>
          </w:rPr>
          <w:fldChar w:fldCharType="separate"/>
        </w:r>
        <w:r w:rsidR="00117DFA">
          <w:rPr>
            <w:rFonts w:ascii="Arial" w:hAnsi="Arial" w:cs="Arial"/>
            <w:sz w:val="21"/>
            <w:szCs w:val="21"/>
          </w:rPr>
          <w:t>57</w:t>
        </w:r>
        <w:r w:rsidR="00117DFA">
          <w:rPr>
            <w:rFonts w:ascii="Arial" w:hAnsi="Arial" w:cs="Arial"/>
            <w:sz w:val="21"/>
            <w:szCs w:val="21"/>
          </w:rPr>
          <w:fldChar w:fldCharType="end"/>
        </w:r>
      </w:hyperlink>
    </w:p>
    <w:p w:rsidR="0057376A" w:rsidRDefault="00117DFA">
      <w:pPr>
        <w:snapToGrid w:val="0"/>
        <w:spacing w:line="360" w:lineRule="auto"/>
        <w:rPr>
          <w:rFonts w:ascii="Arial" w:hAnsi="Arial" w:cs="Arial"/>
          <w:smallCaps/>
          <w:szCs w:val="21"/>
        </w:rPr>
      </w:pPr>
      <w:r>
        <w:rPr>
          <w:rFonts w:ascii="Arial" w:hAnsi="Arial" w:cs="Arial"/>
          <w:smallCaps/>
          <w:szCs w:val="21"/>
        </w:rPr>
        <w:fldChar w:fldCharType="end"/>
      </w:r>
    </w:p>
    <w:p w:rsidR="0057376A" w:rsidRDefault="0057376A">
      <w:pPr>
        <w:snapToGrid w:val="0"/>
        <w:spacing w:line="360" w:lineRule="auto"/>
        <w:rPr>
          <w:rFonts w:ascii="Arial" w:hAnsi="Arial" w:cs="Arial"/>
          <w:sz w:val="18"/>
          <w:szCs w:val="18"/>
        </w:rPr>
        <w:sectPr w:rsidR="0057376A">
          <w:headerReference w:type="default" r:id="rId12"/>
          <w:footerReference w:type="default" r:id="rId13"/>
          <w:pgSz w:w="11906" w:h="16838"/>
          <w:pgMar w:top="1440" w:right="1800" w:bottom="1440" w:left="1800" w:header="851" w:footer="992" w:gutter="0"/>
          <w:pgNumType w:start="1"/>
          <w:cols w:space="425"/>
          <w:docGrid w:type="lines" w:linePitch="312"/>
        </w:sectPr>
      </w:pPr>
    </w:p>
    <w:p w:rsidR="0057376A" w:rsidRDefault="0057376A">
      <w:pPr>
        <w:snapToGrid w:val="0"/>
        <w:spacing w:line="360" w:lineRule="auto"/>
        <w:rPr>
          <w:rFonts w:ascii="Arial" w:hAnsi="Arial" w:cs="Arial"/>
          <w:sz w:val="18"/>
          <w:szCs w:val="18"/>
        </w:rPr>
      </w:pPr>
    </w:p>
    <w:p w:rsidR="0057376A" w:rsidRDefault="00117DFA">
      <w:pPr>
        <w:pStyle w:val="2"/>
        <w:snapToGrid w:val="0"/>
        <w:spacing w:before="0" w:after="0" w:line="360" w:lineRule="auto"/>
        <w:jc w:val="center"/>
        <w:rPr>
          <w:rFonts w:eastAsia="宋体" w:cs="Arial"/>
          <w:sz w:val="28"/>
          <w:szCs w:val="28"/>
        </w:rPr>
      </w:pPr>
      <w:bookmarkStart w:id="3" w:name="_Toc88037836"/>
      <w:bookmarkStart w:id="4" w:name="_Toc253128692"/>
      <w:r>
        <w:rPr>
          <w:rFonts w:eastAsia="宋体" w:hAnsi="宋体" w:cs="Arial"/>
          <w:sz w:val="28"/>
          <w:szCs w:val="28"/>
        </w:rPr>
        <w:t>一、前言</w:t>
      </w:r>
      <w:bookmarkEnd w:id="3"/>
      <w:bookmarkEnd w:id="4"/>
    </w:p>
    <w:p w:rsidR="0057376A" w:rsidRDefault="00117DFA">
      <w:pPr>
        <w:snapToGrid w:val="0"/>
        <w:spacing w:line="360" w:lineRule="auto"/>
        <w:ind w:firstLineChars="200" w:firstLine="420"/>
        <w:rPr>
          <w:rFonts w:ascii="Arial" w:hAnsi="Arial" w:cs="Arial"/>
          <w:szCs w:val="21"/>
        </w:rPr>
      </w:pPr>
      <w:r>
        <w:rPr>
          <w:rFonts w:ascii="Arial" w:hAnsi="宋体" w:cs="Arial"/>
          <w:szCs w:val="21"/>
        </w:rPr>
        <w:t>（一）订立《博时宏观回报债券型证券投资基金基金合同》（以下简称</w:t>
      </w:r>
      <w:r>
        <w:rPr>
          <w:rFonts w:ascii="Arial" w:hAnsi="Arial" w:cs="Arial"/>
          <w:szCs w:val="21"/>
        </w:rPr>
        <w:t>“</w:t>
      </w:r>
      <w:r>
        <w:rPr>
          <w:rFonts w:ascii="Arial" w:hAnsi="宋体" w:cs="Arial"/>
          <w:szCs w:val="21"/>
        </w:rPr>
        <w:t>本基金合同</w:t>
      </w:r>
      <w:r>
        <w:rPr>
          <w:rFonts w:ascii="Arial" w:hAnsi="Arial" w:cs="Arial"/>
          <w:szCs w:val="21"/>
        </w:rPr>
        <w:t>”</w:t>
      </w:r>
      <w:r>
        <w:rPr>
          <w:rFonts w:ascii="Arial" w:hAnsi="宋体" w:cs="Arial"/>
          <w:szCs w:val="21"/>
        </w:rPr>
        <w:t>）的目的、依据和原则</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、订立本基金合同的目的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订立本基金合同的目的是明确本基金合同当事人的权利义务、规范博时宏观回报债券型证券投资基金（以下简称</w:t>
      </w:r>
      <w:r>
        <w:rPr>
          <w:rFonts w:ascii="Arial" w:hAnsi="Arial" w:cs="Arial"/>
          <w:kern w:val="0"/>
          <w:szCs w:val="21"/>
        </w:rPr>
        <w:t>“</w:t>
      </w:r>
      <w:r>
        <w:rPr>
          <w:rFonts w:ascii="Arial" w:hAnsi="宋体" w:cs="Arial"/>
          <w:kern w:val="0"/>
          <w:szCs w:val="21"/>
        </w:rPr>
        <w:t>本基金</w:t>
      </w:r>
      <w:r>
        <w:rPr>
          <w:rFonts w:ascii="Arial" w:hAnsi="Arial" w:cs="Arial"/>
          <w:kern w:val="0"/>
          <w:szCs w:val="21"/>
        </w:rPr>
        <w:t>”</w:t>
      </w:r>
      <w:r>
        <w:rPr>
          <w:rFonts w:ascii="Arial" w:hAnsi="宋体" w:cs="Arial"/>
          <w:kern w:val="0"/>
          <w:szCs w:val="21"/>
        </w:rPr>
        <w:t>）的运作，保护基金份额持有人的合法权益。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、订立本基金合同的依据</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订立本基金合同的依据是《中华人民共和国民法通则》、《中华人民共和国合同法》、《中华人民共和国证券投资基金法》（以下简称《基金法》）、《证券投资基金运作管理办法》（以下简称《运作办法》）、《公开募集证券投资基金信息披露管理办法》（以下简称《信息披露办法》）</w:t>
      </w:r>
      <w:r>
        <w:rPr>
          <w:rFonts w:ascii="Arial" w:hAnsi="宋体" w:cs="Arial" w:hint="eastAsia"/>
          <w:szCs w:val="21"/>
        </w:rPr>
        <w:t>、《公开募集开放式证券投资基金流动性风险管理规定》（以下简称“《流动性风险管理规定》”）</w:t>
      </w:r>
      <w:r>
        <w:rPr>
          <w:rFonts w:ascii="Arial" w:hAnsi="宋体" w:cs="Arial"/>
          <w:szCs w:val="21"/>
        </w:rPr>
        <w:t>和《证券投资基金销售管理办法》（以下简称《销售办法》）及其他法律法规的有关规定。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、订立本基金合同的原则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订立本基金合同的原则是平等自愿、诚实信用、充分保护基金份额持有人的合法权益。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（二）本基金由基金管理人依照《基金法》、本基金合同和其他有关法律法规规定募集，并经中国证券监督管理委员会</w:t>
      </w:r>
      <w:r>
        <w:rPr>
          <w:rFonts w:ascii="Arial" w:hAnsi="Arial" w:cs="Arial"/>
          <w:kern w:val="0"/>
          <w:szCs w:val="21"/>
        </w:rPr>
        <w:t>（</w:t>
      </w:r>
      <w:r>
        <w:rPr>
          <w:rFonts w:ascii="Arial" w:hAnsi="宋体" w:cs="Arial"/>
          <w:kern w:val="0"/>
          <w:szCs w:val="21"/>
        </w:rPr>
        <w:t>以下简称</w:t>
      </w:r>
      <w:r>
        <w:rPr>
          <w:rFonts w:ascii="Arial" w:hAnsi="Arial" w:cs="Arial"/>
          <w:szCs w:val="21"/>
        </w:rPr>
        <w:t>“</w:t>
      </w:r>
      <w:r>
        <w:rPr>
          <w:rFonts w:ascii="Arial" w:hAnsi="宋体" w:cs="Arial"/>
          <w:szCs w:val="21"/>
        </w:rPr>
        <w:t>中国证监会</w:t>
      </w:r>
      <w:r>
        <w:rPr>
          <w:rFonts w:ascii="Arial" w:hAnsi="Arial" w:cs="Arial"/>
          <w:szCs w:val="21"/>
        </w:rPr>
        <w:t>”</w:t>
      </w:r>
      <w:r>
        <w:rPr>
          <w:rFonts w:ascii="Arial" w:hAnsi="Arial" w:cs="Arial"/>
          <w:szCs w:val="21"/>
        </w:rPr>
        <w:t>）</w:t>
      </w:r>
      <w:r>
        <w:rPr>
          <w:rFonts w:ascii="Arial" w:hAnsi="宋体" w:cs="Arial"/>
          <w:kern w:val="0"/>
          <w:szCs w:val="21"/>
        </w:rPr>
        <w:t>核准。中国证监会对本基金募集的核准，并不表明其对本基金的价值和收益做出实质性判断或保证，也不表明投资于本基金没有风险。</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基金管理人依照恪尽职守、诚实信用、谨慎勤勉的原则管理和运用基金财产，但由于证券投资具有一定的风险，因此不保证投资于本基金一定盈利，也不保证基金份额持有人的最低收益。</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三）本基金合同是约定本基金合同当事人之间基本权利义务的法律文件，其他与本基金相关的涉及本基金合同当事人之间权利义务关系的任何文件或表述，均以本基金合同为准。本基金合同的当事人包括基金管理人、基金托管人和基金份额持有人。基金投资者自依本基金合同取得本基金基金份额，即成为基金份额持有人和本基金合同的当事人，其持有基金份额的行为本身即表明其对本基金合同的承认和接受。基金份额持有人作为本基金合同当事人并不以在本基金合同上书面签章为必要条件。本基金合同的当事人按照《基金法》、本基金合同及其他有关法律法规规定享有权利、承担义务。</w:t>
      </w:r>
    </w:p>
    <w:p w:rsidR="0057376A" w:rsidRPr="00EE196A" w:rsidRDefault="00117DFA">
      <w:pPr>
        <w:snapToGrid w:val="0"/>
        <w:spacing w:line="360" w:lineRule="auto"/>
        <w:ind w:firstLineChars="200" w:firstLine="420"/>
        <w:rPr>
          <w:rFonts w:ascii="Arial" w:hAnsi="宋体"/>
          <w:kern w:val="0"/>
        </w:rPr>
      </w:pPr>
      <w:r>
        <w:rPr>
          <w:rFonts w:ascii="Arial" w:hAnsi="宋体" w:hint="eastAsia"/>
          <w:kern w:val="0"/>
        </w:rPr>
        <w:t>投资者应当认真阅读基金合同、基金招募说明书、基金产品资料概要等信息披露文件，自主判断基金的投资价值，自主做出投资决策，自行承担投资风险。</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（四）本基金合同约定的基金产品资料概要编制、披露与更新的要求，将不晚于</w:t>
      </w:r>
      <w:r>
        <w:rPr>
          <w:rFonts w:ascii="Arial" w:hAnsi="宋体" w:cs="Arial" w:hint="eastAsia"/>
          <w:kern w:val="0"/>
          <w:szCs w:val="21"/>
        </w:rPr>
        <w:t>2020</w:t>
      </w:r>
      <w:r>
        <w:rPr>
          <w:rFonts w:ascii="Arial" w:hAnsi="宋体" w:cs="Arial" w:hint="eastAsia"/>
          <w:kern w:val="0"/>
          <w:szCs w:val="21"/>
        </w:rPr>
        <w:t>年</w:t>
      </w:r>
      <w:r>
        <w:rPr>
          <w:rFonts w:ascii="Arial" w:hAnsi="宋体" w:cs="Arial" w:hint="eastAsia"/>
          <w:kern w:val="0"/>
          <w:szCs w:val="21"/>
        </w:rPr>
        <w:t>9</w:t>
      </w:r>
      <w:r>
        <w:rPr>
          <w:rFonts w:ascii="Arial" w:hAnsi="宋体" w:cs="Arial" w:hint="eastAsia"/>
          <w:kern w:val="0"/>
          <w:szCs w:val="21"/>
        </w:rPr>
        <w:t>月</w:t>
      </w:r>
      <w:r>
        <w:rPr>
          <w:rFonts w:ascii="Arial" w:hAnsi="宋体" w:cs="Arial" w:hint="eastAsia"/>
          <w:kern w:val="0"/>
          <w:szCs w:val="21"/>
        </w:rPr>
        <w:t>1</w:t>
      </w:r>
      <w:r>
        <w:rPr>
          <w:rFonts w:ascii="Arial" w:hAnsi="宋体" w:cs="Arial" w:hint="eastAsia"/>
          <w:kern w:val="0"/>
          <w:szCs w:val="21"/>
        </w:rPr>
        <w:t>日</w:t>
      </w:r>
      <w:r>
        <w:rPr>
          <w:rFonts w:ascii="Arial" w:hAnsi="宋体" w:cs="Arial" w:hint="eastAsia"/>
          <w:kern w:val="0"/>
          <w:szCs w:val="21"/>
        </w:rPr>
        <w:t xml:space="preserve"> </w:t>
      </w:r>
      <w:r>
        <w:rPr>
          <w:rFonts w:ascii="Arial" w:hAnsi="宋体" w:cs="Arial" w:hint="eastAsia"/>
          <w:kern w:val="0"/>
          <w:szCs w:val="21"/>
        </w:rPr>
        <w:t>起执行。</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5" w:name="_Toc88037837"/>
      <w:bookmarkStart w:id="6" w:name="_Toc253128693"/>
      <w:r>
        <w:rPr>
          <w:rFonts w:eastAsia="宋体" w:hAnsi="宋体" w:cs="Arial"/>
          <w:kern w:val="0"/>
          <w:sz w:val="28"/>
          <w:szCs w:val="28"/>
        </w:rPr>
        <w:t>二、释义</w:t>
      </w:r>
      <w:bookmarkEnd w:id="5"/>
      <w:bookmarkEnd w:id="6"/>
    </w:p>
    <w:p w:rsidR="0057376A" w:rsidRDefault="00117DFA">
      <w:pPr>
        <w:snapToGrid w:val="0"/>
        <w:spacing w:line="360" w:lineRule="auto"/>
        <w:rPr>
          <w:rFonts w:ascii="Arial" w:hAnsi="Arial" w:cs="Arial"/>
          <w:kern w:val="0"/>
          <w:szCs w:val="21"/>
        </w:rPr>
      </w:pPr>
      <w:r>
        <w:rPr>
          <w:rFonts w:ascii="Arial" w:hAnsi="宋体" w:cs="Arial"/>
          <w:kern w:val="0"/>
          <w:szCs w:val="21"/>
        </w:rPr>
        <w:t>本基金合同中，除非文意另有所指，下列词语或简称具有如下含义：</w:t>
      </w:r>
    </w:p>
    <w:tbl>
      <w:tblPr>
        <w:tblW w:w="8414" w:type="dxa"/>
        <w:tblLayout w:type="fixed"/>
        <w:tblLook w:val="04A0" w:firstRow="1" w:lastRow="0" w:firstColumn="1" w:lastColumn="0" w:noHBand="0" w:noVBand="1"/>
      </w:tblPr>
      <w:tblGrid>
        <w:gridCol w:w="2700"/>
        <w:gridCol w:w="5714"/>
      </w:tblGrid>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基金或本基金：</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指博时宏观回报债券型证券投资基金；</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基金合同或本基金合同：</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指《博时宏观回报债券型证券投资基金基金合同》及对本基金合同的任何有效修订和补充；</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招募说明书：</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指《博时宏观回报债券型证券投资基金招募说明书》及其更新；</w:t>
            </w:r>
          </w:p>
        </w:tc>
      </w:tr>
      <w:tr w:rsidR="0057376A">
        <w:trPr>
          <w:trHeight w:val="612"/>
        </w:trPr>
        <w:tc>
          <w:tcPr>
            <w:tcW w:w="2700" w:type="dxa"/>
          </w:tcPr>
          <w:p w:rsidR="0057376A" w:rsidRDefault="00117DFA">
            <w:pPr>
              <w:snapToGrid w:val="0"/>
              <w:spacing w:line="360" w:lineRule="auto"/>
              <w:rPr>
                <w:rFonts w:ascii="Arial" w:hAnsi="宋体" w:cs="Arial"/>
                <w:kern w:val="0"/>
                <w:szCs w:val="21"/>
              </w:rPr>
            </w:pPr>
            <w:r>
              <w:rPr>
                <w:rFonts w:ascii="Arial" w:hAnsi="宋体" w:cs="Arial"/>
                <w:kern w:val="0"/>
                <w:szCs w:val="21"/>
              </w:rPr>
              <w:t>发售公告：</w:t>
            </w:r>
          </w:p>
          <w:p w:rsidR="0057376A" w:rsidRDefault="0057376A">
            <w:pPr>
              <w:snapToGrid w:val="0"/>
              <w:spacing w:line="360" w:lineRule="auto"/>
              <w:rPr>
                <w:rFonts w:ascii="Arial" w:hAnsi="Arial" w:cs="Arial"/>
                <w:kern w:val="0"/>
                <w:szCs w:val="21"/>
              </w:rPr>
            </w:pPr>
          </w:p>
        </w:tc>
        <w:tc>
          <w:tcPr>
            <w:tcW w:w="5714" w:type="dxa"/>
          </w:tcPr>
          <w:p w:rsidR="0057376A" w:rsidRDefault="00117DFA">
            <w:pPr>
              <w:snapToGrid w:val="0"/>
              <w:spacing w:line="360" w:lineRule="auto"/>
              <w:rPr>
                <w:rFonts w:ascii="Arial" w:hAnsi="宋体" w:cs="Arial"/>
                <w:kern w:val="0"/>
                <w:szCs w:val="21"/>
              </w:rPr>
            </w:pPr>
            <w:r>
              <w:rPr>
                <w:rFonts w:ascii="Arial" w:hAnsi="宋体" w:cs="Arial"/>
                <w:kern w:val="0"/>
                <w:szCs w:val="21"/>
              </w:rPr>
              <w:t>指《博时宏观回报债券型证券投资基金基金份额发售公告》</w:t>
            </w:r>
          </w:p>
          <w:p w:rsidR="0057376A" w:rsidRDefault="0057376A">
            <w:pPr>
              <w:snapToGrid w:val="0"/>
              <w:spacing w:line="360" w:lineRule="auto"/>
              <w:rPr>
                <w:rFonts w:ascii="Arial" w:hAnsi="Arial" w:cs="Arial"/>
                <w:kern w:val="0"/>
                <w:szCs w:val="21"/>
              </w:rPr>
            </w:pPr>
          </w:p>
        </w:tc>
      </w:tr>
      <w:tr w:rsidR="0057376A">
        <w:trPr>
          <w:trHeight w:val="612"/>
        </w:trPr>
        <w:tc>
          <w:tcPr>
            <w:tcW w:w="2700" w:type="dxa"/>
          </w:tcPr>
          <w:p w:rsidR="0057376A" w:rsidRDefault="00117DFA">
            <w:pPr>
              <w:snapToGrid w:val="0"/>
              <w:spacing w:line="360" w:lineRule="auto"/>
              <w:rPr>
                <w:rFonts w:ascii="Arial" w:hAnsi="宋体" w:cs="Arial"/>
                <w:kern w:val="0"/>
                <w:szCs w:val="21"/>
              </w:rPr>
            </w:pPr>
            <w:r>
              <w:rPr>
                <w:rFonts w:ascii="Arial" w:hAnsi="宋体" w:cs="Arial"/>
                <w:kern w:val="0"/>
                <w:szCs w:val="21"/>
              </w:rPr>
              <w:t>基金产品资料概要：</w:t>
            </w:r>
          </w:p>
        </w:tc>
        <w:tc>
          <w:tcPr>
            <w:tcW w:w="5714" w:type="dxa"/>
          </w:tcPr>
          <w:p w:rsidR="0057376A" w:rsidRDefault="00117DFA">
            <w:pPr>
              <w:snapToGrid w:val="0"/>
              <w:spacing w:line="360" w:lineRule="auto"/>
              <w:rPr>
                <w:rFonts w:ascii="Arial" w:hAnsi="宋体" w:cs="Arial"/>
                <w:kern w:val="0"/>
                <w:szCs w:val="21"/>
              </w:rPr>
            </w:pPr>
            <w:r>
              <w:rPr>
                <w:rFonts w:ascii="Arial" w:hAnsi="宋体" w:cs="Arial"/>
                <w:kern w:val="0"/>
                <w:szCs w:val="21"/>
              </w:rPr>
              <w:t>指《博时宏观回报债券型证券投资基金基金产品资料概要》及其更新；</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托管协议</w:t>
            </w:r>
            <w:r>
              <w:rPr>
                <w:rFonts w:ascii="Arial" w:hAnsi="宋体" w:cs="Arial" w:hint="eastAsia"/>
                <w:kern w:val="0"/>
                <w:szCs w:val="21"/>
              </w:rPr>
              <w:t>：</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指《博时宏观回报债券型证券投资基金托管协议》及其任何有效修订和补充；</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中国证监会：</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指中国证券监督管理委员会；</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中国银监会：</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指中国银行业监督管理委员会；</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《基金法》：</w:t>
            </w:r>
          </w:p>
        </w:tc>
        <w:tc>
          <w:tcPr>
            <w:tcW w:w="5714" w:type="dxa"/>
          </w:tcPr>
          <w:p w:rsidR="0057376A" w:rsidRDefault="00117DFA">
            <w:pPr>
              <w:snapToGrid w:val="0"/>
              <w:spacing w:line="360" w:lineRule="auto"/>
              <w:rPr>
                <w:rFonts w:ascii="Arial" w:hAnsi="Arial" w:cs="Arial"/>
                <w:kern w:val="0"/>
                <w:szCs w:val="21"/>
              </w:rPr>
            </w:pPr>
            <w:r>
              <w:rPr>
                <w:rFonts w:ascii="Arial" w:hAnsi="宋体" w:cs="Arial"/>
                <w:szCs w:val="21"/>
              </w:rPr>
              <w:t>指</w:t>
            </w:r>
            <w:r>
              <w:rPr>
                <w:rFonts w:ascii="Arial" w:hAnsi="Arial" w:cs="Arial"/>
                <w:szCs w:val="21"/>
              </w:rPr>
              <w:t>2003</w:t>
            </w:r>
            <w:r>
              <w:rPr>
                <w:rFonts w:ascii="Arial" w:hAnsi="宋体" w:cs="Arial"/>
                <w:szCs w:val="21"/>
              </w:rPr>
              <w:t>年</w:t>
            </w:r>
            <w:r>
              <w:rPr>
                <w:rFonts w:ascii="Arial" w:hAnsi="Arial" w:cs="Arial"/>
                <w:szCs w:val="21"/>
              </w:rPr>
              <w:t>10</w:t>
            </w:r>
            <w:r>
              <w:rPr>
                <w:rFonts w:ascii="Arial" w:hAnsi="宋体" w:cs="Arial"/>
                <w:szCs w:val="21"/>
              </w:rPr>
              <w:t>月</w:t>
            </w:r>
            <w:r>
              <w:rPr>
                <w:rFonts w:ascii="Arial" w:hAnsi="Arial" w:cs="Arial"/>
                <w:szCs w:val="21"/>
              </w:rPr>
              <w:t>28</w:t>
            </w:r>
            <w:r>
              <w:rPr>
                <w:rFonts w:ascii="Arial" w:hAnsi="宋体" w:cs="Arial"/>
                <w:szCs w:val="21"/>
              </w:rPr>
              <w:t>日经第十届全国人民代表大会常务委员会第五次会议通过的自</w:t>
            </w:r>
            <w:r>
              <w:rPr>
                <w:rFonts w:ascii="Arial" w:hAnsi="Arial" w:cs="Arial"/>
                <w:szCs w:val="21"/>
              </w:rPr>
              <w:t>2004</w:t>
            </w:r>
            <w:r>
              <w:rPr>
                <w:rFonts w:ascii="Arial" w:hAnsi="宋体" w:cs="Arial"/>
                <w:szCs w:val="21"/>
              </w:rPr>
              <w:t>年</w:t>
            </w:r>
            <w:r>
              <w:rPr>
                <w:rFonts w:ascii="Arial" w:hAnsi="Arial" w:cs="Arial"/>
                <w:szCs w:val="21"/>
              </w:rPr>
              <w:t>6</w:t>
            </w:r>
            <w:r>
              <w:rPr>
                <w:rFonts w:ascii="Arial" w:hAnsi="宋体" w:cs="Arial"/>
                <w:szCs w:val="21"/>
              </w:rPr>
              <w:t>月</w:t>
            </w:r>
            <w:r>
              <w:rPr>
                <w:rFonts w:ascii="Arial" w:hAnsi="Arial" w:cs="Arial"/>
                <w:szCs w:val="21"/>
              </w:rPr>
              <w:t>1</w:t>
            </w:r>
            <w:r>
              <w:rPr>
                <w:rFonts w:ascii="Arial" w:hAnsi="宋体" w:cs="Arial"/>
                <w:szCs w:val="21"/>
              </w:rPr>
              <w:t>日起实施的《中华人民共和国证券投资基金法》及不时做出的修订；</w:t>
            </w:r>
            <w:r>
              <w:rPr>
                <w:rFonts w:ascii="Arial" w:hAnsi="Arial" w:cs="Arial"/>
                <w:kern w:val="0"/>
                <w:szCs w:val="21"/>
              </w:rPr>
              <w:t xml:space="preserve"> </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szCs w:val="21"/>
              </w:rPr>
              <w:t>《销售办法》：</w:t>
            </w:r>
          </w:p>
        </w:tc>
        <w:tc>
          <w:tcPr>
            <w:tcW w:w="5714" w:type="dxa"/>
          </w:tcPr>
          <w:p w:rsidR="0057376A" w:rsidRDefault="00117DFA">
            <w:pPr>
              <w:snapToGrid w:val="0"/>
              <w:spacing w:line="360" w:lineRule="auto"/>
              <w:rPr>
                <w:rFonts w:ascii="Arial" w:hAnsi="Arial" w:cs="Arial"/>
                <w:kern w:val="0"/>
                <w:szCs w:val="21"/>
              </w:rPr>
            </w:pPr>
            <w:r>
              <w:rPr>
                <w:rFonts w:ascii="Arial" w:hAnsi="宋体" w:cs="Arial"/>
                <w:szCs w:val="21"/>
              </w:rPr>
              <w:t>指</w:t>
            </w:r>
            <w:r>
              <w:rPr>
                <w:rFonts w:ascii="Arial" w:hAnsi="Arial" w:cs="Arial"/>
                <w:szCs w:val="21"/>
              </w:rPr>
              <w:t>2004</w:t>
            </w:r>
            <w:r>
              <w:rPr>
                <w:rFonts w:ascii="Arial" w:hAnsi="宋体" w:cs="Arial"/>
                <w:szCs w:val="21"/>
              </w:rPr>
              <w:t>年</w:t>
            </w:r>
            <w:r>
              <w:rPr>
                <w:rFonts w:ascii="Arial" w:hAnsi="Arial" w:cs="Arial"/>
                <w:szCs w:val="21"/>
              </w:rPr>
              <w:t>6</w:t>
            </w:r>
            <w:r>
              <w:rPr>
                <w:rFonts w:ascii="Arial" w:hAnsi="宋体" w:cs="Arial"/>
                <w:szCs w:val="21"/>
              </w:rPr>
              <w:t>月</w:t>
            </w:r>
            <w:r>
              <w:rPr>
                <w:rFonts w:ascii="Arial" w:hAnsi="Arial" w:cs="Arial"/>
                <w:szCs w:val="21"/>
              </w:rPr>
              <w:t>25</w:t>
            </w:r>
            <w:r>
              <w:rPr>
                <w:rFonts w:ascii="Arial" w:hAnsi="宋体" w:cs="Arial"/>
                <w:szCs w:val="21"/>
              </w:rPr>
              <w:t>日由中国证监会公布并于</w:t>
            </w:r>
            <w:r>
              <w:rPr>
                <w:rFonts w:ascii="Arial" w:hAnsi="Arial" w:cs="Arial"/>
                <w:szCs w:val="21"/>
              </w:rPr>
              <w:t>2004</w:t>
            </w:r>
            <w:r>
              <w:rPr>
                <w:rFonts w:ascii="Arial" w:hAnsi="宋体" w:cs="Arial"/>
                <w:szCs w:val="21"/>
              </w:rPr>
              <w:t>年</w:t>
            </w:r>
            <w:r>
              <w:rPr>
                <w:rFonts w:ascii="Arial" w:hAnsi="Arial" w:cs="Arial"/>
                <w:szCs w:val="21"/>
              </w:rPr>
              <w:t>7</w:t>
            </w:r>
            <w:r>
              <w:rPr>
                <w:rFonts w:ascii="Arial" w:hAnsi="宋体" w:cs="Arial"/>
                <w:szCs w:val="21"/>
              </w:rPr>
              <w:t>月</w:t>
            </w:r>
            <w:r>
              <w:rPr>
                <w:rFonts w:ascii="Arial" w:hAnsi="Arial" w:cs="Arial"/>
                <w:szCs w:val="21"/>
              </w:rPr>
              <w:t>1</w:t>
            </w:r>
            <w:r>
              <w:rPr>
                <w:rFonts w:ascii="Arial" w:hAnsi="宋体" w:cs="Arial"/>
                <w:szCs w:val="21"/>
              </w:rPr>
              <w:t>日起实施的《证券投资基金销售管理办法》及不时做出的修订；</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szCs w:val="21"/>
              </w:rPr>
              <w:t>《运作办法》：</w:t>
            </w:r>
          </w:p>
        </w:tc>
        <w:tc>
          <w:tcPr>
            <w:tcW w:w="5714" w:type="dxa"/>
          </w:tcPr>
          <w:p w:rsidR="0057376A" w:rsidRDefault="00117DFA">
            <w:pPr>
              <w:snapToGrid w:val="0"/>
              <w:spacing w:line="360" w:lineRule="auto"/>
              <w:rPr>
                <w:rFonts w:ascii="Arial" w:hAnsi="Arial" w:cs="Arial"/>
                <w:kern w:val="0"/>
                <w:szCs w:val="21"/>
              </w:rPr>
            </w:pPr>
            <w:r>
              <w:rPr>
                <w:rFonts w:ascii="Arial" w:hAnsi="宋体" w:cs="Arial"/>
                <w:szCs w:val="21"/>
              </w:rPr>
              <w:t>指</w:t>
            </w:r>
            <w:r>
              <w:rPr>
                <w:rFonts w:ascii="Arial" w:hAnsi="Arial" w:cs="Arial"/>
                <w:szCs w:val="21"/>
              </w:rPr>
              <w:t>2004</w:t>
            </w:r>
            <w:r>
              <w:rPr>
                <w:rFonts w:ascii="Arial" w:hAnsi="宋体" w:cs="Arial"/>
                <w:szCs w:val="21"/>
              </w:rPr>
              <w:t>年</w:t>
            </w:r>
            <w:r>
              <w:rPr>
                <w:rFonts w:ascii="Arial" w:hAnsi="Arial" w:cs="Arial"/>
                <w:szCs w:val="21"/>
              </w:rPr>
              <w:t>6</w:t>
            </w:r>
            <w:r>
              <w:rPr>
                <w:rFonts w:ascii="Arial" w:hAnsi="宋体" w:cs="Arial"/>
                <w:szCs w:val="21"/>
              </w:rPr>
              <w:t>月</w:t>
            </w:r>
            <w:r>
              <w:rPr>
                <w:rFonts w:ascii="Arial" w:hAnsi="Arial" w:cs="Arial"/>
                <w:szCs w:val="21"/>
              </w:rPr>
              <w:t>29</w:t>
            </w:r>
            <w:r>
              <w:rPr>
                <w:rFonts w:ascii="Arial" w:hAnsi="宋体" w:cs="Arial"/>
                <w:szCs w:val="21"/>
              </w:rPr>
              <w:t>日由中国证监会公布并于</w:t>
            </w:r>
            <w:r>
              <w:rPr>
                <w:rFonts w:ascii="Arial" w:hAnsi="Arial" w:cs="Arial"/>
                <w:szCs w:val="21"/>
              </w:rPr>
              <w:t>2004</w:t>
            </w:r>
            <w:r>
              <w:rPr>
                <w:rFonts w:ascii="Arial" w:hAnsi="宋体" w:cs="Arial"/>
                <w:szCs w:val="21"/>
              </w:rPr>
              <w:t>年</w:t>
            </w:r>
            <w:r>
              <w:rPr>
                <w:rFonts w:ascii="Arial" w:hAnsi="Arial" w:cs="Arial"/>
                <w:szCs w:val="21"/>
              </w:rPr>
              <w:t>7</w:t>
            </w:r>
            <w:r>
              <w:rPr>
                <w:rFonts w:ascii="Arial" w:hAnsi="宋体" w:cs="Arial"/>
                <w:szCs w:val="21"/>
              </w:rPr>
              <w:t>月</w:t>
            </w:r>
            <w:r>
              <w:rPr>
                <w:rFonts w:ascii="Arial" w:hAnsi="Arial" w:cs="Arial"/>
                <w:szCs w:val="21"/>
              </w:rPr>
              <w:t>1</w:t>
            </w:r>
            <w:r>
              <w:rPr>
                <w:rFonts w:ascii="Arial" w:hAnsi="宋体" w:cs="Arial"/>
                <w:szCs w:val="21"/>
              </w:rPr>
              <w:t>日起实施的《证券投资基金运作管理办法》及不时做出的修订；</w:t>
            </w:r>
          </w:p>
        </w:tc>
      </w:tr>
      <w:tr w:rsidR="0057376A">
        <w:tc>
          <w:tcPr>
            <w:tcW w:w="2700" w:type="dxa"/>
          </w:tcPr>
          <w:p w:rsidR="0057376A" w:rsidRDefault="00117DFA">
            <w:pPr>
              <w:snapToGrid w:val="0"/>
              <w:spacing w:line="360" w:lineRule="auto"/>
              <w:rPr>
                <w:rFonts w:ascii="Arial" w:hAnsi="Arial" w:cs="Arial"/>
                <w:szCs w:val="21"/>
              </w:rPr>
            </w:pPr>
            <w:r>
              <w:rPr>
                <w:rFonts w:ascii="Arial" w:hAnsi="宋体" w:cs="Arial"/>
                <w:szCs w:val="21"/>
              </w:rPr>
              <w:t>《信息披露办法》：</w:t>
            </w:r>
          </w:p>
        </w:tc>
        <w:tc>
          <w:tcPr>
            <w:tcW w:w="5714" w:type="dxa"/>
          </w:tcPr>
          <w:p w:rsidR="0057376A" w:rsidRDefault="00117DFA">
            <w:pPr>
              <w:snapToGrid w:val="0"/>
              <w:spacing w:line="360" w:lineRule="auto"/>
              <w:rPr>
                <w:rFonts w:ascii="Arial" w:hAnsi="Arial" w:cs="Arial"/>
                <w:szCs w:val="21"/>
              </w:rPr>
            </w:pPr>
            <w:r>
              <w:rPr>
                <w:rFonts w:ascii="Arial" w:hAnsi="宋体" w:cs="Arial"/>
                <w:color w:val="000000"/>
                <w:szCs w:val="21"/>
              </w:rPr>
              <w:t>指中国证监会</w:t>
            </w:r>
            <w:r>
              <w:rPr>
                <w:rFonts w:ascii="Arial" w:hAnsi="Arial" w:cs="Arial"/>
                <w:color w:val="000000"/>
                <w:szCs w:val="21"/>
              </w:rPr>
              <w:t>2019</w:t>
            </w:r>
            <w:r>
              <w:rPr>
                <w:rFonts w:ascii="Arial" w:hAnsi="Arial" w:cs="Arial"/>
                <w:color w:val="000000"/>
                <w:szCs w:val="21"/>
              </w:rPr>
              <w:t>年</w:t>
            </w:r>
            <w:r>
              <w:rPr>
                <w:rFonts w:ascii="Arial" w:hAnsi="Arial" w:cs="Arial"/>
                <w:color w:val="000000"/>
                <w:szCs w:val="21"/>
              </w:rPr>
              <w:t>7</w:t>
            </w:r>
            <w:r>
              <w:rPr>
                <w:rFonts w:ascii="Arial" w:hAnsi="Arial" w:cs="Arial"/>
                <w:color w:val="000000"/>
                <w:szCs w:val="21"/>
              </w:rPr>
              <w:t>月</w:t>
            </w:r>
            <w:r>
              <w:rPr>
                <w:rFonts w:ascii="Arial" w:hAnsi="Arial" w:cs="Arial"/>
                <w:color w:val="000000"/>
                <w:szCs w:val="21"/>
              </w:rPr>
              <w:t>26</w:t>
            </w:r>
            <w:r>
              <w:rPr>
                <w:rFonts w:ascii="Arial" w:hAnsi="Arial" w:cs="Arial"/>
                <w:color w:val="000000"/>
                <w:szCs w:val="21"/>
              </w:rPr>
              <w:t>日</w:t>
            </w:r>
            <w:r w:rsidRPr="00EE196A">
              <w:rPr>
                <w:rFonts w:ascii="Arial" w:hAnsi="Arial"/>
                <w:color w:val="000000"/>
              </w:rPr>
              <w:t>颁布</w:t>
            </w:r>
            <w:r>
              <w:rPr>
                <w:rFonts w:ascii="Arial" w:hAnsi="宋体" w:cs="Arial"/>
                <w:color w:val="000000"/>
                <w:szCs w:val="21"/>
              </w:rPr>
              <w:t>并于</w:t>
            </w:r>
            <w:r>
              <w:rPr>
                <w:rFonts w:ascii="Arial" w:hAnsi="Arial" w:cs="Arial"/>
                <w:color w:val="000000"/>
                <w:szCs w:val="21"/>
              </w:rPr>
              <w:t>2019</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1</w:t>
            </w:r>
            <w:r>
              <w:rPr>
                <w:rFonts w:ascii="Arial" w:hAnsi="宋体" w:cs="Arial"/>
                <w:color w:val="000000"/>
                <w:szCs w:val="21"/>
              </w:rPr>
              <w:t>日实施的《公开募集证券投资基金信息披露管理办法》</w:t>
            </w:r>
            <w:r>
              <w:rPr>
                <w:rFonts w:ascii="Arial" w:hAnsi="宋体" w:cs="Arial"/>
                <w:szCs w:val="21"/>
              </w:rPr>
              <w:t>及不时</w:t>
            </w:r>
            <w:proofErr w:type="gramStart"/>
            <w:r>
              <w:rPr>
                <w:rFonts w:ascii="Arial" w:hAnsi="宋体" w:cs="Arial"/>
                <w:szCs w:val="21"/>
              </w:rPr>
              <w:t>作出</w:t>
            </w:r>
            <w:proofErr w:type="gramEnd"/>
            <w:r>
              <w:rPr>
                <w:rFonts w:ascii="Arial" w:hAnsi="宋体" w:cs="Arial"/>
                <w:szCs w:val="21"/>
              </w:rPr>
              <w:t>的修订</w:t>
            </w:r>
            <w:r>
              <w:rPr>
                <w:rFonts w:ascii="Arial" w:hAnsi="宋体" w:cs="Arial"/>
                <w:color w:val="000000"/>
                <w:szCs w:val="21"/>
              </w:rPr>
              <w:t>；</w:t>
            </w:r>
          </w:p>
        </w:tc>
      </w:tr>
    </w:tbl>
    <w:p w:rsidR="0057376A" w:rsidRDefault="0057376A">
      <w:pPr>
        <w:rPr>
          <w:vanish/>
        </w:rPr>
      </w:pPr>
    </w:p>
    <w:tbl>
      <w:tblPr>
        <w:tblW w:w="8414" w:type="dxa"/>
        <w:tblLayout w:type="fixed"/>
        <w:tblLook w:val="04A0" w:firstRow="1" w:lastRow="0" w:firstColumn="1" w:lastColumn="0" w:noHBand="0" w:noVBand="1"/>
      </w:tblPr>
      <w:tblGrid>
        <w:gridCol w:w="2700"/>
        <w:gridCol w:w="5714"/>
      </w:tblGrid>
      <w:tr w:rsidR="0057376A">
        <w:tc>
          <w:tcPr>
            <w:tcW w:w="2700" w:type="dxa"/>
            <w:shd w:val="clear" w:color="auto" w:fill="auto"/>
          </w:tcPr>
          <w:p w:rsidR="0057376A" w:rsidRDefault="00117DFA">
            <w:pPr>
              <w:snapToGrid w:val="0"/>
              <w:spacing w:line="360" w:lineRule="auto"/>
              <w:rPr>
                <w:rFonts w:ascii="Arial" w:hAnsi="宋体" w:cs="Arial"/>
                <w:szCs w:val="21"/>
              </w:rPr>
            </w:pPr>
            <w:r>
              <w:rPr>
                <w:rFonts w:ascii="Arial" w:hAnsi="宋体" w:cs="Arial" w:hint="eastAsia"/>
                <w:szCs w:val="21"/>
              </w:rPr>
              <w:t>《流动性风险管理规定》：</w:t>
            </w:r>
          </w:p>
        </w:tc>
        <w:tc>
          <w:tcPr>
            <w:tcW w:w="5714" w:type="dxa"/>
            <w:shd w:val="clear" w:color="auto" w:fill="auto"/>
          </w:tcPr>
          <w:p w:rsidR="0057376A" w:rsidRDefault="00117DFA">
            <w:pPr>
              <w:snapToGrid w:val="0"/>
              <w:spacing w:line="360" w:lineRule="auto"/>
              <w:rPr>
                <w:rFonts w:ascii="Arial" w:hAnsi="宋体" w:cs="Arial"/>
                <w:color w:val="000000"/>
                <w:szCs w:val="21"/>
              </w:rPr>
            </w:pPr>
            <w:r>
              <w:rPr>
                <w:rFonts w:ascii="Arial" w:hAnsi="宋体" w:cs="Arial" w:hint="eastAsia"/>
                <w:color w:val="000000"/>
                <w:szCs w:val="21"/>
              </w:rPr>
              <w:t>指中国证监会</w:t>
            </w:r>
            <w:r>
              <w:rPr>
                <w:rFonts w:ascii="Arial" w:hAnsi="宋体" w:cs="Arial" w:hint="eastAsia"/>
                <w:color w:val="000000"/>
                <w:szCs w:val="21"/>
              </w:rPr>
              <w:t>2017</w:t>
            </w:r>
            <w:r>
              <w:rPr>
                <w:rFonts w:ascii="Arial" w:hAnsi="宋体" w:cs="Arial" w:hint="eastAsia"/>
                <w:color w:val="000000"/>
                <w:szCs w:val="21"/>
              </w:rPr>
              <w:t>年</w:t>
            </w:r>
            <w:r>
              <w:rPr>
                <w:rFonts w:ascii="Arial" w:hAnsi="宋体" w:cs="Arial" w:hint="eastAsia"/>
                <w:color w:val="000000"/>
                <w:szCs w:val="21"/>
              </w:rPr>
              <w:t>8</w:t>
            </w:r>
            <w:r>
              <w:rPr>
                <w:rFonts w:ascii="Arial" w:hAnsi="宋体" w:cs="Arial" w:hint="eastAsia"/>
                <w:color w:val="000000"/>
                <w:szCs w:val="21"/>
              </w:rPr>
              <w:t>月</w:t>
            </w:r>
            <w:r>
              <w:rPr>
                <w:rFonts w:ascii="Arial" w:hAnsi="宋体" w:cs="Arial" w:hint="eastAsia"/>
                <w:color w:val="000000"/>
                <w:szCs w:val="21"/>
              </w:rPr>
              <w:t>31</w:t>
            </w:r>
            <w:r>
              <w:rPr>
                <w:rFonts w:ascii="Arial" w:hAnsi="宋体" w:cs="Arial" w:hint="eastAsia"/>
                <w:color w:val="000000"/>
                <w:szCs w:val="21"/>
              </w:rPr>
              <w:t>日颁布、同年</w:t>
            </w:r>
            <w:r>
              <w:rPr>
                <w:rFonts w:ascii="Arial" w:hAnsi="宋体" w:cs="Arial" w:hint="eastAsia"/>
                <w:color w:val="000000"/>
                <w:szCs w:val="21"/>
              </w:rPr>
              <w:t>10</w:t>
            </w:r>
            <w:r>
              <w:rPr>
                <w:rFonts w:ascii="Arial" w:hAnsi="宋体" w:cs="Arial" w:hint="eastAsia"/>
                <w:color w:val="000000"/>
                <w:szCs w:val="21"/>
              </w:rPr>
              <w:t>月</w:t>
            </w:r>
            <w:r>
              <w:rPr>
                <w:rFonts w:ascii="Arial" w:hAnsi="宋体" w:cs="Arial" w:hint="eastAsia"/>
                <w:color w:val="000000"/>
                <w:szCs w:val="21"/>
              </w:rPr>
              <w:t>1</w:t>
            </w:r>
            <w:r>
              <w:rPr>
                <w:rFonts w:ascii="Arial" w:hAnsi="宋体" w:cs="Arial" w:hint="eastAsia"/>
                <w:color w:val="000000"/>
                <w:szCs w:val="21"/>
              </w:rPr>
              <w:t>日实施的《公开募集开放式证券投资基金流动性风险管理规定》及颁布机关对其不时做出的修订；</w:t>
            </w:r>
          </w:p>
        </w:tc>
      </w:tr>
    </w:tbl>
    <w:p w:rsidR="0057376A" w:rsidRDefault="0057376A">
      <w:pPr>
        <w:rPr>
          <w:vanish/>
        </w:rPr>
      </w:pPr>
    </w:p>
    <w:tbl>
      <w:tblPr>
        <w:tblW w:w="8414" w:type="dxa"/>
        <w:tblLayout w:type="fixed"/>
        <w:tblLook w:val="04A0" w:firstRow="1" w:lastRow="0" w:firstColumn="1" w:lastColumn="0" w:noHBand="0" w:noVBand="1"/>
      </w:tblPr>
      <w:tblGrid>
        <w:gridCol w:w="2700"/>
        <w:gridCol w:w="5714"/>
      </w:tblGrid>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元：</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指人民币元；</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lastRenderedPageBreak/>
              <w:t>基金管理人：</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指博时基金管理有限公司；</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基金托管人：</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指中国银行股份有限公司；</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注册登记业务：</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指本基金登记、存管、清算和交收业务，具体内容包括投资者基金账户管理、基金份额注册登记、清算及基金交易确认、发放红利、建立并保管基金份额持有人名册等；</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注册登记机构：</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指办理本基金注册登记业务的机构。本基金的注册登记机构为博时基金管理有限公司或接受博时基金管理有限公司委托代为办理本基金注册登记业务的机构；</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szCs w:val="21"/>
              </w:rPr>
              <w:t>《基金合同》当事人</w:t>
            </w:r>
            <w:r>
              <w:rPr>
                <w:rFonts w:ascii="Arial" w:hAnsi="宋体" w:cs="Arial" w:hint="eastAsia"/>
                <w:kern w:val="0"/>
                <w:szCs w:val="21"/>
              </w:rPr>
              <w:t>：</w:t>
            </w:r>
          </w:p>
        </w:tc>
        <w:tc>
          <w:tcPr>
            <w:tcW w:w="5714" w:type="dxa"/>
          </w:tcPr>
          <w:p w:rsidR="0057376A" w:rsidRDefault="00117DFA">
            <w:pPr>
              <w:snapToGrid w:val="0"/>
              <w:spacing w:line="360" w:lineRule="auto"/>
              <w:rPr>
                <w:rFonts w:ascii="Arial" w:hAnsi="Arial" w:cs="Arial"/>
                <w:kern w:val="0"/>
                <w:szCs w:val="21"/>
              </w:rPr>
            </w:pPr>
            <w:r>
              <w:rPr>
                <w:rFonts w:ascii="Arial" w:hAnsi="宋体" w:cs="Arial"/>
                <w:szCs w:val="21"/>
              </w:rPr>
              <w:t>指受《基金合同》约束，根据《基金合同》享受权利并承担义务的法律主体，包括基金管理人、基金托管人和基金份额持有人；</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投资者：</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指个人投资者、机构投资者、合格境外机构投资者和法律法规或中国证监会允许购买证券投资基金的其他投资者；</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个人投资者：</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指依据中华人民共和国有关法律法规可以投资于证券投资基金的自然人；</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机构投资者：</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指在中国境内合法注册登记或经有权政府部门批准设立和有效存续并依法可以投资于证券投资基金的企业法人、事业法人、社会团体或其他组织；</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合格境外机构投资者：</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指符合《合格境外机构投资者境内证券投资管理办法》及相关法律法规规定可以投资于在中国境内依法募集的证券投资基金的中国境外的机构投资者；</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rPr>
              <w:t>基金份额持有人</w:t>
            </w:r>
            <w:r>
              <w:rPr>
                <w:rFonts w:ascii="Arial" w:hAnsi="宋体" w:cs="Arial" w:hint="eastAsia"/>
                <w:kern w:val="0"/>
                <w:szCs w:val="21"/>
              </w:rPr>
              <w:t>：</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指依招募说明书和基金合同合法取得本基金基金份额的投资者；</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基金份额持有人大会：</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指按照本基金合同第九部分之规定召集、召开并由基金份额持有人或其合法的代理人进行表决的会议；</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基金募集期：</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指经中国证监会核准的基金份额募集期限，自基金份额发售之日起最长不超过</w:t>
            </w:r>
            <w:r>
              <w:rPr>
                <w:rFonts w:ascii="Arial" w:hAnsi="Arial" w:cs="Arial"/>
                <w:kern w:val="0"/>
                <w:szCs w:val="21"/>
              </w:rPr>
              <w:t>3</w:t>
            </w:r>
            <w:r>
              <w:rPr>
                <w:rFonts w:ascii="Arial" w:hAnsi="宋体" w:cs="Arial"/>
                <w:kern w:val="0"/>
                <w:szCs w:val="21"/>
              </w:rPr>
              <w:t>个月；</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基金合同生效日：</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指募集结束，</w:t>
            </w:r>
            <w:r>
              <w:rPr>
                <w:rFonts w:ascii="Arial" w:hAnsi="宋体" w:cs="Arial"/>
                <w:szCs w:val="21"/>
              </w:rPr>
              <w:t>基金募集的基金份额总额、募集金额和基金份额持有人人数符合相关法律法规和基金合同规定的</w:t>
            </w:r>
            <w:r>
              <w:rPr>
                <w:rFonts w:ascii="Arial" w:hAnsi="宋体" w:cs="Arial"/>
                <w:kern w:val="0"/>
                <w:szCs w:val="21"/>
              </w:rPr>
              <w:t>，基金管理人依据《基金法》向中国证监会办理备案手续后，</w:t>
            </w:r>
            <w:r>
              <w:rPr>
                <w:rFonts w:ascii="Arial" w:hAnsi="宋体" w:cs="Arial" w:hint="eastAsia"/>
                <w:kern w:val="0"/>
                <w:szCs w:val="21"/>
              </w:rPr>
              <w:t>获得</w:t>
            </w:r>
            <w:r>
              <w:rPr>
                <w:rFonts w:ascii="Arial" w:hAnsi="宋体" w:cs="Arial"/>
                <w:kern w:val="0"/>
                <w:szCs w:val="21"/>
              </w:rPr>
              <w:t>中国证监会的书面确认之日；</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存续期：</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指本基金合同生效至终止之间的不定期期限；</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rPr>
              <w:t>日</w:t>
            </w:r>
            <w:r>
              <w:rPr>
                <w:rFonts w:ascii="Arial" w:hAnsi="Arial" w:cs="Arial"/>
              </w:rPr>
              <w:t>/</w:t>
            </w:r>
            <w:r>
              <w:rPr>
                <w:rFonts w:ascii="Arial" w:hAnsi="宋体" w:cs="Arial"/>
              </w:rPr>
              <w:t>天</w:t>
            </w:r>
            <w:r>
              <w:rPr>
                <w:rFonts w:ascii="Arial" w:hAnsi="宋体" w:cs="Arial" w:hint="eastAsia"/>
                <w:kern w:val="0"/>
                <w:szCs w:val="21"/>
              </w:rPr>
              <w:t>：</w:t>
            </w:r>
          </w:p>
        </w:tc>
        <w:tc>
          <w:tcPr>
            <w:tcW w:w="5714" w:type="dxa"/>
          </w:tcPr>
          <w:p w:rsidR="0057376A" w:rsidRDefault="00117DFA">
            <w:pPr>
              <w:snapToGrid w:val="0"/>
              <w:spacing w:line="360" w:lineRule="auto"/>
              <w:rPr>
                <w:rFonts w:ascii="Arial" w:hAnsi="Arial" w:cs="Arial"/>
                <w:kern w:val="0"/>
                <w:szCs w:val="21"/>
              </w:rPr>
            </w:pPr>
            <w:r>
              <w:rPr>
                <w:rFonts w:ascii="Arial" w:hAnsi="宋体" w:cs="Arial"/>
              </w:rPr>
              <w:t>指公历日；</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rPr>
              <w:t>月</w:t>
            </w:r>
            <w:r>
              <w:rPr>
                <w:rFonts w:ascii="Arial" w:hAnsi="宋体" w:cs="Arial" w:hint="eastAsia"/>
                <w:kern w:val="0"/>
                <w:szCs w:val="21"/>
              </w:rPr>
              <w:t>：</w:t>
            </w:r>
          </w:p>
        </w:tc>
        <w:tc>
          <w:tcPr>
            <w:tcW w:w="5714" w:type="dxa"/>
          </w:tcPr>
          <w:p w:rsidR="0057376A" w:rsidRDefault="00117DFA">
            <w:pPr>
              <w:snapToGrid w:val="0"/>
              <w:spacing w:line="360" w:lineRule="auto"/>
              <w:rPr>
                <w:rFonts w:ascii="Arial" w:hAnsi="Arial" w:cs="Arial"/>
                <w:kern w:val="0"/>
                <w:szCs w:val="21"/>
              </w:rPr>
            </w:pPr>
            <w:r>
              <w:rPr>
                <w:rFonts w:ascii="Arial" w:hAnsi="宋体" w:cs="Arial"/>
              </w:rPr>
              <w:t>指公历月；</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lastRenderedPageBreak/>
              <w:t>工作日：</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指上海证券交易所和深圳证券交易所的正常交易日；</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认购：</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指在基金募集期内，投资者按照本基金合同的规定申请购买本基金基金份额的行为；</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申购：</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指在本基金合同生效后的存续期间，投资者申请购买本基金基金份额的行为；</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赎回：</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指在本基金合同生效后的存续期间，基金份额持有人</w:t>
            </w:r>
            <w:r>
              <w:rPr>
                <w:rFonts w:ascii="Arial" w:hAnsi="宋体" w:cs="Arial"/>
                <w:color w:val="000000"/>
                <w:szCs w:val="21"/>
              </w:rPr>
              <w:t>按基金合同规定的条件要求基金管理人购回</w:t>
            </w:r>
            <w:r>
              <w:rPr>
                <w:rFonts w:ascii="Arial" w:hAnsi="宋体" w:cs="Arial"/>
                <w:kern w:val="0"/>
                <w:szCs w:val="21"/>
              </w:rPr>
              <w:t>本基金基金份额的行为；</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基金转换：</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指基金份额持有人按基金管理人规定的条件，申请将其持有的基金管理人管理的某一基金的基金份额转换为基金管理人管理的、且在同一基金注册登记机构办理注册登记的其他基金的基金份额的行为；</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转托管：</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指基金份额持有人将其基金账户内的某一基金的基金份额从一个销售机构托管到另一销售机构的行为；</w:t>
            </w:r>
            <w:r>
              <w:rPr>
                <w:rFonts w:ascii="Arial" w:hAnsi="Arial" w:cs="Arial"/>
                <w:kern w:val="0"/>
                <w:szCs w:val="21"/>
              </w:rPr>
              <w:t xml:space="preserve"> </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指令：</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指基金管理人在运用基金财产进行投资时，向基金托管人发出的资金划拨及实物券调拨等指令；</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代销机构：</w:t>
            </w:r>
          </w:p>
        </w:tc>
        <w:tc>
          <w:tcPr>
            <w:tcW w:w="5714" w:type="dxa"/>
          </w:tcPr>
          <w:p w:rsidR="0057376A" w:rsidRDefault="00117DFA">
            <w:pPr>
              <w:snapToGrid w:val="0"/>
              <w:spacing w:line="360" w:lineRule="auto"/>
              <w:rPr>
                <w:rFonts w:ascii="Arial" w:hAnsi="Arial" w:cs="Arial"/>
                <w:kern w:val="0"/>
                <w:szCs w:val="21"/>
              </w:rPr>
            </w:pPr>
            <w:r>
              <w:rPr>
                <w:rFonts w:ascii="Arial" w:hAnsi="宋体" w:cs="Arial"/>
                <w:szCs w:val="21"/>
              </w:rPr>
              <w:t>指符合《销售办法》和中国证监会规定的其他条件，取得基金代销业务资格并接受基金管理人委托，代为办理</w:t>
            </w:r>
            <w:r>
              <w:rPr>
                <w:rFonts w:ascii="Arial" w:hAnsi="宋体" w:cs="Arial"/>
                <w:kern w:val="0"/>
                <w:szCs w:val="21"/>
              </w:rPr>
              <w:t>基金认购、申购、赎回和其他</w:t>
            </w:r>
            <w:r>
              <w:rPr>
                <w:rFonts w:ascii="Arial" w:hAnsi="宋体" w:cs="Arial"/>
                <w:szCs w:val="21"/>
              </w:rPr>
              <w:t>基金业务的机构</w:t>
            </w:r>
            <w:r>
              <w:rPr>
                <w:rFonts w:ascii="Arial" w:hAnsi="宋体" w:cs="Arial"/>
                <w:kern w:val="0"/>
                <w:szCs w:val="21"/>
              </w:rPr>
              <w:t>；</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销售机构：</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指基金管理人及本基金代销机构；</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基金销售网点：</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指基金管理人的直销中心及基金代销机构的代销网点；</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指定媒介：</w:t>
            </w:r>
          </w:p>
        </w:tc>
        <w:tc>
          <w:tcPr>
            <w:tcW w:w="5714" w:type="dxa"/>
          </w:tcPr>
          <w:p w:rsidR="0057376A" w:rsidRDefault="00117DFA">
            <w:pPr>
              <w:snapToGrid w:val="0"/>
              <w:spacing w:line="360" w:lineRule="auto"/>
              <w:rPr>
                <w:rFonts w:ascii="Arial" w:hAnsi="Arial" w:cs="Arial"/>
                <w:kern w:val="0"/>
                <w:szCs w:val="21"/>
              </w:rPr>
            </w:pPr>
            <w:r>
              <w:rPr>
                <w:rFonts w:ascii="Arial" w:hAnsi="宋体" w:cs="Arial" w:hint="eastAsia"/>
                <w:kern w:val="0"/>
                <w:szCs w:val="21"/>
              </w:rPr>
              <w:t>指中国证监会指定的用以进行信息披露的全国性报刊及指定互联网网站（包括基金管理人网站、基金托管人网站、中国证监会基金电子披露网站）等媒介</w:t>
            </w:r>
            <w:r>
              <w:rPr>
                <w:rFonts w:ascii="Arial" w:hAnsi="宋体" w:cs="Arial"/>
                <w:kern w:val="0"/>
                <w:szCs w:val="21"/>
              </w:rPr>
              <w:t>；</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基金账户：</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指注册登记机构为基金投资者开立的记录其持有的由该注册登记机构办理注册登记的基金份额余额及其变动情况的账户；</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交易账户：</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指销售机构为投资者开立的记录投资者通过该销售机构办理认购、申购、赎回、转换及转托管等业务而引起的基金份额的变动及结余情况的账户；</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开放日：</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指为投资者办理基金申购、赎回等业务的工作日；</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Arial" w:cs="Arial"/>
                <w:kern w:val="0"/>
                <w:szCs w:val="21"/>
              </w:rPr>
              <w:t xml:space="preserve">T </w:t>
            </w:r>
            <w:r>
              <w:rPr>
                <w:rFonts w:ascii="Arial" w:hAnsi="宋体" w:cs="Arial"/>
                <w:kern w:val="0"/>
                <w:szCs w:val="21"/>
              </w:rPr>
              <w:t>日：</w:t>
            </w:r>
          </w:p>
        </w:tc>
        <w:tc>
          <w:tcPr>
            <w:tcW w:w="5714" w:type="dxa"/>
          </w:tcPr>
          <w:p w:rsidR="0057376A" w:rsidRDefault="00117DFA">
            <w:pPr>
              <w:autoSpaceDE w:val="0"/>
              <w:autoSpaceDN w:val="0"/>
              <w:adjustRightInd w:val="0"/>
              <w:snapToGrid w:val="0"/>
              <w:spacing w:line="360" w:lineRule="auto"/>
              <w:jc w:val="left"/>
              <w:rPr>
                <w:rFonts w:ascii="Arial" w:hAnsi="Arial" w:cs="Arial"/>
                <w:color w:val="000000"/>
                <w:kern w:val="0"/>
                <w:szCs w:val="21"/>
                <w:lang w:val="zh-CN"/>
              </w:rPr>
            </w:pPr>
            <w:r>
              <w:rPr>
                <w:rFonts w:ascii="Arial" w:hAnsi="宋体" w:cs="Arial"/>
                <w:color w:val="000000"/>
                <w:kern w:val="0"/>
                <w:szCs w:val="21"/>
                <w:lang w:val="zh-CN"/>
              </w:rPr>
              <w:t>指投资者向销售机构提出申购、赎回或其他业务申请的开放日；</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Arial" w:cs="Arial"/>
                <w:kern w:val="0"/>
                <w:szCs w:val="21"/>
              </w:rPr>
              <w:t>T+n</w:t>
            </w:r>
            <w:r>
              <w:rPr>
                <w:rFonts w:ascii="Arial" w:hAnsi="宋体" w:cs="Arial"/>
                <w:kern w:val="0"/>
                <w:szCs w:val="21"/>
              </w:rPr>
              <w:t>日</w:t>
            </w:r>
            <w:r>
              <w:rPr>
                <w:rFonts w:ascii="Arial" w:hAnsi="宋体" w:cs="Arial"/>
                <w:szCs w:val="21"/>
              </w:rPr>
              <w:t>：</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w:t>
            </w:r>
            <w:r>
              <w:rPr>
                <w:rFonts w:ascii="Arial" w:hAnsi="Arial" w:cs="Arial"/>
                <w:kern w:val="0"/>
                <w:szCs w:val="21"/>
              </w:rPr>
              <w:t>T</w:t>
            </w:r>
            <w:r>
              <w:rPr>
                <w:rFonts w:ascii="Arial" w:hAnsi="宋体" w:cs="Arial"/>
                <w:kern w:val="0"/>
                <w:szCs w:val="21"/>
              </w:rPr>
              <w:t>日后（不包括</w:t>
            </w:r>
            <w:r>
              <w:rPr>
                <w:rFonts w:ascii="Arial" w:hAnsi="Arial" w:cs="Arial"/>
                <w:kern w:val="0"/>
                <w:szCs w:val="21"/>
              </w:rPr>
              <w:t>T</w:t>
            </w:r>
            <w:r>
              <w:rPr>
                <w:rFonts w:ascii="Arial" w:hAnsi="宋体" w:cs="Arial"/>
                <w:kern w:val="0"/>
                <w:szCs w:val="21"/>
              </w:rPr>
              <w:t>日）第</w:t>
            </w:r>
            <w:r>
              <w:rPr>
                <w:rFonts w:ascii="Arial" w:hAnsi="Arial" w:cs="Arial"/>
                <w:kern w:val="0"/>
                <w:szCs w:val="21"/>
              </w:rPr>
              <w:t>n</w:t>
            </w:r>
            <w:r>
              <w:rPr>
                <w:rFonts w:ascii="Arial" w:hAnsi="宋体" w:cs="Arial"/>
                <w:kern w:val="0"/>
                <w:szCs w:val="21"/>
              </w:rPr>
              <w:t>个工作日，</w:t>
            </w:r>
            <w:r>
              <w:rPr>
                <w:rFonts w:ascii="Arial" w:hAnsi="Arial" w:cs="Arial"/>
                <w:kern w:val="0"/>
                <w:szCs w:val="21"/>
              </w:rPr>
              <w:t>n</w:t>
            </w:r>
            <w:r>
              <w:rPr>
                <w:rFonts w:ascii="Arial" w:hAnsi="宋体" w:cs="Arial"/>
                <w:kern w:val="0"/>
                <w:szCs w:val="21"/>
              </w:rPr>
              <w:t>指自然数；</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Arial" w:cs="Arial"/>
                <w:kern w:val="0"/>
                <w:szCs w:val="21"/>
              </w:rPr>
              <w:lastRenderedPageBreak/>
              <w:t>A</w:t>
            </w:r>
            <w:r>
              <w:rPr>
                <w:rFonts w:ascii="Arial" w:hAnsi="宋体" w:cs="Arial"/>
                <w:kern w:val="0"/>
                <w:szCs w:val="21"/>
              </w:rPr>
              <w:t>类基金份额：</w:t>
            </w:r>
          </w:p>
        </w:tc>
        <w:tc>
          <w:tcPr>
            <w:tcW w:w="5714" w:type="dxa"/>
          </w:tcPr>
          <w:p w:rsidR="0057376A" w:rsidRDefault="00117DFA">
            <w:pPr>
              <w:snapToGrid w:val="0"/>
              <w:spacing w:line="360" w:lineRule="auto"/>
              <w:rPr>
                <w:rFonts w:ascii="Arial" w:hAnsi="Arial" w:cs="Arial"/>
                <w:kern w:val="0"/>
                <w:szCs w:val="21"/>
              </w:rPr>
            </w:pPr>
            <w:r>
              <w:rPr>
                <w:rFonts w:ascii="Arial" w:hAnsi="宋体" w:cs="Arial"/>
              </w:rPr>
              <w:t>指在投资者认购、申购时收取前端认购、申购费用，在赎回时根据持有期限收取赎回费用的基金份额；</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Arial" w:cs="Arial"/>
                <w:kern w:val="0"/>
                <w:szCs w:val="21"/>
              </w:rPr>
              <w:t>B</w:t>
            </w:r>
            <w:r>
              <w:rPr>
                <w:rFonts w:ascii="Arial" w:hAnsi="宋体" w:cs="Arial"/>
                <w:kern w:val="0"/>
                <w:szCs w:val="21"/>
              </w:rPr>
              <w:t>类基金份额：</w:t>
            </w:r>
          </w:p>
        </w:tc>
        <w:tc>
          <w:tcPr>
            <w:tcW w:w="5714" w:type="dxa"/>
          </w:tcPr>
          <w:p w:rsidR="0057376A" w:rsidRDefault="00117DFA">
            <w:pPr>
              <w:snapToGrid w:val="0"/>
              <w:spacing w:line="360" w:lineRule="auto"/>
              <w:rPr>
                <w:rFonts w:ascii="Arial" w:hAnsi="Arial" w:cs="Arial"/>
              </w:rPr>
            </w:pPr>
            <w:r>
              <w:rPr>
                <w:rFonts w:ascii="Arial" w:hAnsi="宋体" w:cs="Arial"/>
              </w:rPr>
              <w:t>指在投资者赎回时收取后端认购</w:t>
            </w:r>
            <w:r>
              <w:rPr>
                <w:rFonts w:ascii="Arial" w:hAnsi="Arial" w:cs="Arial"/>
              </w:rPr>
              <w:t>/</w:t>
            </w:r>
            <w:r>
              <w:rPr>
                <w:rFonts w:ascii="Arial" w:hAnsi="宋体" w:cs="Arial"/>
              </w:rPr>
              <w:t>申购费用和赎回费用的基金份额；</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Arial" w:cs="Arial"/>
                <w:kern w:val="0"/>
                <w:szCs w:val="21"/>
              </w:rPr>
              <w:t>C</w:t>
            </w:r>
            <w:r>
              <w:rPr>
                <w:rFonts w:ascii="Arial" w:hAnsi="宋体" w:cs="Arial"/>
                <w:kern w:val="0"/>
                <w:szCs w:val="21"/>
              </w:rPr>
              <w:t>类基金份额：</w:t>
            </w:r>
          </w:p>
        </w:tc>
        <w:tc>
          <w:tcPr>
            <w:tcW w:w="5714" w:type="dxa"/>
          </w:tcPr>
          <w:p w:rsidR="0057376A" w:rsidRDefault="00117DFA">
            <w:pPr>
              <w:snapToGrid w:val="0"/>
              <w:spacing w:line="360" w:lineRule="auto"/>
              <w:rPr>
                <w:rFonts w:ascii="Arial" w:hAnsi="Arial" w:cs="Arial"/>
              </w:rPr>
            </w:pPr>
            <w:r>
              <w:rPr>
                <w:rFonts w:ascii="Arial" w:hAnsi="宋体" w:cs="Arial"/>
                <w:szCs w:val="21"/>
              </w:rPr>
              <w:t>指从本类别基金资产中计提销售服务费而不收取认购</w:t>
            </w:r>
            <w:r>
              <w:rPr>
                <w:rFonts w:ascii="Arial" w:hAnsi="Arial" w:cs="Arial"/>
                <w:szCs w:val="21"/>
              </w:rPr>
              <w:t>/</w:t>
            </w:r>
            <w:r>
              <w:rPr>
                <w:rFonts w:ascii="Arial" w:hAnsi="宋体" w:cs="Arial"/>
                <w:szCs w:val="21"/>
              </w:rPr>
              <w:t>申购费用、</w:t>
            </w:r>
            <w:r>
              <w:rPr>
                <w:rFonts w:ascii="Arial" w:hAnsi="宋体" w:cs="Arial"/>
              </w:rPr>
              <w:t>对于持有期限不少于</w:t>
            </w:r>
            <w:r>
              <w:rPr>
                <w:rFonts w:ascii="Arial" w:hAnsi="Arial" w:cs="Arial"/>
              </w:rPr>
              <w:t>30</w:t>
            </w:r>
            <w:r>
              <w:rPr>
                <w:rFonts w:ascii="Arial" w:hAnsi="宋体" w:cs="Arial"/>
              </w:rPr>
              <w:t>日的本类别基金份额的赎回亦不收取赎回费</w:t>
            </w:r>
            <w:r>
              <w:rPr>
                <w:rFonts w:ascii="Arial" w:hAnsi="宋体" w:cs="Arial"/>
                <w:szCs w:val="21"/>
              </w:rPr>
              <w:t>，但对持有期限少于</w:t>
            </w:r>
            <w:r>
              <w:rPr>
                <w:rFonts w:ascii="Arial" w:hAnsi="Arial" w:cs="Arial"/>
                <w:szCs w:val="21"/>
              </w:rPr>
              <w:t>30</w:t>
            </w:r>
            <w:r>
              <w:rPr>
                <w:rFonts w:ascii="Arial" w:hAnsi="宋体" w:cs="Arial"/>
                <w:szCs w:val="21"/>
              </w:rPr>
              <w:t>日的本类别基金份额的赎回收取赎回费的基金份额；</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基金收益：</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指基金投资所得红利、股息、债券利息、买卖证券价差、银行存款利息以及其他合法收入；</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基金资产总值：</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指基金持有的各类有价证券、银行存款本息、应收款项以及以其他资产等形式存在的基金</w:t>
            </w:r>
            <w:r>
              <w:rPr>
                <w:rFonts w:ascii="Arial" w:hAnsi="宋体" w:cs="Arial" w:hint="eastAsia"/>
                <w:kern w:val="0"/>
                <w:szCs w:val="21"/>
              </w:rPr>
              <w:t>资</w:t>
            </w:r>
            <w:r>
              <w:rPr>
                <w:rFonts w:ascii="Arial" w:hAnsi="宋体" w:cs="Arial"/>
                <w:kern w:val="0"/>
                <w:szCs w:val="21"/>
              </w:rPr>
              <w:t>产的价值总和；</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基金资产净值：</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指基金</w:t>
            </w:r>
            <w:r>
              <w:rPr>
                <w:rFonts w:ascii="Arial" w:hAnsi="宋体" w:cs="Arial" w:hint="eastAsia"/>
                <w:kern w:val="0"/>
                <w:szCs w:val="21"/>
              </w:rPr>
              <w:t>资产</w:t>
            </w:r>
            <w:r>
              <w:rPr>
                <w:rFonts w:ascii="Arial" w:hAnsi="宋体" w:cs="Arial"/>
                <w:kern w:val="0"/>
                <w:szCs w:val="21"/>
              </w:rPr>
              <w:t>总值减去基金负债后的价值；</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color w:val="000000"/>
                <w:szCs w:val="21"/>
              </w:rPr>
              <w:t>基金份额净值：</w:t>
            </w:r>
          </w:p>
        </w:tc>
        <w:tc>
          <w:tcPr>
            <w:tcW w:w="5714" w:type="dxa"/>
          </w:tcPr>
          <w:p w:rsidR="0057376A" w:rsidRDefault="00117DFA">
            <w:pPr>
              <w:snapToGrid w:val="0"/>
              <w:spacing w:line="360" w:lineRule="auto"/>
              <w:rPr>
                <w:rFonts w:ascii="Arial" w:hAnsi="Arial" w:cs="Arial"/>
                <w:kern w:val="0"/>
                <w:szCs w:val="21"/>
              </w:rPr>
            </w:pPr>
            <w:r>
              <w:rPr>
                <w:rFonts w:ascii="Arial" w:hAnsi="宋体" w:cs="Arial"/>
                <w:color w:val="000000"/>
                <w:szCs w:val="21"/>
              </w:rPr>
              <w:t>指以计算日基金资产净值除以计算日基金份额余额所得的单位基金份额的价值；</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基金资产估值：</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指计算、评估基金资产和负债的价值，以确定基金资产净值和基金份额净值的过程；</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法律法规：</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指中华人民共和国现行有效的法律、行政法规、司法解释、地方法规、地方规章、部门规章及其他规范性文件以及对于该等法律法规的不时修改和补充；</w:t>
            </w:r>
          </w:p>
        </w:tc>
      </w:tr>
      <w:tr w:rsidR="0057376A">
        <w:tc>
          <w:tcPr>
            <w:tcW w:w="2700" w:type="dxa"/>
          </w:tcPr>
          <w:p w:rsidR="0057376A" w:rsidRDefault="00117DFA">
            <w:pPr>
              <w:snapToGrid w:val="0"/>
              <w:spacing w:line="360" w:lineRule="auto"/>
              <w:rPr>
                <w:rFonts w:ascii="Arial" w:hAnsi="Arial" w:cs="Arial"/>
                <w:kern w:val="0"/>
                <w:szCs w:val="21"/>
              </w:rPr>
            </w:pPr>
            <w:r>
              <w:rPr>
                <w:rFonts w:ascii="Arial" w:hAnsi="宋体" w:cs="Arial"/>
                <w:kern w:val="0"/>
                <w:szCs w:val="21"/>
              </w:rPr>
              <w:t>不可抗力：</w:t>
            </w:r>
          </w:p>
        </w:tc>
        <w:tc>
          <w:tcPr>
            <w:tcW w:w="5714" w:type="dxa"/>
          </w:tcPr>
          <w:p w:rsidR="0057376A" w:rsidRDefault="00117DFA">
            <w:pPr>
              <w:snapToGrid w:val="0"/>
              <w:spacing w:line="360" w:lineRule="auto"/>
              <w:rPr>
                <w:rFonts w:ascii="Arial" w:hAnsi="Arial" w:cs="Arial"/>
                <w:kern w:val="0"/>
                <w:szCs w:val="21"/>
              </w:rPr>
            </w:pPr>
            <w:r>
              <w:rPr>
                <w:rFonts w:ascii="Arial" w:hAnsi="宋体" w:cs="Arial"/>
                <w:kern w:val="0"/>
                <w:szCs w:val="21"/>
              </w:rPr>
              <w:t>指任何无法预见、无法避免、无法克服的事件和因素，包括但不限于洪水、地震及其他自然灾害、战争、疫情、骚乱、火灾、政府征用、没收、法律变化、突发停电、电脑系统或数据传输系统非正常停止以及其他突发事件、证券交易场所非正常暂停或停止交易等</w:t>
            </w:r>
            <w:r>
              <w:rPr>
                <w:rFonts w:ascii="Arial" w:hAnsi="宋体" w:cs="Arial" w:hint="eastAsia"/>
                <w:kern w:val="0"/>
                <w:szCs w:val="21"/>
              </w:rPr>
              <w:t>；</w:t>
            </w:r>
          </w:p>
        </w:tc>
      </w:tr>
    </w:tbl>
    <w:p w:rsidR="0057376A" w:rsidRDefault="0057376A">
      <w:pPr>
        <w:rPr>
          <w:vanish/>
        </w:rPr>
      </w:pPr>
    </w:p>
    <w:tbl>
      <w:tblPr>
        <w:tblW w:w="8414" w:type="dxa"/>
        <w:tblLayout w:type="fixed"/>
        <w:tblLook w:val="04A0" w:firstRow="1" w:lastRow="0" w:firstColumn="1" w:lastColumn="0" w:noHBand="0" w:noVBand="1"/>
      </w:tblPr>
      <w:tblGrid>
        <w:gridCol w:w="2700"/>
        <w:gridCol w:w="5714"/>
      </w:tblGrid>
      <w:tr w:rsidR="0057376A" w:rsidTr="00EE196A">
        <w:tc>
          <w:tcPr>
            <w:tcW w:w="2700" w:type="dxa"/>
            <w:shd w:val="clear" w:color="auto" w:fill="auto"/>
          </w:tcPr>
          <w:p w:rsidR="0057376A" w:rsidRDefault="00117DFA">
            <w:pPr>
              <w:snapToGrid w:val="0"/>
              <w:spacing w:line="360" w:lineRule="auto"/>
              <w:rPr>
                <w:rFonts w:ascii="Arial" w:hAnsi="宋体" w:cs="Arial"/>
                <w:kern w:val="0"/>
                <w:szCs w:val="21"/>
              </w:rPr>
            </w:pPr>
            <w:r>
              <w:rPr>
                <w:rFonts w:ascii="Arial" w:hAnsi="宋体" w:cs="Arial" w:hint="eastAsia"/>
                <w:kern w:val="0"/>
                <w:szCs w:val="21"/>
              </w:rPr>
              <w:t>流动性受限资产：</w:t>
            </w:r>
          </w:p>
        </w:tc>
        <w:tc>
          <w:tcPr>
            <w:tcW w:w="5714" w:type="dxa"/>
            <w:shd w:val="clear" w:color="auto" w:fill="auto"/>
          </w:tcPr>
          <w:p w:rsidR="0057376A" w:rsidRDefault="00117DFA">
            <w:pPr>
              <w:snapToGrid w:val="0"/>
              <w:spacing w:line="360" w:lineRule="auto"/>
              <w:rPr>
                <w:rFonts w:ascii="Arial" w:hAnsi="宋体" w:cs="Arial"/>
                <w:kern w:val="0"/>
                <w:szCs w:val="21"/>
              </w:rPr>
            </w:pPr>
            <w:r>
              <w:rPr>
                <w:rFonts w:ascii="Arial" w:hAnsi="宋体" w:cs="Arial" w:hint="eastAsia"/>
                <w:kern w:val="0"/>
                <w:szCs w:val="21"/>
              </w:rPr>
              <w:t>指由于法律法规、监管、合同或操作障碍等原因无法以合理价格予以变现的资产，包括但不限于到期日在</w:t>
            </w:r>
            <w:r>
              <w:rPr>
                <w:rFonts w:ascii="Arial" w:hAnsi="宋体" w:cs="Arial" w:hint="eastAsia"/>
                <w:kern w:val="0"/>
                <w:szCs w:val="21"/>
              </w:rPr>
              <w:t>10</w:t>
            </w:r>
            <w:r>
              <w:rPr>
                <w:rFonts w:ascii="Arial" w:hAnsi="宋体" w:cs="Arial" w:hint="eastAsia"/>
                <w:kern w:val="0"/>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bl>
    <w:p w:rsidR="0057376A" w:rsidRDefault="0057376A">
      <w:pPr>
        <w:pStyle w:val="2"/>
        <w:snapToGrid w:val="0"/>
        <w:spacing w:before="0" w:after="0" w:line="360" w:lineRule="auto"/>
        <w:jc w:val="center"/>
        <w:rPr>
          <w:rFonts w:eastAsia="宋体" w:hAnsi="宋体" w:cs="Arial"/>
          <w:kern w:val="0"/>
          <w:sz w:val="28"/>
          <w:szCs w:val="28"/>
        </w:rPr>
      </w:pPr>
      <w:bookmarkStart w:id="7" w:name="_Toc88037838"/>
      <w:bookmarkStart w:id="8" w:name="_Toc253128694"/>
    </w:p>
    <w:p w:rsidR="0057376A" w:rsidRDefault="00117DFA">
      <w:pPr>
        <w:pStyle w:val="2"/>
        <w:snapToGrid w:val="0"/>
        <w:spacing w:before="0" w:after="0" w:line="360" w:lineRule="auto"/>
        <w:jc w:val="center"/>
        <w:rPr>
          <w:kern w:val="0"/>
        </w:rPr>
      </w:pPr>
      <w:r>
        <w:rPr>
          <w:kern w:val="0"/>
        </w:rPr>
        <w:br w:type="page"/>
      </w:r>
      <w:r>
        <w:rPr>
          <w:rFonts w:eastAsia="宋体" w:hAnsi="宋体" w:cs="Arial"/>
          <w:kern w:val="0"/>
          <w:sz w:val="28"/>
          <w:szCs w:val="28"/>
        </w:rPr>
        <w:lastRenderedPageBreak/>
        <w:t>三、基金的基本情况</w:t>
      </w:r>
      <w:bookmarkEnd w:id="7"/>
      <w:bookmarkEnd w:id="8"/>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（一）基金名称</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博时宏观回报债券型证券投资基金</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（二）基金的类别</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债券型</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（三）基金的运作方式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契约型、开放式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（四）基金投资目标</w:t>
      </w:r>
    </w:p>
    <w:p w:rsidR="0057376A" w:rsidRDefault="00117DFA">
      <w:pPr>
        <w:snapToGrid w:val="0"/>
        <w:spacing w:line="360" w:lineRule="auto"/>
        <w:ind w:firstLineChars="200" w:firstLine="420"/>
        <w:rPr>
          <w:rFonts w:ascii="Arial" w:hAnsi="Arial" w:cs="Arial"/>
          <w:kern w:val="0"/>
          <w:szCs w:val="21"/>
        </w:rPr>
      </w:pPr>
      <w:r>
        <w:rPr>
          <w:rFonts w:ascii="Arial" w:hAnsi="宋体" w:cs="Arial"/>
        </w:rPr>
        <w:t>通过一定范围内固定收益类与权益类资产，以及不同久期固定收益类资产的灵活配置，获取不同时期各子类资产的市场收益，</w:t>
      </w:r>
      <w:r>
        <w:rPr>
          <w:rFonts w:ascii="Arial" w:hAnsi="宋体" w:cs="Arial"/>
          <w:color w:val="000000"/>
          <w:szCs w:val="21"/>
        </w:rPr>
        <w:t>力争获取高于业绩比较基准的投资收益</w:t>
      </w:r>
      <w:r>
        <w:rPr>
          <w:rFonts w:ascii="Arial" w:hAnsi="宋体" w:cs="Arial"/>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（五）基金份额初始面值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本基金的初始面值为人民币</w:t>
      </w:r>
      <w:r>
        <w:rPr>
          <w:rFonts w:ascii="Arial" w:hAnsi="Arial" w:cs="Arial"/>
          <w:kern w:val="0"/>
          <w:szCs w:val="21"/>
        </w:rPr>
        <w:t>1.00</w:t>
      </w:r>
      <w:r>
        <w:rPr>
          <w:rFonts w:ascii="Arial" w:hAnsi="宋体" w:cs="Arial"/>
          <w:kern w:val="0"/>
          <w:szCs w:val="21"/>
        </w:rPr>
        <w:t>元</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（六）基金最低募集份额总额和最低募集金额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本基金的募集份额总额应不少于</w:t>
      </w:r>
      <w:r>
        <w:rPr>
          <w:rFonts w:ascii="Arial" w:hAnsi="Arial" w:cs="Arial"/>
          <w:kern w:val="0"/>
          <w:szCs w:val="21"/>
        </w:rPr>
        <w:t>2</w:t>
      </w:r>
      <w:r>
        <w:rPr>
          <w:rFonts w:ascii="Arial" w:hAnsi="宋体" w:cs="Arial"/>
          <w:kern w:val="0"/>
          <w:szCs w:val="21"/>
        </w:rPr>
        <w:t>亿份，</w:t>
      </w:r>
      <w:r>
        <w:rPr>
          <w:rFonts w:ascii="Arial" w:hAnsi="宋体" w:cs="Arial"/>
          <w:szCs w:val="21"/>
        </w:rPr>
        <w:t>基金募集金额不少于</w:t>
      </w:r>
      <w:r>
        <w:rPr>
          <w:rFonts w:ascii="Arial" w:hAnsi="Arial" w:cs="Arial"/>
          <w:szCs w:val="21"/>
        </w:rPr>
        <w:t>2</w:t>
      </w:r>
      <w:r>
        <w:rPr>
          <w:rFonts w:ascii="Arial" w:hAnsi="宋体" w:cs="Arial"/>
          <w:szCs w:val="21"/>
        </w:rPr>
        <w:t>亿元人民币</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（七）基金存续期限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不定期</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（八）基金份额类别</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本基金根据申购费用、赎回费用收取方式的不同，将基金份额分为不同的类别。其中：</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1</w:t>
      </w:r>
      <w:r>
        <w:rPr>
          <w:rFonts w:ascii="Arial" w:hAnsi="宋体" w:cs="Arial"/>
          <w:szCs w:val="21"/>
        </w:rPr>
        <w:t>、在投资者认购、申购时收取前端认购、申购费用，在赎回时根据持有期限收取赎回费用的基金份额，称为</w:t>
      </w:r>
      <w:r>
        <w:rPr>
          <w:rFonts w:ascii="Arial" w:hAnsi="Arial" w:cs="Arial"/>
          <w:szCs w:val="21"/>
        </w:rPr>
        <w:t>A</w:t>
      </w:r>
      <w:r>
        <w:rPr>
          <w:rFonts w:ascii="Arial" w:hAnsi="宋体" w:cs="Arial"/>
          <w:szCs w:val="21"/>
        </w:rPr>
        <w:t>类基金份额。</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2</w:t>
      </w:r>
      <w:r>
        <w:rPr>
          <w:rFonts w:ascii="Arial" w:hAnsi="宋体" w:cs="Arial"/>
          <w:szCs w:val="21"/>
        </w:rPr>
        <w:t>、在投资者赎回时收取后端认购</w:t>
      </w:r>
      <w:r>
        <w:rPr>
          <w:rFonts w:ascii="Arial" w:hAnsi="Arial" w:cs="Arial"/>
          <w:szCs w:val="21"/>
        </w:rPr>
        <w:t>/</w:t>
      </w:r>
      <w:r>
        <w:rPr>
          <w:rFonts w:ascii="Arial" w:hAnsi="宋体" w:cs="Arial"/>
          <w:szCs w:val="21"/>
        </w:rPr>
        <w:t>申购费用和赎回费用的基金份额，称为</w:t>
      </w:r>
      <w:r>
        <w:rPr>
          <w:rFonts w:ascii="Arial" w:hAnsi="Arial" w:cs="Arial"/>
          <w:szCs w:val="21"/>
        </w:rPr>
        <w:t>B</w:t>
      </w:r>
      <w:r>
        <w:rPr>
          <w:rFonts w:ascii="Arial" w:hAnsi="宋体" w:cs="Arial"/>
          <w:szCs w:val="21"/>
        </w:rPr>
        <w:t>类基金份额。</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3</w:t>
      </w:r>
      <w:r>
        <w:rPr>
          <w:rFonts w:ascii="Arial" w:hAnsi="宋体" w:cs="Arial"/>
          <w:szCs w:val="21"/>
        </w:rPr>
        <w:t>、从本类别基金资产中计提销售服务费而不收取认购</w:t>
      </w:r>
      <w:r>
        <w:rPr>
          <w:rFonts w:ascii="Arial" w:hAnsi="Arial" w:cs="Arial"/>
          <w:szCs w:val="21"/>
        </w:rPr>
        <w:t>/</w:t>
      </w:r>
      <w:r>
        <w:rPr>
          <w:rFonts w:ascii="Arial" w:hAnsi="宋体" w:cs="Arial"/>
          <w:szCs w:val="21"/>
        </w:rPr>
        <w:t>申购费用、</w:t>
      </w:r>
      <w:r>
        <w:rPr>
          <w:rFonts w:ascii="Arial" w:hAnsi="宋体" w:cs="Arial"/>
        </w:rPr>
        <w:t>对于持有期限不少于</w:t>
      </w:r>
      <w:r>
        <w:rPr>
          <w:rFonts w:ascii="Arial" w:hAnsi="Arial" w:cs="Arial"/>
        </w:rPr>
        <w:t>30</w:t>
      </w:r>
      <w:r>
        <w:rPr>
          <w:rFonts w:ascii="Arial" w:hAnsi="宋体" w:cs="Arial"/>
        </w:rPr>
        <w:t>日的本类别基金份额的赎回亦不收取赎回费</w:t>
      </w:r>
      <w:r>
        <w:rPr>
          <w:rFonts w:ascii="Arial" w:hAnsi="宋体" w:cs="Arial"/>
          <w:szCs w:val="21"/>
        </w:rPr>
        <w:t>，但对持有期限少于</w:t>
      </w:r>
      <w:r>
        <w:rPr>
          <w:rFonts w:ascii="Arial" w:hAnsi="Arial" w:cs="Arial"/>
          <w:szCs w:val="21"/>
        </w:rPr>
        <w:t>30</w:t>
      </w:r>
      <w:r>
        <w:rPr>
          <w:rFonts w:ascii="Arial" w:hAnsi="宋体" w:cs="Arial"/>
          <w:szCs w:val="21"/>
        </w:rPr>
        <w:t>日的本类别基金份额的赎回收取赎回费的基金份额，称为</w:t>
      </w:r>
      <w:r>
        <w:rPr>
          <w:rFonts w:ascii="Arial" w:hAnsi="Arial" w:cs="Arial"/>
          <w:szCs w:val="21"/>
        </w:rPr>
        <w:t>C</w:t>
      </w:r>
      <w:r>
        <w:rPr>
          <w:rFonts w:ascii="Arial" w:hAnsi="宋体" w:cs="Arial"/>
          <w:szCs w:val="21"/>
        </w:rPr>
        <w:t>类基金份额。</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本基金</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类和</w:t>
      </w:r>
      <w:r>
        <w:rPr>
          <w:rFonts w:ascii="Arial" w:hAnsi="Arial" w:cs="Arial"/>
          <w:szCs w:val="21"/>
        </w:rPr>
        <w:t>C</w:t>
      </w:r>
      <w:r>
        <w:rPr>
          <w:rFonts w:ascii="Arial" w:hAnsi="宋体" w:cs="Arial"/>
          <w:szCs w:val="21"/>
        </w:rPr>
        <w:t>类基金份额分别设置代码。由于基金费用的不同，本基金</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类基金份额和</w:t>
      </w:r>
      <w:r>
        <w:rPr>
          <w:rFonts w:ascii="Arial" w:hAnsi="Arial" w:cs="Arial"/>
          <w:szCs w:val="21"/>
        </w:rPr>
        <w:t>C</w:t>
      </w:r>
      <w:r>
        <w:rPr>
          <w:rFonts w:ascii="Arial" w:hAnsi="宋体" w:cs="Arial"/>
          <w:szCs w:val="21"/>
        </w:rPr>
        <w:t>类基金份额将分别计算基金份额净值，计算公式为计算日各类别基金资产净值除以计算日发售在外的该类别基金份额总数。</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投资者可自行选择认购、申购的基金份额类别。本基金不同基金份额类别之间不得互相转换。</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9" w:name="_Toc88037839"/>
      <w:bookmarkStart w:id="10" w:name="_Toc253128695"/>
      <w:r>
        <w:rPr>
          <w:rFonts w:eastAsia="宋体" w:hAnsi="宋体" w:cs="Arial"/>
          <w:kern w:val="0"/>
          <w:sz w:val="28"/>
          <w:szCs w:val="28"/>
        </w:rPr>
        <w:t>四、基金份额的发售与认购</w:t>
      </w:r>
      <w:bookmarkEnd w:id="9"/>
      <w:bookmarkEnd w:id="10"/>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（一）发售时间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 </w:t>
      </w:r>
      <w:r>
        <w:rPr>
          <w:rFonts w:ascii="Arial" w:hAnsi="宋体" w:cs="Arial"/>
          <w:kern w:val="0"/>
          <w:szCs w:val="21"/>
        </w:rPr>
        <w:t>本基金募集期限自基金份额发售之日起不超过</w:t>
      </w:r>
      <w:r>
        <w:rPr>
          <w:rFonts w:ascii="Arial" w:hAnsi="Arial" w:cs="Arial"/>
          <w:kern w:val="0"/>
          <w:szCs w:val="21"/>
        </w:rPr>
        <w:t>3</w:t>
      </w:r>
      <w:r>
        <w:rPr>
          <w:rFonts w:ascii="Arial" w:hAnsi="宋体" w:cs="Arial"/>
          <w:kern w:val="0"/>
          <w:szCs w:val="21"/>
        </w:rPr>
        <w:t>个月，具体发售时间由基金管理人根据相关法律法规以及本基金合同的规定确定，并在基金份额发售公告中披露。</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（二）发售方式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本基金通过各销售机构的基金销售网点向投资者公开发售，各销售机构的具体名单见基金份额发售公告。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（三）发售对象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本基金的发售对象为个人投资者、机构投资者、合格境外机构投资者以及法律法规或中国证监会允许购买证券投资基金的其他投资者。</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（四）基金认购费用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w:t>
      </w:r>
      <w:r>
        <w:rPr>
          <w:rFonts w:ascii="Arial" w:hAnsi="Arial" w:cs="Arial"/>
          <w:kern w:val="0"/>
          <w:szCs w:val="21"/>
        </w:rPr>
        <w:t>A</w:t>
      </w:r>
      <w:r>
        <w:rPr>
          <w:rFonts w:ascii="Arial" w:hAnsi="宋体" w:cs="Arial"/>
          <w:kern w:val="0"/>
          <w:szCs w:val="21"/>
        </w:rPr>
        <w:t>类基金份额在认购时收取基金前端认购费用；</w:t>
      </w:r>
      <w:r>
        <w:rPr>
          <w:rFonts w:ascii="Arial" w:hAnsi="Arial" w:cs="Arial"/>
          <w:kern w:val="0"/>
          <w:szCs w:val="21"/>
        </w:rPr>
        <w:t>B</w:t>
      </w:r>
      <w:r>
        <w:rPr>
          <w:rFonts w:ascii="Arial" w:hAnsi="宋体" w:cs="Arial"/>
          <w:kern w:val="0"/>
          <w:szCs w:val="21"/>
        </w:rPr>
        <w:t>类基金份额在赎回时收取基金后端认购费用；</w:t>
      </w:r>
      <w:r>
        <w:rPr>
          <w:rFonts w:ascii="Arial" w:hAnsi="Arial" w:cs="Arial"/>
          <w:kern w:val="0"/>
          <w:szCs w:val="21"/>
        </w:rPr>
        <w:t>C</w:t>
      </w:r>
      <w:r>
        <w:rPr>
          <w:rFonts w:ascii="Arial" w:hAnsi="宋体" w:cs="Arial"/>
          <w:kern w:val="0"/>
          <w:szCs w:val="21"/>
        </w:rPr>
        <w:t>类基金份额不收取认购费用。</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本基金认购费率不高于认购金额的</w:t>
      </w:r>
      <w:r>
        <w:rPr>
          <w:rFonts w:ascii="Arial" w:hAnsi="Arial" w:cs="Arial"/>
          <w:kern w:val="0"/>
          <w:szCs w:val="21"/>
        </w:rPr>
        <w:t>5%</w:t>
      </w:r>
      <w:r>
        <w:rPr>
          <w:rFonts w:ascii="Arial" w:hAnsi="宋体" w:cs="Arial"/>
          <w:kern w:val="0"/>
          <w:szCs w:val="21"/>
        </w:rPr>
        <w:t>，实际执行费率在招募说明书中载明。认购费用用于本基金的市场推广、销售、注册登记等募集期间发生的各项费用，不列入基金财产。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（五）基金认购份额的计算</w:t>
      </w:r>
    </w:p>
    <w:p w:rsidR="0057376A" w:rsidRDefault="00117DFA">
      <w:pPr>
        <w:snapToGrid w:val="0"/>
        <w:spacing w:line="360" w:lineRule="auto"/>
        <w:ind w:firstLineChars="200" w:firstLine="420"/>
        <w:rPr>
          <w:rFonts w:ascii="Arial" w:hAnsi="宋体" w:cs="Arial"/>
          <w:szCs w:val="21"/>
        </w:rPr>
      </w:pPr>
      <w:r>
        <w:rPr>
          <w:rFonts w:ascii="Arial" w:hAnsi="宋体" w:cs="Arial"/>
          <w:szCs w:val="21"/>
        </w:rPr>
        <w:t>基金认购采用金额认购的方式。</w:t>
      </w:r>
      <w:r>
        <w:rPr>
          <w:rFonts w:ascii="Arial" w:hAnsi="宋体" w:cs="Arial" w:hint="eastAsia"/>
          <w:szCs w:val="21"/>
        </w:rPr>
        <w:t>基金认购份额具体的计算方法在招募说明书中列示。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（六）募集期间认购资金利息的处理方式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本基金的认购款项在基金募集期间产生的利息在基金合同生效后将折算为基金份额，归基金份额持有人所有</w:t>
      </w:r>
      <w:r>
        <w:rPr>
          <w:rFonts w:ascii="Arial" w:hAnsi="宋体" w:cs="Arial"/>
          <w:szCs w:val="21"/>
        </w:rPr>
        <w:t>。利息</w:t>
      </w:r>
      <w:r>
        <w:rPr>
          <w:rFonts w:ascii="Arial" w:hAnsi="宋体" w:cs="Arial"/>
          <w:kern w:val="0"/>
          <w:szCs w:val="21"/>
        </w:rPr>
        <w:t>折份额，</w:t>
      </w:r>
      <w:r>
        <w:rPr>
          <w:rFonts w:ascii="Arial" w:hAnsi="宋体" w:cs="Arial"/>
          <w:szCs w:val="21"/>
        </w:rPr>
        <w:t>以注册登记机构的记录为准。</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（七）基金认购的具体规定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投资者认购原则、认购限额、认购份额的计算公式、认购时间安排、投资者认购应提交的文件和办理的手续等事项，由基金管理人根据相关法律法规以及本基金合同的规定确定，并在招募说明书和基金份额发售公告中披露。</w:t>
      </w:r>
    </w:p>
    <w:p w:rsidR="0057376A" w:rsidRDefault="00117DFA">
      <w:pPr>
        <w:snapToGrid w:val="0"/>
        <w:spacing w:line="360" w:lineRule="auto"/>
        <w:ind w:firstLineChars="200" w:firstLine="420"/>
        <w:rPr>
          <w:rFonts w:ascii="Arial" w:hAnsi="Arial" w:cs="Arial"/>
          <w:kern w:val="0"/>
          <w:szCs w:val="21"/>
        </w:rPr>
      </w:pPr>
      <w:r>
        <w:rPr>
          <w:rFonts w:ascii="Arial" w:hAnsi="宋体" w:cs="Arial"/>
        </w:rPr>
        <w:t>基金销售机构认购申请的受理并不代表该申请一定成功，而仅代表销售机构确实接收到认购申请。认购的确认以注册登记机构或基金管理公司的确认结果为准。</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（八）基金募集期间募集的资金应当存入专门账户，在基金募集结束前任何人不得动用。</w:t>
      </w:r>
    </w:p>
    <w:p w:rsidR="0057376A" w:rsidRDefault="00117DFA">
      <w:pPr>
        <w:snapToGrid w:val="0"/>
        <w:spacing w:line="360" w:lineRule="auto"/>
        <w:rPr>
          <w:rFonts w:ascii="Arial" w:hAnsi="Arial" w:cs="Arial"/>
          <w:szCs w:val="21"/>
        </w:rPr>
      </w:pPr>
      <w:r>
        <w:rPr>
          <w:rFonts w:ascii="Arial" w:hAnsi="Arial" w:cs="Arial"/>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11" w:name="_Toc253128696"/>
      <w:bookmarkStart w:id="12" w:name="_Toc88037840"/>
      <w:r>
        <w:rPr>
          <w:rFonts w:eastAsia="宋体" w:hAnsi="宋体" w:cs="Arial"/>
          <w:kern w:val="0"/>
          <w:sz w:val="28"/>
          <w:szCs w:val="28"/>
        </w:rPr>
        <w:t>五、基金的备案</w:t>
      </w:r>
      <w:bookmarkEnd w:id="11"/>
      <w:bookmarkEnd w:id="12"/>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（一）基金备案的条件</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本基金募集期限届满</w:t>
      </w:r>
      <w:r>
        <w:rPr>
          <w:rFonts w:ascii="Arial" w:hAnsi="宋体" w:cs="Arial"/>
        </w:rPr>
        <w:t>或</w:t>
      </w:r>
      <w:r>
        <w:rPr>
          <w:rFonts w:ascii="Arial" w:hAnsi="宋体" w:cs="Arial"/>
          <w:szCs w:val="21"/>
        </w:rPr>
        <w:t>基金管理人宣布停止募集时</w:t>
      </w:r>
      <w:r>
        <w:rPr>
          <w:rFonts w:ascii="Arial" w:hAnsi="宋体" w:cs="Arial"/>
          <w:kern w:val="0"/>
          <w:szCs w:val="21"/>
        </w:rPr>
        <w:t>，具备下列条件的，基金管理人应当按照规定办理验资和基金备案手续：</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、基金募集份额总额不少于</w:t>
      </w:r>
      <w:r>
        <w:rPr>
          <w:rFonts w:ascii="Arial" w:hAnsi="Arial" w:cs="Arial"/>
          <w:kern w:val="0"/>
          <w:szCs w:val="21"/>
        </w:rPr>
        <w:t>2</w:t>
      </w:r>
      <w:r>
        <w:rPr>
          <w:rFonts w:ascii="Arial" w:hAnsi="宋体" w:cs="Arial"/>
          <w:kern w:val="0"/>
          <w:szCs w:val="21"/>
        </w:rPr>
        <w:t>亿份，基金募集金额不少于</w:t>
      </w:r>
      <w:r>
        <w:rPr>
          <w:rFonts w:ascii="Arial" w:hAnsi="Arial" w:cs="Arial"/>
          <w:kern w:val="0"/>
          <w:szCs w:val="21"/>
        </w:rPr>
        <w:t>2</w:t>
      </w:r>
      <w:r>
        <w:rPr>
          <w:rFonts w:ascii="Arial" w:hAnsi="宋体" w:cs="Arial"/>
          <w:kern w:val="0"/>
          <w:szCs w:val="21"/>
        </w:rPr>
        <w:t>亿元人民币；</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、基金份额持有人的人数不少于</w:t>
      </w:r>
      <w:r>
        <w:rPr>
          <w:rFonts w:ascii="Arial" w:hAnsi="Arial" w:cs="Arial"/>
          <w:kern w:val="0"/>
          <w:szCs w:val="21"/>
        </w:rPr>
        <w:t>200</w:t>
      </w:r>
      <w:r>
        <w:rPr>
          <w:rFonts w:ascii="Arial" w:hAnsi="宋体" w:cs="Arial"/>
          <w:kern w:val="0"/>
          <w:szCs w:val="21"/>
        </w:rPr>
        <w:t>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（二）基金的备案</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基金募集期限届满</w:t>
      </w:r>
      <w:r>
        <w:rPr>
          <w:rFonts w:ascii="Arial" w:hAnsi="宋体" w:cs="Arial"/>
        </w:rPr>
        <w:t>或</w:t>
      </w:r>
      <w:r>
        <w:rPr>
          <w:rFonts w:ascii="Arial" w:hAnsi="宋体" w:cs="Arial"/>
          <w:szCs w:val="21"/>
        </w:rPr>
        <w:t>基金管理人宣布停止募集时，具备上述基金备案条件的，基金管理人应当自</w:t>
      </w:r>
      <w:r>
        <w:rPr>
          <w:rFonts w:ascii="Arial" w:hAnsi="宋体" w:cs="Arial"/>
        </w:rPr>
        <w:t>基金募集结束之日</w:t>
      </w:r>
      <w:r>
        <w:rPr>
          <w:rFonts w:ascii="Arial" w:hAnsi="宋体" w:cs="Arial"/>
          <w:szCs w:val="21"/>
        </w:rPr>
        <w:t>起</w:t>
      </w:r>
      <w:r>
        <w:rPr>
          <w:rFonts w:ascii="Arial" w:hAnsi="Arial" w:cs="Arial"/>
          <w:szCs w:val="21"/>
        </w:rPr>
        <w:t>10</w:t>
      </w:r>
      <w:r>
        <w:rPr>
          <w:rFonts w:ascii="Arial" w:hAnsi="宋体" w:cs="Arial"/>
          <w:szCs w:val="21"/>
        </w:rPr>
        <w:t>日内聘请法定验资机构验资，自收到验资报告之日起</w:t>
      </w:r>
      <w:r>
        <w:rPr>
          <w:rFonts w:ascii="Arial" w:hAnsi="Arial" w:cs="Arial"/>
          <w:szCs w:val="21"/>
        </w:rPr>
        <w:t>10</w:t>
      </w:r>
      <w:r>
        <w:rPr>
          <w:rFonts w:ascii="Arial" w:hAnsi="宋体" w:cs="Arial"/>
          <w:szCs w:val="21"/>
        </w:rPr>
        <w:t>日内，向中国证监会提交验资报告，办理基金备案手续。</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（三）基金合同的生效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、自中国证监会书面确认之日起，基金备案手续办理完毕，基金合同生效；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、基金管理人应当在收到中国证监会确认文件的次日对基金合同生效事宜予以公告。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（四）基金募集失败的处理方式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基金募集期限届满，不能满足基金备案的条件的，则基金募集失败。基金管理人应当：</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、以其固有财产承担因募集行为而产生的债务和费用；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、在基金募集期限届满后</w:t>
      </w:r>
      <w:r>
        <w:rPr>
          <w:rFonts w:ascii="Arial" w:hAnsi="Arial" w:cs="Arial"/>
          <w:kern w:val="0"/>
          <w:szCs w:val="21"/>
        </w:rPr>
        <w:t>30</w:t>
      </w:r>
      <w:r>
        <w:rPr>
          <w:rFonts w:ascii="Arial" w:hAnsi="宋体" w:cs="Arial"/>
          <w:kern w:val="0"/>
          <w:szCs w:val="21"/>
        </w:rPr>
        <w:t>日内返还投资者已缴纳的认购款项，并加计银行同期存款利息。</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（五）基金存续期内的基金份额持有人数量和资产规模</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本合同存续期内，基金份额持有人数量不满</w:t>
      </w:r>
      <w:r>
        <w:rPr>
          <w:rFonts w:ascii="Arial" w:hAnsi="Arial" w:cs="Arial"/>
          <w:szCs w:val="21"/>
        </w:rPr>
        <w:t>200</w:t>
      </w:r>
      <w:r>
        <w:rPr>
          <w:rFonts w:ascii="Arial" w:hAnsi="宋体" w:cs="Arial"/>
          <w:szCs w:val="21"/>
        </w:rPr>
        <w:t>人或者基金</w:t>
      </w:r>
      <w:r>
        <w:rPr>
          <w:rFonts w:ascii="Arial" w:hAnsi="宋体" w:cs="Arial" w:hint="eastAsia"/>
          <w:szCs w:val="21"/>
        </w:rPr>
        <w:t>资产</w:t>
      </w:r>
      <w:r>
        <w:rPr>
          <w:rFonts w:ascii="Arial" w:hAnsi="宋体" w:cs="Arial"/>
          <w:szCs w:val="21"/>
        </w:rPr>
        <w:t>净值低于</w:t>
      </w:r>
      <w:r>
        <w:rPr>
          <w:rFonts w:ascii="Arial" w:hAnsi="Arial" w:cs="Arial"/>
          <w:szCs w:val="21"/>
        </w:rPr>
        <w:t>5000</w:t>
      </w:r>
      <w:r>
        <w:rPr>
          <w:rFonts w:ascii="Arial" w:hAnsi="宋体" w:cs="Arial"/>
          <w:szCs w:val="21"/>
        </w:rPr>
        <w:t>万元的，基金管理人应当及时报告中国证监会；连续</w:t>
      </w:r>
      <w:r>
        <w:rPr>
          <w:rFonts w:ascii="Arial" w:hAnsi="Arial" w:cs="Arial"/>
          <w:szCs w:val="21"/>
        </w:rPr>
        <w:t>20</w:t>
      </w:r>
      <w:r>
        <w:rPr>
          <w:rFonts w:ascii="Arial" w:hAnsi="宋体" w:cs="Arial"/>
          <w:szCs w:val="21"/>
        </w:rPr>
        <w:t>个工作日出现前述情形的，基金管理人应当向中国证监会说明原因和报送解决方案。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法律法规或监管部门另有规定的，按其规定办理。</w:t>
      </w:r>
    </w:p>
    <w:p w:rsidR="0057376A" w:rsidRDefault="00117DFA">
      <w:pPr>
        <w:snapToGrid w:val="0"/>
        <w:spacing w:line="360" w:lineRule="auto"/>
        <w:ind w:firstLine="420"/>
        <w:rPr>
          <w:rFonts w:ascii="Arial" w:hAnsi="Arial" w:cs="Arial"/>
          <w:szCs w:val="21"/>
        </w:rPr>
      </w:pPr>
      <w:r>
        <w:rPr>
          <w:rFonts w:ascii="Arial" w:hAnsi="Arial" w:cs="Arial"/>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13" w:name="_Toc253128697"/>
      <w:bookmarkStart w:id="14" w:name="_Toc88037841"/>
      <w:r>
        <w:rPr>
          <w:rFonts w:eastAsia="宋体" w:hAnsi="宋体" w:cs="Arial"/>
          <w:kern w:val="0"/>
          <w:sz w:val="28"/>
          <w:szCs w:val="28"/>
        </w:rPr>
        <w:t>六、基金份额的申购、赎回与转换</w:t>
      </w:r>
      <w:bookmarkEnd w:id="13"/>
      <w:bookmarkEnd w:id="14"/>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（一）申购与赎回的场所</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本基金的销售机构包括基金管理人和基金管理人委托的代销机构。具体的销售网点将由基金管理人在招募说明书、基金份额发售公告或其他公告中列明。基金管理人可根据情况变更或增减销售机构，并在</w:t>
      </w:r>
      <w:r>
        <w:rPr>
          <w:rFonts w:ascii="Arial" w:hAnsi="宋体" w:cs="Arial" w:hint="eastAsia"/>
          <w:kern w:val="0"/>
          <w:szCs w:val="21"/>
        </w:rPr>
        <w:t>基金</w:t>
      </w:r>
      <w:r>
        <w:rPr>
          <w:rFonts w:ascii="Arial" w:hAnsi="宋体" w:cs="Arial"/>
          <w:kern w:val="0"/>
          <w:szCs w:val="21"/>
        </w:rPr>
        <w:t>管理人网站公示。投资者可以在销售机构办理基金销售业务的营业场所或按销售机构提供的其他方式办理基金的申购与赎回。</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（二）申购与赎回办理的开放日及时间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、开放日及开放时间</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本基金的开放日为本合同生效后基金管理人办理申购或赎回之日</w:t>
      </w:r>
      <w:r>
        <w:rPr>
          <w:rFonts w:ascii="Arial" w:hAnsi="Arial" w:cs="Arial"/>
          <w:kern w:val="0"/>
          <w:szCs w:val="21"/>
        </w:rPr>
        <w:t>,</w:t>
      </w:r>
      <w:r>
        <w:rPr>
          <w:rFonts w:ascii="Arial" w:hAnsi="宋体" w:cs="Arial"/>
          <w:kern w:val="0"/>
          <w:szCs w:val="21"/>
        </w:rPr>
        <w:t>具体业务办理时间以销售机构公布的时间为准。</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若出现新的证券交易市场</w:t>
      </w:r>
      <w:r>
        <w:rPr>
          <w:rFonts w:ascii="Arial" w:hAnsi="宋体" w:cs="Arial"/>
          <w:szCs w:val="21"/>
        </w:rPr>
        <w:t>、证券交易所交易时间变更</w:t>
      </w:r>
      <w:r>
        <w:rPr>
          <w:rFonts w:ascii="Arial" w:hAnsi="宋体" w:cs="Arial"/>
          <w:kern w:val="0"/>
          <w:szCs w:val="21"/>
        </w:rPr>
        <w:t>或其他特殊情况，基金管理人将视情况对前述开放日及开放时间进行相应的调整并公告。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不得在基金合同约定之外的日期或者时间办理基金份额的申购、赎回或者转换。投资人在基金合同约定之外的日期和时间提出申购、赎回或转换申请的，视为下一个开放日的申请，其基金份额申购、赎回价格为下次办理基金份额申购、赎回时间所在开放日的价格。</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、申购与赎回的开始时间</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本基金的申购自基金合同生效日起不超过</w:t>
      </w:r>
      <w:r>
        <w:rPr>
          <w:rFonts w:ascii="Arial" w:hAnsi="Arial" w:cs="Arial"/>
          <w:kern w:val="0"/>
          <w:szCs w:val="21"/>
        </w:rPr>
        <w:t>3</w:t>
      </w:r>
      <w:r>
        <w:rPr>
          <w:rFonts w:ascii="Arial" w:hAnsi="宋体" w:cs="Arial"/>
          <w:kern w:val="0"/>
          <w:szCs w:val="21"/>
        </w:rPr>
        <w:t>个月的时间开始办理。</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本基金的赎回自基金合同生效日起不超过</w:t>
      </w:r>
      <w:r>
        <w:rPr>
          <w:rFonts w:ascii="Arial" w:hAnsi="Arial" w:cs="Arial"/>
          <w:kern w:val="0"/>
          <w:szCs w:val="21"/>
        </w:rPr>
        <w:t>3</w:t>
      </w:r>
      <w:r>
        <w:rPr>
          <w:rFonts w:ascii="Arial" w:hAnsi="宋体" w:cs="Arial"/>
          <w:kern w:val="0"/>
          <w:szCs w:val="21"/>
        </w:rPr>
        <w:t>个月的时间开始办理。</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在确定申购开始时间与赎回开始时间后，由基金管理人最迟于申购或赎回开始前</w:t>
      </w:r>
      <w:r>
        <w:rPr>
          <w:rFonts w:ascii="Arial" w:hAnsi="Arial" w:cs="Arial"/>
          <w:kern w:val="0"/>
          <w:szCs w:val="21"/>
        </w:rPr>
        <w:t>2</w:t>
      </w:r>
      <w:r>
        <w:rPr>
          <w:rFonts w:ascii="Arial" w:hAnsi="宋体" w:cs="Arial"/>
          <w:kern w:val="0"/>
          <w:szCs w:val="21"/>
        </w:rPr>
        <w:t>日在指定媒介上公告。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（三）申购与赎回的原则</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w:t>
      </w:r>
      <w:r>
        <w:rPr>
          <w:rFonts w:ascii="Arial" w:hAnsi="Arial" w:cs="Arial"/>
          <w:kern w:val="0"/>
          <w:szCs w:val="21"/>
        </w:rPr>
        <w:t>“</w:t>
      </w:r>
      <w:r>
        <w:rPr>
          <w:rFonts w:ascii="Arial" w:hAnsi="宋体" w:cs="Arial"/>
          <w:kern w:val="0"/>
          <w:szCs w:val="21"/>
        </w:rPr>
        <w:t>未知价</w:t>
      </w:r>
      <w:r>
        <w:rPr>
          <w:rFonts w:ascii="Arial" w:hAnsi="Arial" w:cs="Arial"/>
          <w:kern w:val="0"/>
          <w:szCs w:val="21"/>
        </w:rPr>
        <w:t>”</w:t>
      </w:r>
      <w:r>
        <w:rPr>
          <w:rFonts w:ascii="Arial" w:hAnsi="宋体" w:cs="Arial"/>
          <w:kern w:val="0"/>
          <w:szCs w:val="21"/>
        </w:rPr>
        <w:t>原则，即基金的申购与赎回价格以受理申请当日基金份额净值为基准进行计算；</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、基金采用金额申购和份额赎回的方式，即申购以金额申请，赎回以份额申请；</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、基金份额持有人在赎回基金份额时，基金管理人按先进先出的原则，即</w:t>
      </w:r>
      <w:r>
        <w:rPr>
          <w:rFonts w:ascii="Arial" w:hAnsi="宋体" w:cs="Arial" w:hint="eastAsia"/>
          <w:kern w:val="0"/>
          <w:szCs w:val="21"/>
        </w:rPr>
        <w:t>先认购、申购的份额先赎回，按照份额持有期确定适用的赎回费率</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、当日的申购与赎回申请可以在基金管理人规定的时间结束前撤销，在基金管理人规定的时间结束后不得撤销；</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5</w:t>
      </w:r>
      <w:r>
        <w:rPr>
          <w:rFonts w:ascii="Arial" w:hAnsi="宋体" w:cs="Arial"/>
          <w:kern w:val="0"/>
          <w:szCs w:val="21"/>
        </w:rPr>
        <w:t>、基金管理人在不损害基金份额持有人权益的情况下可更改上述原则，但最迟应在新的原则实施前</w:t>
      </w:r>
      <w:r>
        <w:rPr>
          <w:rFonts w:ascii="Arial" w:hAnsi="Arial" w:cs="Arial"/>
          <w:kern w:val="0"/>
          <w:szCs w:val="21"/>
        </w:rPr>
        <w:t>2</w:t>
      </w:r>
      <w:r>
        <w:rPr>
          <w:rFonts w:ascii="Arial" w:hAnsi="宋体" w:cs="Arial"/>
          <w:kern w:val="0"/>
          <w:szCs w:val="21"/>
        </w:rPr>
        <w:t>日在指定媒介上公告。</w:t>
      </w:r>
    </w:p>
    <w:p w:rsidR="0057376A" w:rsidRDefault="0057376A">
      <w:pPr>
        <w:snapToGrid w:val="0"/>
        <w:spacing w:line="360" w:lineRule="auto"/>
        <w:ind w:firstLineChars="200" w:firstLine="420"/>
        <w:rPr>
          <w:rFonts w:ascii="Arial" w:hAnsi="Arial" w:cs="Arial"/>
          <w:kern w:val="0"/>
          <w:szCs w:val="21"/>
        </w:rPr>
      </w:pPr>
    </w:p>
    <w:p w:rsidR="0057376A" w:rsidRDefault="0057376A">
      <w:pPr>
        <w:snapToGrid w:val="0"/>
        <w:spacing w:line="360" w:lineRule="auto"/>
        <w:ind w:firstLineChars="200" w:firstLine="420"/>
        <w:rPr>
          <w:rFonts w:ascii="Arial" w:hAnsi="Arial" w:cs="Arial"/>
          <w:kern w:val="0"/>
          <w:szCs w:val="21"/>
        </w:rPr>
      </w:pP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（四）申购与赎回的程序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、申购与赎回申请的提出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基金投资者须按销售机构规定的手续，在开放日的业务办理时间内提出申购或赎回的申请。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投资者申购本基金，须按销售机构规定的方式</w:t>
      </w:r>
      <w:r>
        <w:rPr>
          <w:rFonts w:ascii="Arial" w:hAnsi="宋体" w:cs="Arial"/>
          <w:szCs w:val="21"/>
        </w:rPr>
        <w:t>备足申购资金</w:t>
      </w:r>
      <w:r>
        <w:rPr>
          <w:rFonts w:ascii="Arial" w:hAnsi="宋体" w:cs="Arial"/>
          <w:kern w:val="0"/>
          <w:szCs w:val="21"/>
        </w:rPr>
        <w:t>。</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投资者提交赎回申请时，必须有足够的基金份额余额。</w:t>
      </w:r>
      <w:r>
        <w:rPr>
          <w:rFonts w:ascii="Arial" w:hAnsi="宋体" w:cs="Arial"/>
          <w:szCs w:val="21"/>
        </w:rPr>
        <w:t>否则所提交的申购、赎回的申请无效。</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基金销售机构申请的受理并不代表该申请一定成功，而仅代表销售机构确实接收到申请。申</w:t>
      </w:r>
      <w:r>
        <w:rPr>
          <w:rFonts w:ascii="Arial" w:hAnsi="宋体" w:cs="Arial" w:hint="eastAsia"/>
          <w:szCs w:val="21"/>
        </w:rPr>
        <w:t>请</w:t>
      </w:r>
      <w:r>
        <w:rPr>
          <w:rFonts w:ascii="Arial" w:hAnsi="宋体" w:cs="Arial"/>
          <w:szCs w:val="21"/>
        </w:rPr>
        <w:t>的确认以基金注册登记机构的确认结果为准。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、申购与赎回申请的确认</w:t>
      </w:r>
    </w:p>
    <w:p w:rsidR="0057376A" w:rsidRDefault="00117DFA">
      <w:pPr>
        <w:snapToGrid w:val="0"/>
        <w:spacing w:line="360" w:lineRule="auto"/>
        <w:ind w:firstLineChars="200" w:firstLine="420"/>
        <w:rPr>
          <w:rFonts w:ascii="Arial" w:hAnsi="Arial" w:cs="Arial"/>
          <w:color w:val="000000"/>
          <w:kern w:val="0"/>
          <w:szCs w:val="21"/>
        </w:rPr>
      </w:pPr>
      <w:r>
        <w:rPr>
          <w:rFonts w:ascii="Arial" w:hAnsi="Arial" w:cs="Arial"/>
          <w:kern w:val="0"/>
          <w:szCs w:val="21"/>
        </w:rPr>
        <w:t>T</w:t>
      </w:r>
      <w:r>
        <w:rPr>
          <w:rFonts w:ascii="Arial" w:hAnsi="宋体" w:cs="Arial"/>
          <w:kern w:val="0"/>
          <w:szCs w:val="21"/>
        </w:rPr>
        <w:t>日规定时间内受理的申请，正常情况下，注册登记机构在</w:t>
      </w:r>
      <w:r>
        <w:rPr>
          <w:rFonts w:ascii="Arial" w:hAnsi="Arial" w:cs="Arial"/>
          <w:kern w:val="0"/>
          <w:szCs w:val="21"/>
        </w:rPr>
        <w:t>T+1</w:t>
      </w:r>
      <w:r>
        <w:rPr>
          <w:rFonts w:ascii="Arial" w:hAnsi="宋体" w:cs="Arial"/>
          <w:kern w:val="0"/>
          <w:szCs w:val="21"/>
        </w:rPr>
        <w:t>日对基金投资者申购、赎回申请的有效性进行确认。投资者可以在</w:t>
      </w:r>
      <w:r>
        <w:rPr>
          <w:rFonts w:ascii="Arial" w:hAnsi="Arial" w:cs="Arial"/>
          <w:kern w:val="0"/>
          <w:szCs w:val="21"/>
        </w:rPr>
        <w:t>T+2</w:t>
      </w:r>
      <w:r>
        <w:rPr>
          <w:rFonts w:ascii="Arial" w:hAnsi="宋体" w:cs="Arial"/>
          <w:kern w:val="0"/>
          <w:szCs w:val="21"/>
        </w:rPr>
        <w:t>日后（包括该日）到销售机构或以销售机构规定的其他方式查询申请的确认情况</w:t>
      </w:r>
      <w:r>
        <w:rPr>
          <w:rFonts w:ascii="Arial" w:hAnsi="宋体" w:cs="Arial"/>
          <w:color w:val="000000"/>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、申购与赎回申请的款项支付</w:t>
      </w:r>
    </w:p>
    <w:p w:rsidR="0057376A" w:rsidRDefault="00117DFA">
      <w:pPr>
        <w:snapToGrid w:val="0"/>
        <w:spacing w:line="360" w:lineRule="auto"/>
        <w:ind w:firstLineChars="200" w:firstLine="420"/>
        <w:rPr>
          <w:rFonts w:ascii="Arial" w:hAnsi="Arial" w:cs="Arial"/>
          <w:kern w:val="0"/>
          <w:szCs w:val="21"/>
        </w:rPr>
      </w:pPr>
      <w:r>
        <w:rPr>
          <w:rFonts w:ascii="Arial" w:hAnsi="宋体" w:cs="Arial"/>
        </w:rPr>
        <w:t>基金申购需按照销售</w:t>
      </w:r>
      <w:r>
        <w:rPr>
          <w:rFonts w:ascii="Arial" w:hAnsi="宋体" w:cs="Arial" w:hint="eastAsia"/>
        </w:rPr>
        <w:t>机构</w:t>
      </w:r>
      <w:r>
        <w:rPr>
          <w:rFonts w:ascii="Arial" w:hAnsi="宋体" w:cs="Arial"/>
        </w:rPr>
        <w:t>规定的方式全额缴款</w:t>
      </w:r>
      <w:r>
        <w:rPr>
          <w:rFonts w:ascii="Arial" w:hAnsi="宋体" w:cs="Arial"/>
          <w:kern w:val="0"/>
          <w:szCs w:val="21"/>
        </w:rPr>
        <w:t>，</w:t>
      </w:r>
      <w:r>
        <w:rPr>
          <w:rFonts w:ascii="Arial" w:hAnsi="宋体" w:cs="Arial"/>
        </w:rPr>
        <w:t>申购不成功或无效的申购款项将退回投资者账户</w:t>
      </w:r>
      <w:r>
        <w:rPr>
          <w:rFonts w:ascii="Arial" w:hAnsi="宋体" w:cs="Arial"/>
          <w:kern w:val="0"/>
          <w:szCs w:val="21"/>
        </w:rPr>
        <w:t>，由此产生的利息等损失由投资者自行承担。</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投资者赎回申请成交后，基金管理人应通过注册登记机构及其相关销售机构按规定向投资者支付赎回款项，赎回款项在自受理基金投资者有效赎回申请之日起不超过</w:t>
      </w:r>
      <w:r>
        <w:rPr>
          <w:rFonts w:ascii="Arial" w:hAnsi="Arial" w:cs="Arial"/>
          <w:kern w:val="0"/>
          <w:szCs w:val="21"/>
        </w:rPr>
        <w:t>7</w:t>
      </w:r>
      <w:r>
        <w:rPr>
          <w:rFonts w:ascii="Arial" w:hAnsi="宋体" w:cs="Arial"/>
          <w:kern w:val="0"/>
          <w:szCs w:val="21"/>
        </w:rPr>
        <w:t>个工作日内划往投资者银行账户。在发生巨额赎回时，赎回款项的支付办法按本基金合同和有关法律法规规定处理。</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（五）申购与赎回的数额限制</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1</w:t>
      </w:r>
      <w:r>
        <w:rPr>
          <w:rFonts w:ascii="Arial" w:hAnsi="宋体" w:cs="Arial"/>
          <w:kern w:val="0"/>
          <w:szCs w:val="21"/>
        </w:rPr>
        <w:t>、本基金申购和赎回的数额、</w:t>
      </w:r>
      <w:r>
        <w:rPr>
          <w:rFonts w:ascii="Arial" w:hAnsi="宋体" w:cs="Arial"/>
        </w:rPr>
        <w:t>每个基金交易账户的最低基金份额余额、单个投资者累计持有的基金份额上限等</w:t>
      </w:r>
      <w:r>
        <w:rPr>
          <w:rFonts w:ascii="Arial" w:hAnsi="宋体" w:cs="Arial"/>
          <w:kern w:val="0"/>
          <w:szCs w:val="21"/>
        </w:rPr>
        <w:t>限制由基金管理人确定并在招募说明书中列示</w:t>
      </w:r>
      <w:r>
        <w:rPr>
          <w:rFonts w:ascii="Arial" w:hAnsi="宋体" w:cs="Arial" w:hint="eastAsia"/>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2</w:t>
      </w:r>
      <w:r>
        <w:rPr>
          <w:rFonts w:ascii="Arial" w:hAnsi="宋体" w:cs="Arial"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w:t>
      </w:r>
      <w:r>
        <w:rPr>
          <w:rFonts w:ascii="Arial" w:hAnsi="宋体" w:cs="Arial"/>
          <w:kern w:val="0"/>
          <w:szCs w:val="21"/>
        </w:rPr>
        <w:t>说明书或</w:t>
      </w:r>
      <w:r>
        <w:rPr>
          <w:rFonts w:ascii="Arial" w:hAnsi="宋体" w:cs="Arial" w:hint="eastAsia"/>
          <w:kern w:val="0"/>
          <w:szCs w:val="21"/>
        </w:rPr>
        <w:t>相关公告。</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3</w:t>
      </w:r>
      <w:r>
        <w:rPr>
          <w:rFonts w:ascii="Arial" w:hAnsi="宋体" w:cs="Arial"/>
          <w:kern w:val="0"/>
          <w:szCs w:val="21"/>
        </w:rPr>
        <w:t>、基金管理人可根据市场情况，合理调整上述限制，基金管理人进行前述调整必须提前</w:t>
      </w:r>
      <w:r>
        <w:rPr>
          <w:rFonts w:ascii="Arial" w:hAnsi="Arial" w:cs="Arial"/>
          <w:kern w:val="0"/>
          <w:szCs w:val="21"/>
        </w:rPr>
        <w:t>2</w:t>
      </w:r>
      <w:r>
        <w:rPr>
          <w:rFonts w:ascii="Arial" w:hAnsi="宋体" w:cs="Arial"/>
          <w:kern w:val="0"/>
          <w:szCs w:val="21"/>
        </w:rPr>
        <w:t>日在指定媒介上公告。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（六）申购份额与赎回金额的计算方式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申购份额的计算方式：申购的有效份额为按实际确认的申购金额在扣除申购费用后，以申请当日基金份额净值为基准计算，各计算结果均按照四舍五入方法，保留小数点后两位，由此误差产生的损失由基金财产承担，产生的收益归基金财产所有。</w:t>
      </w:r>
      <w:r>
        <w:rPr>
          <w:rFonts w:ascii="Arial" w:hAnsi="宋体" w:cs="Arial" w:hint="eastAsia"/>
          <w:szCs w:val="21"/>
        </w:rPr>
        <w:t>基金申购份额具体的计算方法在招募说明书中列示。</w:t>
      </w:r>
    </w:p>
    <w:p w:rsidR="0057376A" w:rsidRDefault="00117DFA">
      <w:pPr>
        <w:snapToGrid w:val="0"/>
        <w:spacing w:line="360" w:lineRule="auto"/>
        <w:ind w:firstLineChars="200" w:firstLine="420"/>
        <w:rPr>
          <w:rFonts w:ascii="Arial" w:hAnsi="宋体" w:cs="Arial"/>
          <w:szCs w:val="21"/>
        </w:rPr>
      </w:pPr>
      <w:r>
        <w:rPr>
          <w:rFonts w:ascii="Arial" w:hAnsi="Arial" w:cs="Arial"/>
          <w:kern w:val="0"/>
          <w:szCs w:val="21"/>
        </w:rPr>
        <w:lastRenderedPageBreak/>
        <w:t>2</w:t>
      </w:r>
      <w:r>
        <w:rPr>
          <w:rFonts w:ascii="Arial" w:hAnsi="宋体" w:cs="Arial"/>
          <w:kern w:val="0"/>
          <w:szCs w:val="21"/>
        </w:rPr>
        <w:t>、赎回金额的计算方式：赎回总金额为按实际确认的有效赎回份额乘以申请当日基金份额净值的金额，净赎回金额为赎回</w:t>
      </w:r>
      <w:r>
        <w:rPr>
          <w:rFonts w:ascii="Arial" w:hAnsi="宋体" w:cs="Arial" w:hint="eastAsia"/>
          <w:kern w:val="0"/>
          <w:szCs w:val="21"/>
        </w:rPr>
        <w:t>总</w:t>
      </w:r>
      <w:r>
        <w:rPr>
          <w:rFonts w:ascii="Arial" w:hAnsi="宋体" w:cs="Arial"/>
          <w:kern w:val="0"/>
          <w:szCs w:val="21"/>
        </w:rPr>
        <w:t>金额扣除赎回费用的金额，各计算结果均按照四舍五入方法，保留小数点后两位，由此误差产生的损失由基金财产承担，产生的收益归基金财产所有。</w:t>
      </w:r>
      <w:r>
        <w:rPr>
          <w:rFonts w:ascii="Arial" w:hAnsi="宋体" w:cs="Arial" w:hint="eastAsia"/>
          <w:szCs w:val="21"/>
        </w:rPr>
        <w:t>基金赎回金额具体的计算方法在招募说明书中列示。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（七）申购和赎回的费用及其用途</w:t>
      </w:r>
    </w:p>
    <w:p w:rsidR="0057376A" w:rsidRDefault="00117DFA">
      <w:pPr>
        <w:snapToGrid w:val="0"/>
        <w:spacing w:line="360" w:lineRule="auto"/>
        <w:ind w:firstLineChars="200" w:firstLine="420"/>
        <w:rPr>
          <w:rFonts w:ascii="Arial" w:hAnsi="Arial" w:cs="Arial"/>
          <w:szCs w:val="21"/>
        </w:rPr>
      </w:pPr>
      <w:r>
        <w:rPr>
          <w:rFonts w:ascii="Arial" w:hAnsi="Arial" w:cs="Arial"/>
          <w:kern w:val="0"/>
          <w:szCs w:val="21"/>
        </w:rPr>
        <w:t>1</w:t>
      </w:r>
      <w:r>
        <w:rPr>
          <w:rFonts w:ascii="Arial" w:hAnsi="宋体" w:cs="Arial"/>
          <w:kern w:val="0"/>
          <w:szCs w:val="21"/>
        </w:rPr>
        <w:t>、</w:t>
      </w:r>
      <w:r>
        <w:rPr>
          <w:rFonts w:ascii="Arial" w:hAnsi="宋体" w:cs="Arial"/>
          <w:szCs w:val="21"/>
        </w:rPr>
        <w:t>本基金将基金份额分为</w:t>
      </w:r>
      <w:r>
        <w:rPr>
          <w:rFonts w:ascii="Arial" w:hAnsi="Arial" w:cs="Arial"/>
          <w:szCs w:val="21"/>
        </w:rPr>
        <w:t>A</w:t>
      </w:r>
      <w:r>
        <w:rPr>
          <w:rFonts w:ascii="Arial" w:hAnsi="宋体" w:cs="Arial"/>
          <w:szCs w:val="21"/>
        </w:rPr>
        <w:t>类基金份额、</w:t>
      </w:r>
      <w:r>
        <w:rPr>
          <w:rFonts w:ascii="Arial" w:hAnsi="Arial" w:cs="Arial"/>
          <w:szCs w:val="21"/>
        </w:rPr>
        <w:t>B</w:t>
      </w:r>
      <w:r>
        <w:rPr>
          <w:rFonts w:ascii="Arial" w:hAnsi="宋体" w:cs="Arial"/>
          <w:szCs w:val="21"/>
        </w:rPr>
        <w:t>类基金份额和</w:t>
      </w:r>
      <w:r>
        <w:rPr>
          <w:rFonts w:ascii="Arial" w:hAnsi="Arial" w:cs="Arial"/>
          <w:szCs w:val="21"/>
        </w:rPr>
        <w:t>C</w:t>
      </w:r>
      <w:r>
        <w:rPr>
          <w:rFonts w:ascii="Arial" w:hAnsi="宋体" w:cs="Arial"/>
          <w:szCs w:val="21"/>
        </w:rPr>
        <w:t>类基金份额三种。其中：</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类基金份额收取申购、赎回费，</w:t>
      </w:r>
      <w:r>
        <w:rPr>
          <w:rFonts w:ascii="Arial" w:hAnsi="Arial" w:cs="Arial"/>
          <w:szCs w:val="21"/>
        </w:rPr>
        <w:t>C</w:t>
      </w:r>
      <w:r>
        <w:rPr>
          <w:rFonts w:ascii="Arial" w:hAnsi="宋体" w:cs="Arial"/>
          <w:szCs w:val="21"/>
        </w:rPr>
        <w:t>类基金份额从本类别基金资产中计提销售服务费、不收取认购</w:t>
      </w:r>
      <w:r>
        <w:rPr>
          <w:rFonts w:ascii="Arial" w:hAnsi="Arial" w:cs="Arial"/>
          <w:szCs w:val="21"/>
        </w:rPr>
        <w:t>/</w:t>
      </w:r>
      <w:r>
        <w:rPr>
          <w:rFonts w:ascii="Arial" w:hAnsi="宋体" w:cs="Arial"/>
          <w:szCs w:val="21"/>
        </w:rPr>
        <w:t>申购费用；</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w:t>
      </w:r>
      <w:r>
        <w:rPr>
          <w:rFonts w:ascii="Arial" w:hAnsi="Arial" w:cs="Arial"/>
          <w:szCs w:val="21"/>
        </w:rPr>
        <w:t>C</w:t>
      </w:r>
      <w:r>
        <w:rPr>
          <w:rFonts w:ascii="Arial" w:hAnsi="宋体" w:cs="Arial"/>
          <w:szCs w:val="21"/>
        </w:rPr>
        <w:t>类基金份额对持有期限少于</w:t>
      </w:r>
      <w:r>
        <w:rPr>
          <w:rFonts w:ascii="Arial" w:hAnsi="Arial" w:cs="Arial"/>
          <w:szCs w:val="21"/>
        </w:rPr>
        <w:t>30</w:t>
      </w:r>
      <w:r>
        <w:rPr>
          <w:rFonts w:ascii="Arial" w:hAnsi="宋体" w:cs="Arial"/>
          <w:szCs w:val="21"/>
        </w:rPr>
        <w:t>日的本类别基金份额的赎回收取赎回费，</w:t>
      </w:r>
      <w:r>
        <w:rPr>
          <w:rFonts w:ascii="Arial" w:hAnsi="宋体" w:cs="Arial"/>
        </w:rPr>
        <w:t>对于持有期限不少于</w:t>
      </w:r>
      <w:r>
        <w:rPr>
          <w:rFonts w:ascii="Arial" w:hAnsi="Arial" w:cs="Arial"/>
        </w:rPr>
        <w:t>30</w:t>
      </w:r>
      <w:r>
        <w:rPr>
          <w:rFonts w:ascii="Arial" w:hAnsi="宋体" w:cs="Arial"/>
        </w:rPr>
        <w:t>日的</w:t>
      </w:r>
      <w:r>
        <w:rPr>
          <w:rFonts w:ascii="Arial" w:hAnsi="宋体" w:cs="Arial"/>
          <w:szCs w:val="21"/>
        </w:rPr>
        <w:t>本类别</w:t>
      </w:r>
      <w:r>
        <w:rPr>
          <w:rFonts w:ascii="Arial" w:hAnsi="宋体" w:cs="Arial"/>
        </w:rPr>
        <w:t>基金份额不收取赎回费</w:t>
      </w:r>
      <w:r>
        <w:rPr>
          <w:rFonts w:ascii="Arial" w:hAnsi="宋体" w:cs="Arial"/>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w:t>
      </w:r>
      <w:r>
        <w:rPr>
          <w:rFonts w:ascii="Arial" w:hAnsi="Arial" w:cs="Arial"/>
          <w:szCs w:val="21"/>
        </w:rPr>
        <w:t>3</w:t>
      </w:r>
      <w:r>
        <w:rPr>
          <w:rFonts w:ascii="Arial" w:hAnsi="宋体" w:cs="Arial"/>
          <w:szCs w:val="21"/>
        </w:rPr>
        <w:t>）</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类基金份额</w:t>
      </w:r>
      <w:r>
        <w:rPr>
          <w:rFonts w:ascii="Arial" w:hAnsi="宋体" w:cs="Arial"/>
          <w:kern w:val="0"/>
          <w:szCs w:val="21"/>
        </w:rPr>
        <w:t>申购费率最高不超过申购金额的</w:t>
      </w:r>
      <w:r>
        <w:rPr>
          <w:rFonts w:ascii="Arial" w:hAnsi="Arial" w:cs="Arial"/>
          <w:kern w:val="0"/>
          <w:szCs w:val="21"/>
        </w:rPr>
        <w:t>5</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w:t>
      </w:r>
      <w:r>
        <w:rPr>
          <w:rFonts w:ascii="Arial" w:hAnsi="宋体" w:cs="Arial" w:hint="eastAsia"/>
          <w:szCs w:val="21"/>
        </w:rPr>
        <w:t>/C</w:t>
      </w:r>
      <w:r>
        <w:rPr>
          <w:rFonts w:ascii="Arial" w:hAnsi="宋体" w:cs="Arial" w:hint="eastAsia"/>
          <w:szCs w:val="21"/>
        </w:rPr>
        <w:t>类</w:t>
      </w:r>
      <w:r>
        <w:rPr>
          <w:rFonts w:ascii="Arial" w:hAnsi="宋体" w:cs="Arial"/>
          <w:kern w:val="0"/>
          <w:szCs w:val="21"/>
        </w:rPr>
        <w:t>基金份额赎回费率最高不超过赎回金额的</w:t>
      </w:r>
      <w:r>
        <w:rPr>
          <w:rFonts w:ascii="Arial" w:hAnsi="Arial" w:cs="Arial"/>
          <w:kern w:val="0"/>
          <w:szCs w:val="21"/>
        </w:rPr>
        <w:t>5</w:t>
      </w:r>
      <w:r>
        <w:rPr>
          <w:rFonts w:ascii="Arial" w:hAnsi="宋体" w:cs="Arial"/>
          <w:kern w:val="0"/>
          <w:szCs w:val="21"/>
        </w:rPr>
        <w:t>％</w:t>
      </w:r>
      <w:r>
        <w:rPr>
          <w:rFonts w:ascii="Arial" w:hAnsi="宋体" w:cs="Arial" w:hint="eastAsia"/>
          <w:kern w:val="0"/>
          <w:szCs w:val="21"/>
        </w:rPr>
        <w:t>，其中，</w:t>
      </w:r>
      <w:r>
        <w:rPr>
          <w:rFonts w:ascii="Arial" w:hAnsi="宋体" w:cs="Arial" w:hint="eastAsia"/>
          <w:szCs w:val="21"/>
        </w:rPr>
        <w:t>对持续持有期限少于</w:t>
      </w:r>
      <w:r>
        <w:rPr>
          <w:rFonts w:ascii="Arial" w:hAnsi="宋体" w:cs="Arial" w:hint="eastAsia"/>
          <w:szCs w:val="21"/>
        </w:rPr>
        <w:t>7</w:t>
      </w:r>
      <w:r>
        <w:rPr>
          <w:rFonts w:ascii="Arial" w:hAnsi="宋体" w:cs="Arial" w:hint="eastAsia"/>
          <w:szCs w:val="21"/>
        </w:rPr>
        <w:t>日的任一类别的基金份额持有人收取不低于</w:t>
      </w:r>
      <w:r>
        <w:rPr>
          <w:rFonts w:ascii="Arial" w:hAnsi="宋体" w:cs="Arial" w:hint="eastAsia"/>
          <w:szCs w:val="21"/>
        </w:rPr>
        <w:t>1.5%</w:t>
      </w:r>
      <w:r>
        <w:rPr>
          <w:rFonts w:ascii="Arial" w:hAnsi="宋体" w:cs="Arial" w:hint="eastAsia"/>
          <w:szCs w:val="21"/>
        </w:rPr>
        <w:t>的赎回费并全部计入基金资产</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w:t>
      </w:r>
      <w:r>
        <w:rPr>
          <w:rFonts w:ascii="Arial" w:hAnsi="Arial" w:cs="Arial"/>
          <w:szCs w:val="21"/>
        </w:rPr>
        <w:t>5</w:t>
      </w:r>
      <w:r>
        <w:rPr>
          <w:rFonts w:ascii="Arial" w:hAnsi="宋体" w:cs="Arial"/>
          <w:szCs w:val="21"/>
        </w:rPr>
        <w:t>）</w:t>
      </w:r>
      <w:r>
        <w:rPr>
          <w:rFonts w:ascii="Arial" w:hAnsi="Arial" w:cs="Arial"/>
          <w:szCs w:val="21"/>
        </w:rPr>
        <w:t>C</w:t>
      </w:r>
      <w:r>
        <w:rPr>
          <w:rFonts w:ascii="Arial" w:hAnsi="宋体" w:cs="Arial"/>
          <w:szCs w:val="21"/>
        </w:rPr>
        <w:t>类份额销售服务费率最高不超过</w:t>
      </w:r>
      <w:r>
        <w:rPr>
          <w:rFonts w:ascii="Arial" w:hAnsi="宋体" w:cs="Arial"/>
        </w:rPr>
        <w:t>基金资产净值的</w:t>
      </w:r>
      <w:r>
        <w:rPr>
          <w:rFonts w:ascii="Arial" w:hAnsi="Arial" w:cs="Arial" w:hint="eastAsia"/>
          <w:szCs w:val="21"/>
        </w:rPr>
        <w:t>0.4</w:t>
      </w:r>
      <w:r>
        <w:rPr>
          <w:rFonts w:ascii="Arial" w:hAnsi="Arial" w:cs="Arial"/>
          <w:szCs w:val="21"/>
        </w:rPr>
        <w:t>%</w:t>
      </w:r>
      <w:r>
        <w:rPr>
          <w:rFonts w:ascii="Arial" w:hAnsi="宋体" w:cs="Arial"/>
          <w:szCs w:val="21"/>
        </w:rPr>
        <w:t>，对持有期限少于</w:t>
      </w:r>
      <w:r>
        <w:rPr>
          <w:rFonts w:ascii="Arial" w:hAnsi="Arial" w:cs="Arial"/>
          <w:szCs w:val="21"/>
        </w:rPr>
        <w:t>30</w:t>
      </w:r>
      <w:r>
        <w:rPr>
          <w:rFonts w:ascii="Arial" w:hAnsi="宋体" w:cs="Arial"/>
          <w:szCs w:val="21"/>
        </w:rPr>
        <w:t>日的本类别基金份额的赎回费率不</w:t>
      </w:r>
      <w:r>
        <w:rPr>
          <w:rFonts w:ascii="Arial" w:hAnsi="宋体" w:cs="Arial" w:hint="eastAsia"/>
          <w:szCs w:val="21"/>
        </w:rPr>
        <w:t>少于</w:t>
      </w:r>
      <w:r>
        <w:rPr>
          <w:rFonts w:ascii="Arial" w:hAnsi="Arial" w:cs="Arial"/>
          <w:szCs w:val="21"/>
        </w:rPr>
        <w:t>0.</w:t>
      </w:r>
      <w:r>
        <w:rPr>
          <w:rFonts w:ascii="Arial" w:hAnsi="Arial" w:cs="Arial" w:hint="eastAsia"/>
          <w:szCs w:val="21"/>
        </w:rPr>
        <w:t>75</w:t>
      </w:r>
      <w:r>
        <w:rPr>
          <w:rFonts w:ascii="Arial" w:hAnsi="宋体" w:cs="Arial"/>
          <w:szCs w:val="21"/>
        </w:rPr>
        <w:t>％</w:t>
      </w:r>
      <w:r>
        <w:rPr>
          <w:rFonts w:ascii="Arial" w:hAnsi="宋体" w:cs="Arial" w:hint="eastAsia"/>
          <w:szCs w:val="21"/>
        </w:rPr>
        <w:t>。</w:t>
      </w:r>
      <w:r>
        <w:rPr>
          <w:rFonts w:ascii="宋体" w:hAnsi="宋体" w:hint="eastAsia"/>
        </w:rPr>
        <w:t>前述费用不与其他的短期交易赎回费重复收取</w:t>
      </w:r>
      <w:r>
        <w:rPr>
          <w:rFonts w:ascii="Arial" w:hAnsi="宋体" w:cs="Arial"/>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、本基金</w:t>
      </w:r>
      <w:r>
        <w:rPr>
          <w:rFonts w:ascii="Arial" w:hAnsi="宋体" w:cs="Arial" w:hint="eastAsia"/>
          <w:kern w:val="0"/>
          <w:szCs w:val="21"/>
        </w:rPr>
        <w:t>A</w:t>
      </w:r>
      <w:r>
        <w:rPr>
          <w:rFonts w:ascii="Arial" w:hAnsi="宋体" w:cs="Arial" w:hint="eastAsia"/>
          <w:kern w:val="0"/>
          <w:szCs w:val="21"/>
        </w:rPr>
        <w:t>类基金份额</w:t>
      </w:r>
      <w:r>
        <w:rPr>
          <w:rFonts w:ascii="Arial" w:hAnsi="宋体" w:cs="Arial"/>
          <w:kern w:val="0"/>
          <w:szCs w:val="21"/>
        </w:rPr>
        <w:t>申购费率按照申购金额递减，即申购金额越大，所适用的申购费率越低，申购费用等于申购金额减净申购金额</w:t>
      </w:r>
      <w:r>
        <w:rPr>
          <w:rFonts w:ascii="Arial" w:hAnsi="宋体" w:cs="Arial" w:hint="eastAsia"/>
          <w:kern w:val="0"/>
          <w:szCs w:val="21"/>
        </w:rPr>
        <w:t>；本基金</w:t>
      </w:r>
      <w:r>
        <w:rPr>
          <w:rFonts w:ascii="Arial" w:hAnsi="宋体" w:cs="Arial" w:hint="eastAsia"/>
          <w:kern w:val="0"/>
          <w:szCs w:val="21"/>
        </w:rPr>
        <w:t>B</w:t>
      </w:r>
      <w:r>
        <w:rPr>
          <w:rFonts w:ascii="Arial" w:hAnsi="宋体" w:cs="Arial" w:hint="eastAsia"/>
          <w:kern w:val="0"/>
          <w:szCs w:val="21"/>
        </w:rPr>
        <w:t>类基金份额</w:t>
      </w:r>
      <w:r>
        <w:rPr>
          <w:rFonts w:ascii="Arial" w:hAnsi="宋体" w:cs="Arial"/>
          <w:kern w:val="0"/>
          <w:szCs w:val="21"/>
        </w:rPr>
        <w:t>申购费率按照</w:t>
      </w:r>
      <w:r>
        <w:rPr>
          <w:rFonts w:ascii="Arial" w:hAnsi="宋体" w:cs="Arial" w:hint="eastAsia"/>
          <w:kern w:val="0"/>
          <w:szCs w:val="21"/>
        </w:rPr>
        <w:t>持有年限</w:t>
      </w:r>
      <w:r>
        <w:rPr>
          <w:rFonts w:ascii="Arial" w:hAnsi="宋体" w:cs="Arial"/>
          <w:kern w:val="0"/>
          <w:szCs w:val="21"/>
        </w:rPr>
        <w:t>递减，即</w:t>
      </w:r>
      <w:r>
        <w:rPr>
          <w:rFonts w:ascii="Arial" w:hAnsi="宋体" w:cs="Arial" w:hint="eastAsia"/>
          <w:kern w:val="0"/>
          <w:szCs w:val="21"/>
        </w:rPr>
        <w:t>持有年限</w:t>
      </w:r>
      <w:r>
        <w:rPr>
          <w:rFonts w:ascii="Arial" w:hAnsi="宋体" w:cs="Arial"/>
          <w:kern w:val="0"/>
          <w:szCs w:val="21"/>
        </w:rPr>
        <w:t>越</w:t>
      </w:r>
      <w:r>
        <w:rPr>
          <w:rFonts w:ascii="Arial" w:hAnsi="宋体" w:cs="Arial" w:hint="eastAsia"/>
          <w:kern w:val="0"/>
          <w:szCs w:val="21"/>
        </w:rPr>
        <w:t>长</w:t>
      </w:r>
      <w:r>
        <w:rPr>
          <w:rFonts w:ascii="Arial" w:hAnsi="宋体" w:cs="Arial"/>
          <w:kern w:val="0"/>
          <w:szCs w:val="21"/>
        </w:rPr>
        <w:t>，所适用的申购费率越低</w:t>
      </w:r>
      <w:r>
        <w:rPr>
          <w:rFonts w:ascii="Arial" w:hAnsi="宋体" w:cs="Arial" w:hint="eastAsia"/>
          <w:kern w:val="0"/>
          <w:szCs w:val="21"/>
        </w:rPr>
        <w:t>；本基金</w:t>
      </w:r>
      <w:r>
        <w:rPr>
          <w:rFonts w:ascii="Arial" w:hAnsi="宋体" w:cs="Arial" w:hint="eastAsia"/>
          <w:kern w:val="0"/>
          <w:szCs w:val="21"/>
        </w:rPr>
        <w:t>C</w:t>
      </w:r>
      <w:r>
        <w:rPr>
          <w:rFonts w:ascii="Arial" w:hAnsi="宋体" w:cs="Arial" w:hint="eastAsia"/>
          <w:kern w:val="0"/>
          <w:szCs w:val="21"/>
        </w:rPr>
        <w:t>类基金份额不收取申购费用</w:t>
      </w:r>
      <w:r>
        <w:rPr>
          <w:rFonts w:ascii="Arial" w:hAnsi="宋体" w:cs="Arial"/>
          <w:kern w:val="0"/>
          <w:szCs w:val="21"/>
        </w:rPr>
        <w:t>。</w:t>
      </w:r>
      <w:r>
        <w:rPr>
          <w:rFonts w:ascii="Arial" w:hAnsi="宋体" w:cs="Arial" w:hint="eastAsia"/>
          <w:kern w:val="0"/>
          <w:szCs w:val="21"/>
        </w:rPr>
        <w:t>本基金各类基金份额</w:t>
      </w:r>
      <w:r>
        <w:rPr>
          <w:rFonts w:ascii="Arial" w:hAnsi="宋体" w:cs="Arial"/>
          <w:kern w:val="0"/>
          <w:szCs w:val="21"/>
        </w:rPr>
        <w:t>实际执行的申购费率在招募说明书中载明。投资者在一天之内如有多笔申购，适用费率按单笔分别计算。</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3</w:t>
      </w:r>
      <w:r>
        <w:rPr>
          <w:rFonts w:ascii="Arial" w:hAnsi="宋体" w:cs="Arial"/>
          <w:kern w:val="0"/>
          <w:szCs w:val="21"/>
        </w:rPr>
        <w:t>、本基金的赎回费率按照持有时间递减，即相关基金份额持有时间越长，所适用的赎回费率越低，赎回费用等于赎回金额乘以所适用的赎回费率。实际执行的赎回费率在招募说明书中载明。</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4</w:t>
      </w:r>
      <w:r>
        <w:rPr>
          <w:rFonts w:ascii="Arial" w:hAnsi="宋体" w:cs="Arial" w:hint="eastAsia"/>
          <w:kern w:val="0"/>
          <w:szCs w:val="21"/>
        </w:rPr>
        <w:t>、</w:t>
      </w:r>
      <w:r>
        <w:rPr>
          <w:rFonts w:ascii="Arial" w:hAnsi="宋体" w:cs="Arial"/>
          <w:kern w:val="0"/>
          <w:szCs w:val="21"/>
        </w:rPr>
        <w:t>在与基金托管人协商一致后，</w:t>
      </w:r>
      <w:r>
        <w:rPr>
          <w:rFonts w:ascii="Arial" w:hAnsi="宋体" w:cs="Arial" w:hint="eastAsia"/>
          <w:kern w:val="0"/>
          <w:szCs w:val="21"/>
        </w:rPr>
        <w:t>基金管理人在履行适当程序后，</w:t>
      </w:r>
      <w:r>
        <w:rPr>
          <w:rFonts w:ascii="Arial" w:hAnsi="宋体" w:cs="Arial"/>
          <w:kern w:val="0"/>
          <w:szCs w:val="21"/>
        </w:rPr>
        <w:t>可分别对持续持有期少于</w:t>
      </w:r>
      <w:r>
        <w:rPr>
          <w:rFonts w:ascii="Arial" w:hAnsi="Arial" w:cs="Arial"/>
          <w:kern w:val="0"/>
          <w:szCs w:val="21"/>
        </w:rPr>
        <w:t>7</w:t>
      </w:r>
      <w:r>
        <w:rPr>
          <w:rFonts w:ascii="Arial" w:hAnsi="宋体" w:cs="Arial"/>
          <w:kern w:val="0"/>
          <w:szCs w:val="21"/>
        </w:rPr>
        <w:t>日、</w:t>
      </w:r>
      <w:r>
        <w:rPr>
          <w:rFonts w:ascii="Arial" w:hAnsi="Arial" w:cs="Arial"/>
          <w:kern w:val="0"/>
          <w:szCs w:val="21"/>
        </w:rPr>
        <w:t>30</w:t>
      </w:r>
      <w:r>
        <w:rPr>
          <w:rFonts w:ascii="Arial" w:hAnsi="宋体" w:cs="Arial"/>
          <w:kern w:val="0"/>
          <w:szCs w:val="21"/>
        </w:rPr>
        <w:t>日的</w:t>
      </w:r>
      <w:r>
        <w:rPr>
          <w:rFonts w:ascii="Arial" w:hAnsi="宋体" w:cs="Arial" w:hint="eastAsia"/>
          <w:kern w:val="0"/>
          <w:szCs w:val="21"/>
        </w:rPr>
        <w:t>A</w:t>
      </w:r>
      <w:r>
        <w:rPr>
          <w:rFonts w:ascii="Arial" w:hAnsi="宋体" w:cs="Arial" w:hint="eastAsia"/>
          <w:kern w:val="0"/>
          <w:szCs w:val="21"/>
        </w:rPr>
        <w:t>、</w:t>
      </w:r>
      <w:r>
        <w:rPr>
          <w:rFonts w:ascii="Arial" w:hAnsi="宋体" w:cs="Arial" w:hint="eastAsia"/>
          <w:kern w:val="0"/>
          <w:szCs w:val="21"/>
        </w:rPr>
        <w:t>B</w:t>
      </w:r>
      <w:r>
        <w:rPr>
          <w:rFonts w:ascii="Arial" w:hAnsi="宋体" w:cs="Arial" w:hint="eastAsia"/>
          <w:kern w:val="0"/>
          <w:szCs w:val="21"/>
        </w:rPr>
        <w:t>类基金份额的</w:t>
      </w:r>
      <w:r>
        <w:rPr>
          <w:rFonts w:ascii="Arial" w:hAnsi="宋体" w:cs="Arial"/>
          <w:kern w:val="0"/>
          <w:szCs w:val="21"/>
        </w:rPr>
        <w:t>短期交易收取短期交易赎回费，</w:t>
      </w:r>
      <w:r>
        <w:rPr>
          <w:rFonts w:ascii="Arial" w:hAnsi="宋体" w:cs="Arial" w:hint="eastAsia"/>
          <w:kern w:val="0"/>
          <w:szCs w:val="21"/>
        </w:rPr>
        <w:t>对持续持有期少于</w:t>
      </w:r>
      <w:r>
        <w:rPr>
          <w:rFonts w:ascii="Arial" w:hAnsi="Arial" w:cs="Arial"/>
          <w:kern w:val="0"/>
          <w:szCs w:val="21"/>
        </w:rPr>
        <w:t>7</w:t>
      </w:r>
      <w:r>
        <w:rPr>
          <w:rFonts w:ascii="Arial" w:hAnsi="宋体" w:cs="Arial" w:hint="eastAsia"/>
          <w:kern w:val="0"/>
          <w:szCs w:val="21"/>
        </w:rPr>
        <w:t>日的</w:t>
      </w:r>
      <w:r>
        <w:rPr>
          <w:rFonts w:ascii="Arial" w:hAnsi="宋体" w:cs="Arial" w:hint="eastAsia"/>
          <w:kern w:val="0"/>
          <w:szCs w:val="21"/>
        </w:rPr>
        <w:t>C</w:t>
      </w:r>
      <w:r>
        <w:rPr>
          <w:rFonts w:ascii="Arial" w:hAnsi="宋体" w:cs="Arial" w:hint="eastAsia"/>
          <w:kern w:val="0"/>
          <w:szCs w:val="21"/>
        </w:rPr>
        <w:t>类基金份额的短期交易收取短期交易赎回费。</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收取短期交易赎回费的标准如下：（</w:t>
      </w:r>
      <w:r>
        <w:rPr>
          <w:rFonts w:ascii="Arial" w:hAnsi="宋体" w:cs="Arial" w:hint="eastAsia"/>
          <w:kern w:val="0"/>
          <w:szCs w:val="21"/>
        </w:rPr>
        <w:t>1</w:t>
      </w:r>
      <w:r>
        <w:rPr>
          <w:rFonts w:ascii="Arial" w:hAnsi="宋体" w:cs="Arial" w:hint="eastAsia"/>
          <w:kern w:val="0"/>
          <w:szCs w:val="21"/>
        </w:rPr>
        <w:t>）对于持续持有期少于</w:t>
      </w:r>
      <w:r>
        <w:rPr>
          <w:rFonts w:ascii="Arial" w:hAnsi="宋体" w:cs="Arial" w:hint="eastAsia"/>
          <w:kern w:val="0"/>
          <w:szCs w:val="21"/>
        </w:rPr>
        <w:t>7</w:t>
      </w:r>
      <w:r>
        <w:rPr>
          <w:rFonts w:ascii="Arial" w:hAnsi="宋体" w:cs="Arial" w:hint="eastAsia"/>
          <w:kern w:val="0"/>
          <w:szCs w:val="21"/>
        </w:rPr>
        <w:t>日的投资人，收取不低于赎回金额</w:t>
      </w:r>
      <w:r>
        <w:rPr>
          <w:rFonts w:ascii="Arial" w:hAnsi="宋体" w:cs="Arial" w:hint="eastAsia"/>
          <w:kern w:val="0"/>
          <w:szCs w:val="21"/>
        </w:rPr>
        <w:t>1.5%</w:t>
      </w:r>
      <w:r>
        <w:rPr>
          <w:rFonts w:ascii="Arial" w:hAnsi="宋体" w:cs="Arial" w:hint="eastAsia"/>
          <w:kern w:val="0"/>
          <w:szCs w:val="21"/>
        </w:rPr>
        <w:t>的赎回费；（</w:t>
      </w:r>
      <w:r>
        <w:rPr>
          <w:rFonts w:ascii="Arial" w:hAnsi="宋体" w:cs="Arial" w:hint="eastAsia"/>
          <w:kern w:val="0"/>
          <w:szCs w:val="21"/>
        </w:rPr>
        <w:t>2</w:t>
      </w:r>
      <w:r>
        <w:rPr>
          <w:rFonts w:ascii="Arial" w:hAnsi="宋体" w:cs="Arial" w:hint="eastAsia"/>
          <w:kern w:val="0"/>
          <w:szCs w:val="21"/>
        </w:rPr>
        <w:t>）对于持续持有期少于</w:t>
      </w:r>
      <w:r>
        <w:rPr>
          <w:rFonts w:ascii="Arial" w:hAnsi="宋体" w:cs="Arial" w:hint="eastAsia"/>
          <w:kern w:val="0"/>
          <w:szCs w:val="21"/>
        </w:rPr>
        <w:t>30</w:t>
      </w:r>
      <w:r>
        <w:rPr>
          <w:rFonts w:ascii="Arial" w:hAnsi="宋体" w:cs="Arial" w:hint="eastAsia"/>
          <w:kern w:val="0"/>
          <w:szCs w:val="21"/>
        </w:rPr>
        <w:t>日的投资人，收取不低于赎回金额</w:t>
      </w:r>
      <w:r>
        <w:rPr>
          <w:rFonts w:ascii="Arial" w:hAnsi="宋体" w:cs="Arial" w:hint="eastAsia"/>
          <w:kern w:val="0"/>
          <w:szCs w:val="21"/>
        </w:rPr>
        <w:t>0.75%</w:t>
      </w:r>
      <w:r>
        <w:rPr>
          <w:rFonts w:ascii="Arial" w:hAnsi="宋体" w:cs="Arial" w:hint="eastAsia"/>
          <w:kern w:val="0"/>
          <w:szCs w:val="21"/>
        </w:rPr>
        <w:t>的赎回费。</w:t>
      </w:r>
    </w:p>
    <w:p w:rsidR="0057376A" w:rsidRDefault="00117DFA">
      <w:pPr>
        <w:snapToGrid w:val="0"/>
        <w:spacing w:line="360" w:lineRule="auto"/>
        <w:ind w:firstLineChars="200" w:firstLine="420"/>
        <w:rPr>
          <w:rFonts w:ascii="Arial" w:hAnsi="Arial" w:cs="Arial"/>
          <w:kern w:val="0"/>
          <w:szCs w:val="21"/>
        </w:rPr>
      </w:pPr>
      <w:r>
        <w:rPr>
          <w:rFonts w:ascii="宋体" w:hAnsi="宋体" w:hint="eastAsia"/>
        </w:rPr>
        <w:t>基金管理人应在实施2日前在指定媒介及基金管理人网站公告，</w:t>
      </w:r>
      <w:r>
        <w:rPr>
          <w:rFonts w:ascii="Arial" w:hAnsi="宋体" w:cs="Arial"/>
          <w:kern w:val="0"/>
          <w:szCs w:val="21"/>
        </w:rPr>
        <w:t>具体收费标准及内容见招募说明书。</w:t>
      </w:r>
    </w:p>
    <w:p w:rsidR="0057376A" w:rsidRDefault="00117DFA">
      <w:pPr>
        <w:snapToGrid w:val="0"/>
        <w:spacing w:line="360" w:lineRule="auto"/>
        <w:ind w:firstLineChars="200" w:firstLine="420"/>
        <w:rPr>
          <w:rFonts w:ascii="Arial" w:hAnsi="宋体" w:cs="Arial"/>
          <w:kern w:val="0"/>
          <w:szCs w:val="21"/>
        </w:rPr>
      </w:pPr>
      <w:r>
        <w:rPr>
          <w:rFonts w:ascii="Arial" w:hAnsi="Arial" w:cs="Arial" w:hint="eastAsia"/>
          <w:kern w:val="0"/>
          <w:szCs w:val="21"/>
        </w:rPr>
        <w:t>5</w:t>
      </w:r>
      <w:r>
        <w:rPr>
          <w:rFonts w:ascii="Arial" w:hAnsi="宋体" w:cs="Arial"/>
          <w:kern w:val="0"/>
          <w:szCs w:val="21"/>
        </w:rPr>
        <w:t>、本基金的申购费用由申购人承担，主要用于本基金的市场推广、销售、注册登记等</w:t>
      </w:r>
      <w:r>
        <w:rPr>
          <w:rFonts w:ascii="Arial" w:hAnsi="宋体" w:cs="Arial"/>
          <w:kern w:val="0"/>
          <w:szCs w:val="21"/>
        </w:rPr>
        <w:lastRenderedPageBreak/>
        <w:t>各项费用，不列入基金财产。</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6</w:t>
      </w:r>
      <w:r>
        <w:rPr>
          <w:rFonts w:ascii="Arial" w:hAnsi="宋体" w:cs="Arial" w:hint="eastAsia"/>
          <w:kern w:val="0"/>
          <w:szCs w:val="21"/>
        </w:rPr>
        <w:t>、本基金的赎回费用由基金份额持有人承担。对于所收取的</w:t>
      </w:r>
      <w:r>
        <w:rPr>
          <w:rFonts w:ascii="Arial" w:hAnsi="宋体" w:cs="Arial" w:hint="eastAsia"/>
          <w:kern w:val="0"/>
          <w:szCs w:val="21"/>
        </w:rPr>
        <w:t>A</w:t>
      </w:r>
      <w:r>
        <w:rPr>
          <w:rFonts w:ascii="Arial" w:hAnsi="宋体" w:cs="Arial" w:hint="eastAsia"/>
          <w:kern w:val="0"/>
          <w:szCs w:val="21"/>
        </w:rPr>
        <w:t>类、</w:t>
      </w:r>
      <w:r>
        <w:rPr>
          <w:rFonts w:ascii="Arial" w:hAnsi="宋体" w:cs="Arial" w:hint="eastAsia"/>
          <w:kern w:val="0"/>
          <w:szCs w:val="21"/>
        </w:rPr>
        <w:t>B</w:t>
      </w:r>
      <w:r>
        <w:rPr>
          <w:rFonts w:ascii="Arial" w:hAnsi="宋体" w:cs="Arial" w:hint="eastAsia"/>
          <w:kern w:val="0"/>
          <w:szCs w:val="21"/>
        </w:rPr>
        <w:t>类基金份额赎回费，基金管理人将不低于其总额的</w:t>
      </w:r>
      <w:r>
        <w:rPr>
          <w:rFonts w:ascii="Arial" w:hAnsi="宋体" w:cs="Arial"/>
          <w:kern w:val="0"/>
          <w:szCs w:val="21"/>
        </w:rPr>
        <w:t>2</w:t>
      </w:r>
      <w:r>
        <w:rPr>
          <w:rFonts w:ascii="Arial" w:hAnsi="宋体" w:cs="Arial" w:hint="eastAsia"/>
          <w:kern w:val="0"/>
          <w:szCs w:val="21"/>
        </w:rPr>
        <w:t>5%</w:t>
      </w:r>
      <w:r>
        <w:rPr>
          <w:rFonts w:ascii="Arial" w:hAnsi="宋体" w:cs="Arial" w:hint="eastAsia"/>
          <w:kern w:val="0"/>
          <w:szCs w:val="21"/>
        </w:rPr>
        <w:t>计入基金财产，其余部分用于支付注册登记费等相关手续费。对于持有期限少于</w:t>
      </w:r>
      <w:r>
        <w:rPr>
          <w:rFonts w:ascii="Arial" w:hAnsi="宋体" w:cs="Arial" w:hint="eastAsia"/>
          <w:kern w:val="0"/>
          <w:szCs w:val="21"/>
        </w:rPr>
        <w:t>30</w:t>
      </w:r>
      <w:r>
        <w:rPr>
          <w:rFonts w:ascii="Arial" w:hAnsi="宋体" w:cs="Arial" w:hint="eastAsia"/>
          <w:kern w:val="0"/>
          <w:szCs w:val="21"/>
        </w:rPr>
        <w:t>日的</w:t>
      </w:r>
      <w:r>
        <w:rPr>
          <w:rFonts w:ascii="Arial" w:hAnsi="宋体" w:cs="Arial" w:hint="eastAsia"/>
          <w:kern w:val="0"/>
          <w:szCs w:val="21"/>
        </w:rPr>
        <w:t>C</w:t>
      </w:r>
      <w:r>
        <w:rPr>
          <w:rFonts w:ascii="Arial" w:hAnsi="宋体" w:cs="Arial" w:hint="eastAsia"/>
          <w:kern w:val="0"/>
          <w:szCs w:val="21"/>
        </w:rPr>
        <w:t>类基金份额所收取的赎回费全额计入基金财产。</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但如基金管理人分别对持续持有期少于</w:t>
      </w:r>
      <w:r>
        <w:rPr>
          <w:rFonts w:ascii="Arial" w:hAnsi="宋体" w:cs="Arial"/>
          <w:kern w:val="0"/>
          <w:szCs w:val="21"/>
        </w:rPr>
        <w:t>7</w:t>
      </w:r>
      <w:r>
        <w:rPr>
          <w:rFonts w:ascii="Arial" w:hAnsi="宋体" w:cs="Arial" w:hint="eastAsia"/>
          <w:kern w:val="0"/>
          <w:szCs w:val="21"/>
        </w:rPr>
        <w:t>日、</w:t>
      </w:r>
      <w:r>
        <w:rPr>
          <w:rFonts w:ascii="Arial" w:hAnsi="宋体" w:cs="Arial"/>
          <w:kern w:val="0"/>
          <w:szCs w:val="21"/>
        </w:rPr>
        <w:t>30</w:t>
      </w:r>
      <w:r>
        <w:rPr>
          <w:rFonts w:ascii="Arial" w:hAnsi="宋体" w:cs="Arial" w:hint="eastAsia"/>
          <w:kern w:val="0"/>
          <w:szCs w:val="21"/>
        </w:rPr>
        <w:t>日的</w:t>
      </w:r>
      <w:r>
        <w:rPr>
          <w:rFonts w:ascii="Arial" w:hAnsi="宋体" w:cs="Arial"/>
          <w:kern w:val="0"/>
          <w:szCs w:val="21"/>
        </w:rPr>
        <w:t>A</w:t>
      </w:r>
      <w:r>
        <w:rPr>
          <w:rFonts w:ascii="Arial" w:hAnsi="宋体" w:cs="Arial" w:hint="eastAsia"/>
          <w:kern w:val="0"/>
          <w:szCs w:val="21"/>
        </w:rPr>
        <w:t>、</w:t>
      </w:r>
      <w:r>
        <w:rPr>
          <w:rFonts w:ascii="Arial" w:hAnsi="宋体" w:cs="Arial"/>
          <w:kern w:val="0"/>
          <w:szCs w:val="21"/>
        </w:rPr>
        <w:t>B</w:t>
      </w:r>
      <w:r>
        <w:rPr>
          <w:rFonts w:ascii="Arial" w:hAnsi="宋体" w:cs="Arial" w:hint="eastAsia"/>
          <w:kern w:val="0"/>
          <w:szCs w:val="21"/>
        </w:rPr>
        <w:t>类基金份额收取短期交易赎回费，对持续持有期少于</w:t>
      </w:r>
      <w:r>
        <w:rPr>
          <w:rFonts w:ascii="Arial" w:hAnsi="宋体" w:cs="Arial"/>
          <w:kern w:val="0"/>
          <w:szCs w:val="21"/>
        </w:rPr>
        <w:t>7</w:t>
      </w:r>
      <w:r>
        <w:rPr>
          <w:rFonts w:ascii="Arial" w:hAnsi="宋体" w:cs="Arial" w:hint="eastAsia"/>
          <w:kern w:val="0"/>
          <w:szCs w:val="21"/>
        </w:rPr>
        <w:t>日的</w:t>
      </w:r>
      <w:r>
        <w:rPr>
          <w:rFonts w:ascii="Arial" w:hAnsi="宋体" w:cs="Arial"/>
          <w:kern w:val="0"/>
          <w:szCs w:val="21"/>
        </w:rPr>
        <w:t>C</w:t>
      </w:r>
      <w:r>
        <w:rPr>
          <w:rFonts w:ascii="Arial" w:hAnsi="宋体" w:cs="Arial" w:hint="eastAsia"/>
          <w:kern w:val="0"/>
          <w:szCs w:val="21"/>
        </w:rPr>
        <w:t>类基金份额收取短期交易赎回费，则短期交易赎回费应全额计入基金财产。</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7</w:t>
      </w:r>
      <w:r>
        <w:rPr>
          <w:rFonts w:ascii="Arial" w:hAnsi="宋体" w:cs="Arial"/>
          <w:kern w:val="0"/>
          <w:szCs w:val="21"/>
        </w:rPr>
        <w:t>、基金管理人可以在法律法规和本基金合同规定范围内调整申购费率和赎回费率。费率如发生变更，基金管理人应在调整实施</w:t>
      </w:r>
      <w:r>
        <w:rPr>
          <w:rFonts w:ascii="Arial" w:hAnsi="Arial" w:cs="Arial"/>
          <w:kern w:val="0"/>
          <w:szCs w:val="21"/>
        </w:rPr>
        <w:t>2</w:t>
      </w:r>
      <w:r>
        <w:rPr>
          <w:rFonts w:ascii="Arial" w:hAnsi="宋体" w:cs="Arial"/>
          <w:kern w:val="0"/>
          <w:szCs w:val="21"/>
        </w:rPr>
        <w:t>日前在指定媒介上公告。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（八）申购与赎回的注册登记</w:t>
      </w:r>
    </w:p>
    <w:p w:rsidR="0057376A" w:rsidRDefault="00117DFA">
      <w:pPr>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1</w:t>
      </w:r>
      <w:r>
        <w:rPr>
          <w:rFonts w:ascii="Arial" w:hAnsi="宋体" w:cs="Arial"/>
          <w:color w:val="000000"/>
          <w:kern w:val="0"/>
          <w:szCs w:val="21"/>
        </w:rPr>
        <w:t>、经基金销售机构同意，基金投资者提出的申购和赎回申请，在基金管理人规定的时间之前可以撤销。</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、投资者</w:t>
      </w:r>
      <w:r>
        <w:rPr>
          <w:rFonts w:ascii="Arial" w:hAnsi="Arial" w:cs="Arial"/>
          <w:kern w:val="0"/>
          <w:szCs w:val="21"/>
        </w:rPr>
        <w:t>T</w:t>
      </w:r>
      <w:r>
        <w:rPr>
          <w:rFonts w:ascii="Arial" w:hAnsi="宋体" w:cs="Arial"/>
          <w:kern w:val="0"/>
          <w:szCs w:val="21"/>
        </w:rPr>
        <w:t>日申购基金成功后，基金注册登记机构在</w:t>
      </w:r>
      <w:r>
        <w:rPr>
          <w:rFonts w:ascii="Arial" w:hAnsi="Arial" w:cs="Arial"/>
          <w:kern w:val="0"/>
          <w:szCs w:val="21"/>
        </w:rPr>
        <w:t>T</w:t>
      </w:r>
      <w:r>
        <w:rPr>
          <w:rFonts w:ascii="Arial" w:hAnsi="宋体" w:cs="Arial"/>
          <w:kern w:val="0"/>
          <w:szCs w:val="21"/>
        </w:rPr>
        <w:t>＋</w:t>
      </w:r>
      <w:r>
        <w:rPr>
          <w:rFonts w:ascii="Arial" w:hAnsi="Arial" w:cs="Arial"/>
          <w:kern w:val="0"/>
          <w:szCs w:val="21"/>
        </w:rPr>
        <w:t>1</w:t>
      </w:r>
      <w:r>
        <w:rPr>
          <w:rFonts w:ascii="Arial" w:hAnsi="宋体" w:cs="Arial"/>
          <w:kern w:val="0"/>
          <w:szCs w:val="21"/>
        </w:rPr>
        <w:t>日为投资者增加权益并办理注册登记手续，投资者自</w:t>
      </w:r>
      <w:r>
        <w:rPr>
          <w:rFonts w:ascii="Arial" w:hAnsi="Arial" w:cs="Arial"/>
          <w:kern w:val="0"/>
          <w:szCs w:val="21"/>
        </w:rPr>
        <w:t>T</w:t>
      </w:r>
      <w:r>
        <w:rPr>
          <w:rFonts w:ascii="Arial" w:hAnsi="宋体" w:cs="Arial"/>
          <w:kern w:val="0"/>
          <w:szCs w:val="21"/>
        </w:rPr>
        <w:t>＋</w:t>
      </w:r>
      <w:r>
        <w:rPr>
          <w:rFonts w:ascii="Arial" w:hAnsi="Arial" w:cs="Arial"/>
          <w:kern w:val="0"/>
          <w:szCs w:val="21"/>
        </w:rPr>
        <w:t>2</w:t>
      </w:r>
      <w:r>
        <w:rPr>
          <w:rFonts w:ascii="Arial" w:hAnsi="宋体" w:cs="Arial"/>
          <w:kern w:val="0"/>
          <w:szCs w:val="21"/>
        </w:rPr>
        <w:t>日起有权赎回该部分基金份额。</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、投资者</w:t>
      </w:r>
      <w:r>
        <w:rPr>
          <w:rFonts w:ascii="Arial" w:hAnsi="Arial" w:cs="Arial"/>
          <w:kern w:val="0"/>
          <w:szCs w:val="21"/>
        </w:rPr>
        <w:t>T</w:t>
      </w:r>
      <w:r>
        <w:rPr>
          <w:rFonts w:ascii="Arial" w:hAnsi="宋体" w:cs="Arial"/>
          <w:kern w:val="0"/>
          <w:szCs w:val="21"/>
        </w:rPr>
        <w:t>日赎回基金成功后，基金注册登记机构在</w:t>
      </w:r>
      <w:r>
        <w:rPr>
          <w:rFonts w:ascii="Arial" w:hAnsi="Arial" w:cs="Arial"/>
          <w:kern w:val="0"/>
          <w:szCs w:val="21"/>
        </w:rPr>
        <w:t>T</w:t>
      </w:r>
      <w:r>
        <w:rPr>
          <w:rFonts w:ascii="Arial" w:hAnsi="宋体" w:cs="Arial"/>
          <w:kern w:val="0"/>
          <w:szCs w:val="21"/>
        </w:rPr>
        <w:t>＋</w:t>
      </w:r>
      <w:r>
        <w:rPr>
          <w:rFonts w:ascii="Arial" w:hAnsi="Arial" w:cs="Arial"/>
          <w:kern w:val="0"/>
          <w:szCs w:val="21"/>
        </w:rPr>
        <w:t>1</w:t>
      </w:r>
      <w:r>
        <w:rPr>
          <w:rFonts w:ascii="Arial" w:hAnsi="宋体" w:cs="Arial"/>
          <w:kern w:val="0"/>
          <w:szCs w:val="21"/>
        </w:rPr>
        <w:t>日为投资者扣除权益并办理相应的注册登记手续。</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、基金管理人可在法律法规允许的范围内，对上述注册登记办理时间进行调整，并最迟于开始实施前</w:t>
      </w:r>
      <w:r>
        <w:rPr>
          <w:rFonts w:ascii="Arial" w:hAnsi="Arial" w:cs="Arial"/>
          <w:kern w:val="0"/>
          <w:szCs w:val="21"/>
        </w:rPr>
        <w:t>2</w:t>
      </w:r>
      <w:r>
        <w:rPr>
          <w:rFonts w:ascii="Arial" w:hAnsi="宋体" w:cs="Arial"/>
          <w:kern w:val="0"/>
          <w:szCs w:val="21"/>
        </w:rPr>
        <w:t>日在指定媒介上公告。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（九）巨额赎回的认定及处理方式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、巨额赎回的认定</w:t>
      </w:r>
    </w:p>
    <w:p w:rsidR="0057376A" w:rsidRDefault="00117DFA">
      <w:pPr>
        <w:snapToGrid w:val="0"/>
        <w:spacing w:line="360" w:lineRule="auto"/>
        <w:ind w:firstLineChars="200" w:firstLine="420"/>
        <w:rPr>
          <w:rFonts w:ascii="Arial" w:hAnsi="Arial" w:cs="Arial"/>
          <w:kern w:val="0"/>
          <w:szCs w:val="21"/>
        </w:rPr>
      </w:pPr>
      <w:r>
        <w:rPr>
          <w:rFonts w:ascii="Arial" w:hAnsi="宋体" w:cs="Arial"/>
          <w:color w:val="000000"/>
          <w:szCs w:val="21"/>
        </w:rPr>
        <w:t>单个开放日中，本基金的基金份额净赎回申请（赎回申请总份额扣除申购总份额后的余额）与净转出申请（转出申请总份额扣除转入申请总份额后的余额）之和超过上一日基金总份额的</w:t>
      </w:r>
      <w:r>
        <w:rPr>
          <w:rFonts w:ascii="Arial" w:hAnsi="Arial" w:cs="Arial"/>
          <w:color w:val="000000"/>
          <w:szCs w:val="21"/>
        </w:rPr>
        <w:t>10%</w:t>
      </w:r>
      <w:r>
        <w:rPr>
          <w:rFonts w:ascii="Arial" w:hAnsi="宋体" w:cs="Arial"/>
          <w:color w:val="000000"/>
          <w:szCs w:val="21"/>
        </w:rPr>
        <w:t>，为巨额赎回。</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、巨额赎回的处理方式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出现巨额赎回时，基金管理人可以根据本基金当时的资产组合状况决定接受全额赎回或部分延期赎回。</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）接受全额赎回：当基金管理人认为有能力兑付投资者的全部赎回申请时，按正常赎回程序执行；</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）部分延期赎回：当基金管理人认为兑付投资者的赎回申请有困难，或认为兑付投资者的赎回申请进行的资产变现可能使基金</w:t>
      </w:r>
      <w:r>
        <w:rPr>
          <w:rFonts w:ascii="Arial" w:hAnsi="宋体" w:cs="Arial" w:hint="eastAsia"/>
          <w:kern w:val="0"/>
          <w:szCs w:val="21"/>
        </w:rPr>
        <w:t>资</w:t>
      </w:r>
      <w:r>
        <w:rPr>
          <w:rFonts w:ascii="Arial" w:hAnsi="宋体" w:cs="Arial"/>
          <w:kern w:val="0"/>
          <w:szCs w:val="21"/>
        </w:rPr>
        <w:t>产净值发生较大波动时，基金管理人在当日接受赎回比例不低于上一日基金总份额</w:t>
      </w:r>
      <w:r>
        <w:rPr>
          <w:rFonts w:ascii="Arial" w:hAnsi="Arial" w:cs="Arial"/>
          <w:kern w:val="0"/>
          <w:szCs w:val="21"/>
        </w:rPr>
        <w:t>10</w:t>
      </w:r>
      <w:r>
        <w:rPr>
          <w:rFonts w:ascii="Arial" w:hAnsi="宋体" w:cs="Arial"/>
          <w:kern w:val="0"/>
          <w:szCs w:val="21"/>
        </w:rPr>
        <w:t>％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w:t>
      </w:r>
      <w:r>
        <w:rPr>
          <w:rFonts w:ascii="Arial" w:hAnsi="宋体" w:cs="Arial"/>
          <w:kern w:val="0"/>
          <w:szCs w:val="21"/>
        </w:rPr>
        <w:lastRenderedPageBreak/>
        <w:t>入下一开放日的赎回申请不享有赎回优先权，以此类推，直到全部赎回为止；</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w:t>
      </w:r>
      <w:r>
        <w:rPr>
          <w:rFonts w:ascii="Arial" w:hAnsi="Arial" w:cs="Arial" w:hint="eastAsia"/>
          <w:kern w:val="0"/>
          <w:szCs w:val="21"/>
        </w:rPr>
        <w:t>3</w:t>
      </w:r>
      <w:r>
        <w:rPr>
          <w:rFonts w:ascii="Arial" w:hAnsi="Arial" w:cs="Arial" w:hint="eastAsia"/>
          <w:kern w:val="0"/>
          <w:szCs w:val="21"/>
        </w:rPr>
        <w:t>）本基金发生巨额赎回时，对于单个基金份额持有人当日赎回申请超过上一开放日基金总份额</w:t>
      </w:r>
      <w:r>
        <w:rPr>
          <w:rFonts w:ascii="Arial" w:hAnsi="Arial" w:cs="Arial" w:hint="eastAsia"/>
          <w:kern w:val="0"/>
          <w:szCs w:val="21"/>
        </w:rPr>
        <w:t>10%</w:t>
      </w:r>
      <w:r>
        <w:rPr>
          <w:rFonts w:ascii="Arial" w:hAnsi="Arial" w:cs="Arial" w:hint="eastAsia"/>
          <w:kern w:val="0"/>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r>
        <w:rPr>
          <w:rFonts w:ascii="Arial" w:hAnsi="Arial" w:cs="Arial" w:hint="eastAsia"/>
          <w:kern w:val="0"/>
          <w:szCs w:val="21"/>
        </w:rPr>
        <w:t>10</w:t>
      </w:r>
      <w:r>
        <w:rPr>
          <w:rFonts w:ascii="Arial" w:hAnsi="Arial" w:cs="Arial" w:hint="eastAsia"/>
          <w:kern w:val="0"/>
          <w:szCs w:val="21"/>
        </w:rPr>
        <w:t>％的部分，基金管理人根据前段“（</w:t>
      </w:r>
      <w:r>
        <w:rPr>
          <w:rFonts w:ascii="Arial" w:hAnsi="Arial" w:cs="Arial" w:hint="eastAsia"/>
          <w:kern w:val="0"/>
          <w:szCs w:val="21"/>
        </w:rPr>
        <w:t>1</w:t>
      </w:r>
      <w:r>
        <w:rPr>
          <w:rFonts w:ascii="Arial" w:hAnsi="Arial" w:cs="Arial" w:hint="eastAsia"/>
          <w:kern w:val="0"/>
          <w:szCs w:val="21"/>
        </w:rPr>
        <w:t>）接受全额赎回”或“（</w:t>
      </w:r>
      <w:r>
        <w:rPr>
          <w:rFonts w:ascii="Arial" w:hAnsi="Arial" w:cs="Arial" w:hint="eastAsia"/>
          <w:kern w:val="0"/>
          <w:szCs w:val="21"/>
        </w:rPr>
        <w:t>2</w:t>
      </w:r>
      <w:r>
        <w:rPr>
          <w:rFonts w:ascii="Arial" w:hAnsi="Arial" w:cs="Arial" w:hint="eastAsia"/>
          <w:kern w:val="0"/>
          <w:szCs w:val="21"/>
        </w:rPr>
        <w:t>）部分延期赎回”的约定方式与其他基金份额持有人的赎回申请一并办理。但是，如该持有人在提交赎回申请时选择取消赎回，则其当日未获受理的部分赎回申请将被撤销。</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）当发生巨额赎回并延期办理时，基金管理人应当通过邮寄、传真或招募说明书规定的其他方式，在</w:t>
      </w:r>
      <w:r>
        <w:rPr>
          <w:rFonts w:ascii="Arial" w:hAnsi="Arial" w:cs="Arial"/>
          <w:kern w:val="0"/>
          <w:szCs w:val="21"/>
        </w:rPr>
        <w:t>2</w:t>
      </w:r>
      <w:r>
        <w:rPr>
          <w:rFonts w:ascii="Arial" w:hAnsi="宋体" w:cs="Arial"/>
          <w:kern w:val="0"/>
          <w:szCs w:val="21"/>
        </w:rPr>
        <w:t>日内通知基金份额持有人，说明有关处理方法，</w:t>
      </w:r>
      <w:r>
        <w:rPr>
          <w:rFonts w:ascii="Arial" w:hAnsi="宋体" w:cs="Arial" w:hint="eastAsia"/>
          <w:kern w:val="0"/>
          <w:szCs w:val="21"/>
        </w:rPr>
        <w:t>并在</w:t>
      </w:r>
      <w:r>
        <w:rPr>
          <w:rFonts w:ascii="Arial" w:hAnsi="宋体" w:cs="Arial" w:hint="eastAsia"/>
          <w:kern w:val="0"/>
          <w:szCs w:val="21"/>
        </w:rPr>
        <w:t>2</w:t>
      </w:r>
      <w:r>
        <w:rPr>
          <w:rFonts w:ascii="Arial" w:hAnsi="宋体" w:cs="Arial" w:hint="eastAsia"/>
          <w:kern w:val="0"/>
          <w:szCs w:val="21"/>
        </w:rPr>
        <w:t>日内在</w:t>
      </w:r>
      <w:r>
        <w:rPr>
          <w:rFonts w:ascii="Arial" w:hAnsi="宋体" w:cs="Arial"/>
          <w:kern w:val="0"/>
          <w:szCs w:val="21"/>
        </w:rPr>
        <w:t>指定媒</w:t>
      </w:r>
      <w:r>
        <w:rPr>
          <w:rFonts w:ascii="Arial" w:hAnsi="宋体" w:cs="Arial" w:hint="eastAsia"/>
          <w:kern w:val="0"/>
          <w:szCs w:val="21"/>
        </w:rPr>
        <w:t>介</w:t>
      </w:r>
      <w:r>
        <w:rPr>
          <w:rFonts w:ascii="Arial" w:hAnsi="宋体" w:cs="Arial"/>
          <w:kern w:val="0"/>
          <w:szCs w:val="21"/>
        </w:rPr>
        <w:t>予以上公告；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）暂停接受和延缓支付：本基金连续两个或两个以上开放日发生巨额赎回的为连续巨额赎回，如基金管理人认为有必要，可暂停接受赎回申请；已经接受的赎回申请可以延缓支付赎回款项，但延缓期限不得超过</w:t>
      </w:r>
      <w:r>
        <w:rPr>
          <w:rFonts w:ascii="Arial" w:hAnsi="Arial" w:cs="Arial"/>
          <w:kern w:val="0"/>
          <w:szCs w:val="21"/>
        </w:rPr>
        <w:t>20</w:t>
      </w:r>
      <w:r>
        <w:rPr>
          <w:rFonts w:ascii="Arial" w:hAnsi="宋体" w:cs="Arial"/>
          <w:kern w:val="0"/>
          <w:szCs w:val="21"/>
        </w:rPr>
        <w:t>个工作日，并应当在指定媒介上公告。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（十）拒绝或暂停申购、暂停赎回的情形及处理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、在如下情况下，基金管理人可以拒绝或暂停接受投资者的申购申请：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）因不可抗力导致基金管理人无法受理投资者的申购申请；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）证券交易场所交易时间非正常停市，导致基金管理人无法计算当日基金</w:t>
      </w:r>
      <w:r>
        <w:rPr>
          <w:rFonts w:ascii="Arial" w:hAnsi="宋体" w:cs="Arial" w:hint="eastAsia"/>
          <w:kern w:val="0"/>
          <w:szCs w:val="21"/>
        </w:rPr>
        <w:t>资</w:t>
      </w:r>
      <w:r>
        <w:rPr>
          <w:rFonts w:ascii="Arial" w:hAnsi="宋体" w:cs="Arial"/>
          <w:kern w:val="0"/>
          <w:szCs w:val="21"/>
        </w:rPr>
        <w:t>产净值；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）发生本基金合同规定的暂停基金资产估值情况；</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）基金资产规模过大，使基金管理人无法找到合适的投资品种，或其他可能对基金业绩产生负面影响，从而损害现有基金份额持有人的利益的情形；</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）基金管理人认为接受某笔或某些申购申请可能会影响或损害现有基金份额持有人利益</w:t>
      </w:r>
      <w:r>
        <w:rPr>
          <w:rFonts w:ascii="Arial" w:hAnsi="宋体" w:cs="Arial" w:hint="eastAsia"/>
          <w:kern w:val="0"/>
          <w:szCs w:val="21"/>
        </w:rPr>
        <w:t>或对存量基金份额持有人利益构成潜在重大不利影响时；</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w:t>
      </w:r>
      <w:r>
        <w:rPr>
          <w:rFonts w:ascii="Arial" w:hAnsi="Arial" w:cs="Arial" w:hint="eastAsia"/>
          <w:kern w:val="0"/>
          <w:szCs w:val="21"/>
        </w:rPr>
        <w:t>6</w:t>
      </w:r>
      <w:r>
        <w:rPr>
          <w:rFonts w:ascii="Arial" w:hAnsi="Arial" w:cs="Arial" w:hint="eastAsia"/>
          <w:kern w:val="0"/>
          <w:szCs w:val="21"/>
        </w:rPr>
        <w:t>）当前一估值日基金资产净值</w:t>
      </w:r>
      <w:r>
        <w:rPr>
          <w:rFonts w:ascii="Arial" w:hAnsi="Arial" w:cs="Arial" w:hint="eastAsia"/>
          <w:kern w:val="0"/>
          <w:szCs w:val="21"/>
        </w:rPr>
        <w:t>50%</w:t>
      </w:r>
      <w:r>
        <w:rPr>
          <w:rFonts w:ascii="Arial" w:hAnsi="Arial" w:cs="Arial" w:hint="eastAsia"/>
          <w:kern w:val="0"/>
          <w:szCs w:val="21"/>
        </w:rPr>
        <w:t>以上的资产出现无可参考的活跃市场价格且采用估值技术仍导致公允价值存在重大不确定性时，经与基金托管人协商确认后，基金管理人应当暂停接受基金申购申请；</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w:t>
      </w:r>
      <w:r>
        <w:rPr>
          <w:rFonts w:ascii="Arial" w:hAnsi="Arial" w:cs="Arial" w:hint="eastAsia"/>
          <w:kern w:val="0"/>
          <w:szCs w:val="21"/>
        </w:rPr>
        <w:t>7</w:t>
      </w:r>
      <w:r>
        <w:rPr>
          <w:rFonts w:ascii="Arial" w:hAnsi="Arial" w:cs="Arial" w:hint="eastAsia"/>
          <w:kern w:val="0"/>
          <w:szCs w:val="21"/>
        </w:rPr>
        <w:t>）基金管理人接受某笔或者某些申购申请有可能导致单一投资者持有基金份额的比例达到或者超过</w:t>
      </w:r>
      <w:r>
        <w:rPr>
          <w:rFonts w:ascii="Arial" w:hAnsi="Arial" w:cs="Arial" w:hint="eastAsia"/>
          <w:kern w:val="0"/>
          <w:szCs w:val="21"/>
        </w:rPr>
        <w:t>50%</w:t>
      </w:r>
      <w:r>
        <w:rPr>
          <w:rFonts w:ascii="Arial" w:hAnsi="Arial" w:cs="Arial" w:hint="eastAsia"/>
          <w:kern w:val="0"/>
          <w:szCs w:val="21"/>
        </w:rPr>
        <w:t>，或者变相规避</w:t>
      </w:r>
      <w:r>
        <w:rPr>
          <w:rFonts w:ascii="Arial" w:hAnsi="Arial" w:cs="Arial" w:hint="eastAsia"/>
          <w:kern w:val="0"/>
          <w:szCs w:val="21"/>
        </w:rPr>
        <w:t>50%</w:t>
      </w:r>
      <w:r>
        <w:rPr>
          <w:rFonts w:ascii="Arial" w:hAnsi="Arial" w:cs="Arial" w:hint="eastAsia"/>
          <w:kern w:val="0"/>
          <w:szCs w:val="21"/>
        </w:rPr>
        <w:t>集中度的情形时；</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hint="eastAsia"/>
          <w:kern w:val="0"/>
          <w:szCs w:val="21"/>
        </w:rPr>
        <w:t>8</w:t>
      </w:r>
      <w:r>
        <w:rPr>
          <w:rFonts w:ascii="Arial" w:hAnsi="宋体" w:cs="Arial"/>
          <w:kern w:val="0"/>
          <w:szCs w:val="21"/>
        </w:rPr>
        <w:t>）法律法规规定或经中国证监会认定的其他情形。</w:t>
      </w:r>
    </w:p>
    <w:p w:rsidR="0057376A" w:rsidRDefault="00117DFA">
      <w:pPr>
        <w:autoSpaceDE w:val="0"/>
        <w:autoSpaceDN w:val="0"/>
        <w:snapToGrid w:val="0"/>
        <w:spacing w:line="360" w:lineRule="auto"/>
        <w:ind w:firstLineChars="200" w:firstLine="420"/>
        <w:textAlignment w:val="bottom"/>
        <w:rPr>
          <w:rFonts w:ascii="Arial" w:hAnsi="Arial" w:cs="Arial"/>
          <w:kern w:val="0"/>
          <w:szCs w:val="21"/>
        </w:rPr>
      </w:pPr>
      <w:r>
        <w:rPr>
          <w:rFonts w:ascii="Arial" w:hAnsi="宋体" w:cs="Arial"/>
          <w:kern w:val="0"/>
          <w:szCs w:val="21"/>
        </w:rPr>
        <w:t>基金管理人决定拒绝或暂停接受某些投资者的申购申请时，申购款项将全额退回投资者账户。当发生</w:t>
      </w:r>
      <w:r>
        <w:rPr>
          <w:rFonts w:ascii="Arial" w:hAnsi="宋体" w:cs="Arial"/>
        </w:rPr>
        <w:t>（</w:t>
      </w:r>
      <w:r>
        <w:rPr>
          <w:rFonts w:ascii="Arial" w:hAnsi="Arial" w:cs="Arial"/>
        </w:rPr>
        <w:t>1</w:t>
      </w:r>
      <w:r>
        <w:rPr>
          <w:rFonts w:ascii="Arial" w:hAnsi="宋体" w:cs="Arial"/>
        </w:rPr>
        <w:t>）、（</w:t>
      </w:r>
      <w:r>
        <w:rPr>
          <w:rFonts w:ascii="Arial" w:hAnsi="Arial" w:cs="Arial"/>
        </w:rPr>
        <w:t>2</w:t>
      </w:r>
      <w:r>
        <w:rPr>
          <w:rFonts w:ascii="Arial" w:hAnsi="宋体" w:cs="Arial"/>
        </w:rPr>
        <w:t>）、（</w:t>
      </w:r>
      <w:r>
        <w:rPr>
          <w:rFonts w:ascii="Arial" w:hAnsi="Arial" w:cs="Arial"/>
        </w:rPr>
        <w:t>3</w:t>
      </w:r>
      <w:r>
        <w:rPr>
          <w:rFonts w:ascii="Arial" w:hAnsi="宋体" w:cs="Arial"/>
        </w:rPr>
        <w:t>）、（</w:t>
      </w:r>
      <w:r>
        <w:rPr>
          <w:rFonts w:ascii="Arial" w:hAnsi="Arial" w:cs="Arial"/>
        </w:rPr>
        <w:t>4</w:t>
      </w:r>
      <w:r>
        <w:rPr>
          <w:rFonts w:ascii="Arial" w:hAnsi="宋体" w:cs="Arial"/>
        </w:rPr>
        <w:t>）、（</w:t>
      </w:r>
      <w:r>
        <w:rPr>
          <w:rFonts w:ascii="Arial" w:hAnsi="Arial" w:cs="Arial"/>
        </w:rPr>
        <w:t>6</w:t>
      </w:r>
      <w:r>
        <w:rPr>
          <w:rFonts w:ascii="Arial" w:hAnsi="宋体" w:cs="Arial"/>
        </w:rPr>
        <w:t>）</w:t>
      </w:r>
      <w:r>
        <w:rPr>
          <w:rFonts w:ascii="Arial" w:hAnsi="宋体" w:cs="Arial" w:hint="eastAsia"/>
        </w:rPr>
        <w:t>、（</w:t>
      </w:r>
      <w:r>
        <w:rPr>
          <w:rFonts w:ascii="Arial" w:hAnsi="宋体" w:cs="Arial" w:hint="eastAsia"/>
        </w:rPr>
        <w:t>8</w:t>
      </w:r>
      <w:r>
        <w:rPr>
          <w:rFonts w:ascii="Arial" w:hAnsi="宋体" w:cs="Arial" w:hint="eastAsia"/>
        </w:rPr>
        <w:t>）</w:t>
      </w:r>
      <w:r>
        <w:rPr>
          <w:rFonts w:ascii="Arial" w:hAnsi="宋体" w:cs="Arial"/>
          <w:kern w:val="0"/>
          <w:szCs w:val="21"/>
        </w:rPr>
        <w:t>项时，应当依法公告。在暂停申购的情形消除时，基金管理人应及时恢复申购业务的办理并依法公告。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、在以下情况下，基金管理人可以暂停接受投资者的赎回申请：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1</w:t>
      </w:r>
      <w:r>
        <w:rPr>
          <w:rFonts w:ascii="Arial" w:hAnsi="宋体" w:cs="Arial"/>
          <w:kern w:val="0"/>
          <w:szCs w:val="21"/>
        </w:rPr>
        <w:t>）因不可抗力导致基金管理人无法支付赎回款项；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）证券交易场所交易时间非正常停市，导致基金管理人无法计算当日基金资产净值；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）基金连续发生巨额赎回，根据本基金合同规定，可以暂停接受赎回申请的情况；</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）发生本基金合同规定的暂停基金资产估值的情况；</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w:t>
      </w:r>
      <w:r>
        <w:rPr>
          <w:rFonts w:ascii="Arial" w:hAnsi="宋体" w:cs="Arial" w:hint="eastAsia"/>
          <w:kern w:val="0"/>
          <w:szCs w:val="21"/>
        </w:rPr>
        <w:t>5</w:t>
      </w:r>
      <w:r>
        <w:rPr>
          <w:rFonts w:ascii="Arial" w:hAnsi="宋体" w:cs="Arial" w:hint="eastAsia"/>
          <w:kern w:val="0"/>
          <w:szCs w:val="21"/>
        </w:rPr>
        <w:t>）当前一估值日基金资产净值</w:t>
      </w:r>
      <w:r>
        <w:rPr>
          <w:rFonts w:ascii="Arial" w:hAnsi="宋体" w:cs="Arial" w:hint="eastAsia"/>
          <w:kern w:val="0"/>
          <w:szCs w:val="21"/>
        </w:rPr>
        <w:t>50%</w:t>
      </w:r>
      <w:r>
        <w:rPr>
          <w:rFonts w:ascii="Arial" w:hAnsi="宋体" w:cs="Arial" w:hint="eastAsia"/>
          <w:kern w:val="0"/>
          <w:szCs w:val="21"/>
        </w:rPr>
        <w:t>以上的资产出现无可参考的活跃市场价格且采用估值技术仍导致公允价值存在重大不确定性时，经与基金托管人协商确认后，基金管理人应当延缓支付赎回款项或暂停接受基金赎回申请；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hint="eastAsia"/>
          <w:kern w:val="0"/>
          <w:szCs w:val="21"/>
        </w:rPr>
        <w:t>6</w:t>
      </w:r>
      <w:r>
        <w:rPr>
          <w:rFonts w:ascii="Arial" w:hAnsi="宋体" w:cs="Arial"/>
          <w:kern w:val="0"/>
          <w:szCs w:val="21"/>
        </w:rPr>
        <w:t>）法律法规规定或经中国证监会认定的其他情形。</w:t>
      </w:r>
    </w:p>
    <w:p w:rsidR="0057376A" w:rsidRDefault="00117DFA">
      <w:pPr>
        <w:snapToGrid w:val="0"/>
        <w:spacing w:line="360" w:lineRule="auto"/>
        <w:ind w:firstLineChars="200" w:firstLine="420"/>
        <w:rPr>
          <w:rFonts w:ascii="Arial" w:hAnsi="Arial" w:cs="Arial"/>
          <w:szCs w:val="21"/>
        </w:rPr>
      </w:pPr>
      <w:r>
        <w:rPr>
          <w:rFonts w:ascii="宋体" w:hAnsi="宋体" w:hint="eastAsia"/>
        </w:rPr>
        <w:t>发生上述情形之一的，基金管理人应按规定向中国证监会备案，并及时公告。除非发生巨额赎回，对已接受的赎回申请，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同时，在出现上述第（</w:t>
      </w:r>
      <w:r>
        <w:t>3</w:t>
      </w:r>
      <w:r>
        <w:rPr>
          <w:rFonts w:ascii="宋体" w:hAnsi="宋体" w:hint="eastAsia"/>
        </w:rPr>
        <w:t>）款的情形时，对已接受的赎回申请可延期支付赎回款项，最长不超过</w:t>
      </w:r>
      <w:r>
        <w:t>20</w:t>
      </w:r>
      <w:r>
        <w:rPr>
          <w:rFonts w:ascii="宋体" w:hAnsi="宋体" w:hint="eastAsia"/>
        </w:rPr>
        <w:t>个工作日，并在指定媒介公告。投资者在申请赎回时可事先选择将当日可能未获受理部分予以撤销。</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在暂停赎回的情况消除时，基金管理人应及时恢复赎回业务的办理并依法公告。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、暂停基金的申购、赎回，基金管理人应按规定公告。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（十一）重新开放申购或赎回的公告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）如果发生暂停的时间为一天，基金管理人将</w:t>
      </w:r>
      <w:r>
        <w:rPr>
          <w:rFonts w:ascii="Arial" w:hAnsi="宋体" w:cs="Arial" w:hint="eastAsia"/>
          <w:kern w:val="0"/>
          <w:szCs w:val="21"/>
        </w:rPr>
        <w:t>按规定</w:t>
      </w:r>
      <w:r>
        <w:rPr>
          <w:rFonts w:ascii="Arial" w:hAnsi="宋体" w:cs="Arial"/>
          <w:kern w:val="0"/>
          <w:szCs w:val="21"/>
        </w:rPr>
        <w:t>在指定媒介，刊登基金重新开放申购或赎回的公告，并公告最近一个开放日的基金份额净值；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）如果发生暂停的时间超过一天但少于两周，暂停结束，基金重新开放申购或赎回时，基金管理人将</w:t>
      </w:r>
      <w:r>
        <w:rPr>
          <w:rFonts w:ascii="Arial" w:hAnsi="宋体" w:cs="Arial" w:hint="eastAsia"/>
          <w:kern w:val="0"/>
          <w:szCs w:val="21"/>
        </w:rPr>
        <w:t>按规定</w:t>
      </w:r>
      <w:r>
        <w:rPr>
          <w:rFonts w:ascii="Arial" w:hAnsi="宋体" w:cs="Arial"/>
          <w:kern w:val="0"/>
          <w:szCs w:val="21"/>
        </w:rPr>
        <w:t>在指定媒介，刊登基金重新开放申购或赎回的公告，并在重新开放申购或赎回日公告最近一个开放日的基金份额净值；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w:t>
      </w:r>
      <w:r>
        <w:rPr>
          <w:rFonts w:ascii="Arial" w:hAnsi="宋体" w:cs="Arial" w:hint="eastAsia"/>
          <w:kern w:val="0"/>
          <w:szCs w:val="21"/>
        </w:rPr>
        <w:t>2</w:t>
      </w:r>
      <w:r>
        <w:rPr>
          <w:rFonts w:ascii="Arial" w:hAnsi="宋体" w:cs="Arial"/>
          <w:kern w:val="0"/>
          <w:szCs w:val="21"/>
        </w:rPr>
        <w:t>日在指定媒介连续刊登基金重新开放申购或赎回的公告，并在重新开放申购或赎回日公告最近一个开放日的基金份额净值。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（十二）基金转换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基金管理人可以根据相关法律法规以及本基金合同的规定，在条件成熟的情况下提供本基金与基金管理人管理的</w:t>
      </w:r>
      <w:r>
        <w:rPr>
          <w:rFonts w:ascii="Arial" w:hAnsi="宋体" w:cs="Arial" w:hint="eastAsia"/>
          <w:kern w:val="0"/>
          <w:szCs w:val="21"/>
        </w:rPr>
        <w:t>，且</w:t>
      </w:r>
      <w:r>
        <w:rPr>
          <w:rFonts w:ascii="Arial" w:hAnsi="宋体" w:cs="Arial"/>
          <w:kern w:val="0"/>
          <w:szCs w:val="21"/>
        </w:rPr>
        <w:t>在同一基金注册登记机构办理注册登记</w:t>
      </w:r>
      <w:r>
        <w:rPr>
          <w:rFonts w:ascii="Arial" w:hAnsi="宋体" w:cs="Arial" w:hint="eastAsia"/>
          <w:kern w:val="0"/>
          <w:szCs w:val="21"/>
        </w:rPr>
        <w:t>的</w:t>
      </w:r>
      <w:r>
        <w:rPr>
          <w:rFonts w:ascii="Arial" w:hAnsi="宋体" w:cs="Arial"/>
          <w:kern w:val="0"/>
          <w:szCs w:val="21"/>
        </w:rPr>
        <w:t>其他基金之间的转换服务。基金转换可以根据有关法律法规的规定收取一定的转换费，相关规则由基金管理人届时根据相关法律法规及本基金合同的规定制定并公告。</w:t>
      </w:r>
      <w:bookmarkStart w:id="15" w:name="_Toc107116886"/>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16" w:name="_Toc253128698"/>
      <w:r>
        <w:rPr>
          <w:rFonts w:eastAsia="宋体" w:hAnsi="宋体" w:cs="Arial"/>
          <w:kern w:val="0"/>
          <w:sz w:val="28"/>
          <w:szCs w:val="28"/>
        </w:rPr>
        <w:t>七、基金的非交易过户、转托管、冻结与质押</w:t>
      </w:r>
      <w:bookmarkEnd w:id="15"/>
      <w:bookmarkEnd w:id="16"/>
    </w:p>
    <w:p w:rsidR="0057376A" w:rsidRDefault="00117DFA">
      <w:pPr>
        <w:snapToGrid w:val="0"/>
        <w:spacing w:line="360" w:lineRule="auto"/>
        <w:ind w:firstLineChars="200" w:firstLine="420"/>
        <w:rPr>
          <w:rFonts w:ascii="Arial" w:hAnsi="宋体" w:cs="Arial"/>
          <w:kern w:val="0"/>
          <w:szCs w:val="21"/>
        </w:rPr>
      </w:pPr>
      <w:r>
        <w:rPr>
          <w:rFonts w:hint="eastAsia"/>
          <w:kern w:val="0"/>
        </w:rPr>
        <w:t>非交易过户是指在继承、捐赠、司法强制执行等</w:t>
      </w:r>
      <w:r>
        <w:rPr>
          <w:kern w:val="0"/>
        </w:rPr>
        <w:t>非交易</w:t>
      </w:r>
      <w:r>
        <w:rPr>
          <w:rFonts w:hint="eastAsia"/>
          <w:kern w:val="0"/>
        </w:rPr>
        <w:t>情况下</w:t>
      </w:r>
      <w:r>
        <w:t>发生的基金份额所有权转移的行为</w:t>
      </w:r>
      <w:r>
        <w:rPr>
          <w:rFonts w:hint="eastAsia"/>
        </w:rPr>
        <w:t>。无论在上述何种情况下，接受划转的主体必须是合格的投资人。</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（一）</w:t>
      </w:r>
      <w:r>
        <w:rPr>
          <w:rFonts w:ascii="Arial" w:hAnsi="宋体" w:cs="Arial"/>
          <w:szCs w:val="21"/>
        </w:rPr>
        <w:t>基金注册登记机构只受理继承、捐赠、司法强制执行和经注册登记机构认可的其他情况下的非交易过户。其中：</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w:t>
      </w:r>
      <w:r>
        <w:rPr>
          <w:rFonts w:ascii="Arial" w:hAnsi="宋体" w:cs="Arial"/>
          <w:szCs w:val="21"/>
        </w:rPr>
        <w:t>继承</w:t>
      </w:r>
      <w:r>
        <w:rPr>
          <w:rFonts w:ascii="Arial" w:hAnsi="Arial" w:cs="Arial"/>
          <w:szCs w:val="21"/>
        </w:rPr>
        <w:t>”</w:t>
      </w:r>
      <w:r>
        <w:rPr>
          <w:rFonts w:ascii="Arial" w:hAnsi="宋体" w:cs="Arial"/>
          <w:szCs w:val="21"/>
        </w:rPr>
        <w:t>指基金份额持有人死亡</w:t>
      </w:r>
      <w:r>
        <w:rPr>
          <w:rFonts w:ascii="Arial" w:hAnsi="Arial" w:cs="Arial"/>
          <w:szCs w:val="21"/>
        </w:rPr>
        <w:t>,</w:t>
      </w:r>
      <w:r>
        <w:rPr>
          <w:rFonts w:ascii="Arial" w:hAnsi="宋体" w:cs="Arial"/>
          <w:szCs w:val="21"/>
        </w:rPr>
        <w:t>其持有的基金份额由其合法的继承人继承；</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w:t>
      </w:r>
      <w:r>
        <w:rPr>
          <w:rFonts w:ascii="Arial" w:hAnsi="宋体" w:cs="Arial"/>
          <w:szCs w:val="21"/>
        </w:rPr>
        <w:t>捐赠</w:t>
      </w:r>
      <w:r>
        <w:rPr>
          <w:rFonts w:ascii="Arial" w:hAnsi="Arial" w:cs="Arial"/>
          <w:szCs w:val="21"/>
        </w:rPr>
        <w:t>”</w:t>
      </w:r>
      <w:r>
        <w:rPr>
          <w:rFonts w:ascii="Arial" w:hAnsi="宋体" w:cs="Arial"/>
          <w:szCs w:val="21"/>
        </w:rPr>
        <w:t>仅指基金份额持有人将其合法持有的基金份额捐赠给福利性质的基金会或社会团体的情形；</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w:t>
      </w:r>
      <w:r>
        <w:rPr>
          <w:rFonts w:ascii="Arial" w:hAnsi="宋体" w:cs="Arial"/>
          <w:szCs w:val="21"/>
        </w:rPr>
        <w:t>司法强制执行</w:t>
      </w:r>
      <w:r>
        <w:rPr>
          <w:rFonts w:ascii="Arial" w:hAnsi="Arial" w:cs="Arial"/>
          <w:szCs w:val="21"/>
        </w:rPr>
        <w:t>”</w:t>
      </w:r>
      <w:r>
        <w:rPr>
          <w:rFonts w:ascii="Arial" w:hAnsi="宋体" w:cs="Arial"/>
          <w:szCs w:val="21"/>
        </w:rPr>
        <w:t>是指司法机构依据生效司法文书将基金份额持有人持有的基金份额强制划转给其他自然人、法人、社会团体或其他组织。</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非交易过户业务必须根据基金注册登记机构有关业务规则办理，并提供基金注册登记机构规定的相关资料。</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（二）符合条件的非交易过户申请自申请受理日起二个月内办理；申请人按基金注册登记机构规定的标准缴纳过户费用。</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（三）基金份额持有人可以办理其基金份额在不同销售机构的转托管手续。转托管在转出方进行申报，基金份额转托管一次完成。投资者于</w:t>
      </w:r>
      <w:r>
        <w:rPr>
          <w:rFonts w:ascii="Arial" w:hAnsi="Arial" w:cs="Arial"/>
          <w:szCs w:val="21"/>
        </w:rPr>
        <w:t>T</w:t>
      </w:r>
      <w:r>
        <w:rPr>
          <w:rFonts w:ascii="Arial" w:hAnsi="宋体" w:cs="Arial"/>
          <w:szCs w:val="21"/>
        </w:rPr>
        <w:t>日转托管基金份额成功后，转托管份额于</w:t>
      </w:r>
      <w:r>
        <w:rPr>
          <w:rFonts w:ascii="Arial" w:hAnsi="Arial" w:cs="Arial"/>
          <w:szCs w:val="21"/>
        </w:rPr>
        <w:t>T+1</w:t>
      </w:r>
      <w:r>
        <w:rPr>
          <w:rFonts w:ascii="Arial" w:hAnsi="宋体" w:cs="Arial"/>
          <w:szCs w:val="21"/>
        </w:rPr>
        <w:t>日到达转入方网点，投资者可于</w:t>
      </w:r>
      <w:r>
        <w:rPr>
          <w:rFonts w:ascii="Arial" w:hAnsi="Arial" w:cs="Arial"/>
          <w:szCs w:val="21"/>
        </w:rPr>
        <w:t>T+2</w:t>
      </w:r>
      <w:r>
        <w:rPr>
          <w:rFonts w:ascii="Arial" w:hAnsi="宋体" w:cs="Arial"/>
          <w:szCs w:val="21"/>
        </w:rPr>
        <w:t>日起赎回该部分基金份额。</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（四）基金注册登记机构只受理国家有权机关依法要求的基金账户或基金份额的冻结与解冻。基金账户或基金份额被冻结的，被冻结部分产生的权益（包括现金分红和红利再投资）一并冻结。</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szCs w:val="21"/>
        </w:rPr>
        <w:t>（五）</w:t>
      </w:r>
      <w:r>
        <w:rPr>
          <w:rFonts w:ascii="Arial" w:hAnsi="宋体" w:cs="Arial"/>
          <w:color w:val="000000"/>
          <w:kern w:val="0"/>
          <w:szCs w:val="21"/>
        </w:rPr>
        <w:t>如相关法律法规允许基金管理人办理基金份额的质押业务或其他基金业务，基金管理人将制定和实施相应的业务规则</w:t>
      </w:r>
      <w:r>
        <w:rPr>
          <w:rFonts w:ascii="Arial" w:hAnsi="宋体" w:cs="Arial"/>
          <w:szCs w:val="21"/>
        </w:rPr>
        <w:t>。</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17" w:name="_Toc88037842"/>
      <w:bookmarkStart w:id="18" w:name="_Toc253128699"/>
      <w:r>
        <w:rPr>
          <w:rFonts w:eastAsia="宋体" w:hAnsi="宋体" w:cs="Arial"/>
          <w:kern w:val="0"/>
          <w:sz w:val="28"/>
          <w:szCs w:val="28"/>
        </w:rPr>
        <w:t>八、基金合同当事人及其权利义务</w:t>
      </w:r>
      <w:bookmarkEnd w:id="17"/>
      <w:bookmarkEnd w:id="18"/>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（一）基金管理人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、基金管理人基本情况</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名称：博时基金管理有限公司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住所：</w:t>
      </w:r>
      <w:r w:rsidR="00AF56F2" w:rsidRPr="00AF56F2">
        <w:rPr>
          <w:rFonts w:ascii="Arial" w:hAnsi="宋体" w:cs="Arial" w:hint="eastAsia"/>
          <w:szCs w:val="21"/>
        </w:rPr>
        <w:t>深圳市福田区莲花街道福新社区益田路</w:t>
      </w:r>
      <w:r w:rsidR="00AF56F2" w:rsidRPr="00AF56F2">
        <w:rPr>
          <w:rFonts w:ascii="Arial" w:hAnsi="宋体" w:cs="Arial" w:hint="eastAsia"/>
          <w:szCs w:val="21"/>
        </w:rPr>
        <w:t>5999</w:t>
      </w:r>
      <w:r w:rsidR="00AF56F2" w:rsidRPr="00AF56F2">
        <w:rPr>
          <w:rFonts w:ascii="Arial" w:hAnsi="宋体" w:cs="Arial" w:hint="eastAsia"/>
          <w:szCs w:val="21"/>
        </w:rPr>
        <w:t>号基金大厦</w:t>
      </w:r>
      <w:r w:rsidR="00AF56F2" w:rsidRPr="00AF56F2">
        <w:rPr>
          <w:rFonts w:ascii="Arial" w:hAnsi="宋体" w:cs="Arial" w:hint="eastAsia"/>
          <w:szCs w:val="21"/>
        </w:rPr>
        <w:t>21</w:t>
      </w:r>
      <w:r w:rsidR="00AF56F2" w:rsidRPr="00AF56F2">
        <w:rPr>
          <w:rFonts w:ascii="Arial" w:hAnsi="宋体" w:cs="Arial" w:hint="eastAsia"/>
          <w:szCs w:val="21"/>
        </w:rPr>
        <w:t>层</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法定代表人：</w:t>
      </w:r>
      <w:r>
        <w:rPr>
          <w:rFonts w:ascii="Arial" w:hAnsi="宋体" w:cs="Arial" w:hint="eastAsia"/>
          <w:szCs w:val="21"/>
        </w:rPr>
        <w:t>张光华</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成立日期：</w:t>
      </w:r>
      <w:r>
        <w:rPr>
          <w:rFonts w:ascii="Arial" w:hAnsi="Arial" w:cs="Arial"/>
          <w:szCs w:val="21"/>
        </w:rPr>
        <w:t>1998</w:t>
      </w:r>
      <w:r>
        <w:rPr>
          <w:rFonts w:ascii="Arial" w:hAnsi="宋体" w:cs="Arial"/>
          <w:szCs w:val="21"/>
        </w:rPr>
        <w:t>年</w:t>
      </w:r>
      <w:r>
        <w:rPr>
          <w:rFonts w:ascii="Arial" w:hAnsi="Arial" w:cs="Arial"/>
          <w:szCs w:val="21"/>
        </w:rPr>
        <w:t>7</w:t>
      </w:r>
      <w:r>
        <w:rPr>
          <w:rFonts w:ascii="Arial" w:hAnsi="宋体" w:cs="Arial"/>
          <w:szCs w:val="21"/>
        </w:rPr>
        <w:t>月</w:t>
      </w:r>
      <w:r>
        <w:rPr>
          <w:rFonts w:ascii="Arial" w:hAnsi="Arial" w:cs="Arial"/>
          <w:szCs w:val="21"/>
        </w:rPr>
        <w:t>13</w:t>
      </w:r>
      <w:r>
        <w:rPr>
          <w:rFonts w:ascii="Arial" w:hAnsi="宋体" w:cs="Arial"/>
          <w:szCs w:val="21"/>
        </w:rPr>
        <w:t>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批准设立机关：中国证券监督管理委员会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批准设立文号：中国证监会证监基金字</w:t>
      </w:r>
      <w:r>
        <w:rPr>
          <w:rFonts w:ascii="Arial" w:hAnsi="Arial" w:cs="Arial"/>
          <w:kern w:val="0"/>
          <w:szCs w:val="21"/>
        </w:rPr>
        <w:t xml:space="preserve"> </w:t>
      </w:r>
      <w:r>
        <w:rPr>
          <w:rFonts w:ascii="Arial" w:hAnsi="宋体" w:cs="Arial"/>
          <w:szCs w:val="21"/>
        </w:rPr>
        <w:t>【</w:t>
      </w:r>
      <w:r>
        <w:rPr>
          <w:rFonts w:ascii="Arial" w:hAnsi="Arial" w:cs="Arial"/>
          <w:szCs w:val="21"/>
        </w:rPr>
        <w:t>1998</w:t>
      </w:r>
      <w:r>
        <w:rPr>
          <w:rFonts w:ascii="Arial" w:hAnsi="宋体" w:cs="Arial"/>
          <w:szCs w:val="21"/>
        </w:rPr>
        <w:t>】</w:t>
      </w:r>
      <w:r>
        <w:rPr>
          <w:rFonts w:ascii="Arial" w:hAnsi="Arial" w:cs="Arial"/>
          <w:szCs w:val="21"/>
        </w:rPr>
        <w:t>26</w:t>
      </w:r>
      <w:r>
        <w:rPr>
          <w:rFonts w:ascii="Arial" w:hAnsi="宋体" w:cs="Arial"/>
          <w:szCs w:val="21"/>
        </w:rPr>
        <w:t>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经营范围：</w:t>
      </w:r>
      <w:r>
        <w:rPr>
          <w:rFonts w:ascii="Arial" w:hAnsi="Arial" w:cs="Arial" w:hint="eastAsia"/>
          <w:szCs w:val="21"/>
        </w:rPr>
        <w:t>基金募集；基金销售；资产管理；中国证监会许可的其他业务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组织形式：有限责任公司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注册资本：</w:t>
      </w:r>
      <w:r>
        <w:rPr>
          <w:rFonts w:ascii="Arial" w:hAnsi="Arial" w:cs="Arial"/>
          <w:kern w:val="0"/>
          <w:szCs w:val="21"/>
        </w:rPr>
        <w:t>2.5</w:t>
      </w:r>
      <w:r>
        <w:rPr>
          <w:rFonts w:ascii="Arial" w:hAnsi="宋体" w:cs="Arial"/>
          <w:kern w:val="0"/>
          <w:szCs w:val="21"/>
        </w:rPr>
        <w:t>亿元人民币</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存续期间：持续经营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、基金管理人的权利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）依法募集基金，办理基金备案手续；</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）依照法律法规和基金合同独立管理运用基金</w:t>
      </w:r>
      <w:r>
        <w:rPr>
          <w:rFonts w:ascii="Arial" w:hAnsi="宋体" w:cs="Arial" w:hint="eastAsia"/>
          <w:kern w:val="0"/>
          <w:szCs w:val="21"/>
        </w:rPr>
        <w:t>财</w:t>
      </w:r>
      <w:r>
        <w:rPr>
          <w:rFonts w:ascii="Arial" w:hAnsi="宋体" w:cs="Arial"/>
          <w:kern w:val="0"/>
          <w:szCs w:val="21"/>
        </w:rPr>
        <w:t>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）根据法律法规和基金合同的规定，制订、修改并公布有关基金认购、申购、赎回、转托管、基金转换、非交易过户、冻结、收益分配等方面的业务规则；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）根据法律法规和基金合同的规定决定本基金的相关费率结构和收费方式，获得基金管理费，收取认购费、申购费、赎回费及其他事先核准或公告的合理费用以及法律法规规定的其他费用；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）根据法律法规和基金合同的规定销售基金份额；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w:t>
      </w:r>
      <w:r>
        <w:rPr>
          <w:rFonts w:ascii="Arial" w:hAnsi="宋体" w:cs="Arial"/>
          <w:szCs w:val="21"/>
        </w:rPr>
        <w:t>在本合同的有效期内，在不违反公平、合理原则以及不妨碍基金托管人遵守相关法律法规及其行业监管要求的基础上，基金管理人有权对基金托管人履行本合同的情况进行必要的监督。</w:t>
      </w:r>
      <w:r>
        <w:rPr>
          <w:rFonts w:ascii="Arial" w:hAnsi="宋体" w:cs="Arial"/>
          <w:kern w:val="0"/>
          <w:szCs w:val="21"/>
        </w:rPr>
        <w:t>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）根据基金合同的规定选择适当的基金代销机构并有权依照代销协议和有关法律法规对基金代销机构行为进行必要的监督和检查；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）自行担任基金注册登记机构或选择、更换基金注册登记代理机构，办理基金注册登记业务，并按照基金合同规定对基金注册登记代理机构进行必要的监督和检查；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）在基金合同约定的范围内，拒绝或暂停受理申购和赎回的申请；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）在法律法规允许的前提下，为基金份额持有人的利益依法为基金进行融资、融</w:t>
      </w:r>
      <w:r>
        <w:rPr>
          <w:rFonts w:ascii="Arial" w:hAnsi="宋体" w:cs="Arial"/>
          <w:kern w:val="0"/>
          <w:szCs w:val="21"/>
        </w:rPr>
        <w:lastRenderedPageBreak/>
        <w:t>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11</w:t>
      </w:r>
      <w:r>
        <w:rPr>
          <w:rFonts w:ascii="Arial" w:hAnsi="宋体" w:cs="Arial"/>
          <w:kern w:val="0"/>
          <w:szCs w:val="21"/>
        </w:rPr>
        <w:t>）依据法律法规和基金合同的规定，制订基金收益分配方案；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12</w:t>
      </w:r>
      <w:r>
        <w:rPr>
          <w:rFonts w:ascii="Arial" w:hAnsi="宋体" w:cs="Arial"/>
          <w:kern w:val="0"/>
          <w:szCs w:val="21"/>
        </w:rPr>
        <w:t>）按照法律法规，代表基金对被投资企业行使股东权利，代表基金行使因投资于其他证券所产生的权利；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13</w:t>
      </w:r>
      <w:r>
        <w:rPr>
          <w:rFonts w:ascii="Arial" w:hAnsi="宋体" w:cs="Arial"/>
          <w:kern w:val="0"/>
          <w:szCs w:val="21"/>
        </w:rPr>
        <w:t>）在基金托管人职责终止时，提名新的基金托管人；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14</w:t>
      </w:r>
      <w:r>
        <w:rPr>
          <w:rFonts w:ascii="Arial" w:hAnsi="宋体" w:cs="Arial"/>
          <w:kern w:val="0"/>
          <w:szCs w:val="21"/>
        </w:rPr>
        <w:t>）依据法律法规和基金合同的规定，召集基金份额持有人大会；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15</w:t>
      </w:r>
      <w:r>
        <w:rPr>
          <w:rFonts w:ascii="Arial" w:hAnsi="宋体" w:cs="Arial"/>
          <w:kern w:val="0"/>
          <w:szCs w:val="21"/>
        </w:rPr>
        <w:t>）选择、更换律师、审计师、证券经纪商或其他为基金提供服务的外部机构并确定有关费率；</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16</w:t>
      </w:r>
      <w:r>
        <w:rPr>
          <w:rFonts w:ascii="Arial" w:hAnsi="宋体" w:cs="Arial"/>
          <w:kern w:val="0"/>
          <w:szCs w:val="21"/>
        </w:rPr>
        <w:t>）法律法规、基金合同规定的其他权利。</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、基金管理人的义务</w:t>
      </w:r>
    </w:p>
    <w:p w:rsidR="0057376A" w:rsidRDefault="00117DFA">
      <w:pPr>
        <w:snapToGrid w:val="0"/>
        <w:spacing w:line="360" w:lineRule="auto"/>
        <w:ind w:firstLineChars="200" w:firstLine="420"/>
        <w:rPr>
          <w:rFonts w:ascii="Arial" w:hAnsi="Arial" w:cs="Arial"/>
          <w:color w:val="FF0000"/>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w:t>
      </w:r>
      <w:r>
        <w:rPr>
          <w:rFonts w:ascii="Arial" w:hAnsi="宋体" w:cs="Arial"/>
          <w:color w:val="000000"/>
          <w:kern w:val="0"/>
          <w:szCs w:val="21"/>
        </w:rPr>
        <w:t>依法申请并募集基金，办理或者委托经中国证监会认定的其他机构代为办理基金份额的发售、申购、赎回和登记事宜；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w:t>
      </w:r>
      <w:r>
        <w:rPr>
          <w:rFonts w:ascii="Arial" w:hAnsi="宋体" w:cs="Arial"/>
          <w:color w:val="000000"/>
          <w:kern w:val="0"/>
          <w:szCs w:val="21"/>
        </w:rPr>
        <w:t>办理基金备案手续；</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）自基金合同生效之日起，以诚实信用、勤勉尽责的原则管理和运用基金财产；</w:t>
      </w:r>
    </w:p>
    <w:p w:rsidR="0057376A" w:rsidRDefault="00117DFA">
      <w:pPr>
        <w:snapToGrid w:val="0"/>
        <w:spacing w:line="360" w:lineRule="auto"/>
        <w:ind w:firstLineChars="200" w:firstLine="420"/>
        <w:rPr>
          <w:rFonts w:ascii="Arial" w:hAnsi="Arial" w:cs="Arial"/>
          <w:color w:val="FF0000"/>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）配备足够的具有专业资格的人员进行基金投资分析、决策，以专业化的经营方式管理和运作基金财产；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）建立健全内部风险控制、监察与稽核、财务管理及人事管理等制度，保证所管理的基金财产和基金管理人的财产相互独立，对所管理的不同基金分别管理、分别记账，进行证券投资；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）按基金合同的约定确定基金收益分配方案，及时向基金份额持有人分配基金收益；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）除依据《基金法》、基金合同及其他有关规定外，不得为自己及任何第三人谋取利益，不得委托第三人运作基金财产；</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）进行基金会计核算并编制基金的财务会计报告；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）依法接受基金托管人的监督；</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）编制季度报告、中期报告和年度报告；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11</w:t>
      </w:r>
      <w:r>
        <w:rPr>
          <w:rFonts w:ascii="Arial" w:hAnsi="宋体" w:cs="Arial"/>
          <w:kern w:val="0"/>
          <w:szCs w:val="21"/>
        </w:rPr>
        <w:t>）采取适当合理的措施使计算开放式基金份额认购、申购、赎回和注销价格的方法符合基金合同等法律文件的规定；</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12</w:t>
      </w:r>
      <w:r>
        <w:rPr>
          <w:rFonts w:ascii="Arial" w:hAnsi="宋体" w:cs="Arial"/>
          <w:kern w:val="0"/>
          <w:szCs w:val="21"/>
        </w:rPr>
        <w:t>）计算并公告基金净值</w:t>
      </w:r>
      <w:r>
        <w:rPr>
          <w:rFonts w:ascii="Arial" w:hAnsi="宋体" w:cs="Arial" w:hint="eastAsia"/>
          <w:kern w:val="0"/>
          <w:szCs w:val="21"/>
        </w:rPr>
        <w:t>信息</w:t>
      </w:r>
      <w:r>
        <w:rPr>
          <w:rFonts w:ascii="Arial" w:hAnsi="宋体" w:cs="Arial"/>
          <w:kern w:val="0"/>
          <w:szCs w:val="21"/>
        </w:rPr>
        <w:t>，确定基金份额申购、赎回价格；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13</w:t>
      </w:r>
      <w:r>
        <w:rPr>
          <w:rFonts w:ascii="Arial" w:hAnsi="宋体" w:cs="Arial"/>
          <w:kern w:val="0"/>
          <w:szCs w:val="21"/>
        </w:rPr>
        <w:t>）严格按照《基金法》、基金合同及其他有关规定，履行信息披露及报告义务；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14</w:t>
      </w:r>
      <w:r>
        <w:rPr>
          <w:rFonts w:ascii="Arial" w:hAnsi="宋体" w:cs="Arial"/>
          <w:kern w:val="0"/>
          <w:szCs w:val="21"/>
        </w:rPr>
        <w:t>）保守基金商业秘密，不泄露基金投资计划、投资意向等。除基金法、基金合同及其他有关规定另有规定外，在基金信息公开披露前应予以保密，不得向他人泄露；</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15</w:t>
      </w:r>
      <w:r>
        <w:rPr>
          <w:rFonts w:ascii="Arial" w:hAnsi="宋体" w:cs="Arial"/>
          <w:kern w:val="0"/>
          <w:szCs w:val="21"/>
        </w:rPr>
        <w:t>）按规定受理申购和赎回申请，及时、足额支付赎回款项；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16</w:t>
      </w:r>
      <w:r>
        <w:rPr>
          <w:rFonts w:ascii="Arial" w:hAnsi="宋体" w:cs="Arial"/>
          <w:kern w:val="0"/>
          <w:szCs w:val="21"/>
        </w:rPr>
        <w:t>）保存基金财产管理业务活动的记录、账册、报表、代表基金签订的重大合同及其他相关资料；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17</w:t>
      </w:r>
      <w:r>
        <w:rPr>
          <w:rFonts w:ascii="Arial" w:hAnsi="宋体" w:cs="Arial"/>
          <w:kern w:val="0"/>
          <w:szCs w:val="21"/>
        </w:rPr>
        <w:t>）依据《基金法》、基金合同及其他有关规定召集基金份额持有人大会或配合基金托管人、基金份额持有人依法召集基金份额持有人大会；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18</w:t>
      </w:r>
      <w:r>
        <w:rPr>
          <w:rFonts w:ascii="Arial" w:hAnsi="宋体" w:cs="Arial"/>
          <w:kern w:val="0"/>
          <w:szCs w:val="21"/>
        </w:rPr>
        <w:t>）以基金管理人名义，代表基金份额持有人利益行使诉讼权利或实施其他法律行为；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19</w:t>
      </w:r>
      <w:r>
        <w:rPr>
          <w:rFonts w:ascii="Arial" w:hAnsi="宋体" w:cs="Arial"/>
          <w:kern w:val="0"/>
          <w:szCs w:val="21"/>
        </w:rPr>
        <w:t>）组织并参加基金财产清算小组，参与基金财产的保管、清理、估价、变现和分配；</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20</w:t>
      </w:r>
      <w:r>
        <w:rPr>
          <w:rFonts w:ascii="Arial" w:hAnsi="宋体" w:cs="Arial"/>
          <w:kern w:val="0"/>
          <w:szCs w:val="21"/>
        </w:rPr>
        <w:t>）因违反基金合同导致基金财产的损失或损害基金份额持有人的合法权益，应承担赔偿责任，其赔偿责任不因其退任而免除；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21</w:t>
      </w:r>
      <w:r>
        <w:rPr>
          <w:rFonts w:ascii="Arial" w:hAnsi="宋体" w:cs="Arial"/>
          <w:kern w:val="0"/>
          <w:szCs w:val="21"/>
        </w:rPr>
        <w:t>）基金托管人违反基金合同造成基金财产损失时，应为基金份额持有人利益向基金托管人追偿；</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22</w:t>
      </w:r>
      <w:r>
        <w:rPr>
          <w:rFonts w:ascii="Arial" w:hAnsi="宋体" w:cs="Arial"/>
          <w:kern w:val="0"/>
          <w:szCs w:val="21"/>
        </w:rPr>
        <w:t>）法律法规、基金合同及中国证监会规定的其他义务。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（二）基金托管人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、基金托管人基本情况</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名称：中国银行股份有限公司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住所：北京市复兴门内大街</w:t>
      </w:r>
      <w:r>
        <w:rPr>
          <w:rFonts w:ascii="Arial" w:hAnsi="Arial" w:cs="Arial"/>
          <w:kern w:val="0"/>
          <w:szCs w:val="21"/>
        </w:rPr>
        <w:t>1</w:t>
      </w:r>
      <w:r>
        <w:rPr>
          <w:rFonts w:ascii="Arial" w:hAnsi="宋体" w:cs="Arial"/>
          <w:kern w:val="0"/>
          <w:szCs w:val="21"/>
        </w:rPr>
        <w:t>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法定代表人：</w:t>
      </w:r>
      <w:r>
        <w:rPr>
          <w:rFonts w:ascii="Arial" w:hAnsi="宋体" w:cs="Arial" w:hint="eastAsia"/>
          <w:kern w:val="0"/>
          <w:szCs w:val="21"/>
        </w:rPr>
        <w:t>刘连舸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成立日期：</w:t>
      </w:r>
      <w:r>
        <w:rPr>
          <w:rFonts w:ascii="Arial" w:hAnsi="Arial" w:cs="Arial"/>
          <w:szCs w:val="21"/>
        </w:rPr>
        <w:t>1983</w:t>
      </w:r>
      <w:r>
        <w:rPr>
          <w:rFonts w:ascii="Arial" w:hAnsi="宋体" w:cs="Arial"/>
          <w:szCs w:val="21"/>
        </w:rPr>
        <w:t>年</w:t>
      </w:r>
      <w:r>
        <w:rPr>
          <w:rFonts w:ascii="Arial" w:hAnsi="Arial" w:cs="Arial"/>
          <w:szCs w:val="21"/>
        </w:rPr>
        <w:t>10</w:t>
      </w:r>
      <w:r>
        <w:rPr>
          <w:rFonts w:ascii="Arial" w:hAnsi="宋体" w:cs="Arial"/>
          <w:szCs w:val="21"/>
        </w:rPr>
        <w:t>月</w:t>
      </w:r>
      <w:r>
        <w:rPr>
          <w:rFonts w:ascii="Arial" w:hAnsi="Arial" w:cs="Arial"/>
          <w:szCs w:val="21"/>
        </w:rPr>
        <w:t>31</w:t>
      </w:r>
      <w:r>
        <w:rPr>
          <w:rFonts w:ascii="Arial" w:hAnsi="宋体" w:cs="Arial"/>
          <w:szCs w:val="21"/>
        </w:rPr>
        <w:t>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基金托管业务批准文号：中国证监会证监基字【</w:t>
      </w:r>
      <w:r>
        <w:rPr>
          <w:rFonts w:ascii="Arial" w:hAnsi="Arial" w:cs="Arial"/>
          <w:kern w:val="0"/>
          <w:szCs w:val="21"/>
        </w:rPr>
        <w:t>1998</w:t>
      </w:r>
      <w:r>
        <w:rPr>
          <w:rFonts w:ascii="Arial" w:hAnsi="宋体" w:cs="Arial"/>
          <w:kern w:val="0"/>
          <w:szCs w:val="21"/>
        </w:rPr>
        <w:t>】</w:t>
      </w:r>
      <w:r>
        <w:rPr>
          <w:rFonts w:ascii="Arial" w:hAnsi="Arial" w:cs="Arial"/>
          <w:kern w:val="0"/>
          <w:szCs w:val="21"/>
        </w:rPr>
        <w:t>24</w:t>
      </w:r>
      <w:r>
        <w:rPr>
          <w:rFonts w:ascii="Arial" w:hAnsi="宋体" w:cs="Arial"/>
          <w:kern w:val="0"/>
          <w:szCs w:val="21"/>
        </w:rPr>
        <w:t>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组织形式：股份有限公司</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注册资本：人民币</w:t>
      </w:r>
      <w:r>
        <w:rPr>
          <w:rFonts w:ascii="Arial" w:hAnsi="宋体" w:cs="Arial" w:hint="eastAsia"/>
          <w:kern w:val="0"/>
          <w:szCs w:val="21"/>
        </w:rPr>
        <w:t>29438779.124100</w:t>
      </w:r>
      <w:r>
        <w:rPr>
          <w:rFonts w:ascii="Arial" w:hAnsi="宋体" w:cs="Arial" w:hint="eastAsia"/>
          <w:kern w:val="0"/>
          <w:szCs w:val="21"/>
        </w:rPr>
        <w:t>万</w:t>
      </w:r>
      <w:r>
        <w:rPr>
          <w:rFonts w:ascii="Arial" w:hAnsi="宋体" w:cs="Arial"/>
          <w:kern w:val="0"/>
          <w:szCs w:val="21"/>
        </w:rPr>
        <w:t>元</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存续期间：持续经营</w:t>
      </w:r>
    </w:p>
    <w:p w:rsidR="0057376A" w:rsidRDefault="00117DFA">
      <w:pPr>
        <w:snapToGrid w:val="0"/>
        <w:spacing w:line="360" w:lineRule="auto"/>
        <w:ind w:leftChars="200" w:left="1418" w:hanging="998"/>
        <w:rPr>
          <w:rFonts w:ascii="Arial" w:hAnsi="宋体" w:cs="Arial"/>
          <w:kern w:val="0"/>
          <w:szCs w:val="21"/>
        </w:rPr>
      </w:pPr>
      <w:r>
        <w:rPr>
          <w:rFonts w:ascii="Arial" w:hAnsi="宋体" w:cs="Arial"/>
          <w:kern w:val="0"/>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币兑换；国际结算；同业外汇拆借；外汇票据的承兑和贴现；外汇借款；外汇担保；结汇、售汇；发行和代理发行股票以外的外币有价证券；买卖和代理买卖股票以外的外币有价证券；自营外汇买卖；代营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57376A" w:rsidRDefault="0057376A">
      <w:pPr>
        <w:snapToGrid w:val="0"/>
        <w:spacing w:line="360" w:lineRule="auto"/>
        <w:ind w:leftChars="200" w:left="1418" w:hanging="998"/>
        <w:rPr>
          <w:rFonts w:ascii="Arial" w:hAnsi="宋体" w:cs="Arial"/>
          <w:kern w:val="0"/>
          <w:szCs w:val="21"/>
        </w:rPr>
      </w:pP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1</w:t>
      </w:r>
      <w:r>
        <w:rPr>
          <w:rFonts w:ascii="Arial" w:hAnsi="宋体" w:cs="Arial"/>
          <w:kern w:val="0"/>
          <w:szCs w:val="21"/>
        </w:rPr>
        <w:t>）依据法律法规和基金合同的规定安全保管基金财产；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）依照基金合同的约定获得基金托管费；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）监督基金管理人对本基金的投资运作；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）在基金管理人职责终止时，提名新的基金管理人；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）依据法律法规和基金合同的规定召集基金份额持有人大会；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）法律法规、基金合同规定的其他权利。</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、基金托管人的义务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）安全保管基金财产；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）设立专门的基金托管部，具有符合要求的营业场所，配备足够的、合格的熟悉基金托管业务的专职人员，负责基金财产托管事宜；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）按规定开设基金财产的资金账户和证券账户；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）除依据《基金法》、基金合同及其他有关规定外，不得以基金财产为自己及任何第三人谋取利益，不得委托第三人托管基金财产；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）对所托管的不同基金财产分别设置账户，确保基金财产的完整和独立；</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）保管由基金管理人代表基金签订的与基金有关的重大合同及有关凭证；</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）保存基金托管业务活动的记录、账册、报表和其他相关资料；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）按照基金合同的约定，根据基金管理人的指令，及时办理清算、交割事宜；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）保守基金商业秘密。除《基金法》、基金合同及其他有关规定另有规定外，在基金信息公开披露前应予以保密，不得向他人泄露；</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）根据法律法规及本合同的约定，办理与基金托管业务活动有关的信息披露事项；</w:t>
      </w:r>
    </w:p>
    <w:p w:rsidR="0057376A" w:rsidRDefault="00117DFA">
      <w:pPr>
        <w:snapToGrid w:val="0"/>
        <w:spacing w:line="360" w:lineRule="auto"/>
        <w:ind w:firstLineChars="200" w:firstLine="420"/>
        <w:rPr>
          <w:rFonts w:ascii="Arial" w:hAnsi="Arial" w:cs="Arial"/>
          <w:color w:val="000000"/>
          <w:kern w:val="0"/>
          <w:szCs w:val="21"/>
        </w:rPr>
      </w:pPr>
      <w:r>
        <w:rPr>
          <w:rFonts w:ascii="Arial" w:hAnsi="宋体" w:cs="Arial"/>
          <w:color w:val="000000"/>
          <w:kern w:val="0"/>
          <w:szCs w:val="21"/>
        </w:rPr>
        <w:t>（</w:t>
      </w:r>
      <w:r>
        <w:rPr>
          <w:rFonts w:ascii="Arial" w:hAnsi="Arial" w:cs="Arial"/>
          <w:color w:val="000000"/>
          <w:kern w:val="0"/>
          <w:szCs w:val="21"/>
        </w:rPr>
        <w:t>11</w:t>
      </w:r>
      <w:r>
        <w:rPr>
          <w:rFonts w:ascii="Arial" w:hAnsi="宋体" w:cs="Arial"/>
          <w:color w:val="000000"/>
          <w:kern w:val="0"/>
          <w:szCs w:val="21"/>
        </w:rPr>
        <w:t>）对基金财务会计报告、</w:t>
      </w:r>
      <w:r>
        <w:rPr>
          <w:rFonts w:ascii="Arial" w:hAnsi="宋体" w:cs="Arial" w:hint="eastAsia"/>
          <w:color w:val="000000"/>
          <w:kern w:val="0"/>
          <w:szCs w:val="21"/>
        </w:rPr>
        <w:t>季度报告、中期报告</w:t>
      </w:r>
      <w:r>
        <w:rPr>
          <w:rFonts w:ascii="Arial" w:hAnsi="宋体" w:cs="Arial"/>
          <w:color w:val="000000"/>
          <w:kern w:val="0"/>
          <w:szCs w:val="21"/>
        </w:rPr>
        <w:t>和年度基金报告的相关内容出具意见，说明基金管理人在各重要方面的运作是否严格按照基金合同的规定进行；如果基金管理人有未执行基金合同规定的行为，还应当说明基金托管人是否采取了适当的措施；</w:t>
      </w:r>
    </w:p>
    <w:p w:rsidR="0057376A" w:rsidRDefault="00117DFA">
      <w:pPr>
        <w:snapToGrid w:val="0"/>
        <w:spacing w:line="360" w:lineRule="auto"/>
        <w:ind w:firstLineChars="200" w:firstLine="420"/>
        <w:rPr>
          <w:rFonts w:ascii="Arial" w:hAnsi="Arial" w:cs="Arial"/>
          <w:color w:val="000000"/>
          <w:kern w:val="0"/>
          <w:szCs w:val="21"/>
        </w:rPr>
      </w:pPr>
      <w:r>
        <w:rPr>
          <w:rFonts w:ascii="Arial" w:hAnsi="宋体" w:cs="Arial"/>
          <w:color w:val="000000"/>
          <w:kern w:val="0"/>
          <w:szCs w:val="21"/>
        </w:rPr>
        <w:t>（</w:t>
      </w:r>
      <w:r>
        <w:rPr>
          <w:rFonts w:ascii="Arial" w:hAnsi="Arial" w:cs="Arial"/>
          <w:color w:val="000000"/>
          <w:kern w:val="0"/>
          <w:szCs w:val="21"/>
        </w:rPr>
        <w:t>12</w:t>
      </w:r>
      <w:r>
        <w:rPr>
          <w:rFonts w:ascii="Arial" w:hAnsi="宋体" w:cs="Arial"/>
          <w:color w:val="000000"/>
          <w:kern w:val="0"/>
          <w:szCs w:val="21"/>
        </w:rPr>
        <w:t>）</w:t>
      </w:r>
      <w:r>
        <w:rPr>
          <w:rFonts w:ascii="Arial" w:hAnsi="宋体" w:cs="Arial" w:hint="eastAsia"/>
          <w:color w:val="000000"/>
          <w:kern w:val="0"/>
          <w:szCs w:val="21"/>
        </w:rPr>
        <w:t>建立并</w:t>
      </w:r>
      <w:r>
        <w:rPr>
          <w:rFonts w:ascii="Arial" w:hAnsi="宋体" w:cs="Arial"/>
          <w:color w:val="000000"/>
          <w:kern w:val="0"/>
          <w:szCs w:val="21"/>
        </w:rPr>
        <w:t>保存基金份额持有人名册；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13</w:t>
      </w:r>
      <w:r>
        <w:rPr>
          <w:rFonts w:ascii="Arial" w:hAnsi="宋体" w:cs="Arial"/>
          <w:kern w:val="0"/>
          <w:szCs w:val="21"/>
        </w:rPr>
        <w:t>）复核</w:t>
      </w:r>
      <w:r>
        <w:rPr>
          <w:rFonts w:ascii="Arial" w:hAnsi="宋体" w:cs="Arial" w:hint="eastAsia"/>
          <w:kern w:val="0"/>
          <w:szCs w:val="21"/>
        </w:rPr>
        <w:t>审查</w:t>
      </w:r>
      <w:r>
        <w:rPr>
          <w:rFonts w:ascii="Arial" w:hAnsi="宋体" w:cs="Arial"/>
          <w:kern w:val="0"/>
          <w:szCs w:val="21"/>
        </w:rPr>
        <w:t>基金管理人计算的基金资产净值</w:t>
      </w:r>
      <w:r>
        <w:rPr>
          <w:rFonts w:ascii="Arial" w:hAnsi="宋体" w:cs="Arial" w:hint="eastAsia"/>
          <w:kern w:val="0"/>
          <w:szCs w:val="21"/>
        </w:rPr>
        <w:t>、基金份额净值</w:t>
      </w:r>
      <w:r>
        <w:rPr>
          <w:rFonts w:ascii="Arial" w:hAnsi="宋体" w:cs="Arial"/>
          <w:kern w:val="0"/>
          <w:szCs w:val="21"/>
        </w:rPr>
        <w:t>和基金份额申购、赎回价格；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14</w:t>
      </w:r>
      <w:r>
        <w:rPr>
          <w:rFonts w:ascii="Arial" w:hAnsi="宋体" w:cs="Arial"/>
          <w:kern w:val="0"/>
          <w:szCs w:val="21"/>
        </w:rPr>
        <w:t>）按规定制作相关账册并与基金管理人核对；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15</w:t>
      </w:r>
      <w:r>
        <w:rPr>
          <w:rFonts w:ascii="Arial" w:hAnsi="宋体" w:cs="Arial"/>
          <w:kern w:val="0"/>
          <w:szCs w:val="21"/>
        </w:rPr>
        <w:t>）依据基金管理人的指令或有关规定向基金份额持有人支付基金收益和赎回款项；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16</w:t>
      </w:r>
      <w:r>
        <w:rPr>
          <w:rFonts w:ascii="Arial" w:hAnsi="宋体" w:cs="Arial"/>
          <w:kern w:val="0"/>
          <w:szCs w:val="21"/>
        </w:rPr>
        <w:t>）按照规定召集基金份额持有人大会或配合基金份额持有人依法自行召集基金份额持有人大会；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17</w:t>
      </w:r>
      <w:r>
        <w:rPr>
          <w:rFonts w:ascii="Arial" w:hAnsi="宋体" w:cs="Arial"/>
          <w:kern w:val="0"/>
          <w:szCs w:val="21"/>
        </w:rPr>
        <w:t>）按照法律法规监督基金管理人的投资运作；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18</w:t>
      </w:r>
      <w:r>
        <w:rPr>
          <w:rFonts w:ascii="Arial" w:hAnsi="宋体" w:cs="Arial"/>
          <w:kern w:val="0"/>
          <w:szCs w:val="21"/>
        </w:rPr>
        <w:t>）违反基金合同导致基金财产损失，应承担赔偿责任，其责任不因其退任而免除；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19</w:t>
      </w:r>
      <w:r>
        <w:rPr>
          <w:rFonts w:ascii="Arial" w:hAnsi="宋体" w:cs="Arial"/>
          <w:kern w:val="0"/>
          <w:szCs w:val="21"/>
        </w:rPr>
        <w:t>）因基金管理人违反基金合同造成基金财产损失时，应为基金向基金管理人追偿；</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20</w:t>
      </w:r>
      <w:r>
        <w:rPr>
          <w:rFonts w:ascii="Arial" w:hAnsi="宋体" w:cs="Arial"/>
          <w:kern w:val="0"/>
          <w:szCs w:val="21"/>
        </w:rPr>
        <w:t>）法律法规、基金合同及中国证监会规定的其他义务。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（三）基金份额持有人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本基金同类别基金份额的每份基金份额具有同等的合法权益。各类基金份额由于基金份额净值的不同，基金收益分配时的可供分配利润以及参与清算后的剩余基金财产分配的数量将可能有所不同。</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、基金份额持有人的权利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）分享基金财产收益；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）参与分配清算后的剩余基金财产；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）依法转让或者申请赎回其持有的基金份额；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）按照规定要求召开基金份额持有人大会；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）出席或者委派代表出席基金份额持有人大会，对基金份额持有人大会审议事项行使表决权；</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）查阅或者复制公开披露的基金信息资料；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）监督基金管理人的投资运作；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）对基金管理人、基金托管人、基金份额销售机构损害其合法权益的行为依法提起诉讼；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）法律法规、基金合同规定的其他权利。</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、基金份额持有人的义务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）遵守法律法规、基金合同及其他有关规定；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）缴纳基金认购、申购款项及基金合同规定的费用；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）在持有的基金份额范围内，承担基金亏损或者基金合同终止的有限责任；</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）不从事任何有损基金、其他基金份额持有人及其他基金合同当事人合法利益的活动；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）执行基金份额持有人大会的决议；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）遵守基金管理人、销售机构和注册登记机构的相关交易及业务规则；</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w:t>
      </w:r>
      <w:r>
        <w:rPr>
          <w:rFonts w:ascii="Arial" w:hAnsi="Arial" w:cs="Arial" w:hint="eastAsia"/>
          <w:kern w:val="0"/>
          <w:szCs w:val="21"/>
        </w:rPr>
        <w:t>7</w:t>
      </w:r>
      <w:r>
        <w:rPr>
          <w:rFonts w:ascii="Arial" w:hAnsi="宋体" w:cs="Arial"/>
          <w:kern w:val="0"/>
          <w:szCs w:val="21"/>
        </w:rPr>
        <w:t>）</w:t>
      </w:r>
      <w:r>
        <w:rPr>
          <w:rFonts w:ascii="Arial" w:hAnsi="宋体" w:cs="Arial" w:hint="eastAsia"/>
          <w:kern w:val="0"/>
          <w:szCs w:val="21"/>
        </w:rPr>
        <w:t>返还在基金交易过程中因任何原因获得的不当得利；</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w:t>
      </w:r>
      <w:r>
        <w:rPr>
          <w:rFonts w:ascii="Arial" w:hAnsi="宋体" w:cs="Arial" w:hint="eastAsia"/>
          <w:kern w:val="0"/>
          <w:szCs w:val="21"/>
        </w:rPr>
        <w:t>8</w:t>
      </w:r>
      <w:r>
        <w:rPr>
          <w:rFonts w:ascii="Arial" w:hAnsi="宋体" w:cs="Arial" w:hint="eastAsia"/>
          <w:kern w:val="0"/>
          <w:szCs w:val="21"/>
        </w:rPr>
        <w:t>）</w:t>
      </w:r>
      <w:r>
        <w:rPr>
          <w:rFonts w:ascii="Arial" w:hAnsi="宋体" w:cs="Arial"/>
          <w:kern w:val="0"/>
          <w:szCs w:val="21"/>
        </w:rPr>
        <w:t>法律法规及基金合同规定的其他义务。</w:t>
      </w:r>
    </w:p>
    <w:p w:rsidR="0057376A" w:rsidRDefault="00117DFA">
      <w:pPr>
        <w:snapToGrid w:val="0"/>
        <w:spacing w:line="360" w:lineRule="auto"/>
        <w:ind w:firstLine="420"/>
        <w:rPr>
          <w:rFonts w:ascii="Arial" w:hAnsi="Arial" w:cs="Arial"/>
          <w:szCs w:val="21"/>
        </w:rPr>
      </w:pPr>
      <w:r>
        <w:rPr>
          <w:rFonts w:ascii="Arial" w:hAnsi="Arial" w:cs="Arial"/>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19" w:name="_Toc88037843"/>
      <w:bookmarkStart w:id="20" w:name="_Toc253128700"/>
      <w:r>
        <w:rPr>
          <w:rFonts w:eastAsia="宋体" w:hAnsi="宋体" w:cs="Arial"/>
          <w:kern w:val="0"/>
          <w:sz w:val="28"/>
          <w:szCs w:val="28"/>
        </w:rPr>
        <w:t>九、基金份额持有人大会</w:t>
      </w:r>
      <w:bookmarkEnd w:id="19"/>
      <w:bookmarkEnd w:id="20"/>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（一）本基金的基金份额持有人大会，由本基金的基金份额持有人或其合法的代理人组成。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（二）有以下情形之一时，应召开基金份额持有人大会：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、终止基金合同</w:t>
      </w:r>
      <w:r>
        <w:rPr>
          <w:rFonts w:ascii="Arial" w:hAnsi="宋体" w:cs="Arial" w:hint="eastAsia"/>
          <w:kern w:val="0"/>
          <w:szCs w:val="21"/>
        </w:rPr>
        <w:t>，但本章第（四）条规定的情形除外</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、转换基金运作方式；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、提高基金管理人、基金托管人的报酬标准</w:t>
      </w:r>
      <w:r>
        <w:rPr>
          <w:rFonts w:ascii="Arial" w:hAnsi="宋体" w:cs="Arial"/>
        </w:rPr>
        <w:t>及赎回费率</w:t>
      </w:r>
      <w:r>
        <w:rPr>
          <w:rFonts w:ascii="Arial" w:hAnsi="宋体" w:cs="Arial"/>
          <w:kern w:val="0"/>
          <w:szCs w:val="21"/>
        </w:rPr>
        <w:t>，但根据法律法规的要求提高该等报酬标准的除外；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kern w:val="0"/>
        </w:rPr>
        <w:t>、更换基金管理人、基金托管人；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、变更基金类别；</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、变更基金投资目标、范围或策略；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7</w:t>
      </w:r>
      <w:r>
        <w:rPr>
          <w:rFonts w:ascii="Arial" w:hAnsi="宋体" w:cs="Arial"/>
          <w:kern w:val="0"/>
          <w:szCs w:val="21"/>
        </w:rPr>
        <w:t>、变更基金份额持有人大会议事程序、表决方式和表决程序；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8</w:t>
      </w:r>
      <w:r>
        <w:rPr>
          <w:rFonts w:ascii="Arial" w:hAnsi="宋体" w:cs="Arial"/>
          <w:kern w:val="0"/>
          <w:szCs w:val="21"/>
        </w:rPr>
        <w:t>、本基金与其他基金合并；</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9</w:t>
      </w:r>
      <w:r>
        <w:rPr>
          <w:rFonts w:ascii="Arial" w:hAnsi="宋体" w:cs="Arial"/>
          <w:kern w:val="0"/>
          <w:szCs w:val="21"/>
        </w:rPr>
        <w:t>、对基金合同当事人权利、义务产生重大影响，需召开基金份额持有人大会的变更基金合同等其他事项；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10</w:t>
      </w:r>
      <w:r>
        <w:rPr>
          <w:rFonts w:ascii="Arial" w:hAnsi="宋体" w:cs="Arial"/>
          <w:kern w:val="0"/>
          <w:szCs w:val="21"/>
        </w:rPr>
        <w:t>、法律法规或中国证监会规定的其他应当召开基金份额持有人大会的事项。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（三）有以下情形之一的，不需召开基金份额持有人大会：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、调低基金管理费率、基金托管费率</w:t>
      </w:r>
      <w:r>
        <w:rPr>
          <w:rFonts w:ascii="Arial" w:hAnsi="宋体" w:cs="Arial" w:hint="eastAsia"/>
          <w:kern w:val="0"/>
          <w:szCs w:val="21"/>
        </w:rPr>
        <w:t>、销售服务费</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、在法律法规和基金合同规定的范围内变更本基金的申购费率、调低赎回费率或变更收费方式；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、因相应的法律法规发生变动而应当对基金合同进行修改；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、对基金合同的修改不涉及基金合同当事人权利义务关系发生变化；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、对基金合同的修改对基金份额持有人利益无实质性不利影响；</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6</w:t>
      </w:r>
      <w:r>
        <w:rPr>
          <w:rFonts w:ascii="Arial" w:hAnsi="宋体" w:cs="Arial"/>
          <w:kern w:val="0"/>
          <w:szCs w:val="21"/>
        </w:rPr>
        <w:t>、除法律法规或基金合同规定应当召开基金份额持有人大会以外的其他情形。</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（四）基金合同生效后，有以下事由情形之一时，终止基金合同不需要召开基金份额持有人大会：</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1</w:t>
      </w:r>
      <w:r>
        <w:rPr>
          <w:rFonts w:ascii="Arial" w:hAnsi="宋体" w:cs="Arial" w:hint="eastAsia"/>
          <w:kern w:val="0"/>
          <w:szCs w:val="21"/>
        </w:rPr>
        <w:t>、连续</w:t>
      </w:r>
      <w:r>
        <w:rPr>
          <w:rFonts w:ascii="Arial" w:hAnsi="宋体" w:cs="Arial" w:hint="eastAsia"/>
          <w:kern w:val="0"/>
          <w:szCs w:val="21"/>
        </w:rPr>
        <w:t>60</w:t>
      </w:r>
      <w:r>
        <w:rPr>
          <w:rFonts w:ascii="Arial" w:hAnsi="宋体" w:cs="Arial" w:hint="eastAsia"/>
          <w:kern w:val="0"/>
          <w:szCs w:val="21"/>
        </w:rPr>
        <w:t>个工作日出现基金份额持有人数量不满</w:t>
      </w:r>
      <w:r>
        <w:rPr>
          <w:rFonts w:ascii="Arial" w:hAnsi="宋体" w:cs="Arial" w:hint="eastAsia"/>
          <w:kern w:val="0"/>
          <w:szCs w:val="21"/>
        </w:rPr>
        <w:t>200</w:t>
      </w:r>
      <w:r>
        <w:rPr>
          <w:rFonts w:ascii="Arial" w:hAnsi="宋体" w:cs="Arial" w:hint="eastAsia"/>
          <w:kern w:val="0"/>
          <w:szCs w:val="21"/>
        </w:rPr>
        <w:t>人；</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2</w:t>
      </w:r>
      <w:r>
        <w:rPr>
          <w:rFonts w:ascii="Arial" w:hAnsi="宋体" w:cs="Arial" w:hint="eastAsia"/>
          <w:kern w:val="0"/>
          <w:szCs w:val="21"/>
        </w:rPr>
        <w:t>、连续</w:t>
      </w:r>
      <w:r>
        <w:rPr>
          <w:rFonts w:ascii="Arial" w:hAnsi="宋体" w:cs="Arial" w:hint="eastAsia"/>
          <w:kern w:val="0"/>
          <w:szCs w:val="21"/>
        </w:rPr>
        <w:t>60</w:t>
      </w:r>
      <w:r>
        <w:rPr>
          <w:rFonts w:ascii="Arial" w:hAnsi="宋体" w:cs="Arial" w:hint="eastAsia"/>
          <w:kern w:val="0"/>
          <w:szCs w:val="21"/>
        </w:rPr>
        <w:t>个工作日出现基金资产净值低于</w:t>
      </w:r>
      <w:r>
        <w:rPr>
          <w:rFonts w:ascii="Arial" w:hAnsi="宋体" w:cs="Arial" w:hint="eastAsia"/>
          <w:kern w:val="0"/>
          <w:szCs w:val="21"/>
        </w:rPr>
        <w:t>3000</w:t>
      </w:r>
      <w:r>
        <w:rPr>
          <w:rFonts w:ascii="Arial" w:hAnsi="宋体" w:cs="Arial" w:hint="eastAsia"/>
          <w:kern w:val="0"/>
          <w:szCs w:val="21"/>
        </w:rPr>
        <w:t>万元；</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3</w:t>
      </w:r>
      <w:r>
        <w:rPr>
          <w:rFonts w:ascii="Arial" w:hAnsi="宋体" w:cs="Arial" w:hint="eastAsia"/>
          <w:kern w:val="0"/>
          <w:szCs w:val="21"/>
        </w:rPr>
        <w:t>、连续</w:t>
      </w:r>
      <w:r>
        <w:rPr>
          <w:rFonts w:ascii="Arial" w:hAnsi="宋体" w:cs="Arial" w:hint="eastAsia"/>
          <w:kern w:val="0"/>
          <w:szCs w:val="21"/>
        </w:rPr>
        <w:t>60</w:t>
      </w:r>
      <w:r>
        <w:rPr>
          <w:rFonts w:ascii="Arial" w:hAnsi="宋体" w:cs="Arial" w:hint="eastAsia"/>
          <w:kern w:val="0"/>
          <w:szCs w:val="21"/>
        </w:rPr>
        <w:t>个工作日出现前十大基金份额持有人持有基金份额总额超过基金总份额的</w:t>
      </w:r>
      <w:r>
        <w:rPr>
          <w:rFonts w:ascii="Arial" w:hAnsi="宋体" w:cs="Arial" w:hint="eastAsia"/>
          <w:kern w:val="0"/>
          <w:szCs w:val="21"/>
        </w:rPr>
        <w:t>90%</w:t>
      </w:r>
      <w:r>
        <w:rPr>
          <w:rFonts w:ascii="Arial" w:hAnsi="宋体" w:cs="Arial" w:hint="eastAsia"/>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五</w:t>
      </w:r>
      <w:r>
        <w:rPr>
          <w:rFonts w:ascii="Arial" w:hAnsi="宋体" w:cs="Arial"/>
          <w:kern w:val="0"/>
          <w:szCs w:val="21"/>
        </w:rPr>
        <w:t>）召集方式：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、除法律法规或基金合同另有约定外，基金份额持有人大会由基金管理人召集。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、基金托管人认为有必要召开基金份额持有人大会的，应当向基金管理人提出书面提</w:t>
      </w:r>
      <w:r>
        <w:rPr>
          <w:rFonts w:ascii="Arial" w:hAnsi="宋体" w:cs="Arial"/>
          <w:kern w:val="0"/>
          <w:szCs w:val="21"/>
        </w:rPr>
        <w:lastRenderedPageBreak/>
        <w:t>议。基金管理人应当自收到书面提议之日起</w:t>
      </w:r>
      <w:r>
        <w:rPr>
          <w:rFonts w:ascii="Arial" w:hAnsi="Arial" w:cs="Arial"/>
          <w:kern w:val="0"/>
          <w:szCs w:val="21"/>
        </w:rPr>
        <w:t>10</w:t>
      </w:r>
      <w:r>
        <w:rPr>
          <w:rFonts w:ascii="Arial" w:hAnsi="宋体" w:cs="Arial"/>
          <w:kern w:val="0"/>
          <w:szCs w:val="21"/>
        </w:rPr>
        <w:t>日内决定是否召集，并书面告知基金托管人。基金管理人决定召集的，应当自出具书面决定之日起</w:t>
      </w:r>
      <w:r>
        <w:rPr>
          <w:rFonts w:ascii="Arial" w:hAnsi="Arial" w:cs="Arial"/>
          <w:kern w:val="0"/>
          <w:szCs w:val="21"/>
        </w:rPr>
        <w:t>60</w:t>
      </w:r>
      <w:r>
        <w:rPr>
          <w:rFonts w:ascii="Arial" w:hAnsi="宋体" w:cs="Arial"/>
          <w:kern w:val="0"/>
          <w:szCs w:val="21"/>
        </w:rPr>
        <w:t>日内召开；基金管理人决定不召集，基金托管人仍认为有必要召开的，应当自行召集。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、代表基金份额</w:t>
      </w:r>
      <w:r>
        <w:rPr>
          <w:rFonts w:ascii="Arial" w:hAnsi="Arial" w:cs="Arial"/>
          <w:kern w:val="0"/>
          <w:szCs w:val="21"/>
        </w:rPr>
        <w:t>10%</w:t>
      </w:r>
      <w:r>
        <w:rPr>
          <w:rFonts w:ascii="Arial" w:hAnsi="宋体" w:cs="Arial"/>
          <w:kern w:val="0"/>
          <w:szCs w:val="21"/>
        </w:rPr>
        <w:t>以上的基金份额持有人认为有必要召开基金份额持有人大会的，应当向基金管理人提出书面提议。基金管理人应当自收到书面提议之日起</w:t>
      </w:r>
      <w:r>
        <w:rPr>
          <w:rFonts w:ascii="Arial" w:hAnsi="Arial" w:cs="Arial"/>
          <w:kern w:val="0"/>
          <w:szCs w:val="21"/>
        </w:rPr>
        <w:t>10</w:t>
      </w:r>
      <w:r>
        <w:rPr>
          <w:rFonts w:ascii="Arial" w:hAnsi="宋体" w:cs="Arial"/>
          <w:kern w:val="0"/>
          <w:szCs w:val="21"/>
        </w:rPr>
        <w:t>日内决定是否召集，并书面告知提出提议的基金份额持有人代表和基金托管人。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基金管理人决定召集的，应当自出具书面决定之日起</w:t>
      </w:r>
      <w:r>
        <w:rPr>
          <w:rFonts w:ascii="Arial" w:hAnsi="Arial" w:cs="Arial"/>
          <w:kern w:val="0"/>
          <w:szCs w:val="21"/>
        </w:rPr>
        <w:t>60</w:t>
      </w:r>
      <w:r>
        <w:rPr>
          <w:rFonts w:ascii="Arial" w:hAnsi="宋体" w:cs="Arial"/>
          <w:kern w:val="0"/>
          <w:szCs w:val="21"/>
        </w:rPr>
        <w:t>日内召开；基金管理人决定不召集，代表基金份额</w:t>
      </w:r>
      <w:r>
        <w:rPr>
          <w:rFonts w:ascii="Arial" w:hAnsi="Arial" w:cs="Arial"/>
          <w:kern w:val="0"/>
          <w:szCs w:val="21"/>
        </w:rPr>
        <w:t>10%</w:t>
      </w:r>
      <w:r>
        <w:rPr>
          <w:rFonts w:ascii="Arial" w:hAnsi="宋体" w:cs="Arial"/>
          <w:kern w:val="0"/>
          <w:szCs w:val="21"/>
        </w:rPr>
        <w:t>以上的基金份额持有人仍认为有必要召开的，应当向基金托管人提出书面提议。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基金托管人应当自收到书面提议之日起</w:t>
      </w:r>
      <w:r>
        <w:rPr>
          <w:rFonts w:ascii="Arial" w:hAnsi="Arial" w:cs="Arial"/>
          <w:kern w:val="0"/>
          <w:szCs w:val="21"/>
        </w:rPr>
        <w:t>10</w:t>
      </w:r>
      <w:r>
        <w:rPr>
          <w:rFonts w:ascii="Arial" w:hAnsi="宋体" w:cs="Arial"/>
          <w:kern w:val="0"/>
          <w:szCs w:val="21"/>
        </w:rPr>
        <w:t>日内决定是否召集，并书面告知提出提议的基金份额持有人代表和基金管理人；基金托管人决定召集的，应当自出具书面决定之日起</w:t>
      </w:r>
      <w:r>
        <w:rPr>
          <w:rFonts w:ascii="Arial" w:hAnsi="Arial" w:cs="Arial"/>
          <w:kern w:val="0"/>
          <w:szCs w:val="21"/>
        </w:rPr>
        <w:t>60</w:t>
      </w:r>
      <w:r>
        <w:rPr>
          <w:rFonts w:ascii="Arial" w:hAnsi="宋体" w:cs="Arial"/>
          <w:kern w:val="0"/>
          <w:szCs w:val="21"/>
        </w:rPr>
        <w:t>日内召开。</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、代表基金份额</w:t>
      </w:r>
      <w:r>
        <w:rPr>
          <w:rFonts w:ascii="Arial" w:hAnsi="Arial" w:cs="Arial"/>
          <w:kern w:val="0"/>
          <w:szCs w:val="21"/>
        </w:rPr>
        <w:t>10%</w:t>
      </w:r>
      <w:r>
        <w:rPr>
          <w:rFonts w:ascii="Arial" w:hAnsi="宋体" w:cs="Arial"/>
          <w:kern w:val="0"/>
          <w:szCs w:val="21"/>
        </w:rPr>
        <w:t>的基金份额持有人就同一事项书面要求召开基金份额持有人大会，而基金管理人、基金托管人都不召集的，代表基金份额</w:t>
      </w:r>
      <w:r>
        <w:rPr>
          <w:rFonts w:ascii="Arial" w:hAnsi="Arial" w:cs="Arial"/>
          <w:kern w:val="0"/>
          <w:szCs w:val="21"/>
        </w:rPr>
        <w:t>10%</w:t>
      </w:r>
      <w:r>
        <w:rPr>
          <w:rFonts w:ascii="Arial" w:hAnsi="宋体" w:cs="Arial"/>
          <w:kern w:val="0"/>
          <w:szCs w:val="21"/>
        </w:rPr>
        <w:t>以上的基金份额持有人有权自行召集，并至少提前</w:t>
      </w:r>
      <w:r>
        <w:rPr>
          <w:rFonts w:ascii="Arial" w:hAnsi="Arial" w:cs="Arial"/>
          <w:kern w:val="0"/>
          <w:szCs w:val="21"/>
        </w:rPr>
        <w:t>30</w:t>
      </w:r>
      <w:r>
        <w:rPr>
          <w:rFonts w:ascii="Arial" w:hAnsi="宋体" w:cs="Arial"/>
          <w:kern w:val="0"/>
          <w:szCs w:val="21"/>
        </w:rPr>
        <w:t>日报中国证监会备案。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、基金份额持有人依法自行召集基金份额持有人大会的，基金管理人、基金托管人应当配合，不得阻碍、干扰。</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、基金份额持有人大会的召集人负责选择确定开会时间、地点、方式和权益登记日。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六</w:t>
      </w:r>
      <w:r>
        <w:rPr>
          <w:rFonts w:ascii="Arial" w:hAnsi="宋体" w:cs="Arial"/>
          <w:kern w:val="0"/>
          <w:szCs w:val="21"/>
        </w:rPr>
        <w:t>）通知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召开基金份额持有人大会，召集人应当于会议召开前</w:t>
      </w:r>
      <w:r>
        <w:rPr>
          <w:rFonts w:ascii="Arial" w:hAnsi="Arial" w:cs="Arial"/>
          <w:kern w:val="0"/>
          <w:szCs w:val="21"/>
        </w:rPr>
        <w:t>30</w:t>
      </w:r>
      <w:r>
        <w:rPr>
          <w:rFonts w:ascii="Arial" w:hAnsi="宋体" w:cs="Arial"/>
          <w:kern w:val="0"/>
          <w:szCs w:val="21"/>
        </w:rPr>
        <w:t>天在指定媒介上公告。基金份额持有人大会不得就未经公告的事项进行表决。基金份额持有人大会通知将至少载明以下内容：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、会议召开的时间、地点、方式；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、会议拟审议的主要事项、议事程序和表决方式；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、代理投票授权委托书送达时间和地点；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、会务常设联系人姓名、电话；</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、权益登记日；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、如采用通讯表决方式，还应载明具体通讯方式、委托的公证机关及其联系方式和联系人、书面表达意见的寄交和收取方式、投票表决的截止日以及表决票的送达地址等内容。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七</w:t>
      </w:r>
      <w:r>
        <w:rPr>
          <w:rFonts w:ascii="Arial" w:hAnsi="宋体" w:cs="Arial"/>
          <w:kern w:val="0"/>
          <w:szCs w:val="21"/>
        </w:rPr>
        <w:t>）开会方式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基金份额持有人大会的召开方式包括现场开会和通讯方式开会。现场开会由基金份额持有人本人出席或通过授权委派其代理人出席，现场开会时基金管理人和基金托管人的授权代表应当出席</w:t>
      </w:r>
      <w:r>
        <w:rPr>
          <w:rFonts w:ascii="Arial" w:hAnsi="宋体" w:cs="Arial"/>
          <w:kern w:val="0"/>
        </w:rPr>
        <w:t>，</w:t>
      </w:r>
      <w:r>
        <w:rPr>
          <w:rFonts w:ascii="Arial" w:hAnsi="宋体" w:cs="Arial"/>
          <w:kern w:val="0"/>
          <w:szCs w:val="21"/>
        </w:rPr>
        <w:t>基金管理人或基金托管人不派代表出席的，不影响表决效力；通讯方式开会指按照基金合同的相关规定以通讯的书面方式进行表决。会议的召开方式由召集人确定，但决</w:t>
      </w:r>
      <w:r>
        <w:rPr>
          <w:rFonts w:ascii="Arial" w:hAnsi="宋体" w:cs="Arial"/>
          <w:kern w:val="0"/>
          <w:szCs w:val="21"/>
        </w:rPr>
        <w:lastRenderedPageBreak/>
        <w:t>定基金管理人更换或基金托管人的更换、转换基金运作方式和终止基金合同事宜必须以现场开会方式召开基金份额持有人大会。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现场开会同时符合以下条件时，可以进行基金份额持有人大会议程：</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、亲自出席会议者持有基金份额的凭证和受托出席会议者出具的委托人持有基金份额的凭证和授权委托书等文件符合法律法规、本基金合同和会议通知的规定，</w:t>
      </w:r>
      <w:r>
        <w:rPr>
          <w:rFonts w:ascii="Arial" w:hAnsi="宋体" w:cs="Arial"/>
        </w:rPr>
        <w:t>并且持有基金份额的凭证与基金注册登记机构提供的注册登记资料相符</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、经核对，汇总到会者出示的在权益登记日持有基金份额的凭证显示，全部有效凭证所代表的基金份额占权益登记日基金总份额的</w:t>
      </w:r>
      <w:r>
        <w:rPr>
          <w:rFonts w:ascii="Arial" w:hAnsi="Arial" w:cs="Arial"/>
          <w:kern w:val="0"/>
          <w:szCs w:val="21"/>
        </w:rPr>
        <w:t>50%</w:t>
      </w:r>
      <w:r>
        <w:rPr>
          <w:rFonts w:ascii="Arial" w:hAnsi="宋体" w:cs="Arial"/>
          <w:kern w:val="0"/>
          <w:szCs w:val="21"/>
        </w:rPr>
        <w:t>以上。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在同时符合以下条件时，通讯开会的方式视为有效：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、召集人按基金合同规定公布会议通知后，在两个工作日内连续公布相关提示性公告；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、召集人按照会议通知规定的方式收取基金份额持有人的书面表决意见；</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、本人直接出具书面意见或授权他人代表出具书面意见的基金份额持有人所代表的基金份额占权益登记日基金总份额的</w:t>
      </w:r>
      <w:r>
        <w:rPr>
          <w:rFonts w:ascii="Arial" w:hAnsi="Arial" w:cs="Arial"/>
          <w:kern w:val="0"/>
          <w:szCs w:val="21"/>
        </w:rPr>
        <w:t>50%</w:t>
      </w:r>
      <w:r>
        <w:rPr>
          <w:rFonts w:ascii="Arial" w:hAnsi="宋体" w:cs="Arial"/>
          <w:kern w:val="0"/>
          <w:szCs w:val="21"/>
        </w:rPr>
        <w:t>以上；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、会议通知公布前已报中国证监会备案。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如果开会条件达不到上述的条件，则召集人可另行确定并公告重新表决的时间</w:t>
      </w:r>
      <w:r>
        <w:rPr>
          <w:rFonts w:ascii="Arial" w:hAnsi="Arial" w:cs="Arial"/>
          <w:kern w:val="0"/>
          <w:szCs w:val="21"/>
        </w:rPr>
        <w:t>（</w:t>
      </w:r>
      <w:r>
        <w:rPr>
          <w:rFonts w:ascii="Arial" w:hAnsi="宋体" w:cs="Arial"/>
          <w:kern w:val="0"/>
          <w:szCs w:val="21"/>
        </w:rPr>
        <w:t>至少应在</w:t>
      </w:r>
      <w:r>
        <w:rPr>
          <w:rFonts w:ascii="Arial" w:hAnsi="Arial" w:cs="Arial"/>
          <w:kern w:val="0"/>
          <w:szCs w:val="21"/>
        </w:rPr>
        <w:t xml:space="preserve">25 </w:t>
      </w:r>
      <w:r>
        <w:rPr>
          <w:rFonts w:ascii="Arial" w:hAnsi="宋体" w:cs="Arial"/>
          <w:kern w:val="0"/>
          <w:szCs w:val="21"/>
        </w:rPr>
        <w:t>个工作日后</w:t>
      </w:r>
      <w:r>
        <w:rPr>
          <w:rFonts w:ascii="Arial" w:hAnsi="Arial" w:cs="Arial"/>
          <w:kern w:val="0"/>
          <w:szCs w:val="21"/>
        </w:rPr>
        <w:t>）</w:t>
      </w:r>
      <w:r>
        <w:rPr>
          <w:rFonts w:ascii="Arial" w:hAnsi="宋体" w:cs="Arial"/>
          <w:kern w:val="0"/>
          <w:szCs w:val="21"/>
        </w:rPr>
        <w:t>，且确定有权出席会议的基金份额持有人资格的权益登记日应保持不变。</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八</w:t>
      </w:r>
      <w:r>
        <w:rPr>
          <w:rFonts w:ascii="Arial" w:hAnsi="宋体" w:cs="Arial"/>
          <w:kern w:val="0"/>
          <w:szCs w:val="21"/>
        </w:rPr>
        <w:t>）议事内容与程序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、议事内容及提案权</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）议事内容限为本条前述第（二）款规定的基金份额持有人大会召开事由范围内的事项。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）基金管理人、基金托管人、代表基金份额</w:t>
      </w:r>
      <w:r>
        <w:rPr>
          <w:rFonts w:ascii="Arial" w:hAnsi="Arial" w:cs="Arial"/>
          <w:kern w:val="0"/>
          <w:szCs w:val="21"/>
        </w:rPr>
        <w:t>10%</w:t>
      </w:r>
      <w:r>
        <w:rPr>
          <w:rFonts w:ascii="Arial" w:hAnsi="宋体" w:cs="Arial"/>
          <w:kern w:val="0"/>
          <w:szCs w:val="21"/>
        </w:rPr>
        <w:t>以上的基金份额持有人可以在大会召集人发出会议通知前向大会召集人提交需由基金份额持有人大会审议表决的提案。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）对于基金份额持有人提交的提案，大会召集人应当按照以下原则对提案进行审核：</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a</w:t>
      </w:r>
      <w:r>
        <w:rPr>
          <w:rFonts w:ascii="Arial" w:hAnsi="宋体" w:cs="Arial"/>
          <w:kern w:val="0"/>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b</w:t>
      </w:r>
      <w:r>
        <w:rPr>
          <w:rFonts w:ascii="Arial" w:hAnsi="宋体" w:cs="Arial"/>
          <w:kern w:val="0"/>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4</w:t>
      </w:r>
      <w:r>
        <w:rPr>
          <w:rFonts w:ascii="Arial" w:hAnsi="宋体" w:cs="Arial"/>
          <w:kern w:val="0"/>
          <w:szCs w:val="21"/>
        </w:rPr>
        <w:t>）代表基金份额</w:t>
      </w:r>
      <w:r>
        <w:rPr>
          <w:rFonts w:ascii="Arial" w:hAnsi="Arial" w:cs="Arial"/>
          <w:kern w:val="0"/>
          <w:szCs w:val="21"/>
        </w:rPr>
        <w:t>10%</w:t>
      </w:r>
      <w:r>
        <w:rPr>
          <w:rFonts w:ascii="Arial" w:hAnsi="宋体" w:cs="Arial"/>
          <w:kern w:val="0"/>
          <w:szCs w:val="21"/>
        </w:rPr>
        <w:t>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w:t>
      </w:r>
      <w:r>
        <w:rPr>
          <w:rFonts w:ascii="Arial" w:hAnsi="Arial" w:cs="Arial"/>
          <w:kern w:val="0"/>
          <w:szCs w:val="21"/>
        </w:rPr>
        <w:t>6</w:t>
      </w:r>
      <w:r>
        <w:rPr>
          <w:rFonts w:ascii="Arial" w:hAnsi="宋体" w:cs="Arial"/>
          <w:kern w:val="0"/>
          <w:szCs w:val="21"/>
        </w:rPr>
        <w:t>个月。法律法规另有规定的除外。</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）基金份额持有人大会不得对未事先公告的议事内容进行表决。</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、议事程序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九</w:t>
      </w:r>
      <w:r>
        <w:rPr>
          <w:rFonts w:ascii="Arial" w:hAnsi="宋体" w:cs="Arial"/>
          <w:kern w:val="0"/>
          <w:szCs w:val="21"/>
        </w:rPr>
        <w:t>）表决</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、基金份额持有人所持每份基金份额享有平等的表决权。</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、基金份额持有人大会决议分为一般决议和特别决议：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）特别决议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对于特别决议应当经参加大会的基金份额持有人所持表决权的三分之二以上（含三分之二）通过。</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）一般决议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对于一般决议应当经参加大会的基金份额持有人所持表决权的</w:t>
      </w:r>
      <w:r>
        <w:rPr>
          <w:rFonts w:ascii="Arial" w:hAnsi="Arial" w:cs="Arial"/>
          <w:kern w:val="0"/>
          <w:szCs w:val="21"/>
        </w:rPr>
        <w:t>50%</w:t>
      </w:r>
      <w:r>
        <w:rPr>
          <w:rFonts w:ascii="Arial" w:hAnsi="宋体" w:cs="Arial"/>
          <w:kern w:val="0"/>
          <w:szCs w:val="21"/>
        </w:rPr>
        <w:t>以上通过。</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更换基金管理人或者基金托管人、转换基金运作方式或终止基金合同应当以特别决议通过方为有效。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基金份额持有人大会采取记名方式进行投票表决。</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采取通讯方式进行表决时，符合法律法规、基金合同和会议通知规定的书面表决意见即视为有效的表决；表决意见模糊不清或相互矛盾的视为弃权表决，但应当计入出具书面意见的基金份额持有人所代表的基金份额总数。</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基金份额持有人大会的各项提案或同一项提案内并列的各项议题应当分开审议、逐项表决。</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十</w:t>
      </w:r>
      <w:r>
        <w:rPr>
          <w:rFonts w:ascii="Arial" w:hAnsi="宋体" w:cs="Arial"/>
          <w:kern w:val="0"/>
          <w:szCs w:val="21"/>
        </w:rPr>
        <w:t>）计票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、现场开会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w:t>
      </w:r>
      <w:r>
        <w:rPr>
          <w:rFonts w:ascii="Arial" w:hAnsi="Arial" w:cs="Arial"/>
          <w:color w:val="000000"/>
          <w:szCs w:val="21"/>
        </w:rPr>
        <w:t>（</w:t>
      </w:r>
      <w:r>
        <w:rPr>
          <w:rFonts w:ascii="Arial" w:hAnsi="宋体" w:cs="Arial"/>
          <w:color w:val="000000"/>
          <w:szCs w:val="21"/>
        </w:rPr>
        <w:t>如果基金管理人为召集人，则监督员由基金托管人担任；如基金托管人为召集人，则监督员由基金托管人在出席会议的基金份额持有人中指定</w:t>
      </w:r>
      <w:r>
        <w:rPr>
          <w:rFonts w:ascii="Arial" w:hAnsi="Arial" w:cs="Arial"/>
          <w:color w:val="000000"/>
          <w:szCs w:val="21"/>
        </w:rPr>
        <w:t>）</w:t>
      </w:r>
      <w:r>
        <w:rPr>
          <w:rFonts w:ascii="Arial" w:hAnsi="宋体" w:cs="Arial"/>
          <w:kern w:val="0"/>
          <w:szCs w:val="21"/>
        </w:rPr>
        <w:t>共同担任监票人；如大会由基金份额持有人自行召集，基金份额持有人大会的主持人应当在会议开始后宣布在出席会议的基金份额持有人中推</w:t>
      </w:r>
      <w:r>
        <w:rPr>
          <w:rFonts w:ascii="Arial" w:hAnsi="宋体" w:cs="Arial"/>
          <w:kern w:val="0"/>
          <w:szCs w:val="21"/>
        </w:rPr>
        <w:lastRenderedPageBreak/>
        <w:t>举三名基金份额持有人代表担任监票人。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）监票人应当在基金份额持有人表决后立即进行清点并由大会主持人当场公布计票结果。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w:t>
      </w:r>
      <w:r>
        <w:rPr>
          <w:rFonts w:ascii="Arial" w:hAnsi="宋体" w:cs="Arial"/>
          <w:color w:val="000000"/>
          <w:szCs w:val="21"/>
        </w:rPr>
        <w:t>在基金管理人或基金托管人担任召集人的情形下，如果在计票过程中基金管理人或者基金托管人拒不配合的，则参加会议的基金份额持有人有权推举三名基金份额持有人代表共同担任监票人进行计票。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、通讯方式开会</w:t>
      </w:r>
    </w:p>
    <w:p w:rsidR="0057376A" w:rsidRDefault="00117DFA">
      <w:pPr>
        <w:snapToGrid w:val="0"/>
        <w:spacing w:line="360" w:lineRule="auto"/>
        <w:ind w:firstLineChars="200" w:firstLine="420"/>
        <w:rPr>
          <w:rFonts w:ascii="Arial" w:hAnsi="Arial" w:cs="Arial"/>
          <w:kern w:val="0"/>
          <w:szCs w:val="21"/>
        </w:rPr>
      </w:pPr>
      <w:r>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（十</w:t>
      </w:r>
      <w:r>
        <w:rPr>
          <w:rFonts w:ascii="Arial" w:hAnsi="宋体" w:cs="Arial" w:hint="eastAsia"/>
          <w:kern w:val="0"/>
          <w:szCs w:val="21"/>
        </w:rPr>
        <w:t>一</w:t>
      </w:r>
      <w:r>
        <w:rPr>
          <w:rFonts w:ascii="Arial" w:hAnsi="宋体" w:cs="Arial"/>
          <w:kern w:val="0"/>
          <w:szCs w:val="21"/>
        </w:rPr>
        <w:t>）生效与公告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、基金份额持有人大会按照《基金法》有关法律法规规定表决通过的事项，召集人应当自通过之日起</w:t>
      </w:r>
      <w:r>
        <w:rPr>
          <w:rFonts w:ascii="Arial" w:hAnsi="Arial" w:cs="Arial"/>
          <w:kern w:val="0"/>
          <w:szCs w:val="21"/>
        </w:rPr>
        <w:t>5</w:t>
      </w:r>
      <w:r>
        <w:rPr>
          <w:rFonts w:ascii="Arial" w:hAnsi="宋体" w:cs="Arial"/>
          <w:kern w:val="0"/>
          <w:szCs w:val="21"/>
        </w:rPr>
        <w:t>日内报中国证监会核准或者备案。基金份额持有人大会决定的事项自中国证监会依法核准或者出具无异议意见之日起生效。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、生效的基金份额持有人大会决议对全体基金份额持有人、基金管理人、基金托管人均有法律约束力。基金管理人、基金托管人和基金份额持有人应当执行生效的基金份额持有人大会的决定。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、基金份额持有人大会决议应当自中国证监会核准或出具无异议意见后</w:t>
      </w:r>
      <w:r>
        <w:rPr>
          <w:rFonts w:ascii="Arial" w:hAnsi="Arial" w:cs="Arial"/>
          <w:kern w:val="0"/>
          <w:szCs w:val="21"/>
        </w:rPr>
        <w:t>2</w:t>
      </w:r>
      <w:r>
        <w:rPr>
          <w:rFonts w:ascii="Arial" w:hAnsi="宋体" w:cs="Arial"/>
          <w:kern w:val="0"/>
          <w:szCs w:val="21"/>
        </w:rPr>
        <w:t>日内，由基金份额持有人大会召集人在指定媒介上公告。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、如果采用通讯方式进行表决，在公告基金份额持有人大会决议时，必须将公证书全文、公证机关、公证员姓名等一同公告。</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（十</w:t>
      </w:r>
      <w:r>
        <w:rPr>
          <w:rFonts w:ascii="Arial" w:hAnsi="宋体" w:cs="Arial" w:hint="eastAsia"/>
          <w:szCs w:val="21"/>
        </w:rPr>
        <w:t>二</w:t>
      </w:r>
      <w:r>
        <w:rPr>
          <w:rFonts w:ascii="Arial" w:hAnsi="宋体" w:cs="Arial"/>
          <w:szCs w:val="21"/>
        </w:rPr>
        <w:t>）法律法规或监管机关对基金份额持有人大会另有规定的，从其规定。</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21" w:name="_Toc253128701"/>
      <w:bookmarkStart w:id="22" w:name="_Toc88037844"/>
      <w:r>
        <w:rPr>
          <w:rFonts w:eastAsia="宋体" w:hAnsi="宋体" w:cs="Arial"/>
          <w:kern w:val="0"/>
          <w:sz w:val="28"/>
          <w:szCs w:val="28"/>
        </w:rPr>
        <w:t>十、基金管理人、基金托管人的更换条件和程序</w:t>
      </w:r>
      <w:bookmarkEnd w:id="21"/>
      <w:bookmarkEnd w:id="22"/>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（一）基金管理人和基金托管人的更换条件</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、有下列情形之一的，基金管理人职责终止，须更换基金管理人：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）基金管理人被依法取消基金管理资格；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）基金管理人依法解散、依法被撤销或被依法宣告破产；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）基金管理人被基金份额持有人大会解任；</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）法律法规规定或经中国证监会认定的其他情形。</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、有下列情形之一的，基金托管人职责终止，须更换基金托管人：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）基金托管人被依法取消基金托管资格；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）基金托管人依法解散、依法被撤销或被依法宣告破产；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）基金托管人被基金份额持有人大会解任；</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）法律法规规定或经中国证监会认定的其他情形。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（二）基金管理人和基金托管人的更换程序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、基金管理人的更换程序</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原基金管理人退任后，基金份额持有人大会需在</w:t>
      </w:r>
      <w:r>
        <w:rPr>
          <w:rFonts w:ascii="Arial" w:hAnsi="Arial" w:cs="Arial"/>
          <w:szCs w:val="21"/>
        </w:rPr>
        <w:t>6</w:t>
      </w:r>
      <w:r>
        <w:rPr>
          <w:rFonts w:ascii="Arial" w:hAnsi="宋体" w:cs="Arial"/>
          <w:szCs w:val="21"/>
        </w:rPr>
        <w:t>个月内选任新基金管理人。在新基金管理人产生前，中国证监会可指定临时基金管理人。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）提名：新任基金管理人由基金托管人或代表</w:t>
      </w:r>
      <w:r>
        <w:rPr>
          <w:rFonts w:ascii="Arial" w:hAnsi="Arial" w:cs="Arial"/>
          <w:kern w:val="0"/>
          <w:szCs w:val="21"/>
        </w:rPr>
        <w:t>10</w:t>
      </w:r>
      <w:r>
        <w:rPr>
          <w:rFonts w:ascii="Arial" w:hAnsi="宋体" w:cs="Arial"/>
          <w:kern w:val="0"/>
          <w:szCs w:val="21"/>
        </w:rPr>
        <w:t>％以上基金份额的基金份额持有人提名。</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）决议：基金份额持有人大会对更换基金管理人形成有效决议</w:t>
      </w:r>
      <w:bookmarkStart w:id="23" w:name="OLE_LINK1"/>
      <w:r>
        <w:rPr>
          <w:rFonts w:ascii="Arial" w:hAnsi="宋体" w:cs="Arial"/>
          <w:kern w:val="0"/>
          <w:szCs w:val="21"/>
        </w:rPr>
        <w:t>。</w:t>
      </w:r>
      <w:bookmarkEnd w:id="23"/>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）核准并公告：基金份额持有人大会决议自通过之日起</w:t>
      </w:r>
      <w:r>
        <w:rPr>
          <w:rFonts w:ascii="Arial" w:hAnsi="Arial" w:cs="Arial"/>
          <w:kern w:val="0"/>
          <w:szCs w:val="21"/>
        </w:rPr>
        <w:t>5</w:t>
      </w:r>
      <w:r>
        <w:rPr>
          <w:rFonts w:ascii="Arial" w:hAnsi="宋体" w:cs="Arial"/>
          <w:kern w:val="0"/>
          <w:szCs w:val="21"/>
        </w:rPr>
        <w:t>日内，由大会召集人报中国证监会核准，并应自中国证监会核准后</w:t>
      </w:r>
      <w:r>
        <w:rPr>
          <w:rFonts w:ascii="Arial" w:hAnsi="Arial" w:cs="Arial"/>
          <w:kern w:val="0"/>
          <w:szCs w:val="21"/>
        </w:rPr>
        <w:t>2</w:t>
      </w:r>
      <w:r>
        <w:rPr>
          <w:rFonts w:ascii="Arial" w:hAnsi="宋体" w:cs="Arial"/>
          <w:kern w:val="0"/>
          <w:szCs w:val="21"/>
        </w:rPr>
        <w:t>日内在指定媒介上公告。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交接：基金管理人职责终止的，应当妥善保管基金管理业务资料，及时办理基金管理业务的移交手续，新基金管理人或者临时基金管理人应当及时接收。新任基金管理人或临时基金管理人应与基金托管人核对基金资产总值和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）审计并公告：基金管理人职责终止的，应当按照规定聘请会计师事务所对基金财产进行审计，并将审计结果予以公告，同时报中国证监会备案。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）基金名称变更：基金管理人更换后，本基金应替换或删除基金名称中与原基金管理人有关的名称或商号字样。</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、基金托管人的更换程序</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原基金托管人退任后，基金份额持有人大会需在六个月内选任新基金托管人。在新基金托管人产生前，中国证监会可指定临时基金托管人。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）提名：新任基金托管人由基金管理人或代表</w:t>
      </w:r>
      <w:r>
        <w:rPr>
          <w:rFonts w:ascii="Arial" w:hAnsi="Arial" w:cs="Arial"/>
          <w:kern w:val="0"/>
          <w:szCs w:val="21"/>
        </w:rPr>
        <w:t>10</w:t>
      </w:r>
      <w:r>
        <w:rPr>
          <w:rFonts w:ascii="Arial" w:hAnsi="宋体" w:cs="Arial"/>
          <w:kern w:val="0"/>
          <w:szCs w:val="21"/>
        </w:rPr>
        <w:t>％以上基金份额的基金份额持有人提名。</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2</w:t>
      </w:r>
      <w:r>
        <w:rPr>
          <w:rFonts w:ascii="Arial" w:hAnsi="宋体" w:cs="Arial"/>
          <w:kern w:val="0"/>
          <w:szCs w:val="21"/>
        </w:rPr>
        <w:t>）决议：基金份额持有人大会对更换基金托管人形成有效决议。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）核准并公告：基金份额持有人大会决议自通过之日起</w:t>
      </w:r>
      <w:r>
        <w:rPr>
          <w:rFonts w:ascii="Arial" w:hAnsi="Arial" w:cs="Arial"/>
          <w:kern w:val="0"/>
          <w:szCs w:val="21"/>
        </w:rPr>
        <w:t>5</w:t>
      </w:r>
      <w:r>
        <w:rPr>
          <w:rFonts w:ascii="Arial" w:hAnsi="宋体" w:cs="Arial"/>
          <w:kern w:val="0"/>
          <w:szCs w:val="21"/>
        </w:rPr>
        <w:t>日内，由大会召集人报中国证监会核准，并应自中国证监会核准后</w:t>
      </w:r>
      <w:r>
        <w:rPr>
          <w:rFonts w:ascii="Arial" w:hAnsi="Arial" w:cs="Arial"/>
          <w:kern w:val="0"/>
          <w:szCs w:val="21"/>
        </w:rPr>
        <w:t>2</w:t>
      </w:r>
      <w:r>
        <w:rPr>
          <w:rFonts w:ascii="Arial" w:hAnsi="宋体" w:cs="Arial"/>
          <w:kern w:val="0"/>
          <w:szCs w:val="21"/>
        </w:rPr>
        <w:t>日内在指定媒介上公告。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交接：基金托管人职责终止的，应当妥善保管基金财产和基金托管业务资料，及时办理基金财产和基金托管业务的移交手续，新基金托管人或者临时基金托管人应当及时接收。新任基金托管人或临时基金托管人与基金管理人核对基金资产总值和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）审计并公告：基金托管人职责终止的，基金管理人应当按照规定聘请会计师事务所对基金财产进行审计，并将审计结果予以公告，同时报中国证监会备案。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、基金管理人与基金托管人同时更换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）提名：如果基金管理人和基金托管人同时更换，由单独或合计持有基金总份额</w:t>
      </w:r>
      <w:r>
        <w:rPr>
          <w:rFonts w:ascii="Arial" w:hAnsi="Arial" w:cs="Arial"/>
          <w:kern w:val="0"/>
          <w:szCs w:val="21"/>
        </w:rPr>
        <w:t>10%</w:t>
      </w:r>
      <w:r>
        <w:rPr>
          <w:rFonts w:ascii="Arial" w:hAnsi="宋体" w:cs="Arial"/>
          <w:kern w:val="0"/>
          <w:szCs w:val="21"/>
        </w:rPr>
        <w:t>以上的基金份额持有人提名新的基金管理人和基金托管人；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）基金管理人和基金托管人的更换分别按上述程序进行；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）公告：</w:t>
      </w:r>
      <w:proofErr w:type="gramStart"/>
      <w:r>
        <w:rPr>
          <w:rFonts w:ascii="Arial" w:hAnsi="宋体" w:cs="Arial"/>
          <w:kern w:val="0"/>
          <w:szCs w:val="21"/>
        </w:rPr>
        <w:t>新任基金</w:t>
      </w:r>
      <w:proofErr w:type="gramEnd"/>
      <w:r>
        <w:rPr>
          <w:rFonts w:ascii="Arial" w:hAnsi="宋体" w:cs="Arial"/>
          <w:kern w:val="0"/>
          <w:szCs w:val="21"/>
        </w:rPr>
        <w:t>管理人和</w:t>
      </w:r>
      <w:proofErr w:type="gramStart"/>
      <w:r>
        <w:rPr>
          <w:rFonts w:ascii="Arial" w:hAnsi="宋体" w:cs="Arial"/>
          <w:kern w:val="0"/>
          <w:szCs w:val="21"/>
        </w:rPr>
        <w:t>新任基金</w:t>
      </w:r>
      <w:proofErr w:type="gramEnd"/>
      <w:r>
        <w:rPr>
          <w:rFonts w:ascii="Arial" w:hAnsi="宋体" w:cs="Arial"/>
          <w:kern w:val="0"/>
          <w:szCs w:val="21"/>
        </w:rPr>
        <w:t>托管人应在更换基金管理人和基金托管人的基金份额持有人大会决议获得中国证监会核准后</w:t>
      </w:r>
      <w:r>
        <w:rPr>
          <w:rFonts w:ascii="Arial" w:hAnsi="Arial" w:cs="Arial"/>
          <w:kern w:val="0"/>
          <w:szCs w:val="21"/>
        </w:rPr>
        <w:t>2</w:t>
      </w:r>
      <w:r>
        <w:rPr>
          <w:rFonts w:ascii="Arial" w:hAnsi="宋体" w:cs="Arial"/>
          <w:kern w:val="0"/>
          <w:szCs w:val="21"/>
        </w:rPr>
        <w:t>日内在指定媒介上联合公告。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新基金管理人接受基金管理或新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24" w:name="_Toc253128702"/>
      <w:bookmarkStart w:id="25" w:name="_Toc88037845"/>
      <w:r>
        <w:rPr>
          <w:rFonts w:eastAsia="宋体" w:hAnsi="宋体" w:cs="Arial"/>
          <w:kern w:val="0"/>
          <w:sz w:val="28"/>
          <w:szCs w:val="28"/>
        </w:rPr>
        <w:t>十一、基金的托管</w:t>
      </w:r>
      <w:bookmarkEnd w:id="24"/>
      <w:bookmarkEnd w:id="25"/>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财产由基金托管人依法保管。基金管理人应与基金托管人按照《基金法》、本基金合同及其他有关法律法规规定订立《博时宏观回报债券型证券投资基金托管协议》，以明确基金管理人与基金托管人之间在基金份额持有人名册登记、基金财产的保管、基金财产的管理和运作及相互监督等相关事宜中的权利、义务及职责，确保基金财产的安全，保护基金份额持有人的合法权益。</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26" w:name="_Toc88037846"/>
      <w:bookmarkStart w:id="27" w:name="_Toc253128703"/>
      <w:r>
        <w:rPr>
          <w:rFonts w:eastAsia="宋体" w:hAnsi="宋体" w:cs="Arial"/>
          <w:kern w:val="0"/>
          <w:sz w:val="28"/>
          <w:szCs w:val="28"/>
        </w:rPr>
        <w:t>十二、基金的销售</w:t>
      </w:r>
      <w:bookmarkEnd w:id="26"/>
      <w:bookmarkEnd w:id="27"/>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（一）本基金的销售业务指接受投资者申请为其办理的本基金的认购、申购、赎回、转换、非交易过户、转托管、定期投资和客户服务等业务。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本基金的销售业务由基金管理人及基金管理人委托的其他符合条件的机构办理。基金管理人委托其他机构办理本基金认购、申购、赎回业务的，应与代理机构签订委托代理协议，以明确基金管理人和代销机构之间在基金份额认购、申购、赎回等事宜中的权利和义务，确保基金财产的安全，保护基金投资者和基金份额持有人的合法权益。销售机构应严格按照法律法规和本基金合同规定的条件办理本基金的销售业务。</w:t>
      </w:r>
    </w:p>
    <w:p w:rsidR="0057376A" w:rsidRDefault="00117DFA">
      <w:pPr>
        <w:snapToGrid w:val="0"/>
        <w:spacing w:line="360" w:lineRule="auto"/>
        <w:rPr>
          <w:rFonts w:ascii="Arial" w:hAnsi="Arial" w:cs="Arial"/>
          <w:b/>
          <w:kern w:val="0"/>
          <w:szCs w:val="21"/>
        </w:rPr>
      </w:pPr>
      <w:r>
        <w:rPr>
          <w:rFonts w:ascii="Arial" w:hAnsi="Arial" w:cs="Arial"/>
          <w:b/>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28" w:name="_Toc88037847"/>
      <w:bookmarkStart w:id="29" w:name="_Toc253128704"/>
      <w:r>
        <w:rPr>
          <w:rFonts w:eastAsia="宋体" w:hAnsi="宋体" w:cs="Arial"/>
          <w:kern w:val="0"/>
          <w:sz w:val="28"/>
          <w:szCs w:val="28"/>
        </w:rPr>
        <w:t>十三、基金份额的注册登记</w:t>
      </w:r>
      <w:bookmarkEnd w:id="28"/>
      <w:bookmarkEnd w:id="29"/>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本基金基金份额的注册登记业务指本基金登记、存管、过户、清算和交收业务，具体内容包括投资者基金账户管理、基金份额注册登记、清算及基金交易确认、发放红利、建立并保管基金份额持有人名册等。</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本基金的注册登记业务由基金管理人或基金管理人委托的其他符合条件的机构办理。基金管理人委托其他机构办理本基金注册登记业务的，应与代理机构签订委托代理协议，以明确基金管理人和代理机构在投资者基金账户管理、基金份额注册登记、清算及基金交易确认、代理发放红利、建立并保管基金份额持有人名册等事宜中的权利和义务，保护基金投资者和基金份额持有人的合法权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（三）注册登记机构履行如下职责：</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、建立和保管基金份额持有人开户资料、交易资料、基金份额持有人名册等；</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、配备足够的专业人员办理本基金的注册登记业务；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、严格按照法律法规和本基金合同规定的条件办理本基金的注册登记业务；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、接受基金管理人的监督；</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、保持基金份额持有人名册及相关的申购与赎回等业务记录</w:t>
      </w:r>
      <w:r>
        <w:rPr>
          <w:rFonts w:ascii="Arial" w:hAnsi="Arial" w:cs="Arial"/>
          <w:kern w:val="0"/>
          <w:szCs w:val="21"/>
        </w:rPr>
        <w:t>15</w:t>
      </w:r>
      <w:r>
        <w:rPr>
          <w:rFonts w:ascii="Arial" w:hAnsi="宋体" w:cs="Arial"/>
          <w:kern w:val="0"/>
          <w:szCs w:val="21"/>
        </w:rPr>
        <w:t>年以上；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、对基金份额持有人的基金账户信息负有保密义务，因违反该保密义务对投资者或基金带来的损失，须承担相应的赔偿责任，但按照法律法规的规定进行披露的情形除外；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7</w:t>
      </w:r>
      <w:r>
        <w:rPr>
          <w:rFonts w:ascii="Arial" w:hAnsi="宋体" w:cs="Arial"/>
          <w:kern w:val="0"/>
          <w:szCs w:val="21"/>
        </w:rPr>
        <w:t>、按本基金合同及招募说明书、更新的招募说明书的规定，为投资者办理</w:t>
      </w:r>
      <w:proofErr w:type="gramStart"/>
      <w:r>
        <w:rPr>
          <w:rFonts w:ascii="Arial" w:hAnsi="宋体" w:cs="Arial"/>
          <w:kern w:val="0"/>
          <w:szCs w:val="21"/>
        </w:rPr>
        <w:t>非交易</w:t>
      </w:r>
      <w:proofErr w:type="gramEnd"/>
      <w:r>
        <w:rPr>
          <w:rFonts w:ascii="Arial" w:hAnsi="宋体" w:cs="Arial"/>
          <w:kern w:val="0"/>
          <w:szCs w:val="21"/>
        </w:rPr>
        <w:t>过户、转托管等业务、提供</w:t>
      </w:r>
      <w:r>
        <w:rPr>
          <w:rFonts w:ascii="Arial" w:hAnsi="宋体" w:cs="Arial"/>
          <w:szCs w:val="21"/>
        </w:rPr>
        <w:t>基金收益分配等</w:t>
      </w:r>
      <w:r>
        <w:rPr>
          <w:rFonts w:ascii="Arial" w:hAnsi="宋体" w:cs="Arial"/>
          <w:kern w:val="0"/>
          <w:szCs w:val="21"/>
        </w:rPr>
        <w:t>其他必要的服务；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8</w:t>
      </w:r>
      <w:r>
        <w:rPr>
          <w:rFonts w:ascii="Arial" w:hAnsi="宋体" w:cs="Arial"/>
          <w:kern w:val="0"/>
          <w:szCs w:val="21"/>
        </w:rPr>
        <w:t>、在法律、法规允许的范围内，对注册登记业务的办理时间进行调整，并最迟于开始实施前</w:t>
      </w:r>
      <w:r>
        <w:rPr>
          <w:rFonts w:ascii="Arial" w:hAnsi="Arial" w:cs="Arial" w:hint="eastAsia"/>
          <w:kern w:val="0"/>
          <w:szCs w:val="21"/>
        </w:rPr>
        <w:t>2</w:t>
      </w:r>
      <w:r>
        <w:rPr>
          <w:rFonts w:ascii="Arial" w:hAnsi="宋体" w:cs="Arial"/>
          <w:kern w:val="0"/>
          <w:szCs w:val="21"/>
        </w:rPr>
        <w:t>日在指定媒介上公告；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9</w:t>
      </w:r>
      <w:r>
        <w:rPr>
          <w:rFonts w:ascii="Arial" w:hAnsi="宋体" w:cs="Arial"/>
          <w:kern w:val="0"/>
          <w:szCs w:val="21"/>
        </w:rPr>
        <w:t>、法律法规规定的其他职责。</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（四）注册登记机构履行相关职责后，有权取得注册登记费。</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30" w:name="_Toc253128705"/>
      <w:bookmarkStart w:id="31" w:name="_Toc88037848"/>
      <w:r>
        <w:rPr>
          <w:rFonts w:eastAsia="宋体" w:hAnsi="宋体" w:cs="Arial"/>
          <w:kern w:val="0"/>
          <w:sz w:val="28"/>
          <w:szCs w:val="28"/>
        </w:rPr>
        <w:t>十四、</w:t>
      </w:r>
      <w:bookmarkStart w:id="32" w:name="_Toc55791176"/>
      <w:r>
        <w:rPr>
          <w:rFonts w:eastAsia="宋体" w:hAnsi="宋体" w:cs="Arial"/>
          <w:kern w:val="0"/>
          <w:sz w:val="28"/>
          <w:szCs w:val="28"/>
        </w:rPr>
        <w:t>基金的投资</w:t>
      </w:r>
      <w:bookmarkEnd w:id="30"/>
      <w:bookmarkEnd w:id="31"/>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（一）投资目标</w:t>
      </w:r>
    </w:p>
    <w:p w:rsidR="0057376A" w:rsidRDefault="00117DFA">
      <w:pPr>
        <w:snapToGrid w:val="0"/>
        <w:spacing w:line="360" w:lineRule="auto"/>
        <w:ind w:firstLineChars="200" w:firstLine="420"/>
        <w:rPr>
          <w:rFonts w:ascii="Arial" w:hAnsi="Arial" w:cs="Arial"/>
        </w:rPr>
      </w:pPr>
      <w:r>
        <w:rPr>
          <w:rFonts w:ascii="Arial" w:hAnsi="宋体" w:cs="Arial"/>
        </w:rPr>
        <w:t>通过一定范围内固定收益类与权益类资产，以及不同久期固定收益类资产的灵活配置，获取不同时期各子类资产的市场收益，</w:t>
      </w:r>
      <w:r>
        <w:rPr>
          <w:rFonts w:ascii="Arial" w:hAnsi="宋体" w:cs="Arial"/>
          <w:color w:val="000000"/>
          <w:szCs w:val="21"/>
        </w:rPr>
        <w:t>力争获取高于业绩比较基准的投资收益</w:t>
      </w:r>
      <w:r>
        <w:rPr>
          <w:rFonts w:ascii="Arial" w:hAnsi="宋体" w:cs="Arial"/>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（二）投资范围</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本基金投资于具有良好流动性的金融工具，包括国内依法发行和上市的股票和债券以及法律、法规或中国证监会允许基金投资的其他金融工具。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的其他</w:t>
      </w:r>
      <w:r>
        <w:rPr>
          <w:rFonts w:ascii="Arial" w:hAnsi="宋体" w:cs="Arial" w:hint="eastAsia"/>
          <w:kern w:val="0"/>
          <w:szCs w:val="21"/>
        </w:rPr>
        <w:t>固定收益类</w:t>
      </w:r>
      <w:r>
        <w:rPr>
          <w:rFonts w:ascii="Arial" w:hAnsi="宋体" w:cs="Arial"/>
          <w:kern w:val="0"/>
          <w:szCs w:val="21"/>
        </w:rPr>
        <w:t>金融工具。其中，对债券</w:t>
      </w:r>
      <w:r>
        <w:rPr>
          <w:rFonts w:ascii="Arial" w:hAnsi="宋体" w:cs="Arial" w:hint="eastAsia"/>
          <w:kern w:val="0"/>
          <w:szCs w:val="21"/>
        </w:rPr>
        <w:t>等固定收益</w:t>
      </w:r>
      <w:r>
        <w:rPr>
          <w:rFonts w:ascii="Arial" w:hAnsi="宋体" w:cs="Arial"/>
          <w:kern w:val="0"/>
          <w:szCs w:val="21"/>
        </w:rPr>
        <w:t>类资产的投资比例不低于基金资产的</w:t>
      </w:r>
      <w:r>
        <w:rPr>
          <w:rFonts w:ascii="Arial" w:hAnsi="Arial" w:cs="Arial"/>
          <w:kern w:val="0"/>
          <w:szCs w:val="21"/>
        </w:rPr>
        <w:t>80%</w:t>
      </w:r>
      <w:r>
        <w:rPr>
          <w:rFonts w:ascii="Arial" w:hAnsi="宋体" w:cs="Arial"/>
          <w:kern w:val="0"/>
          <w:szCs w:val="21"/>
        </w:rPr>
        <w:t>，对现金或者到期日在一年以内的政府债券的投资比例不低于基金资产净值的</w:t>
      </w:r>
      <w:r>
        <w:rPr>
          <w:rFonts w:ascii="Arial" w:hAnsi="Arial" w:cs="Arial"/>
          <w:kern w:val="0"/>
          <w:szCs w:val="21"/>
        </w:rPr>
        <w:t>5%</w:t>
      </w:r>
      <w:r>
        <w:rPr>
          <w:rFonts w:ascii="Arial" w:hAnsi="Arial" w:cs="Arial" w:hint="eastAsia"/>
          <w:kern w:val="0"/>
          <w:szCs w:val="21"/>
        </w:rPr>
        <w:t>，其中，现金不包括结算备付金、存出保证金、应收申购款等</w:t>
      </w:r>
      <w:r>
        <w:rPr>
          <w:rFonts w:ascii="Arial" w:hAnsi="宋体" w:cs="Arial"/>
          <w:kern w:val="0"/>
          <w:szCs w:val="21"/>
        </w:rPr>
        <w:t>。</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本基金还可以参与一级市场新股申购，以及在二级市场上投资股票、权证等权益类证券。本基金投资于股票、权证等权益类证券的比例不超过基金资产的</w:t>
      </w:r>
      <w:r>
        <w:rPr>
          <w:rFonts w:ascii="Arial" w:hAnsi="Arial" w:cs="Arial"/>
          <w:kern w:val="0"/>
          <w:szCs w:val="21"/>
        </w:rPr>
        <w:t>20%</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如法律法规或监管机构以后允许基金投资其他品种，基金管理人在履行适当程序后，可以将其纳入投资范围。</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（三）投资理念</w:t>
      </w:r>
    </w:p>
    <w:p w:rsidR="0057376A" w:rsidRDefault="00117DFA">
      <w:pPr>
        <w:numPr>
          <w:ilvl w:val="0"/>
          <w:numId w:val="1"/>
        </w:numPr>
        <w:snapToGrid w:val="0"/>
        <w:spacing w:line="360" w:lineRule="auto"/>
        <w:ind w:left="0" w:firstLineChars="200" w:firstLine="420"/>
        <w:rPr>
          <w:rFonts w:ascii="Arial" w:hAnsi="宋体" w:cs="Arial"/>
        </w:rPr>
      </w:pPr>
      <w:r>
        <w:rPr>
          <w:rFonts w:ascii="Arial" w:hAnsi="Arial" w:cs="Arial"/>
        </w:rPr>
        <w:t>通过一定范围内固定收益类与权益类资产，以及不同久期固定收益类资产的灵活配置</w:t>
      </w:r>
      <w:r>
        <w:rPr>
          <w:rFonts w:ascii="Arial" w:hAnsi="宋体" w:cs="Arial"/>
        </w:rPr>
        <w:t>，最大化组合收益。</w:t>
      </w:r>
    </w:p>
    <w:p w:rsidR="0057376A" w:rsidRDefault="00117DFA">
      <w:pPr>
        <w:numPr>
          <w:ilvl w:val="0"/>
          <w:numId w:val="1"/>
        </w:numPr>
        <w:snapToGrid w:val="0"/>
        <w:spacing w:line="360" w:lineRule="auto"/>
        <w:ind w:left="0" w:firstLineChars="200" w:firstLine="420"/>
        <w:rPr>
          <w:rFonts w:ascii="Arial" w:hAnsi="宋体" w:cs="Arial"/>
        </w:rPr>
      </w:pPr>
      <w:r>
        <w:rPr>
          <w:rFonts w:ascii="Arial" w:hAnsi="宋体" w:cs="Arial"/>
        </w:rPr>
        <w:t>分散投资于不同品种、期限的债券指数，降低</w:t>
      </w:r>
      <w:r>
        <w:rPr>
          <w:rFonts w:ascii="Arial" w:hAnsi="宋体" w:cs="Arial" w:hint="eastAsia"/>
        </w:rPr>
        <w:t>固定收益类资产的</w:t>
      </w:r>
      <w:r>
        <w:rPr>
          <w:rFonts w:ascii="Arial" w:hAnsi="宋体" w:cs="Arial"/>
        </w:rPr>
        <w:t>非系统性风险。</w:t>
      </w:r>
    </w:p>
    <w:p w:rsidR="0057376A" w:rsidRDefault="00117DFA">
      <w:pPr>
        <w:numPr>
          <w:ilvl w:val="0"/>
          <w:numId w:val="1"/>
        </w:numPr>
        <w:snapToGrid w:val="0"/>
        <w:spacing w:line="360" w:lineRule="auto"/>
        <w:ind w:left="0" w:firstLineChars="200" w:firstLine="420"/>
        <w:rPr>
          <w:rFonts w:ascii="Arial" w:hAnsi="宋体" w:cs="Arial"/>
        </w:rPr>
      </w:pPr>
      <w:r>
        <w:rPr>
          <w:rFonts w:ascii="Arial" w:hAnsi="宋体" w:cs="Arial"/>
        </w:rPr>
        <w:t>积极寻找价值被低估的券种，利用优化抽样复制技术提高组合收益。</w:t>
      </w:r>
    </w:p>
    <w:p w:rsidR="0057376A" w:rsidRDefault="00117DFA">
      <w:pPr>
        <w:numPr>
          <w:ilvl w:val="0"/>
          <w:numId w:val="1"/>
        </w:numPr>
        <w:snapToGrid w:val="0"/>
        <w:spacing w:line="360" w:lineRule="auto"/>
        <w:ind w:left="0" w:firstLineChars="200" w:firstLine="420"/>
        <w:rPr>
          <w:rFonts w:ascii="Arial" w:hAnsi="宋体" w:cs="Arial"/>
        </w:rPr>
      </w:pPr>
      <w:r>
        <w:rPr>
          <w:rFonts w:ascii="Arial" w:hAnsi="宋体" w:cs="Arial" w:hint="eastAsia"/>
        </w:rPr>
        <w:t>适度投资于权益类资产，利用权益类资产和固定收益类资产表现周期的不一致获取收益。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（四）投资策略</w:t>
      </w:r>
    </w:p>
    <w:p w:rsidR="0057376A" w:rsidRDefault="00117DFA">
      <w:pPr>
        <w:numPr>
          <w:ilvl w:val="0"/>
          <w:numId w:val="2"/>
        </w:numPr>
        <w:snapToGrid w:val="0"/>
        <w:spacing w:line="360" w:lineRule="auto"/>
        <w:ind w:left="0" w:firstLineChars="200" w:firstLine="420"/>
        <w:rPr>
          <w:rFonts w:ascii="Arial" w:hAnsi="Arial" w:cs="Arial"/>
        </w:rPr>
      </w:pPr>
      <w:r>
        <w:rPr>
          <w:rFonts w:ascii="Arial" w:hAnsi="宋体" w:cs="Arial" w:hint="eastAsia"/>
        </w:rPr>
        <w:t>本基金</w:t>
      </w:r>
      <w:r>
        <w:rPr>
          <w:rFonts w:ascii="Arial" w:hAnsi="宋体" w:cs="Arial"/>
        </w:rPr>
        <w:t>资产配置策略</w:t>
      </w:r>
    </w:p>
    <w:p w:rsidR="0057376A" w:rsidRDefault="00117DFA">
      <w:pPr>
        <w:snapToGrid w:val="0"/>
        <w:spacing w:line="360" w:lineRule="auto"/>
        <w:ind w:firstLineChars="200" w:firstLine="420"/>
        <w:rPr>
          <w:rFonts w:ascii="Arial" w:hAnsi="Arial" w:cs="Arial"/>
        </w:rPr>
      </w:pPr>
      <w:r>
        <w:rPr>
          <w:rFonts w:ascii="宋体" w:hAnsi="宋体" w:hint="eastAsia"/>
        </w:rPr>
        <w:t>（</w:t>
      </w:r>
      <w:r>
        <w:rPr>
          <w:rFonts w:ascii="Arial" w:hAnsi="Arial" w:cs="Arial"/>
        </w:rPr>
        <w:t>1</w:t>
      </w:r>
      <w:r>
        <w:rPr>
          <w:rFonts w:ascii="宋体" w:hAnsi="宋体" w:hint="eastAsia"/>
        </w:rPr>
        <w:t>）大类资产配置策略</w:t>
      </w:r>
    </w:p>
    <w:p w:rsidR="0057376A" w:rsidRDefault="00117DFA">
      <w:pPr>
        <w:snapToGrid w:val="0"/>
        <w:spacing w:line="360" w:lineRule="auto"/>
        <w:ind w:firstLineChars="200" w:firstLine="420"/>
        <w:rPr>
          <w:rFonts w:ascii="Arial" w:hAnsi="Arial" w:cs="Arial"/>
        </w:rPr>
      </w:pPr>
      <w:r>
        <w:rPr>
          <w:rFonts w:ascii="宋体" w:hAnsi="宋体" w:hint="eastAsia"/>
        </w:rPr>
        <w:t>本基金对债券等固定收益类资产的投资比例不低于基金资产的</w:t>
      </w:r>
      <w:r>
        <w:rPr>
          <w:rFonts w:ascii="Arial" w:hAnsi="Arial" w:cs="Arial"/>
        </w:rPr>
        <w:t>80%</w:t>
      </w:r>
      <w:r>
        <w:rPr>
          <w:rFonts w:ascii="宋体" w:hAnsi="宋体" w:hint="eastAsia"/>
        </w:rPr>
        <w:t>，对股票、权证等权益类资产投资比例不超过基金资产的</w:t>
      </w:r>
      <w:r>
        <w:rPr>
          <w:rFonts w:ascii="Arial" w:hAnsi="Arial" w:cs="Arial"/>
        </w:rPr>
        <w:t>20%</w:t>
      </w:r>
      <w:r>
        <w:rPr>
          <w:rFonts w:ascii="宋体" w:hAnsi="宋体" w:hint="eastAsia"/>
        </w:rPr>
        <w:t>，并保持现金或者到期日在一年以内的政府债券的比例合计不低于基金资产净值的</w:t>
      </w:r>
      <w:r>
        <w:rPr>
          <w:rFonts w:ascii="Arial" w:hAnsi="Arial" w:cs="Arial"/>
        </w:rPr>
        <w:t>5%</w:t>
      </w:r>
      <w:r>
        <w:rPr>
          <w:rFonts w:ascii="Arial" w:hAnsi="Arial" w:cs="Arial" w:hint="eastAsia"/>
        </w:rPr>
        <w:t>，</w:t>
      </w:r>
      <w:r>
        <w:rPr>
          <w:rFonts w:ascii="Arial" w:hAnsi="Arial" w:cs="Arial" w:hint="eastAsia"/>
          <w:kern w:val="0"/>
          <w:szCs w:val="21"/>
        </w:rPr>
        <w:t>其中，现金不包括结算备付金、存出保证金、应收申购款等</w:t>
      </w:r>
      <w:r>
        <w:rPr>
          <w:rFonts w:ascii="宋体" w:hAnsi="宋体" w:hint="eastAsia"/>
        </w:rPr>
        <w:t>。</w:t>
      </w:r>
    </w:p>
    <w:p w:rsidR="0057376A" w:rsidRDefault="00117DFA">
      <w:pPr>
        <w:snapToGrid w:val="0"/>
        <w:spacing w:line="360" w:lineRule="auto"/>
        <w:ind w:firstLineChars="200" w:firstLine="420"/>
        <w:rPr>
          <w:rFonts w:ascii="Arial" w:hAnsi="Arial" w:cs="Arial"/>
        </w:rPr>
      </w:pPr>
      <w:r>
        <w:rPr>
          <w:rFonts w:ascii="宋体" w:hAnsi="宋体" w:hint="eastAsia"/>
        </w:rPr>
        <w:t>本基金采用以自上而下分析为主，自下而上分析为辅，定性分析、定量分析等各种分析手段有效结合的方法进行大类资产配置。分析的内容有：影响经济中长期运行的变量，包括</w:t>
      </w:r>
      <w:r>
        <w:rPr>
          <w:rFonts w:ascii="宋体" w:hAnsi="宋体" w:hint="eastAsia"/>
        </w:rPr>
        <w:lastRenderedPageBreak/>
        <w:t>经济增长模式、中长期经济增长动力等；影响宏观经济的周期性变量，包括宏观政策、货币供应、</w:t>
      </w:r>
      <w:r>
        <w:rPr>
          <w:rFonts w:ascii="Arial" w:hAnsi="Arial" w:cs="Arial"/>
        </w:rPr>
        <w:t>CPI</w:t>
      </w:r>
      <w:r>
        <w:rPr>
          <w:rFonts w:ascii="宋体" w:hAnsi="宋体" w:hint="eastAsia"/>
        </w:rPr>
        <w:t>等；市场自身的指标，包括信用利差、期限利差、远期利率等。在资产配置方面，采用自上而下的两层资产配置方法，在确定基金资产在固定收益类资产（债券、可转债、货币）与权益类资产（股票）之间的配置比例后，再确定不同年期债券的配置比例。</w:t>
      </w:r>
    </w:p>
    <w:p w:rsidR="0057376A" w:rsidRDefault="00117DFA">
      <w:pPr>
        <w:snapToGrid w:val="0"/>
        <w:spacing w:line="360" w:lineRule="auto"/>
        <w:ind w:firstLineChars="200" w:firstLine="420"/>
        <w:rPr>
          <w:rFonts w:ascii="Arial" w:hAnsi="Arial" w:cs="Arial"/>
        </w:rPr>
      </w:pPr>
      <w:r>
        <w:rPr>
          <w:rFonts w:ascii="宋体" w:hAnsi="宋体" w:hint="eastAsia"/>
        </w:rPr>
        <w:t>债券投资必须依赖于对宏观经济未来运行趋势的判断，而对宏观经济运行趋势的把握也十分有利于判断股票市场的整体走势。本基金将根据主要的经济信号指标对国内外经济形势进行分析，判断经济所处的经济周期阶段、景气循环状况和未来运行趋势。参考所处的不同经济周期阶段，选择适合的资产类别。如判断经济处于衰退期，则资产类别中以债券为主。如判断经济处于复苏期，则尽量提高权益类资产的投资比例。</w:t>
      </w:r>
    </w:p>
    <w:p w:rsidR="0057376A" w:rsidRDefault="00117DFA">
      <w:pPr>
        <w:snapToGrid w:val="0"/>
        <w:spacing w:line="360" w:lineRule="auto"/>
        <w:ind w:firstLineChars="200" w:firstLine="420"/>
        <w:rPr>
          <w:rFonts w:ascii="Arial" w:hAnsi="Arial" w:cs="Arial"/>
        </w:rPr>
      </w:pPr>
      <w:r>
        <w:rPr>
          <w:rFonts w:ascii="宋体" w:hAnsi="宋体" w:hint="eastAsia"/>
        </w:rPr>
        <w:t>（</w:t>
      </w:r>
      <w:r>
        <w:rPr>
          <w:rFonts w:ascii="Arial" w:hAnsi="Arial" w:cs="Arial"/>
        </w:rPr>
        <w:t>2</w:t>
      </w:r>
      <w:r>
        <w:rPr>
          <w:rFonts w:ascii="宋体" w:hAnsi="宋体" w:hint="eastAsia"/>
        </w:rPr>
        <w:t>）不同年期债券的配置策略</w:t>
      </w:r>
    </w:p>
    <w:p w:rsidR="0057376A" w:rsidRDefault="00117DFA">
      <w:pPr>
        <w:snapToGrid w:val="0"/>
        <w:spacing w:line="360" w:lineRule="auto"/>
        <w:ind w:firstLineChars="200" w:firstLine="420"/>
        <w:rPr>
          <w:rFonts w:ascii="Arial" w:hAnsi="Arial" w:cs="Arial"/>
        </w:rPr>
      </w:pPr>
      <w:r>
        <w:rPr>
          <w:rFonts w:ascii="宋体" w:hAnsi="宋体" w:hint="eastAsia"/>
        </w:rPr>
        <w:t>本基金对不同年期债券的配置，主要采取期限结构策略。通过预测收益率曲线的形状和变化趋势，对各类不同年期的债券进行久期配置，力争组合收益超过业绩比较基准收益。具体来看，包括跟踪收益率曲线的骑乘策略和基于收益率曲线变化的子弹策略、杠铃策略及梯式策略。本基金主要通过以下方法来确定不同年期的债券配置比例：</w:t>
      </w:r>
      <w:r>
        <w:rPr>
          <w:rFonts w:ascii="Arial" w:hAnsi="Arial" w:cs="Arial"/>
        </w:rPr>
        <w:t xml:space="preserve"> </w:t>
      </w:r>
    </w:p>
    <w:p w:rsidR="0057376A" w:rsidRDefault="00117DFA">
      <w:pPr>
        <w:snapToGrid w:val="0"/>
        <w:spacing w:line="360" w:lineRule="auto"/>
        <w:ind w:firstLineChars="200" w:firstLine="420"/>
        <w:rPr>
          <w:rFonts w:ascii="Arial" w:hAnsi="Arial" w:cs="Arial"/>
        </w:rPr>
      </w:pPr>
      <w:r>
        <w:rPr>
          <w:rFonts w:ascii="宋体" w:hAnsi="宋体" w:hint="eastAsia"/>
        </w:rPr>
        <w:t>方法一：博时收益率领先指标模型。</w:t>
      </w:r>
    </w:p>
    <w:p w:rsidR="0057376A" w:rsidRDefault="00117DFA">
      <w:pPr>
        <w:snapToGrid w:val="0"/>
        <w:spacing w:line="360" w:lineRule="auto"/>
        <w:ind w:firstLineChars="200" w:firstLine="420"/>
        <w:rPr>
          <w:rFonts w:ascii="Arial" w:hAnsi="Arial" w:cs="Arial"/>
        </w:rPr>
      </w:pPr>
      <w:r>
        <w:rPr>
          <w:rFonts w:ascii="宋体" w:hAnsi="宋体" w:hint="eastAsia"/>
        </w:rPr>
        <w:t>该方法主要通过将影响债券收益率的指标进行定量化处理，结合我国的宏观经济监测指标体系以及债券市场自身的特性，本基金选取制造业新订单、股票指数、</w:t>
      </w:r>
      <w:r>
        <w:t>M2</w:t>
      </w:r>
      <w:r>
        <w:rPr>
          <w:rFonts w:ascii="宋体" w:hAnsi="宋体" w:hint="eastAsia"/>
        </w:rPr>
        <w:t>等指标作为编制收益率领先指数的指标库，计算出一个债券收益率的领先指数。从历史检验结果看，该指数的波动领先于无风险利率的波动，通过计算该领先指数的运行趋势，能够预测利率产品的整体走势。</w:t>
      </w:r>
    </w:p>
    <w:p w:rsidR="0057376A" w:rsidRDefault="00117DFA">
      <w:pPr>
        <w:snapToGrid w:val="0"/>
        <w:spacing w:line="360" w:lineRule="auto"/>
        <w:ind w:firstLineChars="200" w:firstLine="420"/>
        <w:rPr>
          <w:rFonts w:ascii="Arial" w:hAnsi="Arial" w:cs="Arial"/>
        </w:rPr>
      </w:pPr>
      <w:r>
        <w:rPr>
          <w:rFonts w:ascii="宋体" w:hAnsi="宋体" w:hint="eastAsia"/>
        </w:rPr>
        <w:t>方法二：宏观经济指标评价体系。</w:t>
      </w:r>
    </w:p>
    <w:p w:rsidR="0057376A" w:rsidRDefault="00117DFA">
      <w:pPr>
        <w:snapToGrid w:val="0"/>
        <w:spacing w:line="360" w:lineRule="auto"/>
        <w:ind w:firstLineChars="200" w:firstLine="420"/>
        <w:rPr>
          <w:rFonts w:ascii="Arial" w:hAnsi="Arial" w:cs="Arial"/>
        </w:rPr>
      </w:pPr>
      <w:r>
        <w:rPr>
          <w:rFonts w:ascii="宋体" w:hAnsi="宋体" w:hint="eastAsia"/>
        </w:rPr>
        <w:t>该评价体系的理念：通过预测宏观经济指标未来的趋势，并与现在进行比较，得出债券收益率在现在基础上的运行趋势。本基金将考察的时间分为短期与中长期，确定每个宏观经济指标的评分范围，依据这些指标与收益率的关系进行评分，计算出收益率在未来短期与中长期的趋势与压力。本基金再根据中长期趋势与短期趋势得分的差异进行不同期限的债券配置。</w:t>
      </w:r>
    </w:p>
    <w:p w:rsidR="0057376A" w:rsidRDefault="00117DFA">
      <w:pPr>
        <w:snapToGrid w:val="0"/>
        <w:spacing w:line="360" w:lineRule="auto"/>
        <w:ind w:firstLineChars="200" w:firstLine="420"/>
        <w:rPr>
          <w:rFonts w:ascii="Arial" w:hAnsi="Arial" w:cs="Arial"/>
        </w:rPr>
      </w:pPr>
      <w:r>
        <w:rPr>
          <w:rFonts w:ascii="宋体" w:hAnsi="宋体" w:hint="eastAsia"/>
        </w:rPr>
        <w:t>方法三：收益率曲线预测模型。</w:t>
      </w:r>
    </w:p>
    <w:p w:rsidR="0057376A" w:rsidRDefault="00117DFA">
      <w:pPr>
        <w:snapToGrid w:val="0"/>
        <w:spacing w:line="360" w:lineRule="auto"/>
        <w:ind w:firstLineChars="200" w:firstLine="420"/>
        <w:rPr>
          <w:rFonts w:ascii="Arial" w:hAnsi="Arial" w:cs="Arial"/>
        </w:rPr>
      </w:pPr>
      <w:r>
        <w:rPr>
          <w:rFonts w:ascii="宋体" w:hAnsi="宋体" w:hint="eastAsia"/>
        </w:rPr>
        <w:t>该模型由两部分组成，第一部分为远期的即期利率预测，第二部分为未来考察期限内的即期利率运行趋势预测。将这两部分结合就能构建考察期限内，相应时点的收益率曲线。本基金将这些预测的收益率曲线与当前收益率曲线进行比较，为当前投资不同期限的债券指数提供支持。</w:t>
      </w:r>
    </w:p>
    <w:p w:rsidR="0057376A" w:rsidRDefault="00117DFA">
      <w:pPr>
        <w:numPr>
          <w:ilvl w:val="0"/>
          <w:numId w:val="2"/>
        </w:numPr>
        <w:snapToGrid w:val="0"/>
        <w:spacing w:line="360" w:lineRule="auto"/>
        <w:ind w:left="0" w:firstLineChars="200" w:firstLine="420"/>
        <w:rPr>
          <w:rFonts w:ascii="Arial" w:hAnsi="宋体" w:cs="Arial"/>
        </w:rPr>
      </w:pPr>
      <w:r>
        <w:rPr>
          <w:rFonts w:ascii="Arial" w:hAnsi="宋体" w:cs="Arial" w:hint="eastAsia"/>
        </w:rPr>
        <w:t>本基金固定收益类资产的主要投资策略</w:t>
      </w:r>
    </w:p>
    <w:p w:rsidR="0057376A" w:rsidRDefault="00117DFA">
      <w:pPr>
        <w:snapToGrid w:val="0"/>
        <w:spacing w:line="360" w:lineRule="auto"/>
        <w:ind w:firstLineChars="200" w:firstLine="420"/>
        <w:rPr>
          <w:rFonts w:ascii="Arial" w:hAnsi="Arial" w:cs="Arial"/>
        </w:rPr>
      </w:pPr>
      <w:r>
        <w:rPr>
          <w:rFonts w:ascii="宋体" w:hAnsi="宋体" w:hint="eastAsia"/>
        </w:rPr>
        <w:t>本基金固定收益类资产（由于投资对象和投资方法的特殊性，不含可转债）的主要投资策略如下：</w:t>
      </w:r>
    </w:p>
    <w:p w:rsidR="0057376A" w:rsidRDefault="00117DFA">
      <w:pPr>
        <w:snapToGrid w:val="0"/>
        <w:spacing w:line="360" w:lineRule="auto"/>
        <w:ind w:firstLineChars="200" w:firstLine="420"/>
        <w:rPr>
          <w:rFonts w:ascii="Arial" w:hAnsi="Arial" w:cs="Arial"/>
        </w:rPr>
      </w:pPr>
      <w:r>
        <w:rPr>
          <w:rFonts w:ascii="宋体" w:hAnsi="宋体" w:hint="eastAsia"/>
        </w:rPr>
        <w:lastRenderedPageBreak/>
        <w:t>在以上大类资产以及不同年期固定收益类资产的比例确定的基础上，本基金主要采取通过抽样复制技术模拟中证分年期债券系列指数的走势；同时，灵活应用期限结构策略、信用策略、互换策略以及息差策略等，在合理管理并控制组合风险的前提下，最大化组合收益。</w:t>
      </w:r>
    </w:p>
    <w:p w:rsidR="0057376A" w:rsidRDefault="00117DFA">
      <w:pPr>
        <w:pStyle w:val="22"/>
        <w:widowControl/>
        <w:numPr>
          <w:ilvl w:val="0"/>
          <w:numId w:val="3"/>
        </w:numPr>
        <w:tabs>
          <w:tab w:val="left" w:pos="993"/>
        </w:tabs>
        <w:snapToGrid w:val="0"/>
        <w:spacing w:line="360" w:lineRule="auto"/>
        <w:ind w:left="0" w:firstLine="420"/>
        <w:rPr>
          <w:rFonts w:ascii="Arial" w:hAnsi="Arial" w:cs="Arial"/>
        </w:rPr>
      </w:pPr>
      <w:r>
        <w:rPr>
          <w:rFonts w:ascii="宋体" w:hAnsi="宋体" w:hint="eastAsia"/>
        </w:rPr>
        <w:t>通过抽样复制模拟分年期债券指数走势</w:t>
      </w:r>
    </w:p>
    <w:p w:rsidR="0057376A" w:rsidRDefault="00117DFA">
      <w:pPr>
        <w:snapToGrid w:val="0"/>
        <w:spacing w:line="360" w:lineRule="auto"/>
        <w:ind w:firstLineChars="200" w:firstLine="420"/>
        <w:rPr>
          <w:rFonts w:ascii="Arial" w:hAnsi="Arial" w:cs="Arial"/>
        </w:rPr>
      </w:pPr>
      <w:r>
        <w:rPr>
          <w:rFonts w:ascii="宋体" w:hAnsi="宋体" w:hint="eastAsia"/>
        </w:rPr>
        <w:t>债券市场的交易习惯与股票市场有很大差异，在复制债券市场指数时，本基金将采用抽样复制的方法，综合考虑指数中样本的发行规模、流动性、代表性及抽样组合与对应指数的相关性选择成份债券。</w:t>
      </w:r>
    </w:p>
    <w:p w:rsidR="0057376A" w:rsidRDefault="00117DFA">
      <w:pPr>
        <w:snapToGrid w:val="0"/>
        <w:spacing w:line="360" w:lineRule="auto"/>
        <w:ind w:firstLineChars="200" w:firstLine="420"/>
        <w:rPr>
          <w:rFonts w:ascii="Arial" w:hAnsi="Arial" w:cs="Arial"/>
        </w:rPr>
      </w:pPr>
      <w:r>
        <w:rPr>
          <w:rFonts w:ascii="宋体" w:hAnsi="宋体" w:hint="eastAsia"/>
        </w:rPr>
        <w:t>分层抽样法将标的指数所有成分证券按某种标准分为若干层，每一层为总体中的一个子集，各子集所包含的个体互不重叠，且至少拥有一种共同的特性。然后，再按一定的抽样方式在各层中抽出若干样本，各层抽出的样本，统一组成一个足够多的总样本。</w:t>
      </w:r>
    </w:p>
    <w:p w:rsidR="0057376A" w:rsidRDefault="00117DFA">
      <w:pPr>
        <w:snapToGrid w:val="0"/>
        <w:spacing w:line="360" w:lineRule="auto"/>
        <w:ind w:firstLineChars="200" w:firstLine="420"/>
        <w:rPr>
          <w:rFonts w:ascii="Arial" w:hAnsi="Arial" w:cs="Arial"/>
          <w:color w:val="000000"/>
        </w:rPr>
      </w:pPr>
      <w:r>
        <w:rPr>
          <w:rFonts w:ascii="宋体" w:hAnsi="宋体" w:hint="eastAsia"/>
        </w:rPr>
        <w:t>能否找到合适的标准对标的指数全部成分证券进行分层，使得各层的样本至少有一个与其他各层不同的属性，是分层抽样法的一个关键。分层抽样的标准或方法可以有多种，对于国内债券市场，本基金将以指数样本券的剩余年限和信用级别作为一个二维分类标准，即将剩余年限与信用级别作为两个坐标轴，根据坐标轴的数值，将指数成份证券划分到坐标系的不同区域中，按每个区域所含证券总数或总权数分配各区域抽样比例。</w:t>
      </w:r>
      <w:r>
        <w:rPr>
          <w:rFonts w:ascii="宋体" w:hAnsi="宋体" w:hint="eastAsia"/>
          <w:color w:val="000000"/>
        </w:rPr>
        <w:t>在每一个区域内，本基金将通过评分的方法对样本进行抽样，评分指标体系包括：债券久期、债券收益率、债券发行规模、债券流动性、债券发行人属性等因素。</w:t>
      </w:r>
    </w:p>
    <w:p w:rsidR="0057376A" w:rsidRDefault="00117DFA">
      <w:pPr>
        <w:pStyle w:val="22"/>
        <w:widowControl/>
        <w:numPr>
          <w:ilvl w:val="0"/>
          <w:numId w:val="3"/>
        </w:numPr>
        <w:tabs>
          <w:tab w:val="left" w:pos="993"/>
        </w:tabs>
        <w:snapToGrid w:val="0"/>
        <w:spacing w:line="360" w:lineRule="auto"/>
        <w:ind w:left="0" w:firstLine="420"/>
        <w:rPr>
          <w:rFonts w:ascii="Arial" w:hAnsi="Arial" w:cs="Arial"/>
        </w:rPr>
      </w:pPr>
      <w:r>
        <w:rPr>
          <w:rFonts w:ascii="宋体" w:hAnsi="宋体" w:hint="eastAsia"/>
        </w:rPr>
        <w:t>适当的主动投资</w:t>
      </w:r>
    </w:p>
    <w:p w:rsidR="0057376A" w:rsidRDefault="00117DFA">
      <w:pPr>
        <w:snapToGrid w:val="0"/>
        <w:spacing w:line="360" w:lineRule="auto"/>
        <w:ind w:firstLineChars="200" w:firstLine="420"/>
        <w:rPr>
          <w:rFonts w:ascii="Arial" w:hAnsi="Arial" w:cs="Arial"/>
        </w:rPr>
      </w:pPr>
      <w:r>
        <w:rPr>
          <w:rFonts w:ascii="宋体" w:hAnsi="宋体" w:hint="eastAsia"/>
        </w:rPr>
        <w:t>本基金的固定收益类资产主要采取分层抽样的方法模拟相应年期的债券指数，在个券投资上，主要运用信用策略、互换策略和息差策略，进行适当的主动投资，以增强收益。</w:t>
      </w:r>
    </w:p>
    <w:p w:rsidR="0057376A" w:rsidRDefault="00117DFA">
      <w:pPr>
        <w:pStyle w:val="22"/>
        <w:widowControl/>
        <w:numPr>
          <w:ilvl w:val="1"/>
          <w:numId w:val="3"/>
        </w:numPr>
        <w:snapToGrid w:val="0"/>
        <w:spacing w:line="360" w:lineRule="auto"/>
        <w:ind w:left="0" w:firstLine="420"/>
        <w:rPr>
          <w:rFonts w:ascii="Arial" w:hAnsi="Arial" w:cs="Arial"/>
        </w:rPr>
      </w:pPr>
      <w:r>
        <w:rPr>
          <w:rFonts w:ascii="宋体" w:hAnsi="宋体" w:hint="eastAsia"/>
        </w:rPr>
        <w:t>信用策略</w:t>
      </w:r>
    </w:p>
    <w:p w:rsidR="0057376A" w:rsidRDefault="00117DFA">
      <w:pPr>
        <w:snapToGrid w:val="0"/>
        <w:spacing w:line="360" w:lineRule="auto"/>
        <w:ind w:firstLineChars="200" w:firstLine="420"/>
        <w:rPr>
          <w:rFonts w:ascii="Arial" w:hAnsi="Arial" w:cs="Arial"/>
        </w:rPr>
      </w:pPr>
      <w:r>
        <w:rPr>
          <w:rFonts w:ascii="宋体" w:hAnsi="宋体" w:hint="eastAsia"/>
        </w:rPr>
        <w:t>信用利差收益率主要受两个方面的影响，一是债券对应信用水平的市场信用利差曲线走势；二是债券本身的信用变化。本基金依靠内部评级系统分析债券的相对信用水平、违约风险及理论信用利差，分析信用利差曲线整体及分行业走势，确定各类债券投资比例。</w:t>
      </w:r>
    </w:p>
    <w:p w:rsidR="0057376A" w:rsidRDefault="00117DFA">
      <w:pPr>
        <w:pStyle w:val="22"/>
        <w:widowControl/>
        <w:numPr>
          <w:ilvl w:val="1"/>
          <w:numId w:val="3"/>
        </w:numPr>
        <w:snapToGrid w:val="0"/>
        <w:spacing w:line="360" w:lineRule="auto"/>
        <w:ind w:left="0" w:firstLine="420"/>
        <w:rPr>
          <w:rFonts w:ascii="Arial" w:hAnsi="Arial" w:cs="Arial"/>
        </w:rPr>
      </w:pPr>
      <w:r>
        <w:rPr>
          <w:rFonts w:ascii="宋体" w:hAnsi="宋体" w:hint="eastAsia"/>
        </w:rPr>
        <w:t>互换策略</w:t>
      </w:r>
    </w:p>
    <w:p w:rsidR="0057376A" w:rsidRDefault="00117DFA">
      <w:pPr>
        <w:snapToGrid w:val="0"/>
        <w:spacing w:line="360" w:lineRule="auto"/>
        <w:ind w:firstLineChars="200" w:firstLine="420"/>
        <w:rPr>
          <w:rFonts w:ascii="Arial" w:hAnsi="Arial" w:cs="Arial"/>
        </w:rPr>
      </w:pPr>
      <w:r>
        <w:rPr>
          <w:rFonts w:ascii="宋体" w:hAnsi="宋体" w:hint="eastAsia"/>
        </w:rPr>
        <w:t>不同券种在利息、违约风险、久期、流动性、税收和衍生条款等方面存在差别，投资管理人可以同时买入和卖出具有相近特性的两个或两个以上券种，赚取收益率差。</w:t>
      </w:r>
    </w:p>
    <w:p w:rsidR="0057376A" w:rsidRDefault="00117DFA">
      <w:pPr>
        <w:pStyle w:val="22"/>
        <w:widowControl/>
        <w:numPr>
          <w:ilvl w:val="1"/>
          <w:numId w:val="3"/>
        </w:numPr>
        <w:snapToGrid w:val="0"/>
        <w:spacing w:line="360" w:lineRule="auto"/>
        <w:ind w:left="0" w:firstLine="420"/>
        <w:rPr>
          <w:rFonts w:ascii="Arial" w:hAnsi="Arial" w:cs="Arial"/>
        </w:rPr>
      </w:pPr>
      <w:r>
        <w:rPr>
          <w:rFonts w:ascii="宋体" w:hAnsi="宋体" w:hint="eastAsia"/>
        </w:rPr>
        <w:t>息差策略</w:t>
      </w:r>
    </w:p>
    <w:p w:rsidR="0057376A" w:rsidRDefault="00117DFA">
      <w:pPr>
        <w:snapToGrid w:val="0"/>
        <w:spacing w:line="360" w:lineRule="auto"/>
        <w:ind w:firstLineChars="200" w:firstLine="420"/>
        <w:rPr>
          <w:rFonts w:ascii="Arial" w:hAnsi="Arial" w:cs="Arial"/>
        </w:rPr>
      </w:pPr>
      <w:r>
        <w:rPr>
          <w:rFonts w:ascii="宋体" w:hAnsi="宋体" w:hint="eastAsia"/>
        </w:rPr>
        <w:t>通过正回购，融资买入收益率高于回购成本的债券，从而获得杠杆放大收益。</w:t>
      </w:r>
    </w:p>
    <w:p w:rsidR="0057376A" w:rsidRDefault="00117DFA">
      <w:pPr>
        <w:numPr>
          <w:ilvl w:val="0"/>
          <w:numId w:val="2"/>
        </w:numPr>
        <w:snapToGrid w:val="0"/>
        <w:spacing w:line="360" w:lineRule="auto"/>
        <w:ind w:left="0" w:firstLineChars="200" w:firstLine="420"/>
        <w:rPr>
          <w:rFonts w:ascii="Arial" w:hAnsi="宋体" w:cs="Arial"/>
        </w:rPr>
      </w:pPr>
      <w:r>
        <w:rPr>
          <w:rFonts w:ascii="Arial" w:hAnsi="宋体" w:cs="Arial" w:hint="eastAsia"/>
        </w:rPr>
        <w:t>可转债投资策略</w:t>
      </w:r>
    </w:p>
    <w:p w:rsidR="0057376A" w:rsidRDefault="00117DFA">
      <w:pPr>
        <w:snapToGrid w:val="0"/>
        <w:spacing w:line="360" w:lineRule="auto"/>
        <w:ind w:firstLineChars="200" w:firstLine="420"/>
        <w:rPr>
          <w:rFonts w:ascii="Arial" w:hAnsi="Arial" w:cs="Arial"/>
        </w:rPr>
      </w:pPr>
      <w:r>
        <w:rPr>
          <w:rFonts w:ascii="宋体" w:hAnsi="宋体" w:hint="eastAsia"/>
        </w:rPr>
        <w:t>本基金采取参考天相可转债指数的方法进行可转债投资。由于可转换债券兼具债性和股性特征，本基金将在参考天相可转债指数的基础上，采用自上而下的宏观、行业分析和自下而上的转债特性分析相结合的方法投资可转债。</w:t>
      </w:r>
    </w:p>
    <w:p w:rsidR="0057376A" w:rsidRDefault="00117DFA">
      <w:pPr>
        <w:numPr>
          <w:ilvl w:val="0"/>
          <w:numId w:val="2"/>
        </w:numPr>
        <w:snapToGrid w:val="0"/>
        <w:spacing w:line="360" w:lineRule="auto"/>
        <w:ind w:left="0" w:firstLineChars="200" w:firstLine="420"/>
        <w:rPr>
          <w:rFonts w:ascii="Arial" w:hAnsi="宋体" w:cs="Arial"/>
        </w:rPr>
      </w:pPr>
      <w:r>
        <w:rPr>
          <w:rFonts w:ascii="Arial" w:hAnsi="宋体" w:cs="Arial"/>
        </w:rPr>
        <w:t>权益类品种投资策略</w:t>
      </w:r>
    </w:p>
    <w:p w:rsidR="0057376A" w:rsidRDefault="00117DFA">
      <w:pPr>
        <w:pStyle w:val="22"/>
        <w:numPr>
          <w:ilvl w:val="0"/>
          <w:numId w:val="4"/>
        </w:numPr>
        <w:tabs>
          <w:tab w:val="left" w:pos="993"/>
        </w:tabs>
        <w:snapToGrid w:val="0"/>
        <w:spacing w:line="360" w:lineRule="auto"/>
        <w:ind w:left="0" w:firstLine="420"/>
        <w:rPr>
          <w:rFonts w:ascii="Arial" w:hAnsi="宋体" w:cs="Arial"/>
        </w:rPr>
      </w:pPr>
      <w:r>
        <w:rPr>
          <w:rFonts w:ascii="Arial" w:hAnsi="宋体" w:cs="Arial"/>
        </w:rPr>
        <w:lastRenderedPageBreak/>
        <w:t>一级市场申购策略</w:t>
      </w:r>
    </w:p>
    <w:p w:rsidR="0057376A" w:rsidRDefault="00117DFA">
      <w:pPr>
        <w:adjustRightInd w:val="0"/>
        <w:snapToGrid w:val="0"/>
        <w:spacing w:line="360" w:lineRule="auto"/>
        <w:ind w:firstLineChars="200" w:firstLine="420"/>
        <w:rPr>
          <w:rFonts w:ascii="Arial" w:hAnsi="Arial" w:cs="Arial"/>
          <w:szCs w:val="21"/>
        </w:rPr>
      </w:pPr>
      <w:r>
        <w:rPr>
          <w:rFonts w:ascii="Arial" w:hAnsi="宋体" w:cs="Arial" w:hint="eastAsia"/>
          <w:szCs w:val="21"/>
        </w:rPr>
        <w:t>本基金权益类品种</w:t>
      </w:r>
      <w:r>
        <w:rPr>
          <w:rFonts w:ascii="Arial" w:hAnsi="宋体" w:cs="Arial"/>
          <w:szCs w:val="21"/>
        </w:rPr>
        <w:t>申购决策主要考虑一、二级市场溢价率、中签率和申购机会成本三个方面。一级市场申购策略的关键是选取合适的定价模型和参数，在定价过程中充分考虑对应市场的平均估值水平和近期发行的证券的估值水平，以契合当期的投资环境。</w:t>
      </w:r>
    </w:p>
    <w:p w:rsidR="0057376A" w:rsidRDefault="00117DFA">
      <w:pPr>
        <w:pStyle w:val="22"/>
        <w:numPr>
          <w:ilvl w:val="0"/>
          <w:numId w:val="4"/>
        </w:numPr>
        <w:tabs>
          <w:tab w:val="left" w:pos="993"/>
        </w:tabs>
        <w:snapToGrid w:val="0"/>
        <w:spacing w:line="360" w:lineRule="auto"/>
        <w:ind w:left="0" w:firstLine="420"/>
        <w:rPr>
          <w:rFonts w:ascii="Arial" w:hAnsi="宋体" w:cs="Arial"/>
        </w:rPr>
      </w:pPr>
      <w:r>
        <w:rPr>
          <w:rFonts w:ascii="Arial" w:hAnsi="宋体" w:cs="Arial"/>
        </w:rPr>
        <w:t>二级市场股票投资策略</w:t>
      </w:r>
    </w:p>
    <w:p w:rsidR="0057376A" w:rsidRDefault="00117DFA">
      <w:pPr>
        <w:adjustRightInd w:val="0"/>
        <w:snapToGrid w:val="0"/>
        <w:spacing w:line="360" w:lineRule="auto"/>
        <w:ind w:firstLineChars="200" w:firstLine="420"/>
      </w:pPr>
      <w:r>
        <w:rPr>
          <w:rFonts w:hint="eastAsia"/>
        </w:rPr>
        <w:t>本基金的股票类资产作为整体基金投资组合管理的辅助工具，为投资者提供适度参与股票市场、获取市场收益的机会。</w:t>
      </w:r>
    </w:p>
    <w:p w:rsidR="0057376A" w:rsidRDefault="00117DFA">
      <w:pPr>
        <w:pStyle w:val="a7"/>
        <w:snapToGrid w:val="0"/>
        <w:spacing w:line="360" w:lineRule="auto"/>
        <w:ind w:firstLineChars="200"/>
        <w:rPr>
          <w:rFonts w:ascii="Arial" w:hAnsi="宋体" w:cs="Arial"/>
        </w:rPr>
      </w:pPr>
      <w:r>
        <w:rPr>
          <w:rFonts w:ascii="Arial" w:hAnsi="宋体" w:cs="Arial"/>
        </w:rPr>
        <w:t>本基金</w:t>
      </w:r>
      <w:r>
        <w:rPr>
          <w:rFonts w:ascii="Arial" w:hAnsi="宋体" w:cs="Arial" w:hint="eastAsia"/>
        </w:rPr>
        <w:t>的股票投资将主要</w:t>
      </w:r>
      <w:r>
        <w:rPr>
          <w:rFonts w:ascii="Arial" w:hAnsi="宋体" w:cs="Arial"/>
        </w:rPr>
        <w:t>遵循三个步骤：一是</w:t>
      </w:r>
      <w:r>
        <w:rPr>
          <w:rFonts w:cs="楷体_GB2312" w:hint="eastAsia"/>
        </w:rPr>
        <w:t>重点关注我们研究团队长期跟踪并且有良好业绩记录的公司，并将此类公司作为本基金的基本股票池，同时关注不同时期的主题</w:t>
      </w:r>
      <w:r>
        <w:rPr>
          <w:rFonts w:ascii="Arial" w:hAnsi="宋体" w:cs="Arial" w:hint="eastAsia"/>
        </w:rPr>
        <w:t>；</w:t>
      </w:r>
      <w:r>
        <w:rPr>
          <w:rFonts w:ascii="Arial" w:hAnsi="宋体" w:cs="Arial"/>
        </w:rPr>
        <w:t>二是对股票的基本面素质进行筛选。应用基本面分析方法，确定</w:t>
      </w:r>
      <w:r>
        <w:rPr>
          <w:rFonts w:ascii="Arial" w:hAnsi="宋体" w:cs="Arial" w:hint="eastAsia"/>
        </w:rPr>
        <w:t>实际的估值水平</w:t>
      </w:r>
      <w:r>
        <w:rPr>
          <w:rFonts w:ascii="Arial" w:hAnsi="宋体" w:cs="Arial"/>
        </w:rPr>
        <w:t>，</w:t>
      </w:r>
      <w:r>
        <w:rPr>
          <w:rFonts w:ascii="Arial" w:hAnsi="宋体" w:cs="Arial" w:hint="eastAsia"/>
        </w:rPr>
        <w:t>筛选出投资</w:t>
      </w:r>
      <w:r>
        <w:rPr>
          <w:rFonts w:ascii="Arial" w:hAnsi="宋体" w:cs="Arial"/>
        </w:rPr>
        <w:t>股票</w:t>
      </w:r>
      <w:r>
        <w:rPr>
          <w:rFonts w:ascii="Arial" w:hAnsi="宋体" w:cs="Arial" w:hint="eastAsia"/>
        </w:rPr>
        <w:t>池</w:t>
      </w:r>
      <w:r>
        <w:rPr>
          <w:rFonts w:ascii="Arial" w:hAnsi="宋体" w:cs="Arial"/>
        </w:rPr>
        <w:t>名单</w:t>
      </w:r>
      <w:r>
        <w:rPr>
          <w:rFonts w:ascii="Arial" w:hAnsi="宋体" w:cs="Arial" w:hint="eastAsia"/>
        </w:rPr>
        <w:t>；</w:t>
      </w:r>
      <w:r>
        <w:rPr>
          <w:rFonts w:ascii="Arial" w:hAnsi="宋体" w:cs="Arial"/>
        </w:rPr>
        <w:t>三是</w:t>
      </w:r>
      <w:r>
        <w:rPr>
          <w:rFonts w:cs="楷体_GB2312" w:hint="eastAsia"/>
        </w:rPr>
        <w:t>通过预设指令的方法，在市场的相应时机以我们认同的具备一定安全边际的价格，对个股予以动态配置</w:t>
      </w:r>
      <w:r>
        <w:rPr>
          <w:rFonts w:ascii="Arial" w:hAnsi="宋体" w:cs="Arial"/>
        </w:rPr>
        <w:t>，追求在可控风险前提下的稳健回报。</w:t>
      </w:r>
    </w:p>
    <w:p w:rsidR="0057376A" w:rsidRDefault="00117DFA">
      <w:pPr>
        <w:numPr>
          <w:ilvl w:val="0"/>
          <w:numId w:val="2"/>
        </w:numPr>
        <w:snapToGrid w:val="0"/>
        <w:spacing w:line="360" w:lineRule="auto"/>
        <w:ind w:left="0" w:firstLineChars="200" w:firstLine="420"/>
        <w:rPr>
          <w:rFonts w:ascii="Arial" w:hAnsi="宋体" w:cs="Arial"/>
        </w:rPr>
      </w:pPr>
      <w:r>
        <w:rPr>
          <w:rFonts w:ascii="Arial" w:hAnsi="宋体" w:cs="Arial" w:hint="eastAsia"/>
        </w:rPr>
        <w:t>投资决策流程</w:t>
      </w:r>
    </w:p>
    <w:p w:rsidR="0057376A" w:rsidRDefault="00117DFA">
      <w:pPr>
        <w:pStyle w:val="a7"/>
        <w:snapToGrid w:val="0"/>
        <w:spacing w:line="360" w:lineRule="auto"/>
        <w:ind w:firstLineChars="200"/>
        <w:rPr>
          <w:rFonts w:ascii="Arial" w:hAnsi="Arial" w:cs="Arial"/>
        </w:rPr>
      </w:pPr>
      <w:r>
        <w:rPr>
          <w:rFonts w:ascii="Arial" w:hAnsi="Arial" w:cs="Arial"/>
        </w:rPr>
        <w:t>投资决策委员会是本基金的最高决策机构，定期或遇重大事件时就投资管理业务的重大问题进行讨论，并对本基金投资做方向性指导。基金经理、研究员、交易员</w:t>
      </w:r>
      <w:r>
        <w:rPr>
          <w:rFonts w:ascii="Arial" w:hAnsi="Arial" w:cs="Arial" w:hint="eastAsia"/>
        </w:rPr>
        <w:t>等</w:t>
      </w:r>
      <w:r>
        <w:rPr>
          <w:rFonts w:ascii="Arial" w:hAnsi="Arial" w:cs="Arial"/>
        </w:rPr>
        <w:t>各</w:t>
      </w:r>
      <w:r>
        <w:rPr>
          <w:rFonts w:ascii="Arial" w:hAnsi="Arial" w:cs="Arial" w:hint="eastAsia"/>
        </w:rPr>
        <w:t>司</w:t>
      </w:r>
      <w:r>
        <w:rPr>
          <w:rFonts w:ascii="Arial" w:hAnsi="Arial" w:cs="Arial"/>
        </w:rPr>
        <w:t>其责，相互制衡。具体的投资流程为：</w:t>
      </w:r>
    </w:p>
    <w:p w:rsidR="0057376A" w:rsidRDefault="00117DFA">
      <w:pPr>
        <w:pStyle w:val="a7"/>
        <w:snapToGrid w:val="0"/>
        <w:spacing w:line="360" w:lineRule="auto"/>
        <w:ind w:firstLineChars="200"/>
        <w:rPr>
          <w:rFonts w:ascii="Arial" w:hAnsi="Arial" w:cs="Arial"/>
        </w:rPr>
      </w:pPr>
      <w:r>
        <w:rPr>
          <w:rFonts w:ascii="Arial" w:hAnsi="Arial" w:cs="Arial" w:hint="eastAsia"/>
        </w:rPr>
        <w:t>（</w:t>
      </w:r>
      <w:r>
        <w:rPr>
          <w:rFonts w:ascii="Arial" w:hAnsi="Arial" w:cs="Arial"/>
        </w:rPr>
        <w:t>1</w:t>
      </w:r>
      <w:r>
        <w:rPr>
          <w:rFonts w:ascii="Arial" w:hAnsi="Arial" w:cs="Arial" w:hint="eastAsia"/>
        </w:rPr>
        <w:t>）</w:t>
      </w:r>
      <w:r>
        <w:rPr>
          <w:rFonts w:ascii="Arial" w:hAnsi="Arial" w:cs="Arial"/>
        </w:rPr>
        <w:t>投资决策委员会定期召开会议，确定本基金的总投资思路和投资原则。</w:t>
      </w:r>
    </w:p>
    <w:p w:rsidR="0057376A" w:rsidRDefault="00117DFA">
      <w:pPr>
        <w:pStyle w:val="a7"/>
        <w:snapToGrid w:val="0"/>
        <w:spacing w:line="360" w:lineRule="auto"/>
        <w:ind w:firstLineChars="200"/>
        <w:rPr>
          <w:rFonts w:ascii="Arial" w:hAnsi="Arial" w:cs="Arial"/>
        </w:rPr>
      </w:pPr>
      <w:r>
        <w:rPr>
          <w:rFonts w:ascii="Arial" w:hAnsi="Arial" w:cs="Arial" w:hint="eastAsia"/>
        </w:rPr>
        <w:t>（</w:t>
      </w:r>
      <w:r>
        <w:rPr>
          <w:rFonts w:ascii="Arial" w:hAnsi="Arial" w:cs="Arial"/>
          <w:kern w:val="0"/>
          <w:szCs w:val="21"/>
        </w:rPr>
        <w:t>2</w:t>
      </w:r>
      <w:r>
        <w:rPr>
          <w:rFonts w:ascii="Arial" w:hAnsi="Arial" w:cs="Arial" w:hint="eastAsia"/>
        </w:rPr>
        <w:t>）</w:t>
      </w:r>
      <w:r>
        <w:rPr>
          <w:rFonts w:ascii="Arial" w:hAnsi="Arial" w:cs="Arial"/>
          <w:kern w:val="0"/>
          <w:szCs w:val="21"/>
        </w:rPr>
        <w:t>研究部宏观策略分析师基于自上而下的研究为本基金提供总的资产配置建议；研究部行业研究员为信用债的信用分析提供研究支持</w:t>
      </w:r>
      <w:r>
        <w:rPr>
          <w:rFonts w:ascii="Arial" w:hAnsi="Arial" w:cs="Arial" w:hint="eastAsia"/>
          <w:kern w:val="0"/>
          <w:szCs w:val="21"/>
        </w:rPr>
        <w:t>；</w:t>
      </w:r>
      <w:r>
        <w:rPr>
          <w:rFonts w:ascii="Arial" w:hAnsi="Arial" w:cs="Arial"/>
          <w:kern w:val="0"/>
          <w:szCs w:val="21"/>
        </w:rPr>
        <w:t>固定收益部数量及信用分析员为固定收益类投资决策提供依据。</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rPr>
        <w:t>（</w:t>
      </w:r>
      <w:r>
        <w:rPr>
          <w:rFonts w:ascii="Arial" w:hAnsi="Arial" w:cs="Arial"/>
          <w:kern w:val="0"/>
          <w:szCs w:val="21"/>
        </w:rPr>
        <w:t>3</w:t>
      </w:r>
      <w:r>
        <w:rPr>
          <w:rFonts w:ascii="Arial" w:hAnsi="Arial" w:cs="Arial" w:hint="eastAsia"/>
        </w:rPr>
        <w:t>）</w:t>
      </w:r>
      <w:r>
        <w:rPr>
          <w:rFonts w:ascii="Arial" w:hAnsi="Arial" w:cs="Arial"/>
          <w:kern w:val="0"/>
          <w:szCs w:val="21"/>
        </w:rPr>
        <w:t>固定收益部、股票投资部</w:t>
      </w:r>
      <w:r>
        <w:rPr>
          <w:rFonts w:ascii="Arial" w:hAnsi="Arial" w:cs="Arial" w:hint="eastAsia"/>
          <w:kern w:val="0"/>
          <w:szCs w:val="21"/>
        </w:rPr>
        <w:t>定期</w:t>
      </w:r>
      <w:r>
        <w:rPr>
          <w:rFonts w:ascii="Arial" w:hAnsi="Arial" w:cs="Arial"/>
          <w:kern w:val="0"/>
          <w:szCs w:val="21"/>
        </w:rPr>
        <w:t>召开投资例会，根据投资决策委员会的决定，结合市场</w:t>
      </w:r>
      <w:r>
        <w:rPr>
          <w:rFonts w:ascii="Arial" w:hAnsi="Arial" w:cs="Arial" w:hint="eastAsia"/>
          <w:kern w:val="0"/>
          <w:szCs w:val="21"/>
        </w:rPr>
        <w:t>、个股</w:t>
      </w:r>
      <w:r>
        <w:rPr>
          <w:rFonts w:ascii="Arial" w:hAnsi="Arial" w:cs="Arial"/>
          <w:kern w:val="0"/>
          <w:szCs w:val="21"/>
        </w:rPr>
        <w:t>和个券的变化，制定具体的投资策略。</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rPr>
        <w:t>（</w:t>
      </w:r>
      <w:r>
        <w:rPr>
          <w:rFonts w:ascii="Arial" w:hAnsi="Arial" w:cs="Arial"/>
          <w:kern w:val="0"/>
          <w:szCs w:val="21"/>
        </w:rPr>
        <w:t>4</w:t>
      </w:r>
      <w:r>
        <w:rPr>
          <w:rFonts w:ascii="Arial" w:hAnsi="Arial" w:cs="Arial" w:hint="eastAsia"/>
        </w:rPr>
        <w:t>）</w:t>
      </w:r>
      <w:r>
        <w:rPr>
          <w:rFonts w:ascii="Arial" w:hAnsi="Arial" w:cs="Arial"/>
          <w:kern w:val="0"/>
          <w:szCs w:val="21"/>
        </w:rPr>
        <w:t>基金经理依据投委会的决定，参考研究员的投资建议，结合风险控制和业绩评估的反馈意见，根据市场情况，制定并实施具体的投资组合方案。</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rPr>
        <w:t>（</w:t>
      </w:r>
      <w:r>
        <w:rPr>
          <w:rFonts w:ascii="Arial" w:hAnsi="Arial" w:cs="Arial"/>
          <w:kern w:val="0"/>
          <w:szCs w:val="21"/>
        </w:rPr>
        <w:t>5</w:t>
      </w:r>
      <w:r>
        <w:rPr>
          <w:rFonts w:ascii="Arial" w:hAnsi="Arial" w:cs="Arial" w:hint="eastAsia"/>
        </w:rPr>
        <w:t>）</w:t>
      </w:r>
      <w:r>
        <w:rPr>
          <w:rFonts w:ascii="Arial" w:hAnsi="Arial" w:cs="Arial"/>
          <w:kern w:val="0"/>
          <w:szCs w:val="21"/>
        </w:rPr>
        <w:t>基金经理向交易员下达指令，交易员执行后向基金经理反馈。</w:t>
      </w:r>
    </w:p>
    <w:p w:rsidR="0057376A" w:rsidRDefault="00117DFA">
      <w:pPr>
        <w:pStyle w:val="a7"/>
        <w:snapToGrid w:val="0"/>
        <w:spacing w:line="360" w:lineRule="auto"/>
        <w:ind w:firstLineChars="200"/>
        <w:rPr>
          <w:rFonts w:ascii="Arial" w:hAnsi="Arial" w:cs="Arial"/>
          <w:kern w:val="0"/>
          <w:szCs w:val="21"/>
        </w:rPr>
      </w:pPr>
      <w:r>
        <w:rPr>
          <w:rFonts w:ascii="Arial" w:hAnsi="Arial" w:cs="Arial" w:hint="eastAsia"/>
        </w:rPr>
        <w:t>（</w:t>
      </w:r>
      <w:r>
        <w:rPr>
          <w:rFonts w:ascii="Arial" w:hAnsi="Arial" w:cs="Arial"/>
          <w:kern w:val="0"/>
          <w:szCs w:val="21"/>
        </w:rPr>
        <w:t>6</w:t>
      </w:r>
      <w:r>
        <w:rPr>
          <w:rFonts w:ascii="Arial" w:hAnsi="Arial" w:cs="Arial" w:hint="eastAsia"/>
        </w:rPr>
        <w:t>）</w:t>
      </w:r>
      <w:r>
        <w:rPr>
          <w:rFonts w:ascii="Arial" w:hAnsi="Arial" w:cs="Arial"/>
          <w:kern w:val="0"/>
          <w:szCs w:val="21"/>
        </w:rPr>
        <w:t>监察法律部对投资的全过程进行</w:t>
      </w:r>
      <w:r>
        <w:rPr>
          <w:rFonts w:ascii="Arial" w:hAnsi="Arial" w:cs="Arial" w:hint="eastAsia"/>
          <w:kern w:val="0"/>
          <w:szCs w:val="21"/>
        </w:rPr>
        <w:t>合规</w:t>
      </w:r>
      <w:r>
        <w:rPr>
          <w:rFonts w:ascii="Arial" w:hAnsi="Arial" w:cs="Arial"/>
          <w:kern w:val="0"/>
          <w:szCs w:val="21"/>
        </w:rPr>
        <w:t>风险监控。</w:t>
      </w:r>
    </w:p>
    <w:p w:rsidR="0057376A" w:rsidRDefault="00117DFA">
      <w:pPr>
        <w:pStyle w:val="a7"/>
        <w:snapToGrid w:val="0"/>
        <w:spacing w:line="360" w:lineRule="auto"/>
        <w:ind w:firstLineChars="200"/>
        <w:rPr>
          <w:rFonts w:ascii="Arial" w:hAnsi="Arial" w:cs="Arial"/>
          <w:kern w:val="0"/>
          <w:szCs w:val="21"/>
        </w:rPr>
      </w:pPr>
      <w:r>
        <w:rPr>
          <w:rFonts w:ascii="Arial" w:hAnsi="Arial" w:cs="Arial" w:hint="eastAsia"/>
        </w:rPr>
        <w:t>（</w:t>
      </w:r>
      <w:r>
        <w:rPr>
          <w:rFonts w:ascii="Arial" w:hAnsi="Arial" w:cs="Arial"/>
          <w:kern w:val="0"/>
          <w:szCs w:val="21"/>
        </w:rPr>
        <w:t>7</w:t>
      </w:r>
      <w:r>
        <w:rPr>
          <w:rFonts w:ascii="Arial" w:hAnsi="Arial" w:cs="Arial" w:hint="eastAsia"/>
        </w:rPr>
        <w:t>）</w:t>
      </w:r>
      <w:r>
        <w:rPr>
          <w:rFonts w:ascii="Arial" w:hAnsi="Arial" w:cs="Arial" w:hint="eastAsia"/>
          <w:kern w:val="0"/>
          <w:szCs w:val="21"/>
        </w:rPr>
        <w:t>风险管理部通过行使风险管理职能，测算、分析和监控投资风险</w:t>
      </w:r>
      <w:r>
        <w:rPr>
          <w:rFonts w:ascii="Arial" w:hAnsi="Arial" w:cs="Arial" w:hint="eastAsia"/>
          <w:kern w:val="0"/>
          <w:szCs w:val="21"/>
        </w:rPr>
        <w:t>,</w:t>
      </w:r>
      <w:r>
        <w:rPr>
          <w:rFonts w:ascii="Arial" w:hAnsi="Arial" w:cs="Arial" w:hint="eastAsia"/>
          <w:kern w:val="0"/>
          <w:szCs w:val="21"/>
        </w:rPr>
        <w:t>根据风险限额管理政策防范超预期风险</w:t>
      </w:r>
      <w:r>
        <w:rPr>
          <w:rFonts w:ascii="Arial" w:hAnsi="Arial" w:cs="Arial"/>
          <w:kern w:val="0"/>
          <w:szCs w:val="21"/>
        </w:rPr>
        <w:t>。</w:t>
      </w:r>
    </w:p>
    <w:p w:rsidR="0057376A" w:rsidRDefault="00117DFA">
      <w:pPr>
        <w:pStyle w:val="a7"/>
        <w:snapToGrid w:val="0"/>
        <w:spacing w:line="360" w:lineRule="auto"/>
        <w:ind w:firstLineChars="200"/>
        <w:rPr>
          <w:rFonts w:ascii="Arial" w:hAnsi="Arial" w:cs="Arial"/>
        </w:rPr>
      </w:pPr>
      <w:r>
        <w:rPr>
          <w:rFonts w:ascii="Arial" w:hAnsi="Arial" w:cs="Arial" w:hint="eastAsia"/>
        </w:rPr>
        <w:t>（</w:t>
      </w:r>
      <w:r>
        <w:rPr>
          <w:rFonts w:ascii="Arial" w:hAnsi="Arial" w:cs="Arial"/>
          <w:kern w:val="0"/>
          <w:szCs w:val="21"/>
        </w:rPr>
        <w:t>8</w:t>
      </w:r>
      <w:r>
        <w:rPr>
          <w:rFonts w:ascii="Arial" w:hAnsi="Arial" w:cs="Arial" w:hint="eastAsia"/>
        </w:rPr>
        <w:t>）</w:t>
      </w:r>
      <w:r>
        <w:rPr>
          <w:rFonts w:ascii="Arial" w:hAnsi="Arial" w:cs="Arial" w:hint="eastAsia"/>
          <w:kern w:val="0"/>
          <w:szCs w:val="21"/>
        </w:rPr>
        <w:t>风险管理部对基金投资进行风险调整业绩评估，定期与基金经理讨论收益和风险预算</w:t>
      </w:r>
      <w:r>
        <w:rPr>
          <w:rFonts w:ascii="Arial" w:hAnsi="Arial" w:cs="Arial"/>
          <w:kern w:val="0"/>
          <w:szCs w:val="21"/>
        </w:rPr>
        <w:t>。</w:t>
      </w:r>
    </w:p>
    <w:bookmarkEnd w:id="32"/>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（五）业绩比较基准</w:t>
      </w:r>
    </w:p>
    <w:p w:rsidR="0057376A" w:rsidRDefault="00117DFA">
      <w:pPr>
        <w:widowControl/>
        <w:snapToGrid w:val="0"/>
        <w:spacing w:line="360" w:lineRule="auto"/>
        <w:ind w:firstLineChars="200" w:firstLine="420"/>
        <w:rPr>
          <w:rFonts w:ascii="Arial" w:hAnsi="Arial" w:cs="Arial"/>
          <w:kern w:val="0"/>
          <w:szCs w:val="21"/>
        </w:rPr>
      </w:pPr>
      <w:r>
        <w:rPr>
          <w:rFonts w:ascii="Arial" w:hAnsi="宋体" w:cs="Arial"/>
          <w:kern w:val="0"/>
          <w:szCs w:val="21"/>
        </w:rPr>
        <w:t>本基金的业绩比较基准为：</w:t>
      </w:r>
      <w:r>
        <w:rPr>
          <w:rFonts w:ascii="Arial" w:hAnsi="宋体" w:cs="Arial"/>
          <w:color w:val="000000"/>
          <w:szCs w:val="21"/>
        </w:rPr>
        <w:t>中证全债指数收益率</w:t>
      </w:r>
    </w:p>
    <w:p w:rsidR="0057376A" w:rsidRDefault="00117DFA">
      <w:pPr>
        <w:snapToGrid w:val="0"/>
        <w:spacing w:line="360" w:lineRule="auto"/>
        <w:ind w:firstLineChars="200" w:firstLine="420"/>
        <w:rPr>
          <w:rFonts w:ascii="Arial" w:hAnsi="宋体" w:cs="Arial"/>
          <w:color w:val="000000"/>
          <w:szCs w:val="21"/>
        </w:rPr>
      </w:pPr>
      <w:r>
        <w:rPr>
          <w:rFonts w:ascii="Arial" w:hAnsi="宋体" w:cs="Arial" w:hint="eastAsia"/>
          <w:color w:val="000000"/>
          <w:szCs w:val="21"/>
        </w:rPr>
        <w:t>中证全债指数是中证指数公司编制的综合反映银行间债券市场和沪深交易所债券市场的跨市场债券指数。</w:t>
      </w:r>
      <w:r>
        <w:rPr>
          <w:rFonts w:ascii="Arial" w:hAnsi="宋体" w:cs="Arial"/>
          <w:color w:val="000000"/>
          <w:szCs w:val="21"/>
        </w:rPr>
        <w:t>该指数的样本由银行间市场和沪深交易所市场的国债、金融债券及企业</w:t>
      </w:r>
      <w:r>
        <w:rPr>
          <w:rFonts w:ascii="Arial" w:hAnsi="宋体" w:cs="Arial"/>
          <w:color w:val="000000"/>
          <w:szCs w:val="21"/>
        </w:rPr>
        <w:lastRenderedPageBreak/>
        <w:t>债券组成</w:t>
      </w:r>
      <w:r>
        <w:rPr>
          <w:rFonts w:ascii="Arial" w:hAnsi="宋体" w:cs="Arial" w:hint="eastAsia"/>
          <w:color w:val="000000"/>
          <w:szCs w:val="21"/>
        </w:rPr>
        <w:t>，</w:t>
      </w:r>
      <w:r>
        <w:rPr>
          <w:rFonts w:ascii="Arial" w:hAnsi="宋体" w:cs="Arial"/>
          <w:color w:val="000000"/>
          <w:szCs w:val="21"/>
        </w:rPr>
        <w:t>对异常价格和无价情况下使用了模型价，能更为真实地反映债券的实际价值和收益率特征。</w:t>
      </w:r>
      <w:r>
        <w:rPr>
          <w:rFonts w:ascii="Arial" w:hAnsi="宋体" w:cs="Arial" w:hint="eastAsia"/>
          <w:color w:val="000000"/>
          <w:szCs w:val="21"/>
        </w:rPr>
        <w:t>由于本基金为债券型基金，在综合考虑了指数的权威性和代表性、指数的编制方法以及指数与本基金投资范围、投资理念的吻合度后，本基金选择市场认同度较高的中证全债指数收益率作为业绩比较基准。</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如果今后市场出现更具代表性的业绩比较基准，或者指数编制单位停止编制该指数，或有更具权威、更科学的复合指数权重比例，在与基金托管人协商一致后，本基金管理人可以在报中国证监会备案后调整或变更业绩比较基准并及时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（六）风险收益特征</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本基金</w:t>
      </w:r>
      <w:r>
        <w:rPr>
          <w:rFonts w:ascii="宋体" w:hAnsi="宋体" w:cs="Tahoma" w:hint="eastAsia"/>
          <w:szCs w:val="21"/>
        </w:rPr>
        <w:t>为债券型基金</w:t>
      </w:r>
      <w:r>
        <w:rPr>
          <w:rFonts w:ascii="Arial" w:hAnsi="宋体" w:cs="Arial"/>
          <w:color w:val="000000"/>
          <w:szCs w:val="21"/>
        </w:rPr>
        <w:t>，预期收益和风险高于货币市场基金，但低于</w:t>
      </w:r>
      <w:r>
        <w:rPr>
          <w:rFonts w:ascii="宋体" w:hAnsi="宋体" w:cs="Tahoma" w:hint="eastAsia"/>
          <w:szCs w:val="21"/>
        </w:rPr>
        <w:t>混合型基金、</w:t>
      </w:r>
      <w:r>
        <w:rPr>
          <w:rFonts w:ascii="Arial" w:hAnsi="宋体" w:cs="Arial"/>
          <w:color w:val="000000"/>
          <w:szCs w:val="21"/>
        </w:rPr>
        <w:t>股票型基金，属于中低风险</w:t>
      </w:r>
      <w:r>
        <w:rPr>
          <w:rFonts w:ascii="Arial" w:hAnsi="Arial" w:cs="Arial"/>
          <w:color w:val="000000"/>
          <w:szCs w:val="21"/>
        </w:rPr>
        <w:t>/</w:t>
      </w:r>
      <w:r>
        <w:rPr>
          <w:rFonts w:ascii="Arial" w:hAnsi="宋体" w:cs="Arial"/>
          <w:color w:val="000000"/>
          <w:szCs w:val="21"/>
        </w:rPr>
        <w:t>收益的产品。</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（七）投资禁止行为与限制</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、禁止用本基金财产从事以下行为：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）承销证券；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）向他人贷款或者提供担保；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）从事承担无限责任的投资；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）买卖其他基金份额，但是国务院另有规定的除外；</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）向基金管理人、基金托管人出资或者买卖基金管理人、基金托管人发行的股票或者债券；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）买卖与基金管理人、基金托管人有控股关系的股东或者与基金管理人、基金托管人有其他重大利害关系的公司发行的证券或者承销期内承销的证券；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）从事内幕交易、操纵证券交易价格及其他不正当的证券交易活动；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）依照法律、行政法规有关法律法规规定，由中国证监会规定禁止的其他活动。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、基金投资组合比例限制</w:t>
      </w:r>
    </w:p>
    <w:p w:rsidR="0057376A" w:rsidRDefault="00117DFA">
      <w:pPr>
        <w:snapToGrid w:val="0"/>
        <w:spacing w:line="360" w:lineRule="auto"/>
        <w:ind w:firstLineChars="200" w:firstLine="420"/>
        <w:rPr>
          <w:rFonts w:ascii="Arial" w:hAnsi="Arial" w:cs="Arial"/>
        </w:rPr>
      </w:pPr>
      <w:r>
        <w:rPr>
          <w:rFonts w:ascii="Arial" w:hAnsi="宋体" w:cs="Arial"/>
          <w:color w:val="000000"/>
        </w:rPr>
        <w:t>（</w:t>
      </w:r>
      <w:r>
        <w:rPr>
          <w:rFonts w:ascii="Arial" w:hAnsi="Arial" w:cs="Arial"/>
          <w:color w:val="000000"/>
        </w:rPr>
        <w:t>1</w:t>
      </w:r>
      <w:r>
        <w:rPr>
          <w:rFonts w:ascii="Arial" w:hAnsi="宋体" w:cs="Arial"/>
          <w:color w:val="000000"/>
        </w:rPr>
        <w:t>）</w:t>
      </w:r>
      <w:r>
        <w:rPr>
          <w:rFonts w:ascii="Arial" w:hAnsi="宋体" w:cs="Arial"/>
          <w:color w:val="000000"/>
          <w:kern w:val="0"/>
          <w:szCs w:val="21"/>
        </w:rPr>
        <w:t>本基金对债券</w:t>
      </w:r>
      <w:r>
        <w:rPr>
          <w:rFonts w:ascii="Arial" w:hAnsi="宋体" w:cs="Arial" w:hint="eastAsia"/>
          <w:color w:val="000000"/>
          <w:kern w:val="0"/>
          <w:szCs w:val="21"/>
        </w:rPr>
        <w:t>等固定收益</w:t>
      </w:r>
      <w:r>
        <w:rPr>
          <w:rFonts w:ascii="Arial" w:hAnsi="宋体" w:cs="Arial"/>
          <w:color w:val="000000"/>
          <w:kern w:val="0"/>
          <w:szCs w:val="21"/>
        </w:rPr>
        <w:t>类资产的投资比例不低于基金资产的</w:t>
      </w:r>
      <w:r>
        <w:rPr>
          <w:rFonts w:ascii="Arial" w:hAnsi="Arial" w:cs="Arial"/>
          <w:color w:val="000000"/>
          <w:kern w:val="0"/>
          <w:szCs w:val="21"/>
        </w:rPr>
        <w:t>80%</w:t>
      </w:r>
      <w:r>
        <w:rPr>
          <w:rFonts w:ascii="Arial" w:hAnsi="宋体" w:cs="Arial"/>
          <w:color w:val="000000"/>
          <w:kern w:val="0"/>
          <w:szCs w:val="21"/>
        </w:rPr>
        <w:t>，</w:t>
      </w:r>
      <w:r>
        <w:rPr>
          <w:rFonts w:ascii="Arial" w:hAnsi="宋体" w:cs="Arial"/>
        </w:rPr>
        <w:t>对股票</w:t>
      </w:r>
      <w:r>
        <w:rPr>
          <w:rFonts w:ascii="Arial" w:hAnsi="Arial" w:cs="Arial" w:hint="eastAsia"/>
        </w:rPr>
        <w:t>、权证</w:t>
      </w:r>
      <w:r>
        <w:rPr>
          <w:rFonts w:ascii="Arial" w:hAnsi="宋体" w:cs="Arial"/>
        </w:rPr>
        <w:t>等权益类证券的投资比例不高于基金资产的</w:t>
      </w:r>
      <w:r>
        <w:rPr>
          <w:rFonts w:ascii="Arial" w:hAnsi="Arial" w:cs="Arial"/>
        </w:rPr>
        <w:t>20%</w:t>
      </w:r>
      <w:r>
        <w:rPr>
          <w:rFonts w:ascii="Arial" w:hAnsi="宋体" w:cs="Arial"/>
          <w:color w:val="000000"/>
          <w:kern w:val="0"/>
          <w:szCs w:val="21"/>
        </w:rPr>
        <w:t>；</w:t>
      </w:r>
    </w:p>
    <w:p w:rsidR="0057376A" w:rsidRDefault="00117DFA">
      <w:pPr>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2</w:t>
      </w:r>
      <w:r>
        <w:rPr>
          <w:rFonts w:ascii="Arial" w:hAnsi="宋体" w:cs="Arial"/>
          <w:color w:val="000000"/>
        </w:rPr>
        <w:t>）本基金与由基金管理人管理的其他基金持有一家公司发行的证券总和，不超过该证券总和的</w:t>
      </w:r>
      <w:r>
        <w:rPr>
          <w:rFonts w:ascii="Arial" w:hAnsi="Arial" w:cs="Arial"/>
          <w:color w:val="000000"/>
        </w:rPr>
        <w:t>10%</w:t>
      </w:r>
      <w:r>
        <w:rPr>
          <w:rFonts w:ascii="Arial" w:hAnsi="宋体" w:cs="Arial"/>
          <w:color w:val="000000"/>
        </w:rPr>
        <w:t>；</w:t>
      </w:r>
    </w:p>
    <w:p w:rsidR="0057376A" w:rsidRDefault="00117DFA">
      <w:pPr>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3</w:t>
      </w:r>
      <w:r>
        <w:rPr>
          <w:rFonts w:ascii="Arial" w:hAnsi="宋体" w:cs="Arial"/>
          <w:color w:val="000000"/>
        </w:rPr>
        <w:t>）在全国银行间同业市场中的债券回购最长期限为</w:t>
      </w:r>
      <w:r>
        <w:rPr>
          <w:rFonts w:ascii="Arial" w:hAnsi="Arial" w:cs="Arial"/>
          <w:color w:val="000000"/>
        </w:rPr>
        <w:t>1</w:t>
      </w:r>
      <w:r>
        <w:rPr>
          <w:rFonts w:ascii="Arial" w:hAnsi="宋体" w:cs="Arial"/>
          <w:color w:val="000000"/>
        </w:rPr>
        <w:t>年，债券回购到期后不展期；</w:t>
      </w:r>
    </w:p>
    <w:p w:rsidR="0057376A" w:rsidRDefault="00117DFA">
      <w:pPr>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4</w:t>
      </w:r>
      <w:r>
        <w:rPr>
          <w:rFonts w:ascii="Arial" w:hAnsi="宋体" w:cs="Arial"/>
          <w:color w:val="000000"/>
        </w:rPr>
        <w:t>）在全国银行间债券市场回购融入的资金余额不超过基金资产净值的</w:t>
      </w:r>
      <w:r>
        <w:rPr>
          <w:rFonts w:ascii="Arial" w:hAnsi="Arial" w:cs="Arial"/>
          <w:color w:val="000000"/>
        </w:rPr>
        <w:t>40%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hint="eastAsia"/>
          <w:color w:val="000000"/>
        </w:rPr>
        <w:t>5</w:t>
      </w:r>
      <w:r>
        <w:rPr>
          <w:rFonts w:ascii="Arial" w:hAnsi="宋体" w:cs="Arial"/>
          <w:color w:val="000000"/>
        </w:rPr>
        <w:t>）本基金持有一家上市公司的股票，其市值不超过基金资产净值的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color w:val="000000"/>
        </w:rPr>
        <w:t>（</w:t>
      </w:r>
      <w:r>
        <w:rPr>
          <w:rFonts w:ascii="Arial" w:hAnsi="Arial" w:cs="Arial" w:hint="eastAsia"/>
          <w:color w:val="000000"/>
        </w:rPr>
        <w:t>6</w:t>
      </w:r>
      <w:r>
        <w:rPr>
          <w:rFonts w:ascii="Arial" w:hAnsi="宋体" w:cs="Arial"/>
          <w:color w:val="000000"/>
        </w:rPr>
        <w:t>）</w:t>
      </w:r>
      <w:r>
        <w:rPr>
          <w:rFonts w:ascii="Arial" w:hAnsi="宋体" w:cs="Arial" w:hint="eastAsia"/>
          <w:color w:val="000000"/>
        </w:rPr>
        <w:t>本基金在任何交易日买入权证的总金额，不得超过上一交易日基金资产净值的</w:t>
      </w:r>
      <w:r>
        <w:rPr>
          <w:rFonts w:ascii="Arial" w:hAnsi="宋体" w:cs="Arial" w:hint="eastAsia"/>
          <w:color w:val="000000"/>
        </w:rPr>
        <w:t>0.5%</w:t>
      </w:r>
      <w:r>
        <w:rPr>
          <w:rFonts w:ascii="Arial" w:hAnsi="宋体" w:cs="Arial" w:hint="eastAsia"/>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hint="eastAsia"/>
          <w:color w:val="000000"/>
        </w:rPr>
        <w:t>（</w:t>
      </w:r>
      <w:r>
        <w:rPr>
          <w:rFonts w:ascii="Arial" w:hAnsi="宋体" w:cs="Arial" w:hint="eastAsia"/>
          <w:color w:val="000000"/>
        </w:rPr>
        <w:t>7</w:t>
      </w:r>
      <w:r>
        <w:rPr>
          <w:rFonts w:ascii="Arial" w:hAnsi="宋体" w:cs="Arial" w:hint="eastAsia"/>
          <w:color w:val="000000"/>
        </w:rPr>
        <w:t>）</w:t>
      </w:r>
      <w:r>
        <w:rPr>
          <w:rFonts w:ascii="Arial" w:hAnsi="宋体" w:cs="Arial"/>
          <w:color w:val="000000"/>
        </w:rPr>
        <w:t>本基金持有的全部权证，其市值不得超过基金资产净值的</w:t>
      </w:r>
      <w:r>
        <w:rPr>
          <w:rFonts w:ascii="Arial" w:hAnsi="Arial" w:cs="Arial"/>
          <w:color w:val="000000"/>
        </w:rPr>
        <w:t>3%</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hint="eastAsia"/>
          <w:color w:val="000000"/>
        </w:rPr>
        <w:t>8</w:t>
      </w:r>
      <w:r>
        <w:rPr>
          <w:rFonts w:ascii="Arial" w:hAnsi="宋体" w:cs="Arial"/>
          <w:color w:val="000000"/>
        </w:rPr>
        <w:t>）本基金管理人管理的全部基金持有的同一权证，不得超过该权证的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lastRenderedPageBreak/>
        <w:t>（</w:t>
      </w:r>
      <w:r>
        <w:rPr>
          <w:rFonts w:ascii="Arial" w:hAnsi="Arial" w:cs="Arial" w:hint="eastAsia"/>
          <w:color w:val="000000"/>
        </w:rPr>
        <w:t>9</w:t>
      </w:r>
      <w:r>
        <w:rPr>
          <w:rFonts w:ascii="Arial" w:hAnsi="宋体" w:cs="Arial"/>
          <w:color w:val="000000"/>
        </w:rPr>
        <w:t>）本基金持有的同一（指同一信用级别）资产支持证券的比例，不得超过该资产支持证券规模的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0</w:t>
      </w:r>
      <w:r>
        <w:rPr>
          <w:rFonts w:ascii="Arial" w:hAnsi="宋体" w:cs="Arial"/>
          <w:color w:val="000000"/>
        </w:rPr>
        <w:t>）本基金投资于同一原始权益人的各类资产支持证券的比例，不得超过基金资产净值的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1</w:t>
      </w:r>
      <w:r>
        <w:rPr>
          <w:rFonts w:ascii="Arial" w:hAnsi="宋体" w:cs="Arial"/>
          <w:color w:val="000000"/>
        </w:rPr>
        <w:t>）本基金管理人管理的全部基金投资于同一原始权益人的各类资产支持证券，不得超过其各类资产支持证券合计规模的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Arial" w:cs="Arial" w:hint="eastAsia"/>
          <w:color w:val="000000"/>
        </w:rPr>
        <w:t>（</w:t>
      </w:r>
      <w:r>
        <w:rPr>
          <w:rFonts w:ascii="Arial" w:hAnsi="Arial" w:cs="Arial" w:hint="eastAsia"/>
          <w:color w:val="000000"/>
        </w:rPr>
        <w:t>12</w:t>
      </w:r>
      <w:r>
        <w:rPr>
          <w:rFonts w:ascii="Arial" w:hAnsi="Arial" w:cs="Arial" w:hint="eastAsia"/>
          <w:color w:val="000000"/>
        </w:rPr>
        <w:t>）本基金持有的全部资产支持证券，其市值不得超过基金资产净值的</w:t>
      </w:r>
      <w:r>
        <w:rPr>
          <w:rFonts w:ascii="Arial" w:hAnsi="Arial" w:cs="Arial" w:hint="eastAsia"/>
          <w:color w:val="000000"/>
        </w:rPr>
        <w:t>20%</w:t>
      </w:r>
      <w:r>
        <w:rPr>
          <w:rFonts w:ascii="Arial" w:hAnsi="Arial" w:cs="Arial" w:hint="eastAsia"/>
          <w:color w:val="000000"/>
        </w:rPr>
        <w:t>，中国证监会规定的特殊品种除外；</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3</w:t>
      </w:r>
      <w:r>
        <w:rPr>
          <w:rFonts w:ascii="Arial" w:hAnsi="宋体" w:cs="Arial"/>
          <w:color w:val="000000"/>
        </w:rPr>
        <w:t>）基金资产参与股票发行申购，本基金所申报的金额不超过本基金的总资产，本基金所申报的股票数量不超过拟发行股票公司本次发行股票的总量；</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4</w:t>
      </w:r>
      <w:r>
        <w:rPr>
          <w:rFonts w:ascii="Arial" w:hAnsi="宋体" w:cs="Arial"/>
          <w:color w:val="000000"/>
        </w:rPr>
        <w:t>）本基金对现金或者到期日在一年以内的政府债券的投资比例不低于基金资产净值的</w:t>
      </w:r>
      <w:r>
        <w:rPr>
          <w:rFonts w:ascii="Arial" w:hAnsi="Arial" w:cs="Arial"/>
          <w:color w:val="000000"/>
        </w:rPr>
        <w:t>5%</w:t>
      </w:r>
      <w:r>
        <w:rPr>
          <w:rFonts w:ascii="Arial" w:hAnsi="Arial" w:cs="Arial" w:hint="eastAsia"/>
          <w:color w:val="000000"/>
        </w:rPr>
        <w:t>，</w:t>
      </w:r>
      <w:r>
        <w:rPr>
          <w:rFonts w:ascii="Arial" w:hAnsi="Arial" w:cs="Arial" w:hint="eastAsia"/>
          <w:kern w:val="0"/>
          <w:szCs w:val="21"/>
        </w:rPr>
        <w:t>其中，现金不包括结算备付金、存出保证金、应收申购款等</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color w:val="000000"/>
        </w:rPr>
        <w:t>（</w:t>
      </w:r>
      <w:r>
        <w:rPr>
          <w:rFonts w:ascii="Arial" w:hAnsi="宋体" w:cs="Arial"/>
          <w:color w:val="000000"/>
        </w:rPr>
        <w:t>1</w:t>
      </w:r>
      <w:r>
        <w:rPr>
          <w:rFonts w:ascii="Arial" w:hAnsi="宋体" w:cs="Arial" w:hint="eastAsia"/>
          <w:color w:val="000000"/>
        </w:rPr>
        <w:t>5</w:t>
      </w:r>
      <w:r>
        <w:rPr>
          <w:rFonts w:ascii="Arial" w:hAnsi="宋体" w:cs="Arial"/>
          <w:color w:val="000000"/>
        </w:rPr>
        <w:t>）</w:t>
      </w:r>
      <w:r>
        <w:rPr>
          <w:rFonts w:ascii="Arial" w:hAnsi="宋体" w:cs="Arial" w:hint="eastAsia"/>
          <w:color w:val="000000"/>
        </w:rPr>
        <w:t>本基金应投资于信用级别评级为</w:t>
      </w:r>
      <w:r>
        <w:rPr>
          <w:rFonts w:ascii="Arial" w:hAnsi="宋体" w:cs="Arial" w:hint="eastAsia"/>
          <w:color w:val="000000"/>
        </w:rPr>
        <w:t>BBB</w:t>
      </w:r>
      <w:r>
        <w:rPr>
          <w:rFonts w:ascii="Arial" w:hAnsi="宋体" w:cs="Arial" w:hint="eastAsia"/>
          <w:color w:val="000000"/>
        </w:rPr>
        <w:t>以上（含</w:t>
      </w:r>
      <w:r>
        <w:rPr>
          <w:rFonts w:ascii="Arial" w:hAnsi="宋体" w:cs="Arial" w:hint="eastAsia"/>
          <w:color w:val="000000"/>
        </w:rPr>
        <w:t>BBB</w:t>
      </w:r>
      <w:r>
        <w:rPr>
          <w:rFonts w:ascii="Arial" w:hAnsi="宋体" w:cs="Arial" w:hint="eastAsia"/>
          <w:color w:val="000000"/>
        </w:rPr>
        <w:t>）的资产支持证券。基金持有资产支持证券期间，如果其信用等级下降、不再符合投资标准，应在评级报告发布之日起</w:t>
      </w:r>
      <w:r>
        <w:rPr>
          <w:rFonts w:ascii="Arial" w:hAnsi="宋体" w:cs="Arial" w:hint="eastAsia"/>
          <w:color w:val="000000"/>
        </w:rPr>
        <w:t xml:space="preserve">3 </w:t>
      </w:r>
      <w:r>
        <w:rPr>
          <w:rFonts w:ascii="Arial" w:hAnsi="宋体" w:cs="Arial" w:hint="eastAsia"/>
          <w:color w:val="000000"/>
        </w:rPr>
        <w:t>个月内予以全部卖出；</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hint="eastAsia"/>
          <w:color w:val="000000"/>
        </w:rPr>
        <w:t>（</w:t>
      </w:r>
      <w:r>
        <w:rPr>
          <w:rFonts w:ascii="Arial" w:hAnsi="宋体" w:cs="Arial" w:hint="eastAsia"/>
          <w:color w:val="000000"/>
        </w:rPr>
        <w:t>16</w:t>
      </w:r>
      <w:r>
        <w:rPr>
          <w:rFonts w:ascii="Arial" w:hAnsi="宋体" w:cs="Arial" w:hint="eastAsia"/>
          <w:color w:val="000000"/>
        </w:rPr>
        <w:t>）本基金管理人管理的全部开放式基金持有一家上市公司发行的可流通股票，不得超过该上市公司可流通股票的</w:t>
      </w:r>
      <w:r>
        <w:rPr>
          <w:rFonts w:ascii="Arial" w:hAnsi="宋体" w:cs="Arial" w:hint="eastAsia"/>
          <w:color w:val="000000"/>
        </w:rPr>
        <w:t>15%</w:t>
      </w:r>
      <w:r>
        <w:rPr>
          <w:rFonts w:ascii="Arial" w:hAnsi="宋体" w:cs="Arial" w:hint="eastAsia"/>
          <w:color w:val="000000"/>
        </w:rPr>
        <w:t>；本基金管理人管理的全部投资组合持有一家上市公司发行的可流通股票，不得超过该上市公司可流通股票的</w:t>
      </w:r>
      <w:r>
        <w:rPr>
          <w:rFonts w:ascii="Arial" w:hAnsi="宋体" w:cs="Arial" w:hint="eastAsia"/>
          <w:color w:val="000000"/>
        </w:rPr>
        <w:t>30 %</w:t>
      </w:r>
      <w:r>
        <w:rPr>
          <w:rFonts w:ascii="Arial" w:hAnsi="宋体" w:cs="Arial" w:hint="eastAsia"/>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hint="eastAsia"/>
          <w:color w:val="000000"/>
        </w:rPr>
        <w:t>（</w:t>
      </w:r>
      <w:r>
        <w:rPr>
          <w:rFonts w:ascii="Arial" w:hAnsi="宋体" w:cs="Arial" w:hint="eastAsia"/>
          <w:color w:val="000000"/>
        </w:rPr>
        <w:t>17</w:t>
      </w:r>
      <w:r>
        <w:rPr>
          <w:rFonts w:ascii="Arial" w:hAnsi="宋体" w:cs="Arial" w:hint="eastAsia"/>
          <w:color w:val="000000"/>
        </w:rPr>
        <w:t>）本基金主动投资于流动性受限资产的市值合计不得超过本基金资产净值的</w:t>
      </w:r>
      <w:r>
        <w:rPr>
          <w:rFonts w:ascii="Arial" w:hAnsi="宋体" w:cs="Arial" w:hint="eastAsia"/>
          <w:color w:val="000000"/>
        </w:rPr>
        <w:t xml:space="preserve">15% </w:t>
      </w:r>
      <w:r>
        <w:rPr>
          <w:rFonts w:ascii="Arial" w:hAnsi="宋体" w:cs="Arial" w:hint="eastAsia"/>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hint="eastAsia"/>
          <w:color w:val="000000"/>
        </w:rPr>
        <w:t>因证券市场波动、上市公司股票停牌、基金规模变动等基金管理人之外的因素致使基金不符合前款所规定比例限制的，基金管理人不得主动新增流动性受限资产的投资。</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hint="eastAsia"/>
          <w:color w:val="000000"/>
        </w:rPr>
        <w:t>（</w:t>
      </w:r>
      <w:r>
        <w:rPr>
          <w:rFonts w:ascii="Arial" w:hAnsi="宋体" w:cs="Arial" w:hint="eastAsia"/>
          <w:color w:val="000000"/>
        </w:rPr>
        <w:t>18</w:t>
      </w:r>
      <w:r>
        <w:rPr>
          <w:rFonts w:ascii="Arial" w:hAnsi="宋体" w:cs="Arial" w:hint="eastAsia"/>
          <w:color w:val="000000"/>
        </w:rPr>
        <w:t>）本基金与私募类证券资管产品及中国证监会认定的其他主体为交易对手开展逆回购交易的，可接受质押品的资质要求应当与基金合同约定的投资范围保持一致；</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w:t>
      </w:r>
      <w:r>
        <w:rPr>
          <w:rFonts w:ascii="Arial" w:hAnsi="宋体" w:cs="Arial" w:hint="eastAsia"/>
          <w:kern w:val="0"/>
          <w:szCs w:val="21"/>
        </w:rPr>
        <w:t>19</w:t>
      </w:r>
      <w:r>
        <w:rPr>
          <w:rFonts w:ascii="Arial" w:hAnsi="宋体" w:cs="Arial" w:hint="eastAsia"/>
          <w:kern w:val="0"/>
          <w:szCs w:val="21"/>
        </w:rPr>
        <w:t>）</w:t>
      </w:r>
      <w:r>
        <w:rPr>
          <w:rFonts w:ascii="Arial" w:hAnsi="宋体" w:cs="Arial"/>
          <w:kern w:val="0"/>
          <w:szCs w:val="21"/>
        </w:rPr>
        <w:t>法律法规和基金合同规定的其他限制。</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w:t>
      </w:r>
      <w:r>
        <w:rPr>
          <w:rFonts w:ascii="Arial" w:hAnsi="宋体" w:cs="Arial"/>
          <w:color w:val="000000"/>
        </w:rPr>
        <w:t>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（八）投资组合比例调整</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基金管理人应当自基金合同生效之日起六个月内使基金的投资组合比例符合基金合同的约定。</w:t>
      </w:r>
      <w:r>
        <w:rPr>
          <w:rFonts w:ascii="Arial" w:hAnsi="宋体" w:cs="Arial" w:hint="eastAsia"/>
          <w:kern w:val="0"/>
          <w:szCs w:val="21"/>
        </w:rPr>
        <w:t>除第（</w:t>
      </w:r>
      <w:r>
        <w:rPr>
          <w:rFonts w:ascii="Arial" w:hAnsi="宋体" w:cs="Arial" w:hint="eastAsia"/>
          <w:kern w:val="0"/>
          <w:szCs w:val="21"/>
        </w:rPr>
        <w:t>14</w:t>
      </w:r>
      <w:r>
        <w:rPr>
          <w:rFonts w:ascii="Arial" w:hAnsi="宋体" w:cs="Arial" w:hint="eastAsia"/>
          <w:kern w:val="0"/>
          <w:szCs w:val="21"/>
        </w:rPr>
        <w:t>）、（</w:t>
      </w:r>
      <w:r>
        <w:rPr>
          <w:rFonts w:ascii="Arial" w:hAnsi="宋体" w:cs="Arial" w:hint="eastAsia"/>
          <w:kern w:val="0"/>
          <w:szCs w:val="21"/>
        </w:rPr>
        <w:t>15</w:t>
      </w:r>
      <w:r>
        <w:rPr>
          <w:rFonts w:ascii="Arial" w:hAnsi="宋体" w:cs="Arial" w:hint="eastAsia"/>
          <w:kern w:val="0"/>
          <w:szCs w:val="21"/>
        </w:rPr>
        <w:t>）、（</w:t>
      </w:r>
      <w:r>
        <w:rPr>
          <w:rFonts w:ascii="Arial" w:hAnsi="宋体" w:cs="Arial" w:hint="eastAsia"/>
          <w:kern w:val="0"/>
          <w:szCs w:val="21"/>
        </w:rPr>
        <w:t>17</w:t>
      </w:r>
      <w:r>
        <w:rPr>
          <w:rFonts w:ascii="Arial" w:hAnsi="宋体" w:cs="Arial" w:hint="eastAsia"/>
          <w:kern w:val="0"/>
          <w:szCs w:val="21"/>
        </w:rPr>
        <w:t>）、（</w:t>
      </w:r>
      <w:r>
        <w:rPr>
          <w:rFonts w:ascii="Arial" w:hAnsi="宋体" w:cs="Arial" w:hint="eastAsia"/>
          <w:kern w:val="0"/>
          <w:szCs w:val="21"/>
        </w:rPr>
        <w:t>18</w:t>
      </w:r>
      <w:r>
        <w:rPr>
          <w:rFonts w:ascii="Arial" w:hAnsi="宋体" w:cs="Arial" w:hint="eastAsia"/>
          <w:kern w:val="0"/>
          <w:szCs w:val="21"/>
        </w:rPr>
        <w:t>）项外，</w:t>
      </w:r>
      <w:r>
        <w:rPr>
          <w:rFonts w:ascii="Arial" w:hAnsi="宋体" w:cs="Arial"/>
          <w:kern w:val="0"/>
          <w:szCs w:val="21"/>
        </w:rPr>
        <w:t>因证券市场波动、上市公司合并、基金规模变动等基金管理人之外的因素致使基金投资不符合基金合同约定的投资比例规定的，基金管理人应当在十个交易日内进行调整。</w:t>
      </w:r>
      <w:r>
        <w:rPr>
          <w:rFonts w:ascii="Arial" w:hAnsi="宋体" w:cs="Arial"/>
          <w:szCs w:val="21"/>
        </w:rPr>
        <w:t>法律法规或监管机构另有规定时，从其规定。</w:t>
      </w: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33" w:name="_Toc78595975"/>
      <w:bookmarkStart w:id="34" w:name="_Toc88037849"/>
      <w:bookmarkStart w:id="35" w:name="_Toc253128706"/>
      <w:r>
        <w:rPr>
          <w:rFonts w:eastAsia="宋体" w:hAnsi="宋体" w:cs="Arial"/>
          <w:kern w:val="0"/>
          <w:sz w:val="28"/>
          <w:szCs w:val="28"/>
        </w:rPr>
        <w:t>十五、基金的融资</w:t>
      </w:r>
      <w:bookmarkEnd w:id="33"/>
      <w:bookmarkEnd w:id="34"/>
      <w:r>
        <w:rPr>
          <w:rFonts w:eastAsia="宋体" w:hAnsi="宋体" w:cs="Arial"/>
          <w:kern w:val="0"/>
          <w:sz w:val="28"/>
          <w:szCs w:val="28"/>
        </w:rPr>
        <w:t>、融券</w:t>
      </w:r>
      <w:bookmarkEnd w:id="35"/>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本基金可以按照国家的有关法律法规规定进行融资、融券。</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36" w:name="_Toc88037850"/>
      <w:bookmarkStart w:id="37" w:name="_Toc253128707"/>
      <w:r>
        <w:rPr>
          <w:rFonts w:eastAsia="宋体" w:hAnsi="宋体" w:cs="Arial"/>
          <w:kern w:val="0"/>
          <w:sz w:val="28"/>
          <w:szCs w:val="28"/>
        </w:rPr>
        <w:t>十六、基金的财产</w:t>
      </w:r>
      <w:bookmarkEnd w:id="36"/>
      <w:bookmarkEnd w:id="37"/>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（一）基金资产总值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本基金的基金资产总值包括基金所持有的各类有价证券、银行存款本息、基金的应收款项和其他投资所形成的价值总和。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（二）基金资产净值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本基金的基金资产净值是指基金资产总值减去负债后的</w:t>
      </w:r>
      <w:r>
        <w:rPr>
          <w:rFonts w:ascii="Arial" w:hAnsi="宋体" w:cs="Arial" w:hint="eastAsia"/>
          <w:kern w:val="0"/>
          <w:szCs w:val="21"/>
        </w:rPr>
        <w:t>价</w:t>
      </w:r>
      <w:r>
        <w:rPr>
          <w:rFonts w:ascii="Arial" w:hAnsi="宋体" w:cs="Arial"/>
          <w:kern w:val="0"/>
          <w:szCs w:val="21"/>
        </w:rPr>
        <w:t>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（三）基金财产的账户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本基金根据相关法律法规、规范性文件开立基金资金账户以及证券账户，与基金管理人和基金托管人自有的财产账户以及其他基金财产账户独立。</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（四）基金财产的保管及处分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、本基金财产独立于基金管理人、基金托管人和基金代销机构的固有财产，并由基金托管人保管。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、基金管理人、基金托管人因基金财产的管理、运用或者其他情形而取得的财产和收益，归基金财产。</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、基金管理人、基金托管人因依法解散、被依法撤销或者被依法宣告破产等原因进行清算的，基金财产不属于其清算范围。</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4</w:t>
      </w:r>
      <w:r>
        <w:rPr>
          <w:rFonts w:ascii="Arial" w:hAnsi="宋体" w:cs="Arial"/>
          <w:kern w:val="0"/>
          <w:szCs w:val="21"/>
        </w:rPr>
        <w:t>、</w:t>
      </w:r>
      <w:r>
        <w:rPr>
          <w:rFonts w:ascii="Arial" w:hAnsi="宋体" w:cs="Arial"/>
          <w:szCs w:val="21"/>
        </w:rPr>
        <w:t>基金财产的债权不得与基金管理人、基金托管人固有财产的债务相抵销；不同基金财产的债权债务，不得相互抵销。</w:t>
      </w:r>
      <w:r>
        <w:rPr>
          <w:rFonts w:ascii="Arial" w:hAnsi="宋体" w:cs="Arial"/>
          <w:kern w:val="0"/>
          <w:szCs w:val="21"/>
        </w:rPr>
        <w:t>非因基金财产本身承担的债务，不得对基金财产强制执行。</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5</w:t>
      </w:r>
      <w:r>
        <w:rPr>
          <w:rFonts w:ascii="Arial" w:hAnsi="Arial" w:cs="Arial" w:hint="eastAsia"/>
          <w:kern w:val="0"/>
          <w:szCs w:val="21"/>
        </w:rPr>
        <w:t>、除依据《基金法》、基金合同及其他有关规定处分外，基金财产不得被处分。非因基金财产本身承担的债务，不得对基金财产强制执行。</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38" w:name="_Toc88037851"/>
      <w:bookmarkStart w:id="39" w:name="_Toc253128708"/>
      <w:r>
        <w:rPr>
          <w:rFonts w:eastAsia="宋体" w:hAnsi="宋体" w:cs="Arial"/>
          <w:kern w:val="0"/>
          <w:sz w:val="28"/>
          <w:szCs w:val="28"/>
        </w:rPr>
        <w:t>十七、</w:t>
      </w:r>
      <w:bookmarkEnd w:id="38"/>
      <w:r>
        <w:rPr>
          <w:rFonts w:eastAsia="宋体" w:hAnsi="宋体" w:cs="Arial"/>
          <w:kern w:val="0"/>
          <w:sz w:val="28"/>
          <w:szCs w:val="28"/>
        </w:rPr>
        <w:t>基金</w:t>
      </w:r>
      <w:r>
        <w:rPr>
          <w:rFonts w:eastAsia="宋体" w:hAnsi="宋体" w:cs="Arial" w:hint="eastAsia"/>
          <w:kern w:val="0"/>
          <w:sz w:val="28"/>
          <w:szCs w:val="28"/>
        </w:rPr>
        <w:t>资</w:t>
      </w:r>
      <w:r>
        <w:rPr>
          <w:rFonts w:eastAsia="宋体" w:hAnsi="宋体" w:cs="Arial"/>
          <w:kern w:val="0"/>
          <w:sz w:val="28"/>
          <w:szCs w:val="28"/>
        </w:rPr>
        <w:t>产的估值</w:t>
      </w:r>
      <w:bookmarkEnd w:id="39"/>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（一）估值目的</w:t>
      </w:r>
    </w:p>
    <w:p w:rsidR="0057376A" w:rsidRDefault="00117DFA">
      <w:pPr>
        <w:autoSpaceDE w:val="0"/>
        <w:autoSpaceDN w:val="0"/>
        <w:adjustRightInd w:val="0"/>
        <w:snapToGrid w:val="0"/>
        <w:spacing w:line="360" w:lineRule="auto"/>
        <w:ind w:firstLineChars="200" w:firstLine="420"/>
        <w:rPr>
          <w:rFonts w:ascii="Arial" w:hAnsi="Arial" w:cs="Arial"/>
          <w:kern w:val="0"/>
          <w:szCs w:val="21"/>
        </w:rPr>
      </w:pPr>
      <w:r>
        <w:rPr>
          <w:rFonts w:ascii="Arial" w:hAnsi="宋体" w:cs="Arial"/>
          <w:szCs w:val="21"/>
        </w:rPr>
        <w:t>基金估值的目的是为了准确、真实地反映基金相关金融资产和金融负债的公允价值。开放式基金份额申购、赎回价格应按基金估值后确定的基金份额净值计算。</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（二）估值日</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本基金的估值日为相关的证券交易场所的正常营业日以及国家法律法规规定需要对外披露基金净值的非营业日。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（三）估值对象</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基金所持有的金融资产和金融负债。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（四）估值方法</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、股票估值方法</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）上市流通股票的估值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上市流通股票按估值日其所在证券交易所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）未上市股票的估值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送股、转增股、配股和公开增发新股等发行未上市的股票，按估值日在交易所挂牌的同一股票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首次发行未上市的股票，采用估值技术确定公允价值，在估值技术难以可靠计量的情况下，按成本估值。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）有明确锁定期股票的估值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首次公开发行有明确锁定期的股票，同一股票在交易所上市后，按交易所上市的同一股票的收盘价估值；非公开发行且处于明确锁定期的股票，按监管机构或行业协会的有关规定确定公允价值。</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、固定收益证券的估值办法</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）证券交易所市场未实行净价交易的债券按估值日收盘价减去债券收盘价中所含的</w:t>
      </w:r>
      <w:r>
        <w:rPr>
          <w:rFonts w:ascii="Arial" w:hAnsi="宋体" w:cs="Arial"/>
          <w:kern w:val="0"/>
          <w:szCs w:val="21"/>
        </w:rPr>
        <w:lastRenderedPageBreak/>
        <w:t>债券应收利息（自债券计息起始日或上一起息日至估值当日的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）未上市债券采用估值技术确定公允价值，在估值技术难以可靠计量的情况下，按成本估值。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）在银行间债券市场交易的债券、资产支持证券等固定收益品种，采用估值技术确定公允价值。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）交易所以大宗交易方式转让的资产支持证券，采用估值技术确定公允价值，在估值技术难以可靠计量公允价值的情况下，按成本进行后续计量。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）同一债券同时在两个或两个以上市场交易的，按债券所处的市场分别估值。</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、权证估值：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）配股权证的估值：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因持有股票而享有的配股权，类同权证处理方式的，采用估值技术进行估值。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）认沽</w:t>
      </w:r>
      <w:r>
        <w:rPr>
          <w:rFonts w:ascii="Arial" w:hAnsi="Arial" w:cs="Arial"/>
          <w:kern w:val="0"/>
          <w:szCs w:val="21"/>
        </w:rPr>
        <w:t>/</w:t>
      </w:r>
      <w:r>
        <w:rPr>
          <w:rFonts w:ascii="Arial" w:hAnsi="宋体" w:cs="Arial"/>
          <w:kern w:val="0"/>
          <w:szCs w:val="21"/>
        </w:rPr>
        <w:t>认购权证的估值：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从持有确认日起到卖出日或行权日止，上市交易的认沽</w:t>
      </w:r>
      <w:r>
        <w:rPr>
          <w:rFonts w:ascii="Arial" w:hAnsi="Arial" w:cs="Arial"/>
          <w:kern w:val="0"/>
          <w:szCs w:val="21"/>
        </w:rPr>
        <w:t>/</w:t>
      </w:r>
      <w:r>
        <w:rPr>
          <w:rFonts w:ascii="Arial" w:hAnsi="宋体" w:cs="Arial"/>
          <w:kern w:val="0"/>
          <w:szCs w:val="21"/>
        </w:rPr>
        <w:t>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w:t>
      </w:r>
      <w:r>
        <w:rPr>
          <w:rFonts w:ascii="Arial" w:hAnsi="Arial" w:cs="Arial"/>
          <w:kern w:val="0"/>
          <w:szCs w:val="21"/>
        </w:rPr>
        <w:t>/</w:t>
      </w:r>
      <w:r>
        <w:rPr>
          <w:rFonts w:ascii="Arial" w:hAnsi="宋体" w:cs="Arial"/>
          <w:kern w:val="0"/>
          <w:szCs w:val="21"/>
        </w:rPr>
        <w:t>认购权证采用估值技术确定公允价值，在估值技术难以可靠计量的情况下，按成本估值；因持有股票而享有的配股权，停止交易、但未行权的权证，采用估值技术确定公允价值。</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、本基金持有的回购以成本列示，按合同利率在回购期间内逐日计提应收或应付利息。</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5</w:t>
      </w:r>
      <w:r>
        <w:rPr>
          <w:rFonts w:ascii="Arial" w:hAnsi="宋体" w:cs="Arial"/>
          <w:kern w:val="0"/>
          <w:szCs w:val="21"/>
        </w:rPr>
        <w:t>、本基金持有的银行存款和备付金余额以本金列示，按相应利率逐日计提利息。</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、在任何情况下，基金管理人采用上述</w:t>
      </w:r>
      <w:r>
        <w:rPr>
          <w:rFonts w:ascii="Arial" w:hAnsi="Arial" w:cs="Arial"/>
          <w:kern w:val="0"/>
          <w:szCs w:val="21"/>
        </w:rPr>
        <w:t>1-5</w:t>
      </w:r>
      <w:r>
        <w:rPr>
          <w:rFonts w:ascii="Arial" w:hAnsi="宋体" w:cs="Arial"/>
          <w:kern w:val="0"/>
          <w:szCs w:val="21"/>
        </w:rPr>
        <w:t>项规定的方法对基金资产进行估值，均应被认为采用了适当的估值方法。但是，如果基金管理人有充足的理由认为按上述方法对基金资产进行估值不能客观反映其公允价值的，基金管理人可在综合考虑市场成交价、市场报价、流动性、收益率曲线等多种因素的基础上与基金托管人商定后，按最能反映公允价值的价格估值。</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7</w:t>
      </w:r>
      <w:r>
        <w:rPr>
          <w:rFonts w:ascii="Arial" w:hAnsi="宋体" w:cs="Arial"/>
          <w:kern w:val="0"/>
          <w:szCs w:val="21"/>
        </w:rPr>
        <w:t>、国家有最新规定的，按国家最新规定进行估值。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（五）估值程序</w:t>
      </w:r>
    </w:p>
    <w:p w:rsidR="0057376A" w:rsidRDefault="00117DFA">
      <w:pPr>
        <w:pStyle w:val="a9"/>
        <w:snapToGrid w:val="0"/>
        <w:spacing w:after="0" w:line="360" w:lineRule="auto"/>
        <w:ind w:leftChars="0" w:left="0" w:firstLineChars="200" w:firstLine="420"/>
        <w:rPr>
          <w:rFonts w:ascii="Arial" w:hAnsi="Arial" w:cs="Arial"/>
          <w:kern w:val="0"/>
          <w:szCs w:val="21"/>
        </w:rPr>
      </w:pPr>
      <w:r>
        <w:rPr>
          <w:rFonts w:ascii="Arial" w:hAnsi="宋体" w:cs="Arial"/>
          <w:szCs w:val="21"/>
        </w:rPr>
        <w:t>基金管理人每工作日对基金资产进行估值后，将基金份额净值结果发送基金托管人，经基金托管人复核无误后，由基金管理人对外公布</w:t>
      </w:r>
      <w:r>
        <w:rPr>
          <w:rFonts w:ascii="Arial" w:hAnsi="宋体" w:cs="Arial"/>
          <w:kern w:val="0"/>
          <w:szCs w:val="21"/>
        </w:rPr>
        <w:t>。月末、年中和年末估值复核与基金会计账目的核对同时进行。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（六）暂停估值的情形</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lastRenderedPageBreak/>
        <w:t>1</w:t>
      </w:r>
      <w:r>
        <w:rPr>
          <w:rFonts w:ascii="Arial" w:hAnsi="宋体" w:cs="Arial"/>
          <w:kern w:val="0"/>
          <w:szCs w:val="21"/>
        </w:rPr>
        <w:t>、基金投资所涉及的证券交易所遇法定节假日或因其他原因暂停营业时；</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2</w:t>
      </w:r>
      <w:r>
        <w:rPr>
          <w:rFonts w:ascii="Arial" w:hAnsi="宋体" w:cs="Arial"/>
          <w:kern w:val="0"/>
          <w:szCs w:val="21"/>
        </w:rPr>
        <w:t>、因不可抗力或其他情形致使基金管理人、基金托管人无法准确评估基金资产价值时；</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3</w:t>
      </w:r>
      <w:r>
        <w:rPr>
          <w:rFonts w:ascii="Arial" w:hAnsi="宋体" w:cs="Arial" w:hint="eastAsia"/>
          <w:kern w:val="0"/>
          <w:szCs w:val="21"/>
        </w:rPr>
        <w:t>、当前一估值日基金资产净值</w:t>
      </w:r>
      <w:r>
        <w:rPr>
          <w:rFonts w:ascii="Arial" w:hAnsi="宋体" w:cs="Arial" w:hint="eastAsia"/>
          <w:kern w:val="0"/>
          <w:szCs w:val="21"/>
        </w:rPr>
        <w:t>50%</w:t>
      </w:r>
      <w:r>
        <w:rPr>
          <w:rFonts w:ascii="Arial" w:hAnsi="宋体" w:cs="Arial" w:hint="eastAsia"/>
          <w:kern w:val="0"/>
          <w:szCs w:val="21"/>
        </w:rPr>
        <w:t>以上的资产出现无可参考的活跃市场价格且采用估值技术仍导致公允价值存在重大不确定性时，经与基金托管人协商一致的，应当暂停估值；</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4</w:t>
      </w:r>
      <w:r>
        <w:rPr>
          <w:rFonts w:ascii="Arial" w:hAnsi="宋体" w:cs="Arial"/>
          <w:kern w:val="0"/>
          <w:szCs w:val="21"/>
        </w:rPr>
        <w:t>、</w:t>
      </w:r>
      <w:r>
        <w:rPr>
          <w:rFonts w:ascii="Arial" w:hAnsi="宋体" w:cs="Arial" w:hint="eastAsia"/>
          <w:kern w:val="0"/>
          <w:szCs w:val="21"/>
        </w:rPr>
        <w:t>法律</w:t>
      </w:r>
      <w:r>
        <w:rPr>
          <w:rFonts w:ascii="Arial" w:hAnsi="宋体" w:cs="Arial"/>
          <w:kern w:val="0"/>
          <w:szCs w:val="21"/>
        </w:rPr>
        <w:t>法规</w:t>
      </w:r>
      <w:r>
        <w:rPr>
          <w:rFonts w:ascii="Arial" w:hAnsi="宋体" w:cs="Arial" w:hint="eastAsia"/>
          <w:kern w:val="0"/>
          <w:szCs w:val="21"/>
        </w:rPr>
        <w:t>规定</w:t>
      </w:r>
      <w:r>
        <w:rPr>
          <w:rFonts w:ascii="Arial" w:hAnsi="宋体" w:cs="Arial"/>
          <w:kern w:val="0"/>
          <w:szCs w:val="21"/>
        </w:rPr>
        <w:t>、中国证监会认定的其他情形。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（七）基金份额净值的确认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净值由基金管理人负责计算，基金托管人进行复核。基金管理人应于每个工作日交易结束后计算当日的基金份额净值并发送给基金托管人。基金托管人对净值计算结果复核确认后发送给基金管理人，由基金管理人</w:t>
      </w:r>
      <w:r>
        <w:rPr>
          <w:rFonts w:ascii="Arial" w:hAnsi="宋体" w:cs="Arial" w:hint="eastAsia"/>
          <w:kern w:val="0"/>
          <w:szCs w:val="21"/>
        </w:rPr>
        <w:t>按规定</w:t>
      </w:r>
      <w:r>
        <w:rPr>
          <w:rFonts w:ascii="Arial" w:hAnsi="宋体" w:cs="Arial"/>
          <w:kern w:val="0"/>
          <w:szCs w:val="21"/>
        </w:rPr>
        <w:t>对基金份额净值予以公布。</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基金份额净值的计算精确到</w:t>
      </w:r>
      <w:r>
        <w:rPr>
          <w:rFonts w:ascii="Arial" w:hAnsi="Arial" w:cs="Arial"/>
          <w:color w:val="000000"/>
          <w:kern w:val="0"/>
          <w:szCs w:val="21"/>
        </w:rPr>
        <w:t>0.001</w:t>
      </w:r>
      <w:r>
        <w:rPr>
          <w:rFonts w:ascii="Arial" w:hAnsi="宋体" w:cs="Arial"/>
          <w:kern w:val="0"/>
          <w:szCs w:val="21"/>
        </w:rPr>
        <w:t>元，小数点后第四位四舍五入。国家另有规定的，从其规定。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（八）估值错误的处理</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基金管理人和基金托管人将采取必要、适当、合理的措施确保基金资产估值的准确性、及时性。当基金份额净值小数点后</w:t>
      </w:r>
      <w:r>
        <w:rPr>
          <w:rFonts w:ascii="Arial" w:hAnsi="Arial" w:cs="Arial"/>
          <w:color w:val="000000"/>
          <w:szCs w:val="21"/>
        </w:rPr>
        <w:t>3</w:t>
      </w:r>
      <w:r>
        <w:rPr>
          <w:rFonts w:ascii="Arial" w:hAnsi="宋体" w:cs="Arial"/>
          <w:color w:val="000000"/>
          <w:szCs w:val="21"/>
        </w:rPr>
        <w:t>位以内</w:t>
      </w:r>
      <w:r>
        <w:rPr>
          <w:rFonts w:ascii="Arial" w:hAnsi="Arial" w:cs="Arial"/>
          <w:color w:val="000000"/>
          <w:szCs w:val="21"/>
        </w:rPr>
        <w:t>（</w:t>
      </w:r>
      <w:r>
        <w:rPr>
          <w:rFonts w:ascii="Arial" w:hAnsi="宋体" w:cs="Arial"/>
          <w:color w:val="000000"/>
          <w:szCs w:val="21"/>
        </w:rPr>
        <w:t>含第</w:t>
      </w:r>
      <w:r>
        <w:rPr>
          <w:rFonts w:ascii="Arial" w:hAnsi="Arial" w:cs="Arial"/>
          <w:color w:val="000000"/>
          <w:szCs w:val="21"/>
        </w:rPr>
        <w:t>3</w:t>
      </w:r>
      <w:r>
        <w:rPr>
          <w:rFonts w:ascii="Arial" w:hAnsi="宋体" w:cs="Arial"/>
          <w:color w:val="000000"/>
          <w:szCs w:val="21"/>
        </w:rPr>
        <w:t>位</w:t>
      </w:r>
      <w:r>
        <w:rPr>
          <w:rFonts w:ascii="Arial" w:hAnsi="Arial" w:cs="Arial"/>
          <w:color w:val="000000"/>
          <w:szCs w:val="21"/>
        </w:rPr>
        <w:t>）</w:t>
      </w:r>
      <w:r>
        <w:rPr>
          <w:rFonts w:ascii="Arial" w:hAnsi="宋体" w:cs="Arial"/>
          <w:color w:val="000000"/>
          <w:szCs w:val="21"/>
        </w:rPr>
        <w:t>发生差错时，视为基金份额净值错误。</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本基金合同的当事人应按照以下约定处理：</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1</w:t>
      </w:r>
      <w:r>
        <w:rPr>
          <w:rFonts w:ascii="Arial" w:hAnsi="Arial" w:cs="Arial" w:hint="eastAsia"/>
          <w:color w:val="000000"/>
          <w:szCs w:val="21"/>
        </w:rPr>
        <w:t>、</w:t>
      </w:r>
      <w:r>
        <w:rPr>
          <w:rFonts w:ascii="Arial" w:hAnsi="宋体" w:cs="Arial"/>
          <w:color w:val="000000"/>
          <w:szCs w:val="21"/>
        </w:rPr>
        <w:t>差错类型</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本基金运作过程中，如果由于基金管理人或基金托管人、或登记结算机构、或代销机构、或投资人自身的过错造成差错，导致其他当事人遭受损失的，过错的责任人应当对由于该差错遭受损失的当事人</w:t>
      </w:r>
      <w:r>
        <w:rPr>
          <w:rFonts w:ascii="Arial" w:hAnsi="Arial" w:cs="Arial"/>
          <w:color w:val="000000"/>
          <w:szCs w:val="21"/>
        </w:rPr>
        <w:t>（</w:t>
      </w:r>
      <w:r>
        <w:rPr>
          <w:rFonts w:ascii="Arial" w:hAnsi="Arial" w:cs="Arial"/>
          <w:color w:val="000000"/>
          <w:szCs w:val="21"/>
        </w:rPr>
        <w:t>“</w:t>
      </w:r>
      <w:r>
        <w:rPr>
          <w:rFonts w:ascii="Arial" w:hAnsi="宋体" w:cs="Arial"/>
          <w:color w:val="000000"/>
          <w:szCs w:val="21"/>
        </w:rPr>
        <w:t>受损方</w:t>
      </w:r>
      <w:r>
        <w:rPr>
          <w:rFonts w:ascii="Arial" w:hAnsi="Arial" w:cs="Arial"/>
          <w:color w:val="000000"/>
          <w:szCs w:val="21"/>
        </w:rPr>
        <w:t>”</w:t>
      </w:r>
      <w:r>
        <w:rPr>
          <w:rFonts w:ascii="Arial" w:hAnsi="Arial" w:cs="Arial"/>
          <w:color w:val="000000"/>
          <w:szCs w:val="21"/>
        </w:rPr>
        <w:t>）</w:t>
      </w:r>
      <w:r>
        <w:rPr>
          <w:rFonts w:ascii="Arial" w:hAnsi="宋体" w:cs="Arial"/>
          <w:color w:val="000000"/>
          <w:szCs w:val="21"/>
        </w:rPr>
        <w:t>按下述</w:t>
      </w:r>
      <w:r>
        <w:rPr>
          <w:rFonts w:ascii="Arial" w:hAnsi="Arial" w:cs="Arial"/>
          <w:color w:val="000000"/>
          <w:szCs w:val="21"/>
        </w:rPr>
        <w:t>“</w:t>
      </w:r>
      <w:r>
        <w:rPr>
          <w:rFonts w:ascii="Arial" w:hAnsi="宋体" w:cs="Arial"/>
          <w:color w:val="000000"/>
          <w:szCs w:val="21"/>
        </w:rPr>
        <w:t>差错处理原则</w:t>
      </w:r>
      <w:r>
        <w:rPr>
          <w:rFonts w:ascii="Arial" w:hAnsi="Arial" w:cs="Arial"/>
          <w:color w:val="000000"/>
          <w:szCs w:val="21"/>
        </w:rPr>
        <w:t>”</w:t>
      </w:r>
      <w:r>
        <w:rPr>
          <w:rFonts w:ascii="Arial" w:hAnsi="宋体" w:cs="Arial"/>
          <w:color w:val="000000"/>
          <w:szCs w:val="21"/>
        </w:rPr>
        <w:t>给予赔偿，承担赔偿责任。</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w:t>
      </w:r>
      <w:r>
        <w:rPr>
          <w:rFonts w:ascii="Arial" w:hAnsi="宋体" w:cs="Arial"/>
          <w:color w:val="000000"/>
          <w:szCs w:val="21"/>
        </w:rPr>
        <w:t>差错处理原则</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1</w:t>
      </w:r>
      <w:r>
        <w:rPr>
          <w:rFonts w:ascii="Arial" w:hAnsi="Arial" w:cs="Arial"/>
          <w:color w:val="000000"/>
          <w:szCs w:val="21"/>
        </w:rPr>
        <w:t>）</w:t>
      </w:r>
      <w:r>
        <w:rPr>
          <w:rFonts w:ascii="Arial" w:hAnsi="宋体" w:cs="Arial"/>
          <w:color w:val="000000"/>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2</w:t>
      </w:r>
      <w:r>
        <w:rPr>
          <w:rFonts w:ascii="Arial" w:hAnsi="Arial" w:cs="Arial"/>
          <w:color w:val="000000"/>
          <w:szCs w:val="21"/>
        </w:rPr>
        <w:t>）</w:t>
      </w:r>
      <w:r>
        <w:rPr>
          <w:rFonts w:ascii="Arial" w:hAnsi="宋体" w:cs="Arial"/>
          <w:color w:val="000000"/>
          <w:szCs w:val="21"/>
        </w:rPr>
        <w:t>差错的责任方对可能导致有关当事人的直接损失负责，不对间接损失负责，并且仅对差错的有关直接当事人负责，不对第三方负责。</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lastRenderedPageBreak/>
        <w:t>（</w:t>
      </w:r>
      <w:r>
        <w:rPr>
          <w:rFonts w:ascii="Arial" w:hAnsi="Arial" w:cs="Arial"/>
          <w:color w:val="000000"/>
          <w:szCs w:val="21"/>
        </w:rPr>
        <w:t>3</w:t>
      </w:r>
      <w:r>
        <w:rPr>
          <w:rFonts w:ascii="Arial" w:hAnsi="Arial" w:cs="Arial"/>
          <w:color w:val="000000"/>
          <w:szCs w:val="21"/>
        </w:rPr>
        <w:t>）</w:t>
      </w:r>
      <w:r>
        <w:rPr>
          <w:rFonts w:ascii="Arial" w:hAnsi="宋体" w:cs="Arial"/>
          <w:color w:val="000000"/>
          <w:szCs w:val="21"/>
        </w:rPr>
        <w:t>因差错而获得不当得利的当事人负有及时返还不当得利的义务。但差错责任方仍应对差错负责。如果由于获得不当得利的当事人不返还或不全部返还不当得利造成其他当事人的利益损失</w:t>
      </w:r>
      <w:r>
        <w:rPr>
          <w:rFonts w:ascii="Arial" w:hAnsi="Arial" w:cs="Arial"/>
          <w:color w:val="000000"/>
          <w:szCs w:val="21"/>
        </w:rPr>
        <w:t>（</w:t>
      </w:r>
      <w:r>
        <w:rPr>
          <w:rFonts w:ascii="Arial" w:hAnsi="Arial" w:cs="Arial"/>
          <w:color w:val="000000"/>
          <w:szCs w:val="21"/>
        </w:rPr>
        <w:t>“</w:t>
      </w:r>
      <w:r>
        <w:rPr>
          <w:rFonts w:ascii="Arial" w:hAnsi="宋体" w:cs="Arial"/>
          <w:color w:val="000000"/>
          <w:szCs w:val="21"/>
        </w:rPr>
        <w:t>受损方</w:t>
      </w:r>
      <w:r>
        <w:rPr>
          <w:rFonts w:ascii="Arial" w:hAnsi="Arial" w:cs="Arial"/>
          <w:color w:val="000000"/>
          <w:szCs w:val="21"/>
        </w:rPr>
        <w:t>”</w:t>
      </w:r>
      <w:r>
        <w:rPr>
          <w:rFonts w:ascii="Arial" w:hAnsi="Arial" w:cs="Arial"/>
          <w:color w:val="000000"/>
          <w:szCs w:val="21"/>
        </w:rPr>
        <w:t>）</w:t>
      </w:r>
      <w:r>
        <w:rPr>
          <w:rFonts w:ascii="Arial" w:hAnsi="宋体" w:cs="Arial"/>
          <w:color w:val="000000"/>
          <w:szCs w:val="21"/>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4</w:t>
      </w:r>
      <w:r>
        <w:rPr>
          <w:rFonts w:ascii="Arial" w:hAnsi="Arial" w:cs="Arial"/>
          <w:color w:val="000000"/>
          <w:szCs w:val="21"/>
        </w:rPr>
        <w:t>）</w:t>
      </w:r>
      <w:r>
        <w:rPr>
          <w:rFonts w:ascii="Arial" w:hAnsi="宋体" w:cs="Arial"/>
          <w:color w:val="000000"/>
          <w:szCs w:val="21"/>
        </w:rPr>
        <w:t>差错调整采用尽量恢复至假设未发生差错的正确情形的方式。</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5</w:t>
      </w:r>
      <w:r>
        <w:rPr>
          <w:rFonts w:ascii="Arial" w:hAnsi="Arial" w:cs="Arial"/>
          <w:color w:val="000000"/>
          <w:szCs w:val="21"/>
        </w:rPr>
        <w:t>）</w:t>
      </w:r>
      <w:r>
        <w:rPr>
          <w:rFonts w:ascii="Arial" w:hAnsi="宋体" w:cs="Arial"/>
          <w:color w:val="000000"/>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基金管理人和托管人之外的第三方造成基金资产的损失，并拒绝进行赔偿时，由基金管理人负责向差错方追偿；追偿过程中产生的有关费用，应列入基金费用，从基金资产中支付。</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6</w:t>
      </w:r>
      <w:r>
        <w:rPr>
          <w:rFonts w:ascii="Arial" w:hAnsi="Arial" w:cs="Arial"/>
          <w:color w:val="000000"/>
          <w:szCs w:val="21"/>
        </w:rPr>
        <w:t>）</w:t>
      </w:r>
      <w:r>
        <w:rPr>
          <w:rFonts w:ascii="Arial" w:hAnsi="宋体" w:cs="Arial"/>
          <w:color w:val="000000"/>
          <w:szCs w:val="21"/>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7</w:t>
      </w:r>
      <w:r>
        <w:rPr>
          <w:rFonts w:ascii="Arial" w:hAnsi="Arial" w:cs="Arial"/>
          <w:color w:val="000000"/>
          <w:szCs w:val="21"/>
        </w:rPr>
        <w:t>）</w:t>
      </w:r>
      <w:r>
        <w:rPr>
          <w:rFonts w:ascii="Arial" w:hAnsi="宋体" w:cs="Arial"/>
          <w:color w:val="000000"/>
          <w:szCs w:val="21"/>
        </w:rPr>
        <w:t>按法律法规规定的其他原则处理差错。</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w:t>
      </w:r>
      <w:r>
        <w:rPr>
          <w:rFonts w:ascii="Arial" w:hAnsi="宋体" w:cs="Arial"/>
          <w:color w:val="000000"/>
          <w:szCs w:val="21"/>
        </w:rPr>
        <w:t>差错处理程序</w:t>
      </w:r>
    </w:p>
    <w:p w:rsidR="0057376A" w:rsidRDefault="00117DFA">
      <w:pPr>
        <w:snapToGrid w:val="0"/>
        <w:spacing w:line="360" w:lineRule="auto"/>
        <w:ind w:firstLineChars="200" w:firstLine="420"/>
        <w:rPr>
          <w:rFonts w:ascii="Arial" w:hAnsi="Arial" w:cs="Arial"/>
          <w:color w:val="000000"/>
          <w:szCs w:val="21"/>
        </w:rPr>
      </w:pPr>
      <w:r>
        <w:rPr>
          <w:rFonts w:ascii="Arial" w:hAnsi="宋体" w:cs="Arial"/>
          <w:color w:val="000000"/>
          <w:szCs w:val="21"/>
        </w:rPr>
        <w:t>差错被发现后，有关的当事人应当及时进行处理，处理的程序如下：</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1</w:t>
      </w:r>
      <w:r>
        <w:rPr>
          <w:rFonts w:ascii="Arial" w:hAnsi="Arial" w:cs="Arial"/>
          <w:color w:val="000000"/>
          <w:szCs w:val="21"/>
        </w:rPr>
        <w:t>）</w:t>
      </w:r>
      <w:r>
        <w:rPr>
          <w:rFonts w:ascii="Arial" w:hAnsi="宋体" w:cs="Arial"/>
          <w:color w:val="000000"/>
          <w:szCs w:val="21"/>
        </w:rPr>
        <w:t>查明差错发生的原因，列明所有的当事人，并根据差错发生的原因确定差错的责任方；</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2</w:t>
      </w:r>
      <w:r>
        <w:rPr>
          <w:rFonts w:ascii="Arial" w:hAnsi="Arial" w:cs="Arial"/>
          <w:color w:val="000000"/>
          <w:szCs w:val="21"/>
        </w:rPr>
        <w:t>）</w:t>
      </w:r>
      <w:r>
        <w:rPr>
          <w:rFonts w:ascii="Arial" w:hAnsi="宋体" w:cs="Arial"/>
          <w:color w:val="000000"/>
          <w:szCs w:val="21"/>
        </w:rPr>
        <w:t>根据差错处理原则或当事人协商的方法对因差错造成的损失进行评估；</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3</w:t>
      </w:r>
      <w:r>
        <w:rPr>
          <w:rFonts w:ascii="Arial" w:hAnsi="Arial" w:cs="Arial"/>
          <w:color w:val="000000"/>
          <w:szCs w:val="21"/>
        </w:rPr>
        <w:t>）</w:t>
      </w:r>
      <w:r>
        <w:rPr>
          <w:rFonts w:ascii="Arial" w:hAnsi="宋体" w:cs="Arial"/>
          <w:color w:val="000000"/>
          <w:szCs w:val="21"/>
        </w:rPr>
        <w:t>根据差错处理原则或当事人协商的方法由差错的责任方进行更正和赔偿损失；</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4</w:t>
      </w:r>
      <w:r>
        <w:rPr>
          <w:rFonts w:ascii="Arial" w:hAnsi="Arial" w:cs="Arial"/>
          <w:color w:val="000000"/>
          <w:szCs w:val="21"/>
        </w:rPr>
        <w:t>）</w:t>
      </w:r>
      <w:r>
        <w:rPr>
          <w:rFonts w:ascii="Arial" w:hAnsi="宋体" w:cs="Arial"/>
          <w:color w:val="000000"/>
          <w:szCs w:val="21"/>
        </w:rPr>
        <w:t>根据差错处理的方法，需要修改基金登记结算机构交易数据的，由基金登记结算机构进行更正，并就差错的更正向有关当事人进行确认。</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w:t>
      </w:r>
      <w:r>
        <w:rPr>
          <w:rFonts w:ascii="Arial" w:hAnsi="宋体" w:cs="Arial"/>
          <w:color w:val="000000"/>
          <w:szCs w:val="21"/>
        </w:rPr>
        <w:t>基金份额净值差错处理的原则和方法如下：</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1</w:t>
      </w:r>
      <w:r>
        <w:rPr>
          <w:rFonts w:ascii="Arial" w:hAnsi="Arial" w:cs="Arial"/>
          <w:color w:val="000000"/>
          <w:szCs w:val="21"/>
        </w:rPr>
        <w:t>）</w:t>
      </w:r>
      <w:r>
        <w:rPr>
          <w:rFonts w:ascii="Arial" w:hAnsi="宋体" w:cs="Arial"/>
          <w:color w:val="000000"/>
          <w:szCs w:val="21"/>
        </w:rPr>
        <w:t>基金份额净值计算出现错误时，基金管理人应当立即予以纠正，通报基金托管人，并采取合理的措施防止损失进一步扩大。</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2</w:t>
      </w:r>
      <w:r>
        <w:rPr>
          <w:rFonts w:ascii="Arial" w:hAnsi="Arial" w:cs="Arial"/>
          <w:color w:val="000000"/>
          <w:szCs w:val="21"/>
        </w:rPr>
        <w:t>）</w:t>
      </w:r>
      <w:r>
        <w:rPr>
          <w:rFonts w:ascii="Arial" w:hAnsi="Arial" w:cs="Arial"/>
          <w:color w:val="000000"/>
          <w:szCs w:val="21"/>
        </w:rPr>
        <w:t xml:space="preserve"> </w:t>
      </w:r>
      <w:r>
        <w:rPr>
          <w:rFonts w:ascii="Arial" w:hAnsi="宋体" w:cs="Arial"/>
          <w:color w:val="000000"/>
          <w:szCs w:val="21"/>
        </w:rPr>
        <w:t>错误偏差达到基金份额净值的</w:t>
      </w:r>
      <w:r>
        <w:rPr>
          <w:rFonts w:ascii="Arial" w:hAnsi="Arial" w:cs="Arial"/>
          <w:color w:val="000000"/>
          <w:szCs w:val="21"/>
        </w:rPr>
        <w:t>0.25%</w:t>
      </w:r>
      <w:r>
        <w:rPr>
          <w:rFonts w:ascii="Arial" w:hAnsi="宋体" w:cs="Arial"/>
          <w:color w:val="000000"/>
          <w:szCs w:val="21"/>
        </w:rPr>
        <w:t>时，基金管理人应当通报基金托管人并报中国证监会备案；错误偏差达到基金份额净值的</w:t>
      </w:r>
      <w:r>
        <w:rPr>
          <w:rFonts w:ascii="Arial" w:hAnsi="Arial" w:cs="Arial"/>
          <w:color w:val="000000"/>
          <w:szCs w:val="21"/>
        </w:rPr>
        <w:t>0.50%</w:t>
      </w:r>
      <w:r>
        <w:rPr>
          <w:rFonts w:ascii="Arial" w:hAnsi="宋体" w:cs="Arial"/>
          <w:color w:val="000000"/>
          <w:szCs w:val="21"/>
        </w:rPr>
        <w:t>时，基金管理人应当公告</w:t>
      </w:r>
      <w:r>
        <w:rPr>
          <w:rFonts w:ascii="Arial" w:hAnsi="宋体" w:cs="Arial" w:hint="eastAsia"/>
          <w:color w:val="000000"/>
          <w:szCs w:val="21"/>
        </w:rPr>
        <w:t>并报中国证监会备案</w:t>
      </w:r>
      <w:r>
        <w:rPr>
          <w:rFonts w:ascii="Arial" w:hAnsi="宋体" w:cs="Arial"/>
          <w:color w:val="000000"/>
          <w:szCs w:val="21"/>
        </w:rPr>
        <w:t>。</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3</w:t>
      </w:r>
      <w:r>
        <w:rPr>
          <w:rFonts w:ascii="Arial" w:hAnsi="Arial" w:cs="Arial"/>
          <w:color w:val="000000"/>
          <w:szCs w:val="21"/>
        </w:rPr>
        <w:t>）</w:t>
      </w:r>
      <w:r>
        <w:rPr>
          <w:rFonts w:ascii="Arial" w:hAnsi="宋体" w:cs="Arial"/>
          <w:color w:val="000000"/>
          <w:szCs w:val="21"/>
        </w:rPr>
        <w:t>因基金份额净值计算错误，给基金或基金份额持有人造成损失的，应由基金管理人先行赔付，基金管理人按差错情形，有权向其他当事人追偿。</w:t>
      </w:r>
    </w:p>
    <w:p w:rsidR="0057376A" w:rsidRDefault="00117DFA">
      <w:pPr>
        <w:snapToGrid w:val="0"/>
        <w:spacing w:line="360" w:lineRule="auto"/>
        <w:ind w:firstLineChars="200" w:firstLine="420"/>
        <w:rPr>
          <w:rFonts w:ascii="Arial" w:hAnsi="Arial" w:cs="Arial"/>
          <w:color w:val="000000"/>
          <w:szCs w:val="21"/>
        </w:rPr>
      </w:pPr>
      <w:r>
        <w:rPr>
          <w:rFonts w:ascii="Arial" w:hAnsi="Arial" w:cs="Arial"/>
          <w:color w:val="000000"/>
          <w:szCs w:val="21"/>
        </w:rPr>
        <w:t>（</w:t>
      </w:r>
      <w:r>
        <w:rPr>
          <w:rFonts w:ascii="Arial" w:hAnsi="Arial" w:cs="Arial"/>
          <w:color w:val="000000"/>
          <w:szCs w:val="21"/>
        </w:rPr>
        <w:t>4</w:t>
      </w:r>
      <w:r>
        <w:rPr>
          <w:rFonts w:ascii="Arial" w:hAnsi="Arial" w:cs="Arial"/>
          <w:color w:val="000000"/>
          <w:szCs w:val="21"/>
        </w:rPr>
        <w:t>）</w:t>
      </w:r>
      <w:r>
        <w:rPr>
          <w:rFonts w:ascii="Arial" w:hAnsi="宋体" w:cs="Arial"/>
          <w:color w:val="000000"/>
          <w:szCs w:val="21"/>
        </w:rPr>
        <w:t>基金管理人和基金托管人由于各自技术系统设置而产生的净值计算尾差，以基金</w:t>
      </w:r>
      <w:r>
        <w:rPr>
          <w:rFonts w:ascii="Arial" w:hAnsi="宋体" w:cs="Arial"/>
          <w:color w:val="000000"/>
          <w:szCs w:val="21"/>
        </w:rPr>
        <w:lastRenderedPageBreak/>
        <w:t>管理人计算结果为准。</w:t>
      </w:r>
    </w:p>
    <w:p w:rsidR="0057376A" w:rsidRDefault="00117DFA">
      <w:pPr>
        <w:snapToGrid w:val="0"/>
        <w:spacing w:line="360" w:lineRule="auto"/>
        <w:ind w:firstLineChars="200" w:firstLine="420"/>
        <w:rPr>
          <w:rFonts w:ascii="Arial" w:hAnsi="Arial" w:cs="Arial"/>
          <w:kern w:val="0"/>
          <w:szCs w:val="21"/>
        </w:rPr>
      </w:pPr>
      <w:r>
        <w:rPr>
          <w:rFonts w:ascii="Arial" w:hAnsi="Arial" w:cs="Arial"/>
          <w:color w:val="000000"/>
          <w:szCs w:val="21"/>
        </w:rPr>
        <w:t>（</w:t>
      </w:r>
      <w:r>
        <w:rPr>
          <w:rFonts w:ascii="Arial" w:hAnsi="Arial" w:cs="Arial"/>
          <w:color w:val="000000"/>
          <w:szCs w:val="21"/>
        </w:rPr>
        <w:t>5</w:t>
      </w:r>
      <w:r>
        <w:rPr>
          <w:rFonts w:ascii="Arial" w:hAnsi="Arial" w:cs="Arial"/>
          <w:color w:val="000000"/>
          <w:szCs w:val="21"/>
        </w:rPr>
        <w:t>）</w:t>
      </w:r>
      <w:r>
        <w:rPr>
          <w:rFonts w:ascii="Arial" w:hAnsi="宋体" w:cs="Arial"/>
          <w:color w:val="000000"/>
          <w:szCs w:val="21"/>
        </w:rPr>
        <w:t>前述内容如法律法规或监管机关另有规定的，从其规定处理</w:t>
      </w:r>
      <w:r>
        <w:rPr>
          <w:rFonts w:ascii="Arial" w:hAnsi="宋体" w:cs="Arial"/>
          <w:caps/>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（九）特殊情形的处理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、基金管理人按本条第（四）款有关估值方法规定的第</w:t>
      </w:r>
      <w:r>
        <w:rPr>
          <w:rFonts w:ascii="Arial" w:hAnsi="Arial" w:cs="Arial"/>
          <w:kern w:val="0"/>
          <w:szCs w:val="21"/>
        </w:rPr>
        <w:t>6</w:t>
      </w:r>
      <w:r>
        <w:rPr>
          <w:rFonts w:ascii="Arial" w:hAnsi="宋体" w:cs="Arial"/>
          <w:kern w:val="0"/>
          <w:szCs w:val="21"/>
        </w:rPr>
        <w:t>项条款进行估值时，所造成的误差不作为基金份额净值错误处理。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w:t>
      </w:r>
      <w:r>
        <w:rPr>
          <w:rFonts w:ascii="Arial" w:hAnsi="宋体" w:cs="Arial" w:hint="eastAsia"/>
          <w:kern w:val="0"/>
          <w:szCs w:val="21"/>
        </w:rPr>
        <w:t>和基金托管人</w:t>
      </w:r>
      <w:r>
        <w:rPr>
          <w:rFonts w:ascii="Arial" w:hAnsi="宋体" w:cs="Arial"/>
          <w:kern w:val="0"/>
          <w:szCs w:val="21"/>
        </w:rPr>
        <w:t>应当积极采取必要的措施消除由此造成的影响。</w:t>
      </w:r>
    </w:p>
    <w:p w:rsidR="0057376A" w:rsidRDefault="00117DFA">
      <w:pPr>
        <w:snapToGrid w:val="0"/>
        <w:spacing w:line="360" w:lineRule="auto"/>
        <w:ind w:firstLineChars="200" w:firstLine="420"/>
        <w:rPr>
          <w:rFonts w:ascii="Arial" w:hAnsi="Arial" w:cs="Arial"/>
          <w:szCs w:val="21"/>
        </w:rPr>
      </w:pPr>
      <w:r>
        <w:rPr>
          <w:rFonts w:ascii="Arial" w:hAnsi="Arial" w:cs="Arial"/>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40" w:name="_Toc253128709"/>
      <w:bookmarkStart w:id="41" w:name="_Toc88037852"/>
      <w:r>
        <w:rPr>
          <w:rFonts w:eastAsia="宋体" w:hAnsi="宋体" w:cs="Arial"/>
          <w:kern w:val="0"/>
          <w:sz w:val="28"/>
          <w:szCs w:val="28"/>
        </w:rPr>
        <w:t>十八、基金费用与税收</w:t>
      </w:r>
      <w:bookmarkEnd w:id="40"/>
      <w:bookmarkEnd w:id="41"/>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（一）基金费用的种类</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、基金管理人的管理费；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、基金托管人的托管费；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、销售服务费：本基金从</w:t>
      </w:r>
      <w:r>
        <w:rPr>
          <w:rFonts w:ascii="Arial" w:hAnsi="Arial" w:cs="Arial"/>
          <w:kern w:val="0"/>
          <w:szCs w:val="21"/>
        </w:rPr>
        <w:t>C</w:t>
      </w:r>
      <w:r>
        <w:rPr>
          <w:rFonts w:ascii="Arial" w:hAnsi="宋体" w:cs="Arial"/>
          <w:kern w:val="0"/>
          <w:szCs w:val="21"/>
        </w:rPr>
        <w:t>类基金份额的基金资产中计提销售服务费；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、因基金的证券交易或结算而产生的费用（包括但不限于经手费、印花税、证管费、过户费、手续费、券商佣金、权证交易的结算费及其他类似性质的费用等）；</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、基金合同生效以后的信息披露费用</w:t>
      </w:r>
      <w:r>
        <w:rPr>
          <w:rFonts w:ascii="Arial" w:hAnsi="宋体" w:cs="Arial" w:hint="eastAsia"/>
          <w:kern w:val="0"/>
          <w:szCs w:val="21"/>
        </w:rPr>
        <w:t>，法律法规、中国证监会另有规定的除外</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、基金份额持有人大会费用；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7</w:t>
      </w:r>
      <w:r>
        <w:rPr>
          <w:rFonts w:ascii="Arial" w:hAnsi="宋体" w:cs="Arial"/>
          <w:kern w:val="0"/>
          <w:szCs w:val="21"/>
        </w:rPr>
        <w:t>、基金合同生效以后的会计师费和律师费；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8</w:t>
      </w:r>
      <w:r>
        <w:rPr>
          <w:rFonts w:ascii="Arial" w:hAnsi="宋体" w:cs="Arial"/>
          <w:kern w:val="0"/>
          <w:szCs w:val="21"/>
        </w:rPr>
        <w:t>、基金资产的资金汇划费用；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9</w:t>
      </w:r>
      <w:r>
        <w:rPr>
          <w:rFonts w:ascii="Arial" w:hAnsi="宋体" w:cs="Arial"/>
          <w:kern w:val="0"/>
          <w:szCs w:val="21"/>
        </w:rPr>
        <w:t>、按照国家有关法律法规规定可以列入的其他费用。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（二）基金费用计提方法、计提标准和支付方式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、基金管理人的管理费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基金管理人的基金管理费按基金资产净值的</w:t>
      </w:r>
      <w:r>
        <w:rPr>
          <w:rFonts w:ascii="Arial" w:hAnsi="Arial" w:cs="Arial"/>
          <w:kern w:val="0"/>
          <w:szCs w:val="21"/>
        </w:rPr>
        <w:t>0.70%</w:t>
      </w:r>
      <w:r>
        <w:rPr>
          <w:rFonts w:ascii="Arial" w:hAnsi="宋体" w:cs="Arial"/>
          <w:kern w:val="0"/>
          <w:szCs w:val="21"/>
        </w:rPr>
        <w:t>年费率计提。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在通常情况下，基金管理费按前一日基金资产净值的</w:t>
      </w:r>
      <w:r>
        <w:rPr>
          <w:rFonts w:ascii="Arial" w:hAnsi="Arial" w:cs="Arial"/>
          <w:kern w:val="0"/>
          <w:szCs w:val="21"/>
        </w:rPr>
        <w:t>0.70%</w:t>
      </w:r>
      <w:r>
        <w:rPr>
          <w:rFonts w:ascii="Arial" w:hAnsi="宋体" w:cs="Arial"/>
          <w:kern w:val="0"/>
          <w:szCs w:val="21"/>
        </w:rPr>
        <w:t>年费率计提。计算方法如下：</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H</w:t>
      </w:r>
      <w:r>
        <w:rPr>
          <w:rFonts w:ascii="Arial" w:hAnsi="宋体" w:cs="Arial"/>
          <w:kern w:val="0"/>
          <w:szCs w:val="21"/>
        </w:rPr>
        <w:t>＝</w:t>
      </w:r>
      <w:r>
        <w:rPr>
          <w:rFonts w:ascii="Arial" w:hAnsi="Arial" w:cs="Arial"/>
          <w:kern w:val="0"/>
          <w:szCs w:val="21"/>
        </w:rPr>
        <w:t>E×0.70%÷</w:t>
      </w:r>
      <w:r>
        <w:rPr>
          <w:rFonts w:ascii="Arial" w:hAnsi="宋体" w:cs="Arial"/>
          <w:kern w:val="0"/>
          <w:szCs w:val="21"/>
        </w:rPr>
        <w:t>当年天数</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H </w:t>
      </w:r>
      <w:r>
        <w:rPr>
          <w:rFonts w:ascii="Arial" w:hAnsi="宋体" w:cs="Arial"/>
          <w:kern w:val="0"/>
          <w:szCs w:val="21"/>
        </w:rPr>
        <w:t>为每日应计提的基金管理费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E </w:t>
      </w:r>
      <w:r>
        <w:rPr>
          <w:rFonts w:ascii="Arial" w:hAnsi="宋体" w:cs="Arial"/>
          <w:kern w:val="0"/>
          <w:szCs w:val="21"/>
        </w:rPr>
        <w:t>为前一日基金资产净值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基金管理费每日计提，按月支付。</w:t>
      </w:r>
      <w:r>
        <w:rPr>
          <w:rFonts w:ascii="Arial" w:hAnsi="宋体" w:cs="Arial"/>
        </w:rPr>
        <w:t>经基金管理人与基金托管人核对一致后，由基金托管人于次月首日起</w:t>
      </w:r>
      <w:r>
        <w:rPr>
          <w:rFonts w:ascii="Arial" w:hAnsi="Arial" w:cs="Arial"/>
        </w:rPr>
        <w:t>3</w:t>
      </w:r>
      <w:r>
        <w:rPr>
          <w:rFonts w:ascii="Arial" w:hAnsi="宋体" w:cs="Arial"/>
        </w:rPr>
        <w:t>个工作日内从基金资产中一次性支付给基金管理人。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、基金托管人的基金托管费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基金托管人的基金托管费按基金资产净值的</w:t>
      </w:r>
      <w:r>
        <w:rPr>
          <w:rFonts w:ascii="Arial" w:hAnsi="Arial" w:cs="Arial"/>
          <w:kern w:val="0"/>
          <w:szCs w:val="21"/>
        </w:rPr>
        <w:t>0.20%</w:t>
      </w:r>
      <w:r>
        <w:rPr>
          <w:rFonts w:ascii="Arial" w:hAnsi="宋体" w:cs="Arial"/>
          <w:kern w:val="0"/>
          <w:szCs w:val="21"/>
        </w:rPr>
        <w:t>年费率计提。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在通常情况下，基金托管费按前一日基金资产净值的</w:t>
      </w:r>
      <w:r>
        <w:rPr>
          <w:rFonts w:ascii="Arial" w:hAnsi="Arial" w:cs="Arial"/>
          <w:kern w:val="0"/>
          <w:szCs w:val="21"/>
        </w:rPr>
        <w:t>0.20%</w:t>
      </w:r>
      <w:r>
        <w:rPr>
          <w:rFonts w:ascii="Arial" w:hAnsi="宋体" w:cs="Arial"/>
          <w:kern w:val="0"/>
          <w:szCs w:val="21"/>
        </w:rPr>
        <w:t>年费率计提。计算方法如下：</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H=E×0.20%÷</w:t>
      </w:r>
      <w:r>
        <w:rPr>
          <w:rFonts w:ascii="Arial" w:hAnsi="宋体" w:cs="Arial"/>
          <w:kern w:val="0"/>
          <w:szCs w:val="21"/>
        </w:rPr>
        <w:t>当年天数</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H </w:t>
      </w:r>
      <w:r>
        <w:rPr>
          <w:rFonts w:ascii="Arial" w:hAnsi="宋体" w:cs="Arial"/>
          <w:kern w:val="0"/>
          <w:szCs w:val="21"/>
        </w:rPr>
        <w:t>为每日应计提的基金托管费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E </w:t>
      </w:r>
      <w:r>
        <w:rPr>
          <w:rFonts w:ascii="Arial" w:hAnsi="宋体" w:cs="Arial"/>
          <w:kern w:val="0"/>
          <w:szCs w:val="21"/>
        </w:rPr>
        <w:t>为前一日的基金资产净值</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基金托管费每日计提，按月支付。</w:t>
      </w:r>
      <w:r>
        <w:rPr>
          <w:rFonts w:ascii="Arial" w:hAnsi="宋体" w:cs="Arial"/>
        </w:rPr>
        <w:t>经基金管理人与基金托管人核对一致后，由基金托管人于次月首日起</w:t>
      </w:r>
      <w:r>
        <w:rPr>
          <w:rFonts w:ascii="Arial" w:hAnsi="Arial" w:cs="Arial"/>
        </w:rPr>
        <w:t>3</w:t>
      </w:r>
      <w:r>
        <w:rPr>
          <w:rFonts w:ascii="Arial" w:hAnsi="宋体" w:cs="Arial"/>
        </w:rPr>
        <w:t>个工作日内从基金资产中一次性支付给</w:t>
      </w:r>
      <w:r>
        <w:rPr>
          <w:rFonts w:ascii="Arial" w:hAnsi="宋体" w:cs="Arial"/>
          <w:szCs w:val="21"/>
        </w:rPr>
        <w:t>基金托管人。</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3</w:t>
      </w:r>
      <w:r>
        <w:rPr>
          <w:rFonts w:ascii="Arial" w:hAnsi="宋体" w:cs="Arial"/>
          <w:szCs w:val="21"/>
        </w:rPr>
        <w:t>、销售服务费</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本基金</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类基金份额不收取销售服务费，</w:t>
      </w:r>
      <w:r>
        <w:rPr>
          <w:rFonts w:ascii="Arial" w:hAnsi="Arial" w:cs="Arial"/>
          <w:szCs w:val="21"/>
        </w:rPr>
        <w:t>C</w:t>
      </w:r>
      <w:r>
        <w:rPr>
          <w:rFonts w:ascii="Arial" w:hAnsi="宋体" w:cs="Arial"/>
          <w:szCs w:val="21"/>
        </w:rPr>
        <w:t>类基金份额的销售服务费年费率为</w:t>
      </w:r>
      <w:r>
        <w:rPr>
          <w:rFonts w:ascii="Arial" w:hAnsi="Arial" w:cs="Arial"/>
          <w:szCs w:val="21"/>
        </w:rPr>
        <w:lastRenderedPageBreak/>
        <w:t>0.35%</w:t>
      </w:r>
      <w:r>
        <w:rPr>
          <w:rFonts w:ascii="Arial" w:hAnsi="宋体" w:cs="Arial"/>
          <w:szCs w:val="21"/>
        </w:rPr>
        <w:t>。</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本基金销售服务费按前一日</w:t>
      </w:r>
      <w:r>
        <w:rPr>
          <w:rFonts w:ascii="Arial" w:hAnsi="Arial" w:cs="Arial"/>
          <w:szCs w:val="21"/>
        </w:rPr>
        <w:t>C</w:t>
      </w:r>
      <w:r>
        <w:rPr>
          <w:rFonts w:ascii="Arial" w:hAnsi="宋体" w:cs="Arial"/>
          <w:szCs w:val="21"/>
        </w:rPr>
        <w:t>类基金资产净值的</w:t>
      </w:r>
      <w:r>
        <w:rPr>
          <w:rFonts w:ascii="Arial" w:hAnsi="Arial" w:cs="Arial"/>
          <w:szCs w:val="21"/>
        </w:rPr>
        <w:t>0.35%</w:t>
      </w:r>
      <w:r>
        <w:rPr>
          <w:rFonts w:ascii="Arial" w:hAnsi="宋体" w:cs="Arial"/>
          <w:szCs w:val="21"/>
        </w:rPr>
        <w:t>年费率计提。</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计算方法如下：</w:t>
      </w:r>
      <w:r>
        <w:rPr>
          <w:rFonts w:ascii="Arial" w:hAnsi="Arial" w:cs="Arial"/>
          <w:szCs w:val="21"/>
        </w:rPr>
        <w:t xml:space="preserve"> </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H</w:t>
      </w:r>
      <w:r>
        <w:rPr>
          <w:rFonts w:ascii="Arial" w:hAnsi="宋体" w:cs="Arial"/>
          <w:szCs w:val="21"/>
        </w:rPr>
        <w:t>＝</w:t>
      </w:r>
      <w:r>
        <w:rPr>
          <w:rFonts w:ascii="Arial" w:hAnsi="Arial" w:cs="Arial"/>
          <w:szCs w:val="21"/>
        </w:rPr>
        <w:t>E×0.35%÷</w:t>
      </w:r>
      <w:r>
        <w:rPr>
          <w:rFonts w:ascii="Arial" w:hAnsi="宋体" w:cs="Arial"/>
          <w:szCs w:val="21"/>
        </w:rPr>
        <w:t>当年天数</w:t>
      </w:r>
      <w:r>
        <w:rPr>
          <w:rFonts w:ascii="Arial" w:hAnsi="Arial" w:cs="Arial"/>
          <w:szCs w:val="21"/>
        </w:rPr>
        <w:t xml:space="preserve"> </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H</w:t>
      </w:r>
      <w:r>
        <w:rPr>
          <w:rFonts w:ascii="Arial" w:hAnsi="宋体" w:cs="Arial"/>
          <w:szCs w:val="21"/>
        </w:rPr>
        <w:t>为</w:t>
      </w:r>
      <w:r>
        <w:rPr>
          <w:rFonts w:ascii="Arial" w:hAnsi="Arial" w:cs="Arial"/>
          <w:szCs w:val="21"/>
        </w:rPr>
        <w:t>C</w:t>
      </w:r>
      <w:r>
        <w:rPr>
          <w:rFonts w:ascii="Arial" w:hAnsi="宋体" w:cs="Arial"/>
          <w:szCs w:val="21"/>
        </w:rPr>
        <w:t>类基金份额每日应计提的销售服务费</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E</w:t>
      </w:r>
      <w:r>
        <w:rPr>
          <w:rFonts w:ascii="Arial" w:hAnsi="宋体" w:cs="Arial"/>
          <w:szCs w:val="21"/>
        </w:rPr>
        <w:t>为</w:t>
      </w:r>
      <w:r>
        <w:rPr>
          <w:rFonts w:ascii="Arial" w:hAnsi="Arial" w:cs="Arial"/>
          <w:szCs w:val="21"/>
        </w:rPr>
        <w:t>C</w:t>
      </w:r>
      <w:r>
        <w:rPr>
          <w:rFonts w:ascii="Arial" w:hAnsi="宋体" w:cs="Arial"/>
          <w:szCs w:val="21"/>
        </w:rPr>
        <w:t>类基金份额前一日基金资产净值</w:t>
      </w:r>
      <w:r>
        <w:rPr>
          <w:rFonts w:ascii="Arial" w:hAnsi="Arial" w:cs="Arial"/>
          <w:szCs w:val="21"/>
        </w:rPr>
        <w:t xml:space="preserve"> </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销售服务费每日计提，按月支付。</w:t>
      </w:r>
      <w:r>
        <w:rPr>
          <w:rFonts w:ascii="Arial" w:hAnsi="宋体" w:cs="Arial"/>
        </w:rPr>
        <w:t>经基金管理人与基金托管人核对一致后，由基金托管人于</w:t>
      </w:r>
      <w:r>
        <w:rPr>
          <w:rFonts w:ascii="Arial" w:hAnsi="宋体" w:cs="Arial"/>
          <w:szCs w:val="21"/>
        </w:rPr>
        <w:t>次月首日起</w:t>
      </w:r>
      <w:r>
        <w:rPr>
          <w:rFonts w:ascii="Arial" w:hAnsi="Arial" w:cs="Arial"/>
          <w:szCs w:val="21"/>
        </w:rPr>
        <w:t>3</w:t>
      </w:r>
      <w:r>
        <w:rPr>
          <w:rFonts w:ascii="Arial" w:hAnsi="宋体" w:cs="Arial"/>
          <w:szCs w:val="21"/>
        </w:rPr>
        <w:t>个工作日内从基金资产中一次性支付给基金管理人。</w:t>
      </w:r>
    </w:p>
    <w:p w:rsidR="0057376A" w:rsidRDefault="00117DFA">
      <w:pPr>
        <w:snapToGrid w:val="0"/>
        <w:spacing w:line="360" w:lineRule="auto"/>
        <w:ind w:firstLineChars="200" w:firstLine="420"/>
        <w:rPr>
          <w:rFonts w:ascii="宋体" w:hAnsi="宋体"/>
        </w:rPr>
      </w:pPr>
      <w:r>
        <w:rPr>
          <w:rFonts w:ascii="宋体" w:hAnsi="宋体" w:hint="eastAsia"/>
        </w:rPr>
        <w:t>销售服务费主要用于本基金持续销售以及基金份额持有人服务等各项费用。</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4</w:t>
      </w:r>
      <w:r>
        <w:rPr>
          <w:rFonts w:ascii="Arial" w:hAnsi="宋体" w:cs="Arial"/>
          <w:kern w:val="0"/>
          <w:szCs w:val="21"/>
        </w:rPr>
        <w:t>、本条第（一）款第</w:t>
      </w:r>
      <w:r>
        <w:rPr>
          <w:rFonts w:ascii="Arial" w:hAnsi="Arial" w:cs="Arial"/>
          <w:kern w:val="0"/>
          <w:szCs w:val="21"/>
        </w:rPr>
        <w:t xml:space="preserve">4 </w:t>
      </w:r>
      <w:r>
        <w:rPr>
          <w:rFonts w:ascii="Arial" w:hAnsi="宋体" w:cs="Arial"/>
          <w:kern w:val="0"/>
          <w:szCs w:val="21"/>
        </w:rPr>
        <w:t>至第</w:t>
      </w:r>
      <w:r>
        <w:rPr>
          <w:rFonts w:ascii="Arial" w:hAnsi="Arial" w:cs="Arial"/>
          <w:kern w:val="0"/>
          <w:szCs w:val="21"/>
        </w:rPr>
        <w:t>9</w:t>
      </w:r>
      <w:r>
        <w:rPr>
          <w:rFonts w:ascii="Arial" w:hAnsi="宋体" w:cs="Arial"/>
          <w:kern w:val="0"/>
          <w:szCs w:val="21"/>
        </w:rPr>
        <w:t>项费用由基金管理人和基金托管人根据有关法规及相应协议的规定，列入当期基金费用。</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5</w:t>
      </w:r>
      <w:r>
        <w:rPr>
          <w:rFonts w:ascii="Arial" w:hAnsi="Arial" w:cs="Arial" w:hint="eastAsia"/>
          <w:kern w:val="0"/>
          <w:szCs w:val="21"/>
        </w:rPr>
        <w:t>、基金管理人应当在基金中期报告和基金年度报告中披露从基金财产中计提的管理费、托管费、基金销售服务费的金额，并说明管理费中支付给基金销售机构的客户维护费总额。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（三）不列入基金费用的项目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本条第（一）款约定以外的其他费用，以及基金管理人和基金托管人因未履行或未完全履行义务导致的费用支出或基金财产的损失不列入基金费用。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（四）基金管理费和基金托管费的调整</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基金管理人和基金托管人可协商酌情调低基金管理费和基金托管费，无须召开基金份额持有人大会。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（五）税收</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本基金运作过程中涉及的各纳税主体，依照国家法律法规的规定履行纳税义务。</w:t>
      </w:r>
    </w:p>
    <w:p w:rsidR="0057376A" w:rsidRDefault="00117DFA">
      <w:pPr>
        <w:pStyle w:val="2"/>
        <w:snapToGrid w:val="0"/>
        <w:spacing w:before="0" w:after="0" w:line="360" w:lineRule="auto"/>
        <w:jc w:val="center"/>
        <w:rPr>
          <w:rFonts w:eastAsia="宋体" w:cs="Arial"/>
          <w:kern w:val="0"/>
          <w:sz w:val="28"/>
          <w:szCs w:val="28"/>
        </w:rPr>
      </w:pPr>
      <w:r>
        <w:rPr>
          <w:rFonts w:cs="Arial"/>
          <w:kern w:val="0"/>
          <w:szCs w:val="21"/>
        </w:rPr>
        <w:br w:type="page"/>
      </w:r>
      <w:bookmarkStart w:id="42" w:name="_Toc253128710"/>
      <w:bookmarkStart w:id="43" w:name="_Toc88037853"/>
      <w:r>
        <w:rPr>
          <w:rFonts w:eastAsia="宋体" w:hAnsi="宋体" w:cs="Arial"/>
          <w:kern w:val="0"/>
          <w:sz w:val="28"/>
          <w:szCs w:val="28"/>
        </w:rPr>
        <w:lastRenderedPageBreak/>
        <w:t>十九、基金收益与分配</w:t>
      </w:r>
      <w:bookmarkEnd w:id="42"/>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（一）基金利润及基金可供分配利润</w:t>
      </w:r>
    </w:p>
    <w:p w:rsidR="0057376A" w:rsidRDefault="00117DFA">
      <w:pPr>
        <w:adjustRightInd w:val="0"/>
        <w:snapToGrid w:val="0"/>
        <w:spacing w:line="360" w:lineRule="auto"/>
        <w:ind w:firstLineChars="200" w:firstLine="420"/>
        <w:rPr>
          <w:rFonts w:ascii="Arial" w:hAnsi="Arial" w:cs="Arial"/>
          <w:szCs w:val="21"/>
        </w:rPr>
      </w:pPr>
      <w:r>
        <w:rPr>
          <w:rFonts w:ascii="Arial" w:hAnsi="宋体" w:cs="Arial"/>
          <w:szCs w:val="21"/>
        </w:rPr>
        <w:t>基金利润指基金利息收入、投资收益、公允价值变动收益和其他收入扣除相关费用后的余额；基金已实现收益指基金利润减去公允价值变动收益后的余额。</w:t>
      </w:r>
    </w:p>
    <w:p w:rsidR="0057376A" w:rsidRDefault="00117DFA">
      <w:pPr>
        <w:adjustRightInd w:val="0"/>
        <w:snapToGrid w:val="0"/>
        <w:spacing w:line="360" w:lineRule="auto"/>
        <w:ind w:firstLineChars="200" w:firstLine="420"/>
        <w:rPr>
          <w:rFonts w:ascii="Arial" w:hAnsi="Arial" w:cs="Arial"/>
          <w:szCs w:val="21"/>
        </w:rPr>
      </w:pPr>
      <w:r>
        <w:rPr>
          <w:rFonts w:ascii="Arial" w:hAnsi="宋体" w:cs="Arial"/>
          <w:szCs w:val="21"/>
        </w:rPr>
        <w:t>基金可供分配利润指截至收益分配基准日</w:t>
      </w:r>
      <w:r>
        <w:rPr>
          <w:rFonts w:ascii="Arial" w:hAnsi="宋体" w:cs="Arial" w:hint="eastAsia"/>
          <w:szCs w:val="21"/>
        </w:rPr>
        <w:t>资产负债表中</w:t>
      </w:r>
      <w:r>
        <w:rPr>
          <w:rFonts w:ascii="Arial" w:hAnsi="宋体" w:cs="Arial"/>
          <w:szCs w:val="21"/>
        </w:rPr>
        <w:t>基金未分配利润与未分配利润中已实现收益的孰低数。</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（二）收益分配原则</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、基金收益分配采用现金方式</w:t>
      </w:r>
      <w:r>
        <w:rPr>
          <w:rFonts w:ascii="Arial" w:hAnsi="宋体" w:cs="Arial"/>
          <w:kern w:val="0"/>
        </w:rPr>
        <w:t>或红利再投资方式</w:t>
      </w:r>
      <w:r>
        <w:rPr>
          <w:rFonts w:ascii="Arial" w:hAnsi="宋体" w:cs="Arial"/>
          <w:kern w:val="0"/>
          <w:szCs w:val="21"/>
        </w:rPr>
        <w:t>，</w:t>
      </w:r>
      <w:r>
        <w:rPr>
          <w:rFonts w:ascii="Arial" w:hAnsi="宋体" w:cs="Arial"/>
          <w:kern w:val="0"/>
        </w:rPr>
        <w:t>基金份额持有人</w:t>
      </w:r>
      <w:r>
        <w:rPr>
          <w:rFonts w:ascii="Arial" w:hAnsi="宋体" w:cs="Arial"/>
          <w:kern w:val="0"/>
          <w:szCs w:val="21"/>
        </w:rPr>
        <w:t>可自行选择收益分配方式；基金份额持有人事先未做出选择的，默认的分红方式为现金红利；选择红利再投资的，</w:t>
      </w:r>
      <w:r>
        <w:rPr>
          <w:rFonts w:ascii="Arial" w:hAnsi="宋体" w:cs="Arial"/>
          <w:szCs w:val="21"/>
        </w:rPr>
        <w:t>现金红利则按除权日经除权后的基金份额净值自动转为基金份额进行再投资；</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w:t>
      </w:r>
      <w:r>
        <w:rPr>
          <w:rFonts w:ascii="Arial" w:hAnsi="宋体" w:cs="Arial"/>
          <w:color w:val="000000"/>
        </w:rPr>
        <w:t>本基金同一类别的每一基金份额享有同等分配权；</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、基金收益分配基准日的基金份额净值减去每单位基金份额收益分配金额后不能低于面值，基金收益分配基准日即期末可供分配利润计算截止日；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、在符合有关基金分红条件的前提下，基金收益分配每年最多为</w:t>
      </w:r>
      <w:r>
        <w:rPr>
          <w:rFonts w:ascii="Arial" w:hAnsi="Arial" w:cs="Arial" w:hint="eastAsia"/>
          <w:kern w:val="0"/>
          <w:szCs w:val="21"/>
        </w:rPr>
        <w:t>4</w:t>
      </w:r>
      <w:r>
        <w:rPr>
          <w:rFonts w:ascii="Arial" w:hAnsi="宋体" w:cs="Arial"/>
          <w:kern w:val="0"/>
          <w:szCs w:val="21"/>
        </w:rPr>
        <w:t>次；每次基金收益分配比例不得低于期末</w:t>
      </w:r>
      <w:r>
        <w:rPr>
          <w:rFonts w:ascii="Arial" w:hAnsi="宋体" w:cs="Arial" w:hint="eastAsia"/>
          <w:kern w:val="0"/>
          <w:szCs w:val="21"/>
        </w:rPr>
        <w:t>（收益分配基准日）</w:t>
      </w:r>
      <w:r>
        <w:rPr>
          <w:rFonts w:ascii="Arial" w:hAnsi="宋体" w:cs="Arial"/>
          <w:kern w:val="0"/>
          <w:szCs w:val="21"/>
        </w:rPr>
        <w:t>可供分配利润的</w:t>
      </w:r>
      <w:r>
        <w:rPr>
          <w:rFonts w:ascii="Arial" w:hAnsi="Arial" w:cs="Arial"/>
          <w:kern w:val="0"/>
          <w:szCs w:val="21"/>
        </w:rPr>
        <w:t>20%</w:t>
      </w:r>
      <w:r>
        <w:rPr>
          <w:rFonts w:ascii="Arial" w:hAnsi="宋体" w:cs="Arial"/>
          <w:kern w:val="0"/>
          <w:szCs w:val="21"/>
        </w:rPr>
        <w:t>。基金的收益分配比例以期末可供分配利润为基准计算，期末可供分配利润以期末资产负债表中未分配利润与未分配利润中已实现收益的孰低数为准。基金合同生效不满三个月，收益可不分配；</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w:t>
      </w:r>
      <w:r>
        <w:rPr>
          <w:rFonts w:ascii="Arial" w:hAnsi="宋体" w:cs="Arial"/>
          <w:szCs w:val="21"/>
        </w:rPr>
        <w:t>基金红利发放日距离收益分配基准日的时间不超过</w:t>
      </w:r>
      <w:r>
        <w:rPr>
          <w:rFonts w:ascii="Arial" w:hAnsi="Arial" w:cs="Arial"/>
          <w:szCs w:val="21"/>
        </w:rPr>
        <w:t>15</w:t>
      </w:r>
      <w:r>
        <w:rPr>
          <w:rFonts w:ascii="Arial" w:hAnsi="宋体" w:cs="Arial"/>
          <w:szCs w:val="21"/>
        </w:rPr>
        <w:t>个工作日；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、法律法规或监管机构另有规定的，从其规定。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本基金同一基金份额类别内的每份基金份额享有同等收益分配权，但由于本基金</w:t>
      </w:r>
      <w:r>
        <w:rPr>
          <w:rFonts w:ascii="Arial" w:hAnsi="Arial" w:cs="Arial"/>
          <w:kern w:val="0"/>
          <w:szCs w:val="21"/>
        </w:rPr>
        <w:t>A</w:t>
      </w:r>
      <w:r>
        <w:rPr>
          <w:rFonts w:ascii="Arial" w:hAnsi="宋体" w:cs="Arial"/>
          <w:kern w:val="0"/>
          <w:szCs w:val="21"/>
        </w:rPr>
        <w:t>类及</w:t>
      </w:r>
      <w:r>
        <w:rPr>
          <w:rFonts w:ascii="Arial" w:hAnsi="Arial" w:cs="Arial"/>
          <w:kern w:val="0"/>
          <w:szCs w:val="21"/>
        </w:rPr>
        <w:t>B</w:t>
      </w:r>
      <w:r>
        <w:rPr>
          <w:rFonts w:ascii="Arial" w:hAnsi="宋体" w:cs="Arial"/>
          <w:kern w:val="0"/>
          <w:szCs w:val="21"/>
        </w:rPr>
        <w:t>类基金份额不收取销售服务费，</w:t>
      </w:r>
      <w:r>
        <w:rPr>
          <w:rFonts w:ascii="Arial" w:hAnsi="Arial" w:cs="Arial"/>
          <w:kern w:val="0"/>
          <w:szCs w:val="21"/>
        </w:rPr>
        <w:t>C</w:t>
      </w:r>
      <w:r>
        <w:rPr>
          <w:rFonts w:ascii="Arial" w:hAnsi="宋体" w:cs="Arial"/>
          <w:kern w:val="0"/>
          <w:szCs w:val="21"/>
        </w:rPr>
        <w:t>类基金份额收取销售服务费，因此</w:t>
      </w:r>
      <w:r>
        <w:rPr>
          <w:rFonts w:ascii="Arial" w:hAnsi="Arial" w:cs="Arial"/>
          <w:kern w:val="0"/>
          <w:szCs w:val="21"/>
        </w:rPr>
        <w:t>A</w:t>
      </w:r>
      <w:r>
        <w:rPr>
          <w:rFonts w:ascii="Arial" w:hAnsi="宋体" w:cs="Arial"/>
          <w:kern w:val="0"/>
          <w:szCs w:val="21"/>
        </w:rPr>
        <w:t>、</w:t>
      </w:r>
      <w:r>
        <w:rPr>
          <w:rFonts w:ascii="Arial" w:hAnsi="Arial" w:cs="Arial"/>
          <w:kern w:val="0"/>
          <w:szCs w:val="21"/>
        </w:rPr>
        <w:t>B</w:t>
      </w:r>
      <w:r>
        <w:rPr>
          <w:rFonts w:ascii="Arial" w:hAnsi="宋体" w:cs="Arial"/>
          <w:kern w:val="0"/>
          <w:szCs w:val="21"/>
        </w:rPr>
        <w:t>两类基金份额与</w:t>
      </w:r>
      <w:r>
        <w:rPr>
          <w:rFonts w:ascii="Arial" w:hAnsi="Arial" w:cs="Arial"/>
          <w:kern w:val="0"/>
          <w:szCs w:val="21"/>
        </w:rPr>
        <w:t>C</w:t>
      </w:r>
      <w:r>
        <w:rPr>
          <w:rFonts w:ascii="Arial" w:hAnsi="宋体" w:cs="Arial"/>
          <w:kern w:val="0"/>
          <w:szCs w:val="21"/>
        </w:rPr>
        <w:t>类基金份额对应的期末可供分配利润将有所不同。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（三）收益分配方案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基金收益分配方案中应载明基金期末可供分配利润、基金收益分配对象、分配原则、分配时间、分配数额及比例、分配方式等内容。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（四）收益分配方案的确定与公告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基金收益分配方案由基金管理人拟定，并由基金托管人复核后确定，基金管理人按</w:t>
      </w:r>
      <w:r>
        <w:rPr>
          <w:rFonts w:ascii="Arial" w:hAnsi="宋体" w:cs="Arial" w:hint="eastAsia"/>
          <w:kern w:val="0"/>
          <w:szCs w:val="21"/>
        </w:rPr>
        <w:t>,</w:t>
      </w:r>
      <w:r>
        <w:rPr>
          <w:rFonts w:ascii="Arial" w:hAnsi="宋体" w:cs="Arial" w:hint="eastAsia"/>
          <w:kern w:val="0"/>
          <w:szCs w:val="21"/>
        </w:rPr>
        <w:t>《信息披露办法》</w:t>
      </w:r>
      <w:r>
        <w:rPr>
          <w:rFonts w:ascii="Arial" w:hAnsi="宋体" w:cs="Arial"/>
          <w:kern w:val="0"/>
          <w:szCs w:val="21"/>
        </w:rPr>
        <w:t>的</w:t>
      </w:r>
      <w:r>
        <w:rPr>
          <w:rFonts w:ascii="Arial" w:hAnsi="宋体" w:cs="Arial" w:hint="eastAsia"/>
          <w:kern w:val="0"/>
          <w:szCs w:val="21"/>
        </w:rPr>
        <w:t>有关</w:t>
      </w:r>
      <w:r>
        <w:rPr>
          <w:rFonts w:ascii="Arial" w:hAnsi="宋体" w:cs="Arial"/>
          <w:kern w:val="0"/>
          <w:szCs w:val="21"/>
        </w:rPr>
        <w:t>规定公告。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（五）收益分配中发生的费用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、收益分配采用红利再投资方式免收再投资的费用。</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2</w:t>
      </w:r>
      <w:r>
        <w:rPr>
          <w:rFonts w:ascii="Arial" w:hAnsi="宋体" w:cs="Arial"/>
          <w:kern w:val="0"/>
          <w:szCs w:val="21"/>
        </w:rPr>
        <w:t>、收益分配时发生的银行转账等手续费用由基金份额持有人自行承担。如果基金份额持有人所获现金红利不足支付前述银行转账等手续费用，注册登记机构自动将该基金份额持有人的现金红利</w:t>
      </w:r>
      <w:r>
        <w:rPr>
          <w:rFonts w:ascii="Arial" w:hAnsi="宋体" w:cs="Arial"/>
          <w:szCs w:val="21"/>
        </w:rPr>
        <w:t>按</w:t>
      </w:r>
      <w:r>
        <w:rPr>
          <w:rFonts w:ascii="Arial" w:hAnsi="宋体" w:cs="Arial"/>
          <w:color w:val="000000"/>
        </w:rPr>
        <w:t>除权</w:t>
      </w:r>
      <w:r>
        <w:rPr>
          <w:rFonts w:ascii="Arial" w:hAnsi="宋体" w:cs="Arial"/>
          <w:szCs w:val="21"/>
        </w:rPr>
        <w:t>日</w:t>
      </w:r>
      <w:r>
        <w:rPr>
          <w:rFonts w:ascii="Arial" w:hAnsi="宋体" w:cs="Arial" w:hint="eastAsia"/>
          <w:szCs w:val="21"/>
        </w:rPr>
        <w:t>经除权后</w:t>
      </w:r>
      <w:r>
        <w:rPr>
          <w:rFonts w:ascii="Arial" w:hAnsi="宋体" w:cs="Arial"/>
          <w:szCs w:val="21"/>
        </w:rPr>
        <w:t>的基金份额净值</w:t>
      </w:r>
      <w:r>
        <w:rPr>
          <w:rFonts w:ascii="Arial" w:hAnsi="宋体" w:cs="Arial"/>
          <w:kern w:val="0"/>
          <w:szCs w:val="21"/>
        </w:rPr>
        <w:t>转为基金份额。</w:t>
      </w:r>
    </w:p>
    <w:p w:rsidR="0057376A" w:rsidRDefault="00117DFA">
      <w:pPr>
        <w:snapToGrid w:val="0"/>
        <w:spacing w:line="360" w:lineRule="auto"/>
        <w:ind w:firstLine="420"/>
        <w:rPr>
          <w:rFonts w:ascii="Arial" w:hAnsi="Arial" w:cs="Arial"/>
          <w:kern w:val="0"/>
          <w:szCs w:val="21"/>
        </w:rPr>
      </w:pPr>
      <w:r>
        <w:rPr>
          <w:rFonts w:ascii="Arial" w:hAnsi="宋体"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44" w:name="_Toc88037854"/>
      <w:bookmarkStart w:id="45" w:name="_Toc253128711"/>
      <w:bookmarkEnd w:id="43"/>
      <w:r>
        <w:rPr>
          <w:rFonts w:eastAsia="宋体" w:hAnsi="宋体" w:cs="Arial"/>
          <w:kern w:val="0"/>
          <w:sz w:val="28"/>
          <w:szCs w:val="28"/>
        </w:rPr>
        <w:t>二十、基金的会计与审计</w:t>
      </w:r>
      <w:bookmarkEnd w:id="44"/>
      <w:bookmarkEnd w:id="45"/>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（一）基金会计政策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、基金的会计年度为公历每年</w:t>
      </w:r>
      <w:r>
        <w:rPr>
          <w:rFonts w:ascii="Arial" w:hAnsi="Arial" w:cs="Arial"/>
          <w:kern w:val="0"/>
          <w:szCs w:val="21"/>
        </w:rPr>
        <w:t xml:space="preserve">1 </w:t>
      </w:r>
      <w:r>
        <w:rPr>
          <w:rFonts w:ascii="Arial" w:hAnsi="宋体" w:cs="Arial"/>
          <w:kern w:val="0"/>
          <w:szCs w:val="21"/>
        </w:rPr>
        <w:t>月</w:t>
      </w:r>
      <w:r>
        <w:rPr>
          <w:rFonts w:ascii="Arial" w:hAnsi="Arial" w:cs="Arial"/>
          <w:kern w:val="0"/>
          <w:szCs w:val="21"/>
        </w:rPr>
        <w:t xml:space="preserve">1 </w:t>
      </w:r>
      <w:r>
        <w:rPr>
          <w:rFonts w:ascii="Arial" w:hAnsi="宋体" w:cs="Arial"/>
          <w:kern w:val="0"/>
          <w:szCs w:val="21"/>
        </w:rPr>
        <w:t>日至</w:t>
      </w:r>
      <w:r>
        <w:rPr>
          <w:rFonts w:ascii="Arial" w:hAnsi="Arial" w:cs="Arial"/>
          <w:kern w:val="0"/>
          <w:szCs w:val="21"/>
        </w:rPr>
        <w:t xml:space="preserve">12 </w:t>
      </w:r>
      <w:r>
        <w:rPr>
          <w:rFonts w:ascii="Arial" w:hAnsi="宋体" w:cs="Arial"/>
          <w:kern w:val="0"/>
          <w:szCs w:val="21"/>
        </w:rPr>
        <w:t>月</w:t>
      </w:r>
      <w:r>
        <w:rPr>
          <w:rFonts w:ascii="Arial" w:hAnsi="Arial" w:cs="Arial"/>
          <w:kern w:val="0"/>
          <w:szCs w:val="21"/>
        </w:rPr>
        <w:t xml:space="preserve">31 </w:t>
      </w:r>
      <w:r>
        <w:rPr>
          <w:rFonts w:ascii="Arial" w:hAnsi="宋体" w:cs="Arial"/>
          <w:kern w:val="0"/>
          <w:szCs w:val="21"/>
        </w:rPr>
        <w:t>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、基金核算以人民币为记账本位币，以人民币元为记账单位。</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、会计核算制度按国家有关的会计核算制度执行。</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、本基金独立建账、独立核算。</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、本基金会计责任人为基金管理人。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、基金管理人应保留完整的会计账目、凭证并进行日常的会计核算，按照有关法律法规规定编制基金会计报表，基金托管人定期与基金管理人就基金的会计核算、报表编制等进行核对并以书面方式确认。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（二）基金审计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、基金管理人聘请与基金管理人、基金托管人相独立的</w:t>
      </w:r>
      <w:r>
        <w:rPr>
          <w:rFonts w:ascii="Arial" w:hAnsi="宋体" w:cs="Arial" w:hint="eastAsia"/>
          <w:kern w:val="0"/>
          <w:szCs w:val="21"/>
        </w:rPr>
        <w:t>具有证券、期货相关业务资格的会计师事务所</w:t>
      </w:r>
      <w:r>
        <w:rPr>
          <w:rFonts w:ascii="Arial" w:hAnsi="宋体" w:cs="Arial"/>
          <w:kern w:val="0"/>
          <w:szCs w:val="21"/>
        </w:rPr>
        <w:t>及其注册会计师等对基金年度财务报表及其他规定事项进行审计。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、基金管理人认为有充足理由更换会计师事务所，须</w:t>
      </w:r>
      <w:r>
        <w:rPr>
          <w:rFonts w:ascii="Arial" w:hAnsi="宋体" w:cs="Arial" w:hint="eastAsia"/>
          <w:kern w:val="0"/>
          <w:szCs w:val="21"/>
        </w:rPr>
        <w:t>通报基金托管人</w:t>
      </w:r>
      <w:r>
        <w:rPr>
          <w:rFonts w:ascii="Arial" w:hAnsi="宋体" w:cs="Arial"/>
          <w:kern w:val="0"/>
          <w:szCs w:val="21"/>
        </w:rPr>
        <w:t>。基金管理人应在更换会计师事务所后</w:t>
      </w:r>
      <w:r>
        <w:rPr>
          <w:rFonts w:ascii="Arial" w:hAnsi="Arial" w:cs="Arial" w:hint="eastAsia"/>
          <w:kern w:val="0"/>
          <w:szCs w:val="21"/>
        </w:rPr>
        <w:t>按照《信息披露办法》的有关规定</w:t>
      </w:r>
      <w:r>
        <w:rPr>
          <w:rFonts w:ascii="Arial" w:hAnsi="宋体" w:cs="Arial"/>
          <w:kern w:val="0"/>
          <w:szCs w:val="21"/>
        </w:rPr>
        <w:t>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、会计师事务所更换经办注册会计师，应事先征得基金管理人同意。</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46" w:name="_Toc88037855"/>
      <w:bookmarkStart w:id="47" w:name="_Toc253128712"/>
      <w:r>
        <w:rPr>
          <w:rFonts w:eastAsia="宋体" w:hAnsi="宋体" w:cs="Arial"/>
          <w:kern w:val="0"/>
          <w:sz w:val="28"/>
          <w:szCs w:val="28"/>
        </w:rPr>
        <w:t>二十一、基金的信息披露</w:t>
      </w:r>
      <w:bookmarkEnd w:id="46"/>
      <w:bookmarkEnd w:id="47"/>
    </w:p>
    <w:p w:rsidR="0057376A" w:rsidRPr="00EE196A" w:rsidRDefault="00117DFA" w:rsidP="00EE196A">
      <w:pPr>
        <w:spacing w:line="360" w:lineRule="auto"/>
        <w:ind w:firstLineChars="200" w:firstLine="420"/>
        <w:rPr>
          <w:bCs/>
          <w:szCs w:val="21"/>
        </w:rPr>
      </w:pPr>
      <w:r w:rsidRPr="00EE196A">
        <w:rPr>
          <w:rFonts w:hint="eastAsia"/>
          <w:bCs/>
          <w:szCs w:val="21"/>
        </w:rPr>
        <w:t>一、本基金的信息披露应符合《基金法》、《运作办法》、《信息披露办法》、《流动性风险管理规定》、《基金合同》及其他有关规定。</w:t>
      </w:r>
    </w:p>
    <w:p w:rsidR="0057376A" w:rsidRPr="00EE196A" w:rsidRDefault="00117DFA" w:rsidP="00EE196A">
      <w:pPr>
        <w:spacing w:line="360" w:lineRule="auto"/>
        <w:ind w:firstLineChars="200" w:firstLine="420"/>
        <w:rPr>
          <w:bCs/>
          <w:szCs w:val="21"/>
        </w:rPr>
      </w:pPr>
      <w:r w:rsidRPr="00EE196A">
        <w:rPr>
          <w:rFonts w:hint="eastAsia"/>
          <w:bCs/>
          <w:szCs w:val="21"/>
        </w:rPr>
        <w:t>二、信息披露义务人</w:t>
      </w:r>
    </w:p>
    <w:p w:rsidR="0057376A" w:rsidRPr="00EE196A" w:rsidRDefault="00117DFA" w:rsidP="00EE196A">
      <w:pPr>
        <w:spacing w:line="360" w:lineRule="auto"/>
        <w:ind w:firstLineChars="200" w:firstLine="420"/>
        <w:rPr>
          <w:bCs/>
          <w:szCs w:val="21"/>
        </w:rPr>
      </w:pPr>
      <w:r w:rsidRPr="00EE196A">
        <w:rPr>
          <w:rFonts w:hint="eastAsia"/>
          <w:bCs/>
          <w:szCs w:val="21"/>
        </w:rPr>
        <w:t>本基金信息披露义务人包括基金管理人、基金托管人、召集基金份额持有人大会的基金份额持有人及其日常机构等法律法规和中国证监会规定的自然人、法人和非法人组织。</w:t>
      </w:r>
    </w:p>
    <w:p w:rsidR="0057376A" w:rsidRPr="00EE196A" w:rsidRDefault="00117DFA" w:rsidP="00EE196A">
      <w:pPr>
        <w:spacing w:line="360" w:lineRule="auto"/>
        <w:ind w:firstLineChars="200" w:firstLine="420"/>
        <w:rPr>
          <w:bCs/>
          <w:szCs w:val="21"/>
        </w:rPr>
      </w:pPr>
      <w:r w:rsidRPr="00EE196A">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基金信息披露义务人应当在中国证监会规定时间内，将应予披露的基金信息通过</w:t>
      </w:r>
      <w:r w:rsidRPr="00EE196A">
        <w:rPr>
          <w:rFonts w:ascii="Arial" w:hAnsi="宋体" w:hint="eastAsia"/>
          <w:kern w:val="0"/>
        </w:rPr>
        <w:t>中国证监会指定的全国性报刊（以下简称“指定报刊”）</w:t>
      </w:r>
      <w:r>
        <w:rPr>
          <w:rFonts w:ascii="Arial" w:hAnsi="宋体" w:cs="Arial" w:hint="eastAsia"/>
          <w:kern w:val="0"/>
          <w:szCs w:val="21"/>
        </w:rPr>
        <w:t>及指定互联网网站</w:t>
      </w:r>
      <w:r w:rsidRPr="00EE196A">
        <w:rPr>
          <w:rFonts w:ascii="Arial" w:hAnsi="宋体" w:hint="eastAsia"/>
          <w:kern w:val="0"/>
        </w:rPr>
        <w:t>（以下简称</w:t>
      </w:r>
      <w:r>
        <w:rPr>
          <w:rFonts w:ascii="Arial" w:hAnsi="宋体" w:cs="Arial" w:hint="eastAsia"/>
          <w:kern w:val="0"/>
          <w:szCs w:val="21"/>
        </w:rPr>
        <w:t>“指定网站”</w:t>
      </w:r>
      <w:r w:rsidRPr="00EE196A">
        <w:rPr>
          <w:rFonts w:ascii="Arial" w:hAnsi="宋体" w:hint="eastAsia"/>
          <w:kern w:val="0"/>
        </w:rPr>
        <w:t>）</w:t>
      </w:r>
      <w:r>
        <w:rPr>
          <w:rFonts w:ascii="Arial" w:hAnsi="宋体" w:cs="Arial" w:hint="eastAsia"/>
          <w:kern w:val="0"/>
          <w:szCs w:val="21"/>
        </w:rPr>
        <w:t>等媒介披露，</w:t>
      </w:r>
      <w:r>
        <w:rPr>
          <w:rFonts w:ascii="Arial" w:hAnsi="宋体" w:cs="Arial"/>
          <w:kern w:val="0"/>
          <w:szCs w:val="21"/>
        </w:rPr>
        <w:t>并保证投资者能够按照基金合同约定的时间和方式查阅或者复制公开披露的信息资料。</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三、本基金信息披露义务人承诺公开披露的基金信息，不得有下列行为：</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1</w:t>
      </w:r>
      <w:r>
        <w:rPr>
          <w:rFonts w:ascii="Arial" w:hAnsi="宋体" w:cs="Arial"/>
          <w:kern w:val="0"/>
          <w:szCs w:val="21"/>
        </w:rPr>
        <w:t>、虚假记载、误导性陈述或者重大遗漏；</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2</w:t>
      </w:r>
      <w:r>
        <w:rPr>
          <w:rFonts w:ascii="Arial" w:hAnsi="宋体" w:cs="Arial"/>
          <w:kern w:val="0"/>
          <w:szCs w:val="21"/>
        </w:rPr>
        <w:t>、对证券投资业绩进行预测；</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3</w:t>
      </w:r>
      <w:r>
        <w:rPr>
          <w:rFonts w:ascii="Arial" w:hAnsi="宋体" w:cs="Arial"/>
          <w:kern w:val="0"/>
          <w:szCs w:val="21"/>
        </w:rPr>
        <w:t>、违规承诺收益或者承担损失；</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4</w:t>
      </w:r>
      <w:r>
        <w:rPr>
          <w:rFonts w:ascii="Arial" w:hAnsi="宋体" w:cs="Arial"/>
          <w:kern w:val="0"/>
          <w:szCs w:val="21"/>
        </w:rPr>
        <w:t>、诋毁其他基金管理人、基金托管人或者基金销售机构；</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5</w:t>
      </w:r>
      <w:r>
        <w:rPr>
          <w:rFonts w:ascii="Arial" w:hAnsi="宋体" w:cs="Arial"/>
          <w:kern w:val="0"/>
          <w:szCs w:val="21"/>
        </w:rPr>
        <w:t>、登载任何自然人、法人</w:t>
      </w:r>
      <w:r>
        <w:rPr>
          <w:rFonts w:ascii="Arial" w:hAnsi="宋体" w:cs="Arial" w:hint="eastAsia"/>
          <w:kern w:val="0"/>
          <w:szCs w:val="21"/>
        </w:rPr>
        <w:t>和非法人</w:t>
      </w:r>
      <w:r>
        <w:rPr>
          <w:rFonts w:ascii="Arial" w:hAnsi="宋体" w:cs="Arial"/>
          <w:kern w:val="0"/>
          <w:szCs w:val="21"/>
        </w:rPr>
        <w:t>组织的祝贺性、恭维性或推荐性的文字；</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6</w:t>
      </w:r>
      <w:r>
        <w:rPr>
          <w:rFonts w:ascii="Arial" w:hAnsi="宋体" w:cs="Arial"/>
          <w:kern w:val="0"/>
          <w:szCs w:val="21"/>
        </w:rPr>
        <w:t>、中国证监会禁止的其他行为。</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四、本基金公开披露的信息应采用中文文本。如同时采用外文文本的，基金信息披露义务人应保证</w:t>
      </w:r>
      <w:r>
        <w:rPr>
          <w:rFonts w:ascii="Arial" w:hAnsi="宋体" w:cs="Arial" w:hint="eastAsia"/>
          <w:kern w:val="0"/>
          <w:szCs w:val="21"/>
        </w:rPr>
        <w:t>不同</w:t>
      </w:r>
      <w:r>
        <w:rPr>
          <w:rFonts w:ascii="Arial" w:hAnsi="宋体" w:cs="Arial"/>
          <w:kern w:val="0"/>
          <w:szCs w:val="21"/>
        </w:rPr>
        <w:t>文本的内容一致。</w:t>
      </w:r>
      <w:r>
        <w:rPr>
          <w:rFonts w:ascii="Arial" w:hAnsi="宋体" w:cs="Arial" w:hint="eastAsia"/>
          <w:kern w:val="0"/>
          <w:szCs w:val="21"/>
        </w:rPr>
        <w:t>不同</w:t>
      </w:r>
      <w:r>
        <w:rPr>
          <w:rFonts w:ascii="Arial" w:hAnsi="宋体" w:cs="Arial"/>
          <w:kern w:val="0"/>
          <w:szCs w:val="21"/>
        </w:rPr>
        <w:t>文本</w:t>
      </w:r>
      <w:r>
        <w:rPr>
          <w:rFonts w:ascii="Arial" w:hAnsi="宋体" w:cs="Arial" w:hint="eastAsia"/>
          <w:kern w:val="0"/>
          <w:szCs w:val="21"/>
        </w:rPr>
        <w:t>之间</w:t>
      </w:r>
      <w:r>
        <w:rPr>
          <w:rFonts w:ascii="Arial" w:hAnsi="宋体" w:cs="Arial"/>
          <w:kern w:val="0"/>
          <w:szCs w:val="21"/>
        </w:rPr>
        <w:t>发生歧义的，以中文文本为准。</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本基金公开披露的信息采用阿拉伯数字；除特别说明外，货币单位为人民币元。</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五、公开披露的基金信息</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公开披露的基金信息包括：</w:t>
      </w:r>
    </w:p>
    <w:p w:rsidR="0057376A" w:rsidRDefault="00117DFA">
      <w:pPr>
        <w:snapToGrid w:val="0"/>
        <w:spacing w:line="360" w:lineRule="auto"/>
        <w:ind w:firstLineChars="200" w:firstLine="420"/>
        <w:rPr>
          <w:rFonts w:ascii="Arial" w:hAnsi="Arial" w:cs="Arial"/>
          <w:kern w:val="0"/>
          <w:szCs w:val="21"/>
        </w:rPr>
      </w:pPr>
      <w:r>
        <w:rPr>
          <w:rFonts w:ascii="Arial" w:hAnsi="宋体" w:cs="Arial"/>
          <w:szCs w:val="21"/>
        </w:rPr>
        <w:t>（一）基金招募说明书、基金合同、基金托管协议</w:t>
      </w:r>
      <w:r>
        <w:rPr>
          <w:rFonts w:ascii="Arial" w:hAnsi="宋体" w:cs="Arial" w:hint="eastAsia"/>
          <w:szCs w:val="21"/>
        </w:rPr>
        <w:t>、基金产品资料概要</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基金募集申请经中国证监会核准后，基金管理人应当在基金份额发售的</w:t>
      </w:r>
      <w:r>
        <w:rPr>
          <w:rFonts w:ascii="Arial" w:hAnsi="Arial" w:cs="Arial"/>
          <w:szCs w:val="21"/>
        </w:rPr>
        <w:t>3</w:t>
      </w:r>
      <w:r>
        <w:rPr>
          <w:rFonts w:ascii="Arial" w:hAnsi="宋体" w:cs="Arial"/>
          <w:szCs w:val="21"/>
        </w:rPr>
        <w:t>日前，将招募说明书、基金合同摘要登载在指定报刊和网站上；基金管理人、基金托管人应当将基金合同、基金托管协议登载在网站上。</w:t>
      </w:r>
    </w:p>
    <w:p w:rsidR="0057376A" w:rsidRDefault="00117DFA">
      <w:pPr>
        <w:snapToGrid w:val="0"/>
        <w:spacing w:line="360" w:lineRule="auto"/>
        <w:ind w:firstLineChars="200" w:firstLine="420"/>
        <w:rPr>
          <w:rFonts w:ascii="Arial" w:hAnsi="宋体" w:cs="Arial"/>
          <w:szCs w:val="21"/>
        </w:rPr>
      </w:pPr>
      <w:r>
        <w:rPr>
          <w:rFonts w:ascii="Arial" w:hAnsi="宋体" w:cs="Arial"/>
          <w:szCs w:val="21"/>
        </w:rPr>
        <w:t>基金合同生效后，</w:t>
      </w:r>
      <w:r>
        <w:rPr>
          <w:rFonts w:ascii="Arial" w:hAnsi="宋体" w:cs="Arial"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rFonts w:ascii="Arial" w:hAnsi="宋体" w:cs="Arial"/>
          <w:szCs w:val="21"/>
        </w:rPr>
        <w:t>。</w:t>
      </w:r>
    </w:p>
    <w:p w:rsidR="0057376A" w:rsidRDefault="00117DFA">
      <w:pPr>
        <w:snapToGrid w:val="0"/>
        <w:spacing w:line="360" w:lineRule="auto"/>
        <w:ind w:firstLineChars="200" w:firstLine="420"/>
        <w:rPr>
          <w:rFonts w:ascii="Arial" w:hAnsi="Arial" w:cs="Arial"/>
          <w:szCs w:val="21"/>
        </w:rPr>
      </w:pPr>
      <w:r>
        <w:rPr>
          <w:rFonts w:ascii="Arial" w:hAnsi="Arial" w:cs="Arial" w:hint="eastAsia"/>
          <w:szCs w:val="21"/>
        </w:rPr>
        <w:lastRenderedPageBreak/>
        <w:t>基金产品资料概要是基金招募说明书的</w:t>
      </w:r>
      <w:r w:rsidRPr="00EE196A">
        <w:rPr>
          <w:rFonts w:ascii="Arial" w:hAnsi="Arial" w:hint="eastAsia"/>
        </w:rPr>
        <w:t>摘要</w:t>
      </w:r>
      <w:r>
        <w:rPr>
          <w:rFonts w:ascii="Arial" w:hAnsi="Arial" w:cs="Arial" w:hint="eastAsia"/>
          <w:szCs w:val="21"/>
        </w:rPr>
        <w:t>文件，用于向投资者提供简明的基金概要信息。《基金合同》生效后，基金产品资料概要的信息发生重大变更的，</w:t>
      </w:r>
      <w:r w:rsidRPr="00EE196A">
        <w:rPr>
          <w:rFonts w:ascii="Arial" w:hAnsi="Arial" w:hint="eastAsia"/>
        </w:rPr>
        <w:t>基金管理人应当在</w:t>
      </w:r>
      <w:r>
        <w:rPr>
          <w:rFonts w:ascii="Arial" w:hAnsi="Arial" w:cs="Arial" w:hint="eastAsia"/>
          <w:szCs w:val="21"/>
        </w:rPr>
        <w:t>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sidRPr="00EE196A">
        <w:rPr>
          <w:rFonts w:ascii="Arial" w:hAnsi="Arial" w:hint="eastAsia"/>
        </w:rPr>
        <w:t>。</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（二）基金份额发售公告</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基金管理人应当就基金份额发售的具体事宜编制基金份额发售公告，并在披露招募说明书的当日登载于指定报刊和网站上。</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（三）基金合同生效公告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基金管理人应当在基金合同生效的次日在指定报刊和网站上登载基金合同生效公告。</w:t>
      </w:r>
    </w:p>
    <w:p w:rsidR="0057376A" w:rsidRDefault="00117DFA">
      <w:pPr>
        <w:autoSpaceDE w:val="0"/>
        <w:autoSpaceDN w:val="0"/>
        <w:snapToGrid w:val="0"/>
        <w:spacing w:line="360" w:lineRule="auto"/>
        <w:ind w:firstLineChars="200" w:firstLine="420"/>
        <w:textAlignment w:val="bottom"/>
        <w:rPr>
          <w:rFonts w:ascii="Arial" w:hAnsi="Arial" w:cs="Arial"/>
          <w:szCs w:val="21"/>
        </w:rPr>
      </w:pPr>
      <w:r>
        <w:rPr>
          <w:rFonts w:ascii="Arial" w:hAnsi="宋体" w:cs="Arial"/>
          <w:kern w:val="0"/>
          <w:szCs w:val="21"/>
        </w:rPr>
        <w:t>（四）</w:t>
      </w:r>
      <w:r w:rsidRPr="00EE196A">
        <w:rPr>
          <w:rFonts w:ascii="Arial" w:hAnsi="宋体"/>
          <w:kern w:val="0"/>
        </w:rPr>
        <w:t>基金净值</w:t>
      </w:r>
      <w:r>
        <w:rPr>
          <w:rFonts w:ascii="Arial" w:hAnsi="宋体" w:cs="Arial"/>
          <w:kern w:val="0"/>
          <w:szCs w:val="21"/>
        </w:rPr>
        <w:t>信息</w:t>
      </w:r>
    </w:p>
    <w:p w:rsidR="0057376A" w:rsidRDefault="00117DFA">
      <w:pPr>
        <w:pStyle w:val="af3"/>
        <w:autoSpaceDE w:val="0"/>
        <w:autoSpaceDN w:val="0"/>
        <w:snapToGrid w:val="0"/>
        <w:textAlignment w:val="bottom"/>
        <w:rPr>
          <w:rFonts w:ascii="Arial" w:hAnsi="Arial" w:cs="Arial"/>
          <w:szCs w:val="21"/>
        </w:rPr>
      </w:pPr>
      <w:r>
        <w:rPr>
          <w:rFonts w:ascii="Arial" w:hAnsi="宋体" w:cs="Arial"/>
          <w:szCs w:val="21"/>
        </w:rPr>
        <w:t>基金合同生效后，在开始办理基金份额申购或者赎回前，基金管理人应当至少每周在指定网站披露一次基金份额净值和基金份额累计净值。</w:t>
      </w:r>
    </w:p>
    <w:p w:rsidR="0057376A" w:rsidRDefault="00117DFA">
      <w:pPr>
        <w:autoSpaceDE w:val="0"/>
        <w:autoSpaceDN w:val="0"/>
        <w:snapToGrid w:val="0"/>
        <w:spacing w:line="360" w:lineRule="auto"/>
        <w:ind w:firstLineChars="200" w:firstLine="420"/>
        <w:textAlignment w:val="bottom"/>
        <w:rPr>
          <w:rFonts w:ascii="Arial" w:hAnsi="Arial" w:cs="Arial"/>
          <w:szCs w:val="21"/>
        </w:rPr>
      </w:pPr>
      <w:r>
        <w:rPr>
          <w:rFonts w:ascii="Arial" w:hAnsi="宋体" w:cs="Arial"/>
          <w:szCs w:val="21"/>
        </w:rPr>
        <w:t>在开始办理基金份额申购或者赎回之后，</w:t>
      </w:r>
      <w:r>
        <w:rPr>
          <w:rFonts w:ascii="Arial" w:hAnsi="宋体" w:cs="Arial" w:hint="eastAsia"/>
          <w:szCs w:val="21"/>
        </w:rPr>
        <w:t>基金管理人应当在不晚于每个开放日的次日，通过指定网站、销售机构网站或者营业网点披露开放日的基金份额净值和基金份额累计净值</w:t>
      </w:r>
      <w:r>
        <w:rPr>
          <w:rFonts w:ascii="Arial" w:hAnsi="宋体" w:cs="Arial"/>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szCs w:val="21"/>
        </w:rPr>
        <w:t>基金管理人应当在不晚于半年度和年度最后一日的次日，在指定网站披露半年度和年度最后一日的基金份额净值和基金份额累计净值。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（五）定期报告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、基金年度报告：</w:t>
      </w:r>
      <w:r>
        <w:rPr>
          <w:rFonts w:ascii="Arial" w:hAnsi="宋体" w:cs="Arial" w:hint="eastAsia"/>
          <w:kern w:val="0"/>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w:t>
      </w:r>
      <w:r>
        <w:rPr>
          <w:rFonts w:ascii="Arial" w:hAnsi="宋体" w:cs="Arial" w:hint="eastAsia"/>
          <w:kern w:val="0"/>
          <w:szCs w:val="21"/>
        </w:rPr>
        <w:t>基金中期报告：基金管理人应当在上半年结束之日起两个月内，编制完成基金中期报告，将中期报告登载在指定网站上，并将中期报告提示性公告登载在指定报刊上。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w:t>
      </w:r>
      <w:r>
        <w:rPr>
          <w:rFonts w:ascii="Arial" w:hAnsi="宋体" w:cs="Arial" w:hint="eastAsia"/>
          <w:kern w:val="0"/>
          <w:szCs w:val="21"/>
        </w:rPr>
        <w:t>基金季度报告：基金管理人应当在季度结束之日起</w:t>
      </w:r>
      <w:r w:rsidRPr="00EE196A">
        <w:rPr>
          <w:rFonts w:ascii="Arial" w:hAnsi="宋体"/>
          <w:kern w:val="0"/>
        </w:rPr>
        <w:t>15</w:t>
      </w:r>
      <w:r>
        <w:rPr>
          <w:rFonts w:ascii="Arial" w:hAnsi="宋体" w:cs="Arial" w:hint="eastAsia"/>
          <w:kern w:val="0"/>
          <w:szCs w:val="21"/>
        </w:rPr>
        <w:t>个工作日内，编制完成基金季度报告，将季度报告登载在指定网站上，并将季度报告提示性公告登载在指定报刊上</w:t>
      </w:r>
      <w:r>
        <w:rPr>
          <w:rFonts w:ascii="Arial" w:hAnsi="宋体" w:cs="Arial"/>
          <w:kern w:val="0"/>
          <w:szCs w:val="21"/>
        </w:rPr>
        <w:t>。</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基金合同生效不足</w:t>
      </w:r>
      <w:r>
        <w:rPr>
          <w:rFonts w:ascii="Arial" w:hAnsi="Arial" w:cs="Arial"/>
          <w:kern w:val="0"/>
          <w:szCs w:val="21"/>
        </w:rPr>
        <w:t>2</w:t>
      </w:r>
      <w:r>
        <w:rPr>
          <w:rFonts w:ascii="Arial" w:hAnsi="宋体" w:cs="Arial"/>
          <w:kern w:val="0"/>
          <w:szCs w:val="21"/>
        </w:rPr>
        <w:t>个月的，基金管理人可以不编制当期季度报告、中期报告或者年度报告。</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本基金持续运作过程中，应当在基金年度报告和中期报告中披露基金组合资产情况及其流动性风险分析等。</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如报告期内出现单一投资者持有基金份额达到或超过基金总份额</w:t>
      </w:r>
      <w:r>
        <w:rPr>
          <w:rFonts w:ascii="Arial" w:hAnsi="Arial" w:cs="Arial" w:hint="eastAsia"/>
          <w:kern w:val="0"/>
          <w:szCs w:val="21"/>
        </w:rPr>
        <w:t>20%</w:t>
      </w:r>
      <w:r>
        <w:rPr>
          <w:rFonts w:ascii="Arial" w:hAnsi="Arial" w:cs="Arial" w:hint="eastAsia"/>
          <w:kern w:val="0"/>
          <w:szCs w:val="21"/>
        </w:rPr>
        <w:t>的情形，为保障</w:t>
      </w:r>
      <w:r>
        <w:rPr>
          <w:rFonts w:ascii="Arial" w:hAnsi="Arial" w:cs="Arial" w:hint="eastAsia"/>
          <w:kern w:val="0"/>
          <w:szCs w:val="21"/>
        </w:rPr>
        <w:lastRenderedPageBreak/>
        <w:t>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57376A" w:rsidRDefault="00117DFA">
      <w:pPr>
        <w:autoSpaceDE w:val="0"/>
        <w:autoSpaceDN w:val="0"/>
        <w:snapToGrid w:val="0"/>
        <w:spacing w:line="360" w:lineRule="auto"/>
        <w:ind w:firstLineChars="200" w:firstLine="420"/>
        <w:textAlignment w:val="bottom"/>
        <w:rPr>
          <w:rFonts w:ascii="Arial" w:hAnsi="Arial" w:cs="Arial"/>
          <w:szCs w:val="21"/>
        </w:rPr>
      </w:pPr>
      <w:r>
        <w:rPr>
          <w:rFonts w:ascii="Arial" w:hAnsi="宋体" w:cs="Arial"/>
          <w:szCs w:val="21"/>
        </w:rPr>
        <w:t>法律法规或中国证监会另有规定的，从其规定。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（六）临时报告与公告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基金发生重大事件，有关信息披露义务人应当在两日内编制临时报告书，并登载在指定报刊和指定网站上。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前款所称重大事件，是指可能对基金份额持有人权益或者基金份额的价格产生重大影响的事件，包括：</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sidRPr="00EE196A">
        <w:rPr>
          <w:rFonts w:ascii="Arial" w:hAnsi="Arial"/>
          <w:kern w:val="0"/>
        </w:rPr>
        <w:t>、基金份额持有人大会的召开</w:t>
      </w:r>
      <w:r>
        <w:rPr>
          <w:rFonts w:ascii="Arial" w:hAnsi="Arial" w:cs="Arial"/>
          <w:kern w:val="0"/>
          <w:szCs w:val="21"/>
        </w:rPr>
        <w:t>及决定的事项</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sidRPr="00EE196A">
        <w:rPr>
          <w:rFonts w:ascii="Arial" w:hAnsi="Arial"/>
          <w:kern w:val="0"/>
        </w:rPr>
        <w:t>、</w:t>
      </w:r>
      <w:r>
        <w:rPr>
          <w:rFonts w:ascii="Arial" w:hAnsi="Arial" w:cs="Arial"/>
          <w:kern w:val="0"/>
          <w:szCs w:val="21"/>
        </w:rPr>
        <w:t>《基金合同》</w:t>
      </w:r>
      <w:r w:rsidRPr="00EE196A">
        <w:rPr>
          <w:rFonts w:ascii="Arial" w:hAnsi="Arial"/>
          <w:kern w:val="0"/>
        </w:rPr>
        <w:t>终止</w:t>
      </w:r>
      <w:r>
        <w:rPr>
          <w:rFonts w:ascii="Arial" w:hAnsi="Arial" w:cs="Arial"/>
          <w:kern w:val="0"/>
          <w:szCs w:val="21"/>
        </w:rPr>
        <w:t>、</w:t>
      </w:r>
      <w:r w:rsidRPr="00EE196A">
        <w:rPr>
          <w:rFonts w:ascii="Arial" w:hAnsi="Arial"/>
          <w:kern w:val="0"/>
        </w:rPr>
        <w:t>基金</w:t>
      </w:r>
      <w:r>
        <w:rPr>
          <w:rFonts w:ascii="Arial" w:hAnsi="Arial" w:cs="Arial"/>
          <w:kern w:val="0"/>
          <w:szCs w:val="21"/>
        </w:rPr>
        <w:t>清算</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sidRPr="00EE196A">
        <w:rPr>
          <w:rFonts w:ascii="Arial" w:hAnsi="Arial"/>
          <w:kern w:val="0"/>
        </w:rPr>
        <w:t>、转换基金运作方式</w:t>
      </w:r>
      <w:r>
        <w:rPr>
          <w:rFonts w:ascii="Arial" w:hAnsi="Arial" w:cs="Arial"/>
          <w:kern w:val="0"/>
          <w:szCs w:val="21"/>
        </w:rPr>
        <w:t>、基金合并</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sidRPr="00EE196A">
        <w:rPr>
          <w:rFonts w:ascii="Arial" w:hAnsi="Arial"/>
          <w:kern w:val="0"/>
        </w:rPr>
        <w:t>、更换基金管理人、基金托管人</w:t>
      </w:r>
      <w:r>
        <w:rPr>
          <w:rFonts w:ascii="Arial" w:hAnsi="Arial" w:cs="Arial"/>
          <w:kern w:val="0"/>
          <w:szCs w:val="21"/>
        </w:rPr>
        <w:t>、基金份额登记机构，基金改聘会计师事务所；</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Arial" w:cs="Arial"/>
          <w:kern w:val="0"/>
          <w:szCs w:val="21"/>
        </w:rPr>
        <w:t>、基金管理人委托基金服务机构代为办理基金的份额登记、核算、估值等事项，基金托管人委托基金服务机构代为办理基金的核算、估值、复核等事项</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、基金管理人、基金托管人的法定名称、住所发生变更；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7</w:t>
      </w:r>
      <w:r>
        <w:rPr>
          <w:rFonts w:ascii="Arial" w:hAnsi="宋体" w:cs="Arial"/>
          <w:kern w:val="0"/>
          <w:szCs w:val="21"/>
        </w:rPr>
        <w:t>、基金管理人变更持有百分之五以上股权的股东、基金管理人的实际控制人变更；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8</w:t>
      </w:r>
      <w:r>
        <w:rPr>
          <w:rFonts w:ascii="Arial" w:hAnsi="宋体" w:cs="Arial"/>
          <w:kern w:val="0"/>
          <w:szCs w:val="21"/>
        </w:rPr>
        <w:t>、基金募集期延长或提前结束募集；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9</w:t>
      </w:r>
      <w:r>
        <w:rPr>
          <w:rFonts w:ascii="Arial" w:hAnsi="宋体" w:cs="Arial"/>
          <w:kern w:val="0"/>
          <w:szCs w:val="21"/>
        </w:rPr>
        <w:t>、基金管理人的高级管理人员、基金经理和基金托管人专门基金托管部门负责人发生变动；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10</w:t>
      </w:r>
      <w:r>
        <w:rPr>
          <w:rFonts w:ascii="Arial" w:hAnsi="宋体" w:cs="Arial"/>
          <w:kern w:val="0"/>
          <w:szCs w:val="21"/>
        </w:rPr>
        <w:t>、基金管理人的董事在</w:t>
      </w:r>
      <w:r>
        <w:rPr>
          <w:rFonts w:ascii="Arial" w:hAnsi="宋体" w:cs="Arial" w:hint="eastAsia"/>
          <w:kern w:val="0"/>
          <w:szCs w:val="21"/>
        </w:rPr>
        <w:t>最近</w:t>
      </w:r>
      <w:r>
        <w:rPr>
          <w:rFonts w:ascii="Arial" w:hAnsi="宋体" w:cs="Arial" w:hint="eastAsia"/>
          <w:kern w:val="0"/>
          <w:szCs w:val="21"/>
        </w:rPr>
        <w:t>12</w:t>
      </w:r>
      <w:r>
        <w:rPr>
          <w:rFonts w:ascii="Arial" w:hAnsi="宋体" w:cs="Arial" w:hint="eastAsia"/>
          <w:kern w:val="0"/>
          <w:szCs w:val="21"/>
        </w:rPr>
        <w:t>个月内</w:t>
      </w:r>
      <w:r>
        <w:rPr>
          <w:rFonts w:ascii="Arial" w:hAnsi="宋体" w:cs="Arial"/>
          <w:kern w:val="0"/>
          <w:szCs w:val="21"/>
        </w:rPr>
        <w:t>变更超过</w:t>
      </w:r>
      <w:r>
        <w:rPr>
          <w:rFonts w:ascii="Arial" w:hAnsi="Arial" w:cs="Arial"/>
          <w:kern w:val="0"/>
          <w:szCs w:val="21"/>
        </w:rPr>
        <w:t>50%</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11</w:t>
      </w:r>
      <w:r w:rsidRPr="00EE196A">
        <w:rPr>
          <w:rFonts w:ascii="Arial" w:hAnsi="Arial"/>
          <w:kern w:val="0"/>
        </w:rPr>
        <w:t>、</w:t>
      </w:r>
      <w:r>
        <w:rPr>
          <w:rFonts w:ascii="Arial" w:hAnsi="宋体" w:cs="Arial"/>
          <w:kern w:val="0"/>
          <w:szCs w:val="21"/>
        </w:rPr>
        <w:t>基金管理人、基金托管人</w:t>
      </w:r>
      <w:r>
        <w:rPr>
          <w:rFonts w:ascii="Arial" w:hAnsi="宋体" w:cs="Arial" w:hint="eastAsia"/>
          <w:kern w:val="0"/>
          <w:szCs w:val="21"/>
        </w:rPr>
        <w:t>专门</w:t>
      </w:r>
      <w:r>
        <w:rPr>
          <w:rFonts w:ascii="Arial" w:hAnsi="宋体" w:cs="Arial"/>
          <w:kern w:val="0"/>
          <w:szCs w:val="21"/>
        </w:rPr>
        <w:t>基金托管部门的主要业务人员在</w:t>
      </w:r>
      <w:r>
        <w:rPr>
          <w:rFonts w:ascii="Arial" w:hAnsi="宋体" w:cs="Arial" w:hint="eastAsia"/>
          <w:kern w:val="0"/>
          <w:szCs w:val="21"/>
        </w:rPr>
        <w:t>最近</w:t>
      </w:r>
      <w:r>
        <w:rPr>
          <w:rFonts w:ascii="Arial" w:hAnsi="宋体" w:cs="Arial" w:hint="eastAsia"/>
          <w:kern w:val="0"/>
          <w:szCs w:val="21"/>
        </w:rPr>
        <w:t>12</w:t>
      </w:r>
      <w:r>
        <w:rPr>
          <w:rFonts w:ascii="Arial" w:hAnsi="宋体" w:cs="Arial" w:hint="eastAsia"/>
          <w:kern w:val="0"/>
          <w:szCs w:val="21"/>
        </w:rPr>
        <w:t>个月内</w:t>
      </w:r>
      <w:r>
        <w:rPr>
          <w:rFonts w:ascii="Arial" w:hAnsi="宋体" w:cs="Arial"/>
          <w:kern w:val="0"/>
          <w:szCs w:val="21"/>
        </w:rPr>
        <w:t>变动超过</w:t>
      </w:r>
      <w:r>
        <w:rPr>
          <w:rFonts w:ascii="Arial" w:hAnsi="Arial" w:cs="Arial"/>
          <w:kern w:val="0"/>
          <w:szCs w:val="21"/>
        </w:rPr>
        <w:t>30%</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12</w:t>
      </w:r>
      <w:r w:rsidRPr="00EE196A">
        <w:rPr>
          <w:rFonts w:ascii="Arial" w:hAnsi="Arial"/>
          <w:kern w:val="0"/>
        </w:rPr>
        <w:t>、</w:t>
      </w:r>
      <w:r>
        <w:rPr>
          <w:rFonts w:ascii="Arial" w:hAnsi="宋体" w:cs="Arial"/>
          <w:kern w:val="0"/>
          <w:szCs w:val="21"/>
        </w:rPr>
        <w:t>涉及基金管理</w:t>
      </w:r>
      <w:r>
        <w:rPr>
          <w:rFonts w:ascii="Arial" w:hAnsi="宋体" w:cs="Arial" w:hint="eastAsia"/>
          <w:kern w:val="0"/>
          <w:szCs w:val="21"/>
        </w:rPr>
        <w:t>业务</w:t>
      </w:r>
      <w:r>
        <w:rPr>
          <w:rFonts w:ascii="Arial" w:hAnsi="宋体" w:cs="Arial"/>
          <w:kern w:val="0"/>
          <w:szCs w:val="21"/>
        </w:rPr>
        <w:t>、基金财产、基金托管业务的诉讼</w:t>
      </w:r>
      <w:r>
        <w:rPr>
          <w:rFonts w:ascii="Arial" w:hAnsi="宋体" w:cs="Arial" w:hint="eastAsia"/>
          <w:kern w:val="0"/>
          <w:szCs w:val="21"/>
        </w:rPr>
        <w:t>或</w:t>
      </w:r>
      <w:r>
        <w:rPr>
          <w:rFonts w:ascii="Arial" w:hAnsi="宋体" w:cs="Arial"/>
          <w:kern w:val="0"/>
          <w:szCs w:val="21"/>
        </w:rPr>
        <w:t>仲裁；</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13</w:t>
      </w:r>
      <w:r w:rsidRPr="00EE196A">
        <w:rPr>
          <w:rFonts w:ascii="Arial" w:hAnsi="Arial"/>
          <w:kern w:val="0"/>
        </w:rPr>
        <w:t>、</w:t>
      </w:r>
      <w:r>
        <w:rPr>
          <w:rFonts w:ascii="Arial" w:hAnsi="宋体" w:cs="Arial"/>
          <w:kern w:val="0"/>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14</w:t>
      </w:r>
      <w:r>
        <w:rPr>
          <w:rFonts w:ascii="Arial" w:hAnsi="宋体" w:cs="Arial"/>
          <w:kern w:val="0"/>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15</w:t>
      </w:r>
      <w:r>
        <w:rPr>
          <w:rFonts w:ascii="Arial" w:hAnsi="宋体" w:cs="Arial"/>
          <w:kern w:val="0"/>
          <w:szCs w:val="21"/>
        </w:rPr>
        <w:t>、基金收益分配事项；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16</w:t>
      </w:r>
      <w:r>
        <w:rPr>
          <w:rFonts w:ascii="Arial" w:hAnsi="宋体" w:cs="Arial"/>
          <w:kern w:val="0"/>
          <w:szCs w:val="21"/>
        </w:rPr>
        <w:t>、管理费、托管费、</w:t>
      </w:r>
      <w:r>
        <w:rPr>
          <w:rFonts w:ascii="Arial" w:hAnsi="宋体" w:cs="Arial" w:hint="eastAsia"/>
          <w:kern w:val="0"/>
          <w:szCs w:val="21"/>
        </w:rPr>
        <w:t>销售服务费、</w:t>
      </w:r>
      <w:r>
        <w:rPr>
          <w:rFonts w:ascii="Arial" w:hAnsi="宋体" w:cs="Arial"/>
          <w:kern w:val="0"/>
          <w:szCs w:val="21"/>
        </w:rPr>
        <w:t>申购费、赎回费等费用计提标准、计提方式和费率发生变更；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17</w:t>
      </w:r>
      <w:r>
        <w:rPr>
          <w:rFonts w:ascii="Arial" w:hAnsi="宋体" w:cs="Arial"/>
          <w:kern w:val="0"/>
          <w:szCs w:val="21"/>
        </w:rPr>
        <w:t>、基金份额净值计价错误达基金份额净值</w:t>
      </w:r>
      <w:r>
        <w:rPr>
          <w:rFonts w:ascii="Arial" w:hAnsi="Arial" w:cs="Arial"/>
          <w:kern w:val="0"/>
          <w:szCs w:val="21"/>
        </w:rPr>
        <w:t>0.50%</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lastRenderedPageBreak/>
        <w:t>18</w:t>
      </w:r>
      <w:r>
        <w:rPr>
          <w:rFonts w:ascii="Arial" w:hAnsi="宋体" w:cs="Arial"/>
          <w:kern w:val="0"/>
          <w:szCs w:val="21"/>
        </w:rPr>
        <w:t>、基金开始办理申购、赎回；</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19</w:t>
      </w:r>
      <w:r>
        <w:rPr>
          <w:rFonts w:ascii="Arial" w:hAnsi="宋体" w:cs="Arial"/>
          <w:kern w:val="0"/>
          <w:szCs w:val="21"/>
        </w:rPr>
        <w:t>、基金发生巨额赎回并延期</w:t>
      </w:r>
      <w:r>
        <w:rPr>
          <w:rFonts w:ascii="Arial" w:hAnsi="宋体" w:cs="Arial" w:hint="eastAsia"/>
          <w:kern w:val="0"/>
          <w:szCs w:val="21"/>
        </w:rPr>
        <w:t>办理</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Arial" w:cs="Arial"/>
          <w:kern w:val="0"/>
          <w:szCs w:val="21"/>
        </w:rPr>
        <w:t>0</w:t>
      </w:r>
      <w:r>
        <w:rPr>
          <w:rFonts w:ascii="Arial" w:hAnsi="宋体" w:cs="Arial"/>
          <w:kern w:val="0"/>
          <w:szCs w:val="21"/>
        </w:rPr>
        <w:t>、</w:t>
      </w:r>
      <w:r>
        <w:rPr>
          <w:rFonts w:ascii="Arial" w:hAnsi="宋体" w:cs="Arial" w:hint="eastAsia"/>
          <w:kern w:val="0"/>
          <w:szCs w:val="21"/>
        </w:rPr>
        <w:t>基金连续发生巨额赎回并暂停接受赎回申请或延缓支付赎回款项</w:t>
      </w:r>
      <w:r>
        <w:rPr>
          <w:rFonts w:ascii="Arial" w:hAnsi="宋体" w:cs="Arial"/>
          <w:kern w:val="0"/>
          <w:szCs w:val="21"/>
        </w:rPr>
        <w:t>；</w:t>
      </w:r>
    </w:p>
    <w:p w:rsidR="0057376A" w:rsidRDefault="00117DFA">
      <w:pPr>
        <w:snapToGrid w:val="0"/>
        <w:spacing w:line="360" w:lineRule="auto"/>
        <w:ind w:firstLineChars="200" w:firstLine="420"/>
        <w:rPr>
          <w:rFonts w:ascii="Arial" w:hAnsi="宋体" w:cs="Arial"/>
          <w:kern w:val="0"/>
          <w:szCs w:val="21"/>
        </w:rPr>
      </w:pPr>
      <w:r>
        <w:rPr>
          <w:rFonts w:ascii="Arial" w:hAnsi="Arial" w:cs="Arial" w:hint="eastAsia"/>
          <w:kern w:val="0"/>
          <w:szCs w:val="21"/>
        </w:rPr>
        <w:t>2</w:t>
      </w:r>
      <w:r>
        <w:rPr>
          <w:rFonts w:ascii="Arial" w:hAnsi="Arial" w:cs="Arial"/>
          <w:kern w:val="0"/>
          <w:szCs w:val="21"/>
        </w:rPr>
        <w:t>1</w:t>
      </w:r>
      <w:r>
        <w:rPr>
          <w:rFonts w:ascii="Arial" w:hAnsi="宋体" w:cs="Arial"/>
          <w:kern w:val="0"/>
          <w:szCs w:val="21"/>
        </w:rPr>
        <w:t>、</w:t>
      </w:r>
      <w:r>
        <w:rPr>
          <w:rFonts w:ascii="Arial" w:hAnsi="宋体" w:cs="Arial" w:hint="eastAsia"/>
          <w:kern w:val="0"/>
          <w:szCs w:val="21"/>
        </w:rPr>
        <w:t>基金暂停接受申购、赎回申请或重新接受申购、赎回申请</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Arial" w:cs="Arial"/>
          <w:kern w:val="0"/>
          <w:szCs w:val="21"/>
        </w:rPr>
        <w:t>2</w:t>
      </w:r>
      <w:r>
        <w:rPr>
          <w:rFonts w:ascii="Arial" w:hAnsi="Arial" w:cs="Arial" w:hint="eastAsia"/>
          <w:kern w:val="0"/>
          <w:szCs w:val="21"/>
        </w:rPr>
        <w:t>、发生涉及本基金申购、赎回事项调整或潜在影响投资者赎回等重大事项时；</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Arial" w:cs="Arial"/>
          <w:kern w:val="0"/>
          <w:szCs w:val="21"/>
        </w:rPr>
        <w:t>3</w:t>
      </w:r>
      <w:r>
        <w:rPr>
          <w:rFonts w:ascii="Arial" w:hAnsi="宋体" w:cs="Arial"/>
          <w:kern w:val="0"/>
          <w:szCs w:val="21"/>
        </w:rPr>
        <w:t>、基金信息披露义务人认为可能对基金份额持有人权益或者基金份额的价格产生重大影响的其他事项或中国证监会规定的其他事项。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（七）公开澄清</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在基金合同期限内，</w:t>
      </w:r>
      <w:r>
        <w:rPr>
          <w:rFonts w:ascii="Arial" w:hAnsi="宋体" w:cs="Arial" w:hint="eastAsia"/>
          <w:kern w:val="0"/>
          <w:szCs w:val="21"/>
        </w:rPr>
        <w:t>任何公共媒介中出现的或者在市场上流传的消息可能对基金份额价格产生误导性影响或者引起较大波动，以及可能损害基金份额持有人权益的，</w:t>
      </w:r>
      <w:r>
        <w:rPr>
          <w:rFonts w:ascii="Arial" w:hAnsi="宋体" w:cs="Arial"/>
          <w:kern w:val="0"/>
          <w:szCs w:val="21"/>
        </w:rPr>
        <w:t>相关信息披露义务人知悉后应当立即对该消息进行公开澄清，并将有关情况立即报告中国证监会。</w:t>
      </w:r>
    </w:p>
    <w:p w:rsidR="0057376A" w:rsidRDefault="00117DFA">
      <w:pPr>
        <w:snapToGrid w:val="0"/>
        <w:spacing w:line="360" w:lineRule="auto"/>
        <w:ind w:firstLineChars="200" w:firstLine="420"/>
        <w:rPr>
          <w:rFonts w:ascii="Arial" w:hAnsi="Arial" w:cs="Arial"/>
        </w:rPr>
      </w:pPr>
      <w:r>
        <w:rPr>
          <w:rFonts w:ascii="Arial" w:hAnsi="宋体" w:cs="Arial"/>
        </w:rPr>
        <w:t>（八）基金份额持有人大会决议</w:t>
      </w:r>
    </w:p>
    <w:p w:rsidR="0057376A" w:rsidRDefault="00117DFA">
      <w:pPr>
        <w:snapToGrid w:val="0"/>
        <w:spacing w:line="360" w:lineRule="auto"/>
        <w:ind w:firstLineChars="200" w:firstLine="420"/>
        <w:rPr>
          <w:rFonts w:ascii="Arial" w:hAnsi="Arial" w:cs="Arial"/>
        </w:rPr>
      </w:pPr>
      <w:r>
        <w:rPr>
          <w:rFonts w:ascii="Arial" w:hAnsi="宋体" w:cs="Arial" w:hint="eastAsia"/>
        </w:rPr>
        <w:t>基金份额持有人大会决定的事项，应当依法报中国证监会</w:t>
      </w:r>
      <w:r>
        <w:rPr>
          <w:rFonts w:ascii="Arial" w:hAnsi="宋体" w:cs="Arial"/>
        </w:rPr>
        <w:t>核准或者</w:t>
      </w:r>
      <w:r>
        <w:rPr>
          <w:rFonts w:ascii="Arial" w:hAnsi="宋体" w:cs="Arial" w:hint="eastAsia"/>
        </w:rPr>
        <w:t>备案，并予以公告。</w:t>
      </w:r>
    </w:p>
    <w:p w:rsidR="0057376A" w:rsidRDefault="00117DFA">
      <w:pPr>
        <w:snapToGrid w:val="0"/>
        <w:spacing w:line="360" w:lineRule="auto"/>
        <w:ind w:firstLineChars="200" w:firstLine="420"/>
        <w:rPr>
          <w:rFonts w:ascii="Arial" w:hAnsi="宋体" w:cs="Arial"/>
        </w:rPr>
      </w:pPr>
      <w:r>
        <w:rPr>
          <w:rFonts w:ascii="Arial" w:hAnsi="宋体" w:cs="Arial" w:hint="eastAsia"/>
        </w:rPr>
        <w:t>（九）清算报告</w:t>
      </w:r>
    </w:p>
    <w:p w:rsidR="0057376A" w:rsidRDefault="00117DFA">
      <w:pPr>
        <w:snapToGrid w:val="0"/>
        <w:spacing w:line="360" w:lineRule="auto"/>
        <w:ind w:firstLineChars="200" w:firstLine="420"/>
        <w:rPr>
          <w:rFonts w:ascii="Arial" w:hAnsi="宋体" w:cs="Arial"/>
        </w:rPr>
      </w:pPr>
      <w:r>
        <w:rPr>
          <w:rFonts w:ascii="Arial" w:hAnsi="宋体" w:cs="Arial" w:hint="eastAsia"/>
        </w:rPr>
        <w:t>基金终止运作的，基金管理人应当依法组织基金财产清算小组对基金财产进行清算并</w:t>
      </w:r>
      <w:proofErr w:type="gramStart"/>
      <w:r>
        <w:rPr>
          <w:rFonts w:ascii="Arial" w:hAnsi="宋体" w:cs="Arial" w:hint="eastAsia"/>
        </w:rPr>
        <w:t>作出</w:t>
      </w:r>
      <w:proofErr w:type="gramEnd"/>
      <w:r>
        <w:rPr>
          <w:rFonts w:ascii="Arial" w:hAnsi="宋体" w:cs="Arial" w:hint="eastAsia"/>
        </w:rPr>
        <w:t>清算报告。基金财产清算小组应当将清算报告登载在指定网站上，并将清算报告提示性公告登载在指定报刊上。</w:t>
      </w:r>
    </w:p>
    <w:p w:rsidR="0057376A" w:rsidRDefault="00117DFA">
      <w:pPr>
        <w:numPr>
          <w:ilvl w:val="0"/>
          <w:numId w:val="5"/>
        </w:numPr>
        <w:snapToGrid w:val="0"/>
        <w:spacing w:line="360" w:lineRule="auto"/>
        <w:ind w:firstLineChars="200" w:firstLine="420"/>
        <w:rPr>
          <w:rFonts w:ascii="Arial" w:hAnsi="宋体" w:cs="Arial"/>
        </w:rPr>
      </w:pPr>
      <w:r>
        <w:rPr>
          <w:rFonts w:ascii="Arial" w:hAnsi="宋体" w:cs="Arial"/>
        </w:rPr>
        <w:t>中国证监会规定的其他信息</w:t>
      </w:r>
    </w:p>
    <w:p w:rsidR="0057376A" w:rsidRPr="00EE196A" w:rsidRDefault="00117DFA" w:rsidP="00EE196A">
      <w:pPr>
        <w:spacing w:line="360" w:lineRule="auto"/>
        <w:ind w:firstLineChars="200" w:firstLine="420"/>
        <w:rPr>
          <w:bCs/>
          <w:szCs w:val="21"/>
        </w:rPr>
      </w:pPr>
      <w:r w:rsidRPr="00EE196A">
        <w:rPr>
          <w:bCs/>
          <w:szCs w:val="21"/>
        </w:rPr>
        <w:t>六、信息披露事务管理</w:t>
      </w:r>
    </w:p>
    <w:p w:rsidR="0057376A" w:rsidRPr="00EE196A" w:rsidRDefault="00117DFA" w:rsidP="00EE196A">
      <w:pPr>
        <w:spacing w:line="360" w:lineRule="auto"/>
        <w:ind w:firstLineChars="200" w:firstLine="420"/>
        <w:rPr>
          <w:bCs/>
          <w:szCs w:val="21"/>
        </w:rPr>
      </w:pPr>
      <w:r w:rsidRPr="00EE196A">
        <w:rPr>
          <w:bCs/>
          <w:szCs w:val="21"/>
        </w:rPr>
        <w:t>基金管理人、基金托管人应当建立健全信息披露管理制度，指定</w:t>
      </w:r>
      <w:r w:rsidRPr="00EE196A">
        <w:rPr>
          <w:rFonts w:hint="eastAsia"/>
          <w:bCs/>
          <w:szCs w:val="21"/>
        </w:rPr>
        <w:t>专门部门及高级管理人员</w:t>
      </w:r>
      <w:r w:rsidRPr="00EE196A">
        <w:rPr>
          <w:bCs/>
          <w:szCs w:val="21"/>
        </w:rPr>
        <w:t>负责管理信息披露事务。</w:t>
      </w:r>
    </w:p>
    <w:p w:rsidR="0057376A" w:rsidRPr="00EE196A" w:rsidRDefault="00117DFA" w:rsidP="00EE196A">
      <w:pPr>
        <w:spacing w:line="360" w:lineRule="auto"/>
        <w:ind w:firstLineChars="200" w:firstLine="420"/>
        <w:rPr>
          <w:bCs/>
          <w:szCs w:val="21"/>
        </w:rPr>
      </w:pPr>
      <w:r w:rsidRPr="00EE196A">
        <w:rPr>
          <w:bCs/>
          <w:szCs w:val="21"/>
        </w:rPr>
        <w:t>基金信息披露义务人公开披露基金信息，应当符合中国证监会相关基金信息披露内容与格式准则</w:t>
      </w:r>
      <w:r w:rsidRPr="00EE196A">
        <w:rPr>
          <w:rFonts w:hint="eastAsia"/>
          <w:bCs/>
          <w:szCs w:val="21"/>
        </w:rPr>
        <w:t>等法律法规</w:t>
      </w:r>
      <w:r w:rsidRPr="00EE196A">
        <w:rPr>
          <w:bCs/>
          <w:szCs w:val="21"/>
        </w:rPr>
        <w:t>规定。</w:t>
      </w:r>
    </w:p>
    <w:p w:rsidR="0057376A" w:rsidRPr="00EE196A" w:rsidRDefault="00117DFA" w:rsidP="00EE196A">
      <w:pPr>
        <w:spacing w:line="360" w:lineRule="auto"/>
        <w:ind w:firstLineChars="200" w:firstLine="420"/>
        <w:rPr>
          <w:bCs/>
          <w:szCs w:val="21"/>
        </w:rPr>
      </w:pPr>
      <w:r w:rsidRPr="00EE196A">
        <w:rPr>
          <w:bCs/>
          <w:szCs w:val="21"/>
        </w:rPr>
        <w:t>基金托管人应当按照相关法律法规、中国证监会的规定和《基金合同》的约定，对基金管理人编制的基金资产净值、</w:t>
      </w:r>
      <w:r w:rsidRPr="00EE196A">
        <w:rPr>
          <w:rFonts w:hint="eastAsia"/>
          <w:bCs/>
          <w:szCs w:val="21"/>
        </w:rPr>
        <w:t>各类</w:t>
      </w:r>
      <w:r w:rsidRPr="00EE196A">
        <w:rPr>
          <w:bCs/>
          <w:szCs w:val="21"/>
        </w:rPr>
        <w:t>基金份额净值、基金份额申购赎回价格、基金定期报告</w:t>
      </w:r>
      <w:r w:rsidRPr="00EE196A">
        <w:rPr>
          <w:rFonts w:hint="eastAsia"/>
          <w:bCs/>
          <w:szCs w:val="21"/>
        </w:rPr>
        <w:t>、</w:t>
      </w:r>
      <w:r w:rsidRPr="00EE196A">
        <w:rPr>
          <w:bCs/>
          <w:szCs w:val="21"/>
        </w:rPr>
        <w:t>更新的招募说明书</w:t>
      </w:r>
      <w:r w:rsidRPr="00EE196A">
        <w:rPr>
          <w:rFonts w:hint="eastAsia"/>
          <w:bCs/>
          <w:szCs w:val="21"/>
        </w:rPr>
        <w:t>、基金产品资料概要、基金清算报告</w:t>
      </w:r>
      <w:r w:rsidRPr="00EE196A">
        <w:rPr>
          <w:bCs/>
          <w:szCs w:val="21"/>
        </w:rPr>
        <w:t>等相关基金信息进行复核、审查，并向基金管理人</w:t>
      </w:r>
      <w:r w:rsidRPr="00EE196A">
        <w:rPr>
          <w:rFonts w:hint="eastAsia"/>
          <w:bCs/>
          <w:szCs w:val="21"/>
        </w:rPr>
        <w:t>进行书面或电子确认</w:t>
      </w:r>
      <w:r w:rsidRPr="00EE196A">
        <w:rPr>
          <w:bCs/>
          <w:szCs w:val="21"/>
        </w:rPr>
        <w:t>。</w:t>
      </w:r>
    </w:p>
    <w:p w:rsidR="0057376A" w:rsidRPr="00EE196A" w:rsidRDefault="00117DFA" w:rsidP="00EE196A">
      <w:pPr>
        <w:spacing w:line="360" w:lineRule="auto"/>
        <w:ind w:firstLineChars="200" w:firstLine="420"/>
        <w:rPr>
          <w:bCs/>
          <w:szCs w:val="21"/>
        </w:rPr>
      </w:pPr>
      <w:r w:rsidRPr="00EE196A">
        <w:rPr>
          <w:bCs/>
          <w:szCs w:val="21"/>
        </w:rPr>
        <w:t>基金管理人、基金托管人应当在指定</w:t>
      </w:r>
      <w:r w:rsidRPr="00EE196A">
        <w:rPr>
          <w:rFonts w:hint="eastAsia"/>
          <w:bCs/>
          <w:szCs w:val="21"/>
        </w:rPr>
        <w:t>报刊</w:t>
      </w:r>
      <w:r w:rsidRPr="00EE196A">
        <w:rPr>
          <w:bCs/>
          <w:szCs w:val="21"/>
        </w:rPr>
        <w:t>中选择</w:t>
      </w:r>
      <w:r w:rsidRPr="00EE196A">
        <w:rPr>
          <w:rFonts w:hint="eastAsia"/>
          <w:bCs/>
          <w:szCs w:val="21"/>
        </w:rPr>
        <w:t>一家报刊</w:t>
      </w:r>
      <w:r w:rsidRPr="00EE196A">
        <w:rPr>
          <w:bCs/>
          <w:szCs w:val="21"/>
        </w:rPr>
        <w:t>披露</w:t>
      </w:r>
      <w:r w:rsidRPr="00EE196A">
        <w:rPr>
          <w:rFonts w:hint="eastAsia"/>
          <w:bCs/>
          <w:szCs w:val="21"/>
        </w:rPr>
        <w:t>本基金</w:t>
      </w:r>
      <w:r w:rsidRPr="00EE196A">
        <w:rPr>
          <w:bCs/>
          <w:szCs w:val="21"/>
        </w:rPr>
        <w:t>信息。</w:t>
      </w:r>
    </w:p>
    <w:p w:rsidR="0057376A" w:rsidRPr="00EE196A" w:rsidRDefault="00117DFA" w:rsidP="00EE196A">
      <w:pPr>
        <w:spacing w:line="360" w:lineRule="auto"/>
        <w:ind w:firstLineChars="200" w:firstLine="420"/>
        <w:rPr>
          <w:bCs/>
          <w:szCs w:val="21"/>
        </w:rPr>
      </w:pPr>
      <w:r w:rsidRPr="00EE196A">
        <w:rPr>
          <w:rFonts w:hint="eastAsia"/>
          <w:bCs/>
          <w:szCs w:val="21"/>
        </w:rPr>
        <w:t>基金管理人、基金托管人应当向中国证监会基金电子披露网站报送拟披露的基金信息，并保证相关报送信息的真实、准确、完整、及时。</w:t>
      </w:r>
    </w:p>
    <w:p w:rsidR="0057376A" w:rsidRPr="00EE196A" w:rsidRDefault="00117DFA" w:rsidP="00EE196A">
      <w:pPr>
        <w:spacing w:line="360" w:lineRule="auto"/>
        <w:ind w:firstLineChars="200" w:firstLine="420"/>
        <w:rPr>
          <w:bCs/>
          <w:szCs w:val="21"/>
        </w:rPr>
      </w:pPr>
      <w:r w:rsidRPr="00EE196A">
        <w:rPr>
          <w:bCs/>
          <w:szCs w:val="21"/>
        </w:rPr>
        <w:t>基金管理人、基金托管人除依法在指定</w:t>
      </w:r>
      <w:r w:rsidRPr="00EE196A">
        <w:rPr>
          <w:rFonts w:hint="eastAsia"/>
          <w:bCs/>
          <w:szCs w:val="21"/>
        </w:rPr>
        <w:t>媒介</w:t>
      </w:r>
      <w:r w:rsidRPr="00EE196A">
        <w:rPr>
          <w:bCs/>
          <w:szCs w:val="21"/>
        </w:rPr>
        <w:t>上披露信息外，还可以根据需要在其他公共媒介披露信息，但是其他公共媒介不得早于指定</w:t>
      </w:r>
      <w:r w:rsidRPr="00EE196A">
        <w:rPr>
          <w:rFonts w:hint="eastAsia"/>
          <w:bCs/>
          <w:szCs w:val="21"/>
        </w:rPr>
        <w:t>媒介</w:t>
      </w:r>
      <w:r w:rsidRPr="00EE196A">
        <w:rPr>
          <w:bCs/>
          <w:szCs w:val="21"/>
        </w:rPr>
        <w:t>披露信息，并且在不同媒介上披露同一</w:t>
      </w:r>
      <w:r w:rsidRPr="00EE196A">
        <w:rPr>
          <w:bCs/>
          <w:szCs w:val="21"/>
        </w:rPr>
        <w:lastRenderedPageBreak/>
        <w:t>信息的内容应当一致。</w:t>
      </w:r>
    </w:p>
    <w:p w:rsidR="0057376A" w:rsidRPr="00EE196A" w:rsidRDefault="00117DFA" w:rsidP="00EE196A">
      <w:pPr>
        <w:spacing w:line="360" w:lineRule="auto"/>
        <w:ind w:firstLineChars="200" w:firstLine="420"/>
        <w:rPr>
          <w:bCs/>
          <w:szCs w:val="21"/>
        </w:rPr>
      </w:pPr>
      <w:r w:rsidRPr="00EE196A">
        <w:rPr>
          <w:bCs/>
          <w:szCs w:val="21"/>
        </w:rPr>
        <w:t>为基金信息披露义务人公开披露的基金信息出具审计报告、法律意见书的专业机构，应当制作工作底稿，并将相关档案至少保存到《基金合同》终止后</w:t>
      </w:r>
      <w:r w:rsidRPr="00EE196A">
        <w:rPr>
          <w:rFonts w:hint="eastAsia"/>
          <w:bCs/>
          <w:szCs w:val="21"/>
        </w:rPr>
        <w:t>10</w:t>
      </w:r>
      <w:r w:rsidRPr="00EE196A">
        <w:rPr>
          <w:bCs/>
          <w:szCs w:val="21"/>
        </w:rPr>
        <w:t>年。</w:t>
      </w:r>
    </w:p>
    <w:p w:rsidR="0057376A" w:rsidRPr="00EE196A" w:rsidRDefault="00117DFA" w:rsidP="00EE196A">
      <w:pPr>
        <w:spacing w:line="360" w:lineRule="auto"/>
        <w:ind w:firstLineChars="200" w:firstLine="420"/>
        <w:rPr>
          <w:bCs/>
          <w:szCs w:val="21"/>
        </w:rPr>
      </w:pPr>
      <w:r w:rsidRPr="00EE196A">
        <w:rPr>
          <w:bCs/>
          <w:szCs w:val="21"/>
        </w:rPr>
        <w:t>基金管理人、基金托管人除按法律法规要求披露信息外，也可着眼于为投资者决策提供有用信息的角度，在保证公平对待投资者、</w:t>
      </w:r>
      <w:proofErr w:type="gramStart"/>
      <w:r w:rsidRPr="00EE196A">
        <w:rPr>
          <w:bCs/>
          <w:szCs w:val="21"/>
        </w:rPr>
        <w:t>不</w:t>
      </w:r>
      <w:proofErr w:type="gramEnd"/>
      <w:r w:rsidRPr="00EE196A">
        <w:rPr>
          <w:bCs/>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57376A" w:rsidRDefault="00117DFA" w:rsidP="00EE196A">
      <w:pPr>
        <w:snapToGrid w:val="0"/>
        <w:spacing w:line="360" w:lineRule="auto"/>
        <w:rPr>
          <w:rFonts w:ascii="Arial" w:hAnsi="Arial" w:cs="Arial"/>
          <w:kern w:val="0"/>
          <w:szCs w:val="21"/>
        </w:rPr>
      </w:pPr>
      <w:r w:rsidRPr="00EE196A">
        <w:rPr>
          <w:rFonts w:ascii="Arial" w:hAnsi="宋体" w:cs="Arial" w:hint="eastAsia"/>
          <w:szCs w:val="21"/>
        </w:rPr>
        <w:t xml:space="preserve">    </w:t>
      </w:r>
      <w:r w:rsidRPr="00EE196A">
        <w:rPr>
          <w:rFonts w:ascii="Arial" w:hAnsi="宋体" w:cs="Arial" w:hint="eastAsia"/>
          <w:szCs w:val="21"/>
        </w:rPr>
        <w:t>七、</w:t>
      </w:r>
      <w:r>
        <w:rPr>
          <w:rFonts w:ascii="Arial" w:hAnsi="宋体" w:cs="Arial"/>
          <w:kern w:val="0"/>
          <w:szCs w:val="21"/>
        </w:rPr>
        <w:t>信息披露文件的存放与查阅</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依法必须披露的信息发布后，基金管理人、基金托管人应当按照相关法律法规规定将信息置备于各自住所，</w:t>
      </w:r>
      <w:r>
        <w:rPr>
          <w:rFonts w:ascii="Arial" w:hAnsi="宋体" w:cs="Arial" w:hint="eastAsia"/>
          <w:kern w:val="0"/>
          <w:szCs w:val="21"/>
        </w:rPr>
        <w:t xml:space="preserve"> </w:t>
      </w:r>
      <w:r>
        <w:rPr>
          <w:rFonts w:ascii="Arial" w:hAnsi="宋体" w:cs="Arial" w:hint="eastAsia"/>
          <w:kern w:val="0"/>
          <w:szCs w:val="21"/>
        </w:rPr>
        <w:t>供社会公众查阅、复制。</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48" w:name="_Toc253128713"/>
      <w:r>
        <w:rPr>
          <w:rFonts w:eastAsia="宋体" w:hAnsi="宋体" w:cs="Arial"/>
          <w:kern w:val="0"/>
          <w:sz w:val="28"/>
          <w:szCs w:val="28"/>
        </w:rPr>
        <w:t>二十二、基金的业务规则</w:t>
      </w:r>
      <w:bookmarkEnd w:id="48"/>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基金份额持有人应遵守基金托管人、基金管理人及其代理销售机构和注册登记机构的相关交易及业务规则。</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49" w:name="_Toc253128714"/>
      <w:bookmarkStart w:id="50" w:name="_Toc88037856"/>
      <w:bookmarkStart w:id="51" w:name="OLE_LINK2"/>
      <w:r>
        <w:rPr>
          <w:rFonts w:eastAsia="宋体" w:hAnsi="宋体" w:cs="Arial"/>
          <w:kern w:val="0"/>
          <w:sz w:val="28"/>
          <w:szCs w:val="28"/>
        </w:rPr>
        <w:t>二十三、基金合同的变更、终止与基金财产的清算</w:t>
      </w:r>
      <w:bookmarkEnd w:id="49"/>
      <w:bookmarkEnd w:id="50"/>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（一）基金合同的变更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、变更基金合同涉及法律法规规定或本合同约定应经基金份额持有人大会决议通过的事项的，应召开基金份额持有人大会决议通过。</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、变更基金合同的基金份额持有人大会决议应报中国证监会核准或备案，并自中国证监会核准或出具无异议意见之日起生效。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、但如因相应的法律法规发生变动并属于本基金合同必须遵照进行修改的情形，或者基金合同的修改不涉及本基金合同当事人权利义务关系发生变化</w:t>
      </w:r>
      <w:r>
        <w:rPr>
          <w:rFonts w:ascii="Arial" w:hAnsi="宋体" w:cs="Arial"/>
          <w:szCs w:val="21"/>
        </w:rPr>
        <w:t>或对基金份额持有人利益无实质性不利影响</w:t>
      </w:r>
      <w:r>
        <w:rPr>
          <w:rFonts w:ascii="Arial" w:hAnsi="宋体" w:cs="Arial"/>
          <w:kern w:val="0"/>
          <w:szCs w:val="21"/>
        </w:rPr>
        <w:t>的，可不经基金份额持有人大会决议，而经基金管理人和基金托管人同意后修改、公布，并报中国证监会备案。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（二）基金合同的终止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有下列情形之一的，本基金合同应当终止：</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、基金份额持有人大会决定终止；</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、基金管理人、基金托管人职责终止，在六个月内没有新基金管理人、基金托管人承接的；</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3</w:t>
      </w:r>
      <w:r>
        <w:rPr>
          <w:rFonts w:ascii="Arial" w:hAnsi="宋体" w:cs="Arial"/>
          <w:kern w:val="0"/>
          <w:szCs w:val="21"/>
        </w:rPr>
        <w:t>、</w:t>
      </w:r>
      <w:r>
        <w:rPr>
          <w:rFonts w:ascii="Arial" w:hAnsi="宋体" w:cs="Arial" w:hint="eastAsia"/>
          <w:kern w:val="0"/>
          <w:szCs w:val="21"/>
        </w:rPr>
        <w:t>基金合同生效后，连续</w:t>
      </w:r>
      <w:r>
        <w:rPr>
          <w:rFonts w:ascii="Arial" w:hAnsi="宋体" w:cs="Arial"/>
          <w:kern w:val="0"/>
          <w:szCs w:val="21"/>
        </w:rPr>
        <w:t>60</w:t>
      </w:r>
      <w:r>
        <w:rPr>
          <w:rFonts w:ascii="Arial" w:hAnsi="宋体" w:cs="Arial" w:hint="eastAsia"/>
          <w:kern w:val="0"/>
          <w:szCs w:val="21"/>
        </w:rPr>
        <w:t>个工作日出现基金份额持有人数量不满</w:t>
      </w:r>
      <w:r>
        <w:rPr>
          <w:rFonts w:ascii="Arial" w:hAnsi="宋体" w:cs="Arial"/>
          <w:kern w:val="0"/>
          <w:szCs w:val="21"/>
        </w:rPr>
        <w:t>200</w:t>
      </w:r>
      <w:r>
        <w:rPr>
          <w:rFonts w:ascii="Arial" w:hAnsi="宋体" w:cs="Arial" w:hint="eastAsia"/>
          <w:kern w:val="0"/>
          <w:szCs w:val="21"/>
        </w:rPr>
        <w:t>人的；</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4</w:t>
      </w:r>
      <w:r>
        <w:rPr>
          <w:rFonts w:ascii="Arial" w:hAnsi="宋体" w:cs="Arial" w:hint="eastAsia"/>
          <w:kern w:val="0"/>
          <w:szCs w:val="21"/>
        </w:rPr>
        <w:t>、基金合同生效后，连续</w:t>
      </w:r>
      <w:r>
        <w:rPr>
          <w:rFonts w:ascii="Arial" w:hAnsi="宋体" w:cs="Arial"/>
          <w:kern w:val="0"/>
          <w:szCs w:val="21"/>
        </w:rPr>
        <w:t>60</w:t>
      </w:r>
      <w:r>
        <w:rPr>
          <w:rFonts w:ascii="Arial" w:hAnsi="宋体" w:cs="Arial" w:hint="eastAsia"/>
          <w:kern w:val="0"/>
          <w:szCs w:val="21"/>
        </w:rPr>
        <w:t>个工作日出现基金资产净值低于</w:t>
      </w:r>
      <w:r>
        <w:rPr>
          <w:rFonts w:ascii="Arial" w:hAnsi="宋体" w:cs="Arial"/>
          <w:kern w:val="0"/>
          <w:szCs w:val="21"/>
        </w:rPr>
        <w:t>3000</w:t>
      </w:r>
      <w:r>
        <w:rPr>
          <w:rFonts w:ascii="Arial" w:hAnsi="宋体" w:cs="Arial" w:hint="eastAsia"/>
          <w:kern w:val="0"/>
          <w:szCs w:val="21"/>
        </w:rPr>
        <w:t>万元的；</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5</w:t>
      </w:r>
      <w:r>
        <w:rPr>
          <w:rFonts w:ascii="Arial" w:hAnsi="宋体" w:cs="Arial" w:hint="eastAsia"/>
          <w:kern w:val="0"/>
          <w:szCs w:val="21"/>
        </w:rPr>
        <w:t>、基金合同生效后，连续</w:t>
      </w:r>
      <w:r>
        <w:rPr>
          <w:rFonts w:ascii="Arial" w:hAnsi="宋体" w:cs="Arial"/>
          <w:kern w:val="0"/>
          <w:szCs w:val="21"/>
        </w:rPr>
        <w:t>60</w:t>
      </w:r>
      <w:r>
        <w:rPr>
          <w:rFonts w:ascii="Arial" w:hAnsi="宋体" w:cs="Arial" w:hint="eastAsia"/>
          <w:kern w:val="0"/>
          <w:szCs w:val="21"/>
        </w:rPr>
        <w:t>个工作日出现前十大基金份额持有人持有基金份额总额超过基金总份额的</w:t>
      </w:r>
      <w:r>
        <w:rPr>
          <w:rFonts w:ascii="Arial" w:hAnsi="宋体" w:cs="Arial" w:hint="eastAsia"/>
          <w:kern w:val="0"/>
          <w:szCs w:val="21"/>
        </w:rPr>
        <w:t>9</w:t>
      </w:r>
      <w:r>
        <w:rPr>
          <w:rFonts w:ascii="Arial" w:hAnsi="宋体" w:cs="Arial"/>
          <w:kern w:val="0"/>
          <w:szCs w:val="21"/>
        </w:rPr>
        <w:t>0%</w:t>
      </w:r>
      <w:r>
        <w:rPr>
          <w:rFonts w:ascii="Arial" w:hAnsi="宋体" w:cs="Arial" w:hint="eastAsia"/>
          <w:kern w:val="0"/>
          <w:szCs w:val="21"/>
        </w:rPr>
        <w:t>的；</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6</w:t>
      </w:r>
      <w:r>
        <w:rPr>
          <w:rFonts w:ascii="Arial" w:hAnsi="宋体" w:cs="Arial" w:hint="eastAsia"/>
          <w:kern w:val="0"/>
          <w:szCs w:val="21"/>
        </w:rPr>
        <w:t>、</w:t>
      </w:r>
      <w:r>
        <w:rPr>
          <w:rFonts w:ascii="Arial" w:hAnsi="宋体" w:cs="Arial"/>
          <w:kern w:val="0"/>
          <w:szCs w:val="21"/>
        </w:rPr>
        <w:t>法律法规和基金合同规定的其他情形。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基金合同终止后，基金管理人和基金托管人有权依照《基金法》、《运作办法》、《销售办法》、基金合同及其他有关法律法规的规定，行使请求给付报酬、从基金财产中获得补偿的权利。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（三）基金财产的清算</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、基金合同终止，</w:t>
      </w:r>
      <w:r>
        <w:rPr>
          <w:rFonts w:ascii="Arial" w:hAnsi="宋体" w:cs="Arial" w:hint="eastAsia"/>
          <w:kern w:val="0"/>
          <w:szCs w:val="21"/>
        </w:rPr>
        <w:t>基金管理人</w:t>
      </w:r>
      <w:r>
        <w:rPr>
          <w:rFonts w:ascii="Arial" w:hAnsi="宋体" w:cs="Arial"/>
          <w:kern w:val="0"/>
          <w:szCs w:val="21"/>
        </w:rPr>
        <w:t>应当按法律法规和本基金合同的有关规定组织清算组对基金财产进行清算。</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、基金财产清算组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）自基金合同终止事由之日起</w:t>
      </w:r>
      <w:r>
        <w:rPr>
          <w:rFonts w:ascii="Arial" w:hAnsi="Arial" w:cs="Arial"/>
          <w:kern w:val="0"/>
          <w:szCs w:val="21"/>
        </w:rPr>
        <w:t>30</w:t>
      </w:r>
      <w:r>
        <w:rPr>
          <w:rFonts w:ascii="Arial" w:hAnsi="宋体" w:cs="Arial"/>
          <w:kern w:val="0"/>
          <w:szCs w:val="21"/>
        </w:rPr>
        <w:t>个工作日内由基金管理人组织成立基金财产清算组，在基金财产清算组接管基金财产之前，基金管理人和基金托管人应按照基金合同和托管协议的规定继续履行保护基金财产安全的职责。</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）基金财产清算组成员由基金管理人、基金托管人、具有从事证券</w:t>
      </w:r>
      <w:r>
        <w:rPr>
          <w:rFonts w:ascii="Arial" w:hAnsi="宋体" w:cs="Arial" w:hint="eastAsia"/>
          <w:kern w:val="0"/>
          <w:szCs w:val="21"/>
        </w:rPr>
        <w:t>、期货</w:t>
      </w:r>
      <w:r>
        <w:rPr>
          <w:rFonts w:ascii="Arial" w:hAnsi="宋体" w:cs="Arial"/>
          <w:kern w:val="0"/>
          <w:szCs w:val="21"/>
        </w:rPr>
        <w:t>相关业务资格的注册会计师、律师以及中国证监会指定的人员组成。基金财产清算组可以聘用必要的工作人员。</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3</w:t>
      </w:r>
      <w:r>
        <w:rPr>
          <w:rFonts w:ascii="Arial" w:hAnsi="宋体" w:cs="Arial"/>
          <w:kern w:val="0"/>
          <w:szCs w:val="21"/>
        </w:rPr>
        <w:t>）基金财产清算组负责基金财产的保管、清理、估价、变现和分配。基金财产清算组可以依法进行必要的民事活动。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、清算程序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）基金合同终止情形发生后，由基金财产清算组统一接管基金财产；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）基金财产清算组根据基金财产的情况确定清算期限；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）基金财产清算组对基金财产进行清理和确认；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）对基金财产进行评估和变现；</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w:t>
      </w:r>
      <w:r>
        <w:rPr>
          <w:rFonts w:ascii="Arial" w:hAnsi="宋体" w:cs="Arial"/>
          <w:color w:val="000000"/>
          <w:szCs w:val="21"/>
        </w:rPr>
        <w:t>制作清算报告；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w:t>
      </w:r>
      <w:r>
        <w:rPr>
          <w:rFonts w:ascii="Arial" w:hAnsi="宋体" w:cs="Arial"/>
          <w:color w:val="000000"/>
          <w:szCs w:val="21"/>
        </w:rPr>
        <w:t>聘请会计师事务所对清算报告进行外部审计，聘请律师事务所对清算报告出具法律意见书；</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w:t>
      </w:r>
      <w:r>
        <w:rPr>
          <w:rFonts w:ascii="Arial" w:hAnsi="宋体" w:cs="Arial"/>
          <w:color w:val="000000"/>
          <w:szCs w:val="21"/>
        </w:rPr>
        <w:t>将清算报告报中国证监会备案并公告；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）对基金财产进行分配。</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、清算费用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清算费用是指基金财产清算组在进行基金清算过程中发生的所有合理费用，清算费用由基金财产清算组优先从基金财产中支付。</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、基金剩余财产的分配</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基金财产按下列顺序清偿：</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）支付清算费用；</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）交纳所欠税款；</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3</w:t>
      </w:r>
      <w:r>
        <w:rPr>
          <w:rFonts w:ascii="Arial" w:hAnsi="宋体" w:cs="Arial"/>
          <w:szCs w:val="21"/>
        </w:rPr>
        <w:t>）清偿基金债务；</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4</w:t>
      </w:r>
      <w:r>
        <w:rPr>
          <w:rFonts w:ascii="Arial" w:hAnsi="宋体" w:cs="Arial"/>
          <w:szCs w:val="21"/>
        </w:rPr>
        <w:t>）按基金份额持有人持有的基金份额比例进行分配。</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基金财产未按前款（</w:t>
      </w:r>
      <w:r>
        <w:rPr>
          <w:rFonts w:ascii="Arial" w:hAnsi="Arial" w:cs="Arial"/>
          <w:szCs w:val="21"/>
        </w:rPr>
        <w:t>1</w:t>
      </w:r>
      <w:r>
        <w:rPr>
          <w:rFonts w:ascii="Arial" w:hAnsi="宋体" w:cs="Arial"/>
          <w:szCs w:val="21"/>
        </w:rPr>
        <w:t>）、（</w:t>
      </w:r>
      <w:r>
        <w:rPr>
          <w:rFonts w:ascii="Arial" w:hAnsi="Arial" w:cs="Arial"/>
          <w:szCs w:val="21"/>
        </w:rPr>
        <w:t>2</w:t>
      </w:r>
      <w:r>
        <w:rPr>
          <w:rFonts w:ascii="Arial" w:hAnsi="宋体" w:cs="Arial"/>
          <w:szCs w:val="21"/>
        </w:rPr>
        <w:t>）、（</w:t>
      </w:r>
      <w:r>
        <w:rPr>
          <w:rFonts w:ascii="Arial" w:hAnsi="Arial" w:cs="Arial"/>
          <w:szCs w:val="21"/>
        </w:rPr>
        <w:t>3</w:t>
      </w:r>
      <w:r>
        <w:rPr>
          <w:rFonts w:ascii="Arial" w:hAnsi="宋体" w:cs="Arial"/>
          <w:szCs w:val="21"/>
        </w:rPr>
        <w:t>）项规定清偿前，不分配给基金份额持有人。</w:t>
      </w:r>
    </w:p>
    <w:p w:rsidR="0057376A" w:rsidRDefault="00117DFA">
      <w:pPr>
        <w:snapToGrid w:val="0"/>
        <w:spacing w:line="360" w:lineRule="auto"/>
        <w:ind w:firstLineChars="200" w:firstLine="420"/>
        <w:rPr>
          <w:rFonts w:ascii="Arial" w:hAnsi="Arial" w:cs="Arial"/>
          <w:kern w:val="0"/>
          <w:szCs w:val="21"/>
          <w:lang w:val="zh-CN"/>
        </w:rPr>
      </w:pPr>
      <w:r>
        <w:rPr>
          <w:rFonts w:ascii="Arial" w:hAnsi="宋体" w:cs="Arial"/>
          <w:kern w:val="0"/>
          <w:szCs w:val="21"/>
          <w:lang w:val="zh-CN"/>
        </w:rPr>
        <w:t>对于基金缴存于中国证券登记结算有限责任公司的最低结算备付金和交易席位保证金等，在中国证券登记结算有限责任公司对其进行调整后方可收回。</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、基金财产清算的公告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基金财产清算组做出的清算报告经</w:t>
      </w:r>
      <w:r>
        <w:rPr>
          <w:rFonts w:ascii="Arial" w:hAnsi="宋体" w:cs="Arial" w:hint="eastAsia"/>
          <w:kern w:val="0"/>
          <w:szCs w:val="21"/>
        </w:rPr>
        <w:t>具有证券、期货相关业务资格的</w:t>
      </w:r>
      <w:r>
        <w:rPr>
          <w:rFonts w:ascii="Arial" w:hAnsi="宋体" w:cs="Arial"/>
          <w:kern w:val="0"/>
          <w:szCs w:val="21"/>
        </w:rPr>
        <w:t>会计师事务所审计，律师事务所出具法律意见书后，报中国证监会备案并公告。基金财产清算公告于基金财产清算报告报中国证监会备案后</w:t>
      </w:r>
      <w:r>
        <w:rPr>
          <w:rFonts w:ascii="Arial" w:hAnsi="宋体" w:cs="Arial"/>
          <w:kern w:val="0"/>
          <w:szCs w:val="21"/>
        </w:rPr>
        <w:t>5</w:t>
      </w:r>
      <w:r>
        <w:rPr>
          <w:rFonts w:ascii="Arial" w:hAnsi="宋体" w:cs="Arial"/>
          <w:kern w:val="0"/>
          <w:szCs w:val="21"/>
        </w:rPr>
        <w:t>个工作日内由基金财产清算小组进行公告</w:t>
      </w:r>
      <w:r>
        <w:rPr>
          <w:rFonts w:ascii="Arial" w:hAnsi="宋体" w:cs="Arial" w:hint="eastAsia"/>
          <w:kern w:val="0"/>
          <w:szCs w:val="21"/>
        </w:rPr>
        <w:t>，基金财产清算小组应当将清算报告登载在指定网站上，并将清算报告提示性公告登载在指定报刊上</w:t>
      </w:r>
      <w:r>
        <w:rPr>
          <w:rFonts w:ascii="Arial" w:hAnsi="宋体" w:cs="Arial"/>
          <w:kern w:val="0"/>
          <w:szCs w:val="21"/>
        </w:rPr>
        <w:t>。</w:t>
      </w:r>
    </w:p>
    <w:p w:rsidR="0057376A" w:rsidRDefault="00117DFA">
      <w:pPr>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7</w:t>
      </w:r>
      <w:r>
        <w:rPr>
          <w:rFonts w:ascii="Arial" w:hAnsi="宋体" w:cs="Arial"/>
          <w:color w:val="000000"/>
          <w:kern w:val="0"/>
          <w:szCs w:val="21"/>
        </w:rPr>
        <w:t>、基金财产清算账册及文件由基金托管人保存</w:t>
      </w:r>
      <w:r>
        <w:rPr>
          <w:rFonts w:ascii="Arial" w:hAnsi="Arial" w:cs="Arial"/>
          <w:color w:val="000000"/>
          <w:kern w:val="0"/>
          <w:szCs w:val="21"/>
        </w:rPr>
        <w:t>15</w:t>
      </w:r>
      <w:r>
        <w:rPr>
          <w:rFonts w:ascii="Arial" w:hAnsi="宋体" w:cs="Arial"/>
          <w:color w:val="000000"/>
          <w:kern w:val="0"/>
          <w:szCs w:val="21"/>
        </w:rPr>
        <w:t>年以上。</w:t>
      </w:r>
    </w:p>
    <w:p w:rsidR="0057376A" w:rsidRDefault="00117DFA">
      <w:pPr>
        <w:snapToGrid w:val="0"/>
        <w:spacing w:line="360" w:lineRule="auto"/>
        <w:ind w:firstLine="420"/>
        <w:rPr>
          <w:rFonts w:ascii="Arial" w:hAnsi="Arial" w:cs="Arial"/>
          <w:color w:val="FF0000"/>
          <w:kern w:val="0"/>
          <w:szCs w:val="21"/>
        </w:rPr>
      </w:pPr>
      <w:r>
        <w:rPr>
          <w:rFonts w:ascii="Arial" w:hAnsi="Arial" w:cs="Arial"/>
          <w:color w:val="FF0000"/>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52" w:name="_Toc88037857"/>
      <w:bookmarkStart w:id="53" w:name="_Toc253128715"/>
      <w:r>
        <w:rPr>
          <w:rFonts w:eastAsia="宋体" w:hAnsi="宋体" w:cs="Arial"/>
          <w:kern w:val="0"/>
          <w:sz w:val="28"/>
          <w:szCs w:val="28"/>
        </w:rPr>
        <w:t>二十四、</w:t>
      </w:r>
      <w:bookmarkStart w:id="54" w:name="_Toc88037858"/>
      <w:bookmarkEnd w:id="52"/>
      <w:r>
        <w:rPr>
          <w:rFonts w:eastAsia="宋体" w:hAnsi="宋体" w:cs="Arial"/>
          <w:kern w:val="0"/>
          <w:sz w:val="28"/>
          <w:szCs w:val="28"/>
        </w:rPr>
        <w:t>违约责任</w:t>
      </w:r>
      <w:bookmarkEnd w:id="53"/>
      <w:bookmarkEnd w:id="54"/>
    </w:p>
    <w:p w:rsidR="0057376A" w:rsidRDefault="00117DFA">
      <w:pPr>
        <w:adjustRightInd w:val="0"/>
        <w:snapToGrid w:val="0"/>
        <w:spacing w:line="360" w:lineRule="auto"/>
        <w:ind w:firstLineChars="200" w:firstLine="420"/>
        <w:rPr>
          <w:rFonts w:ascii="Arial" w:hAnsi="宋体" w:cs="Arial"/>
          <w:szCs w:val="21"/>
        </w:rPr>
      </w:pPr>
      <w:r>
        <w:rPr>
          <w:rFonts w:ascii="Arial" w:hAnsi="宋体" w:cs="Arial" w:hint="eastAsia"/>
          <w:szCs w:val="21"/>
        </w:rPr>
        <w:t>本基金合同当事人不履行本基金合同或履行本基金合同不符合约定的，构成违约，违约方应当承担违约责任。</w:t>
      </w:r>
    </w:p>
    <w:p w:rsidR="0057376A" w:rsidRDefault="00117DFA">
      <w:pPr>
        <w:adjustRightInd w:val="0"/>
        <w:snapToGrid w:val="0"/>
        <w:spacing w:line="360" w:lineRule="auto"/>
        <w:ind w:firstLineChars="200" w:firstLine="420"/>
        <w:rPr>
          <w:rFonts w:ascii="Arial" w:hAnsi="Arial" w:cs="Arial"/>
          <w:szCs w:val="21"/>
        </w:rPr>
      </w:pPr>
      <w:r>
        <w:rPr>
          <w:rFonts w:ascii="Arial" w:hAnsi="宋体" w:cs="Arial"/>
          <w:szCs w:val="21"/>
        </w:rPr>
        <w:t>（一）因基金管理人或基金托管人违约给基金财产或者基金份额持有人造成损害的，应当分别对各自的行为依法承担赔偿责任，因共同行为给基金财产或者基金份额持有人造成损害的，应当承担连带赔偿责任。</w:t>
      </w:r>
    </w:p>
    <w:p w:rsidR="0057376A" w:rsidRDefault="00117DFA">
      <w:pPr>
        <w:adjustRightInd w:val="0"/>
        <w:snapToGrid w:val="0"/>
        <w:spacing w:line="360" w:lineRule="auto"/>
        <w:ind w:firstLineChars="200" w:firstLine="420"/>
        <w:rPr>
          <w:rFonts w:ascii="Arial" w:hAnsi="Arial" w:cs="Arial"/>
          <w:szCs w:val="21"/>
        </w:rPr>
      </w:pPr>
      <w:r>
        <w:rPr>
          <w:rFonts w:ascii="Arial" w:hAnsi="宋体" w:cs="Arial"/>
          <w:szCs w:val="21"/>
        </w:rPr>
        <w:t>（二）基金合同当事人违反本基金合同，给基金财产或其他基金合同当事人造成损失的，应承担相应的赔偿责任。</w:t>
      </w:r>
    </w:p>
    <w:p w:rsidR="0057376A" w:rsidRDefault="00117DFA">
      <w:pPr>
        <w:adjustRightInd w:val="0"/>
        <w:snapToGrid w:val="0"/>
        <w:spacing w:line="360" w:lineRule="auto"/>
        <w:ind w:firstLineChars="200" w:firstLine="420"/>
        <w:rPr>
          <w:rFonts w:ascii="Arial" w:hAnsi="Arial" w:cs="Arial"/>
          <w:szCs w:val="21"/>
        </w:rPr>
      </w:pPr>
      <w:r>
        <w:rPr>
          <w:rFonts w:ascii="Arial" w:hAnsi="宋体" w:cs="Arial"/>
          <w:kern w:val="0"/>
          <w:szCs w:val="21"/>
        </w:rPr>
        <w:t>（三）发生下列情况时，当事人可以免责：</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、基金管理人和</w:t>
      </w:r>
      <w:r>
        <w:rPr>
          <w:rFonts w:ascii="Arial" w:hAnsi="Arial" w:cs="Arial"/>
          <w:kern w:val="0"/>
          <w:szCs w:val="21"/>
        </w:rPr>
        <w:t>/</w:t>
      </w:r>
      <w:r>
        <w:rPr>
          <w:rFonts w:ascii="Arial" w:hAnsi="宋体" w:cs="Arial"/>
          <w:kern w:val="0"/>
          <w:szCs w:val="21"/>
        </w:rPr>
        <w:t>或基金托管人按照中国证监会的规定或当时有效的法律法规或规章的作为或不作为而造成的损失等；</w:t>
      </w:r>
    </w:p>
    <w:p w:rsidR="0057376A" w:rsidRDefault="00117DFA">
      <w:pPr>
        <w:snapToGrid w:val="0"/>
        <w:spacing w:line="360" w:lineRule="auto"/>
        <w:ind w:firstLine="420"/>
        <w:rPr>
          <w:rFonts w:ascii="Arial" w:hAnsi="Arial" w:cs="Arial"/>
          <w:kern w:val="0"/>
          <w:szCs w:val="21"/>
          <w:highlight w:val="yellow"/>
        </w:rPr>
      </w:pPr>
      <w:r>
        <w:rPr>
          <w:rFonts w:ascii="Arial" w:hAnsi="Arial" w:cs="Arial"/>
          <w:kern w:val="0"/>
          <w:szCs w:val="21"/>
        </w:rPr>
        <w:t>2</w:t>
      </w:r>
      <w:r>
        <w:rPr>
          <w:rFonts w:ascii="Arial" w:hAnsi="宋体" w:cs="Arial"/>
          <w:kern w:val="0"/>
          <w:szCs w:val="21"/>
        </w:rPr>
        <w:t>、在无过错情况下，基金管理人由于按照本基金合同规定的投资原则进行的投资所造成的损失等；</w:t>
      </w:r>
    </w:p>
    <w:p w:rsidR="0057376A" w:rsidRDefault="00117DFA">
      <w:pPr>
        <w:snapToGrid w:val="0"/>
        <w:spacing w:line="360" w:lineRule="auto"/>
        <w:ind w:firstLine="420"/>
        <w:rPr>
          <w:rFonts w:ascii="Arial" w:hAnsi="Arial" w:cs="Arial"/>
          <w:kern w:val="0"/>
          <w:szCs w:val="21"/>
        </w:rPr>
      </w:pPr>
      <w:r>
        <w:rPr>
          <w:rFonts w:ascii="Arial" w:hAnsi="Arial" w:cs="Arial"/>
          <w:color w:val="000000"/>
          <w:szCs w:val="21"/>
        </w:rPr>
        <w:t>3</w:t>
      </w:r>
      <w:r>
        <w:rPr>
          <w:rFonts w:ascii="Arial" w:hAnsi="宋体" w:cs="Arial"/>
          <w:color w:val="000000"/>
          <w:szCs w:val="21"/>
        </w:rPr>
        <w:t>、</w:t>
      </w:r>
      <w:r>
        <w:rPr>
          <w:rFonts w:ascii="Arial" w:hAnsi="宋体" w:cs="Arial"/>
          <w:kern w:val="0"/>
          <w:szCs w:val="21"/>
        </w:rPr>
        <w:t>不可抗力。</w:t>
      </w:r>
      <w:r>
        <w:rPr>
          <w:rFonts w:ascii="Arial" w:hAnsi="宋体" w:cs="Arial"/>
          <w:color w:val="000000"/>
          <w:kern w:val="0"/>
          <w:szCs w:val="21"/>
        </w:rPr>
        <w:t>基金管理人及基金托管人因不可抗力不能履行本合同的，可根据不可抗力的影响部分或全部免除责任，但法律另有规定的除外。任何一方迟延履行后发生不可抗力的，不能免除责任。</w:t>
      </w:r>
    </w:p>
    <w:p w:rsidR="0057376A" w:rsidRDefault="00117DFA">
      <w:pPr>
        <w:snapToGrid w:val="0"/>
        <w:spacing w:line="360" w:lineRule="auto"/>
        <w:ind w:firstLine="420"/>
        <w:rPr>
          <w:rFonts w:ascii="Arial" w:hAnsi="Arial" w:cs="Arial"/>
          <w:kern w:val="0"/>
          <w:szCs w:val="21"/>
        </w:rPr>
      </w:pPr>
      <w:r>
        <w:rPr>
          <w:rFonts w:ascii="Arial" w:hAnsi="宋体" w:cs="Arial"/>
          <w:kern w:val="0"/>
          <w:szCs w:val="21"/>
        </w:rPr>
        <w:t>（四）在发生一方或多方当事人违约的情况下，基金合同能够继续履行的应当继续履行。</w:t>
      </w:r>
    </w:p>
    <w:p w:rsidR="0057376A" w:rsidRDefault="00117DFA">
      <w:pPr>
        <w:snapToGrid w:val="0"/>
        <w:spacing w:line="360" w:lineRule="auto"/>
        <w:ind w:firstLine="420"/>
        <w:rPr>
          <w:rFonts w:ascii="Arial" w:hAnsi="Arial" w:cs="Arial"/>
          <w:kern w:val="0"/>
          <w:szCs w:val="21"/>
        </w:rPr>
      </w:pPr>
      <w:r>
        <w:rPr>
          <w:rFonts w:ascii="Arial" w:hAnsi="宋体" w:cs="Arial"/>
          <w:kern w:val="0"/>
          <w:szCs w:val="21"/>
        </w:rPr>
        <w:t>（五）本基金合同当事人一方违约后，其他当事方应当采取适当措施防止损失的扩大；没有采取适当措施致使损失扩大的，不得就扩大的损失要求赔偿。守约方因防止损失扩大而支出的合理费用由违约方承担。</w:t>
      </w:r>
    </w:p>
    <w:p w:rsidR="0057376A" w:rsidRDefault="00117DFA">
      <w:pPr>
        <w:snapToGrid w:val="0"/>
        <w:spacing w:line="360" w:lineRule="auto"/>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55" w:name="_Toc88037859"/>
      <w:bookmarkStart w:id="56" w:name="_Toc253128716"/>
      <w:r>
        <w:rPr>
          <w:rFonts w:eastAsia="宋体" w:hAnsi="宋体" w:cs="Arial"/>
          <w:kern w:val="0"/>
          <w:sz w:val="28"/>
          <w:szCs w:val="28"/>
        </w:rPr>
        <w:t>二十五、争议的处理</w:t>
      </w:r>
      <w:bookmarkEnd w:id="55"/>
      <w:bookmarkEnd w:id="56"/>
    </w:p>
    <w:p w:rsidR="0057376A" w:rsidRPr="00EE196A" w:rsidRDefault="00117DFA" w:rsidP="00EE196A">
      <w:pPr>
        <w:snapToGrid w:val="0"/>
        <w:spacing w:line="360" w:lineRule="auto"/>
        <w:ind w:firstLineChars="200" w:firstLine="422"/>
        <w:rPr>
          <w:rFonts w:ascii="Arial" w:hAnsi="Arial" w:cs="Arial"/>
          <w:b/>
          <w:i/>
          <w:kern w:val="0"/>
          <w:szCs w:val="21"/>
        </w:rPr>
      </w:pPr>
      <w:r w:rsidRPr="00EE196A">
        <w:rPr>
          <w:rFonts w:ascii="Arial" w:hAnsi="宋体" w:cs="Arial"/>
          <w:b/>
          <w:i/>
          <w:kern w:val="0"/>
          <w:szCs w:val="21"/>
        </w:rPr>
        <w:t>（一）本基金合同适用中华人民共和国法律并从其解释。</w:t>
      </w:r>
    </w:p>
    <w:p w:rsidR="0057376A" w:rsidRPr="00EE196A" w:rsidRDefault="00117DFA" w:rsidP="00EE196A">
      <w:pPr>
        <w:snapToGrid w:val="0"/>
        <w:spacing w:line="360" w:lineRule="auto"/>
        <w:ind w:firstLineChars="200" w:firstLine="422"/>
        <w:rPr>
          <w:rFonts w:ascii="Arial" w:hAnsi="Arial" w:cs="Arial"/>
          <w:b/>
          <w:i/>
          <w:kern w:val="0"/>
          <w:szCs w:val="21"/>
        </w:rPr>
      </w:pPr>
      <w:r w:rsidRPr="00EE196A">
        <w:rPr>
          <w:rFonts w:ascii="Arial" w:hAnsi="宋体" w:cs="Arial"/>
          <w:b/>
          <w:i/>
          <w:kern w:val="0"/>
          <w:szCs w:val="21"/>
        </w:rPr>
        <w:t>（二）本基金合同的当事人之间因本基金合同产生的或与本基金合同有关的争议可通过友好协商解决，但若自一方书面提出协商解决争议之日起</w:t>
      </w:r>
      <w:r w:rsidRPr="00EE196A">
        <w:rPr>
          <w:rFonts w:ascii="Arial" w:hAnsi="Arial" w:cs="Arial"/>
          <w:b/>
          <w:i/>
          <w:kern w:val="0"/>
          <w:szCs w:val="21"/>
        </w:rPr>
        <w:t>60</w:t>
      </w:r>
      <w:r w:rsidRPr="00EE196A">
        <w:rPr>
          <w:rFonts w:ascii="Arial" w:hAnsi="宋体" w:cs="Arial"/>
          <w:b/>
          <w:i/>
          <w:kern w:val="0"/>
          <w:szCs w:val="21"/>
        </w:rPr>
        <w:t>日内争议未能以协商方式解决的，则任何一方有权将争议提交位于北京的中国国际经济贸易仲裁委员会，按照其时有效的仲裁规则进行仲裁。仲裁裁决是终局的，对仲裁各方当事人均具有约束力。</w:t>
      </w:r>
    </w:p>
    <w:p w:rsidR="0057376A" w:rsidRPr="00EE196A" w:rsidRDefault="00117DFA" w:rsidP="00EE196A">
      <w:pPr>
        <w:snapToGrid w:val="0"/>
        <w:spacing w:line="360" w:lineRule="auto"/>
        <w:ind w:firstLineChars="200" w:firstLine="422"/>
        <w:rPr>
          <w:rFonts w:ascii="Arial" w:hAnsi="Arial" w:cs="Arial"/>
          <w:b/>
          <w:i/>
          <w:kern w:val="0"/>
          <w:szCs w:val="21"/>
        </w:rPr>
      </w:pPr>
      <w:r w:rsidRPr="00EE196A">
        <w:rPr>
          <w:rFonts w:ascii="Arial" w:hAnsi="宋体" w:cs="Arial"/>
          <w:b/>
          <w:i/>
          <w:kern w:val="0"/>
          <w:szCs w:val="21"/>
        </w:rPr>
        <w:t>（三）除争议所涉内容之外，本基金合同的其他部分应当由本基金合同当事人继续履行。</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57" w:name="_Toc253128717"/>
      <w:bookmarkStart w:id="58" w:name="_Toc88037860"/>
      <w:r>
        <w:rPr>
          <w:rFonts w:eastAsia="宋体" w:hAnsi="宋体" w:cs="Arial"/>
          <w:kern w:val="0"/>
          <w:sz w:val="28"/>
          <w:szCs w:val="28"/>
        </w:rPr>
        <w:t>二十六、基金合同的效力</w:t>
      </w:r>
      <w:bookmarkEnd w:id="57"/>
      <w:bookmarkEnd w:id="58"/>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本基金合同是基金合同当事人之间的法律文件，应由基金管理人和基金托管人的法定代表人或其授权签字人签字并加盖公章。基金合同于投资者缴纳认购的基金份额的款项时成立，自基金募集结束报中国证监会备案并获中国证监会书面确认后生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（二）本基金合同的有效期自其生效之日起至本基金财产清算结果报中国证监会备案并公告之日止。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（三）本基金合同自生效之日起对包括基金管理人、基金托管人和基金份额持有人在内的基金合同各方当事人具有同等的法律约束力。</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（四）本基金合同正本一式六份，除上报有关监管机构二份外，基金管理人、基金托管人各持有二份，每份具有同等的法律效力。</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（五）基金合同存放地和投资者取得基金合同的方式</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基金合同存放在基金管理人和基金托管人住所，投资者在支付工本费后，可在合理时间内取得上述文件复印件，基金合同条款及内容应以基金合同正本为准。</w:t>
      </w:r>
    </w:p>
    <w:p w:rsidR="0057376A" w:rsidRDefault="00117DFA">
      <w:pPr>
        <w:snapToGrid w:val="0"/>
        <w:spacing w:line="360" w:lineRule="auto"/>
        <w:ind w:firstLine="420"/>
        <w:rPr>
          <w:rFonts w:ascii="Arial" w:hAnsi="Arial" w:cs="Arial"/>
          <w:kern w:val="0"/>
          <w:szCs w:val="21"/>
        </w:rPr>
      </w:pPr>
      <w:r>
        <w:rPr>
          <w:rFonts w:ascii="Arial" w:hAnsi="Arial" w:cs="Arial"/>
          <w:kern w:val="0"/>
          <w:szCs w:val="21"/>
        </w:rPr>
        <w:br w:type="page"/>
      </w:r>
    </w:p>
    <w:p w:rsidR="0057376A" w:rsidRDefault="00117DFA">
      <w:pPr>
        <w:pStyle w:val="2"/>
        <w:snapToGrid w:val="0"/>
        <w:spacing w:before="0" w:after="0" w:line="360" w:lineRule="auto"/>
        <w:jc w:val="center"/>
        <w:rPr>
          <w:rFonts w:eastAsia="宋体" w:cs="Arial"/>
          <w:kern w:val="0"/>
          <w:sz w:val="28"/>
          <w:szCs w:val="28"/>
        </w:rPr>
      </w:pPr>
      <w:bookmarkStart w:id="59" w:name="_Toc253128718"/>
      <w:r>
        <w:rPr>
          <w:rFonts w:eastAsia="宋体" w:hAnsi="宋体" w:cs="Arial"/>
          <w:kern w:val="0"/>
          <w:sz w:val="28"/>
          <w:szCs w:val="28"/>
        </w:rPr>
        <w:t>二十</w:t>
      </w:r>
      <w:r>
        <w:rPr>
          <w:rFonts w:eastAsia="宋体" w:hAnsi="宋体" w:cs="Arial" w:hint="eastAsia"/>
          <w:kern w:val="0"/>
          <w:sz w:val="28"/>
          <w:szCs w:val="28"/>
        </w:rPr>
        <w:t>七</w:t>
      </w:r>
      <w:r>
        <w:rPr>
          <w:rFonts w:eastAsia="宋体" w:hAnsi="宋体" w:cs="Arial"/>
          <w:kern w:val="0"/>
          <w:sz w:val="28"/>
          <w:szCs w:val="28"/>
        </w:rPr>
        <w:t>、基金合同</w:t>
      </w:r>
      <w:r>
        <w:rPr>
          <w:rFonts w:eastAsia="宋体" w:hAnsi="宋体" w:cs="Arial" w:hint="eastAsia"/>
          <w:kern w:val="0"/>
          <w:sz w:val="28"/>
          <w:szCs w:val="28"/>
        </w:rPr>
        <w:t>内容摘要</w:t>
      </w:r>
      <w:bookmarkEnd w:id="59"/>
    </w:p>
    <w:p w:rsidR="0057376A" w:rsidRDefault="00117DFA">
      <w:pPr>
        <w:pStyle w:val="2"/>
        <w:snapToGrid w:val="0"/>
        <w:spacing w:before="0" w:after="0" w:line="360" w:lineRule="auto"/>
        <w:rPr>
          <w:rFonts w:eastAsia="宋体" w:cs="Arial"/>
          <w:kern w:val="0"/>
          <w:sz w:val="21"/>
          <w:szCs w:val="21"/>
        </w:rPr>
      </w:pPr>
      <w:bookmarkStart w:id="60" w:name="_Toc253128719"/>
      <w:r>
        <w:rPr>
          <w:rFonts w:eastAsia="宋体" w:hAnsi="宋体" w:cs="Arial" w:hint="eastAsia"/>
          <w:kern w:val="0"/>
          <w:sz w:val="21"/>
          <w:szCs w:val="21"/>
        </w:rPr>
        <w:t>一</w:t>
      </w:r>
      <w:r>
        <w:rPr>
          <w:rFonts w:eastAsia="宋体" w:hAnsi="宋体" w:cs="Arial"/>
          <w:kern w:val="0"/>
          <w:sz w:val="21"/>
          <w:szCs w:val="21"/>
        </w:rPr>
        <w:t>、基金</w:t>
      </w:r>
      <w:r>
        <w:rPr>
          <w:rFonts w:eastAsia="宋体" w:hAnsi="宋体" w:cs="Arial" w:hint="eastAsia"/>
          <w:kern w:val="0"/>
          <w:sz w:val="21"/>
          <w:szCs w:val="21"/>
        </w:rPr>
        <w:t>份额持有人、基金管理人和基金托管人的权利、义务</w:t>
      </w:r>
      <w:bookmarkEnd w:id="60"/>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一</w:t>
      </w:r>
      <w:r>
        <w:rPr>
          <w:rFonts w:ascii="Arial" w:hAnsi="宋体" w:cs="Arial"/>
          <w:kern w:val="0"/>
          <w:szCs w:val="21"/>
        </w:rPr>
        <w:t>）基金份额持有人</w:t>
      </w:r>
      <w:r>
        <w:rPr>
          <w:rFonts w:ascii="Arial" w:hAnsi="宋体" w:cs="Arial" w:hint="eastAsia"/>
          <w:kern w:val="0"/>
          <w:szCs w:val="21"/>
        </w:rPr>
        <w:t>的权利、义务</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本基金同类别基金份额的每份基金份额具有同等的合法权益。各类基金份额由于基金份额净值的不同，基金收益分配时的可供分配利润以及参与清算后的剩余基金财产分配的数量将可能有所不同。</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、基金份额持有人的权利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）分享基金财产收益；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）参与分配清算后的剩余基金财产；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）依法转让或者申请赎回其持有的基金份额；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）按照规定要求召开基金份额持有人大会；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）出席或者委派代表出席基金份额持有人大会，对基金份额持有人大会审议事项行使表决权；</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）查阅或者复制公开披露的基金信息资料；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）监督基金管理人的投资运作；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）对基金管理人、基金托管人、基金份额销售机构损害其合法权益的行为依法提起诉讼；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）法律法规、基金合同规定的其他权利。</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、基金份额持有人的义务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）遵守法律法规、基金合同及其他有关规定；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）缴纳基金认购、申购款项及基金合同规定的费用；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）在持有的基金份额范围内，承担基金亏损或者基金合同终止的有限责任；</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）不从事任何有损基金、其他基金份额持有人及其他基金合同当事人合法利益的活动；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）执行基金份额持有人大会的决议；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hint="eastAsia"/>
          <w:kern w:val="0"/>
          <w:szCs w:val="21"/>
        </w:rPr>
        <w:t>6</w:t>
      </w:r>
      <w:r>
        <w:rPr>
          <w:rFonts w:ascii="Arial" w:hAnsi="宋体" w:cs="Arial"/>
          <w:kern w:val="0"/>
          <w:szCs w:val="21"/>
        </w:rPr>
        <w:t>）遵守基金管理人、销售机构和注册登记机构的相关交易及业务规则；</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w:t>
      </w:r>
      <w:r>
        <w:rPr>
          <w:rFonts w:ascii="Arial" w:hAnsi="Arial" w:cs="Arial" w:hint="eastAsia"/>
          <w:kern w:val="0"/>
          <w:szCs w:val="21"/>
        </w:rPr>
        <w:t>7</w:t>
      </w:r>
      <w:r>
        <w:rPr>
          <w:rFonts w:ascii="Arial" w:hAnsi="宋体" w:cs="Arial"/>
          <w:kern w:val="0"/>
          <w:szCs w:val="21"/>
        </w:rPr>
        <w:t>）</w:t>
      </w:r>
      <w:r>
        <w:rPr>
          <w:rFonts w:ascii="Arial" w:hAnsi="宋体" w:cs="Arial" w:hint="eastAsia"/>
          <w:kern w:val="0"/>
          <w:szCs w:val="21"/>
        </w:rPr>
        <w:t>返还在基金交易过程中因任何原因获得的不当得利；</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w:t>
      </w:r>
      <w:r>
        <w:rPr>
          <w:rFonts w:ascii="Arial" w:hAnsi="宋体" w:cs="Arial" w:hint="eastAsia"/>
          <w:kern w:val="0"/>
          <w:szCs w:val="21"/>
        </w:rPr>
        <w:t>8</w:t>
      </w:r>
      <w:r>
        <w:rPr>
          <w:rFonts w:ascii="Arial" w:hAnsi="宋体" w:cs="Arial" w:hint="eastAsia"/>
          <w:kern w:val="0"/>
          <w:szCs w:val="21"/>
        </w:rPr>
        <w:t>）</w:t>
      </w:r>
      <w:r>
        <w:rPr>
          <w:rFonts w:ascii="Arial" w:hAnsi="宋体" w:cs="Arial"/>
          <w:kern w:val="0"/>
          <w:szCs w:val="21"/>
        </w:rPr>
        <w:t>法律法规及基金合同规定的其他义务。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二</w:t>
      </w:r>
      <w:r>
        <w:rPr>
          <w:rFonts w:ascii="Arial" w:hAnsi="宋体" w:cs="Arial"/>
          <w:kern w:val="0"/>
          <w:szCs w:val="21"/>
        </w:rPr>
        <w:t>）基金管理人</w:t>
      </w:r>
      <w:r>
        <w:rPr>
          <w:rFonts w:ascii="Arial" w:hAnsi="宋体" w:cs="Arial" w:hint="eastAsia"/>
          <w:kern w:val="0"/>
          <w:szCs w:val="21"/>
        </w:rPr>
        <w:t>的权利、义务</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1</w:t>
      </w:r>
      <w:r>
        <w:rPr>
          <w:rFonts w:ascii="Arial" w:hAnsi="宋体" w:cs="Arial"/>
          <w:kern w:val="0"/>
          <w:szCs w:val="21"/>
        </w:rPr>
        <w:t>、基金管理人的权利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）依法募集基金，办理基金备案手续；</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2</w:t>
      </w:r>
      <w:r>
        <w:rPr>
          <w:rFonts w:ascii="Arial" w:hAnsi="宋体" w:cs="Arial"/>
          <w:kern w:val="0"/>
          <w:szCs w:val="21"/>
        </w:rPr>
        <w:t>）依照法律法规和基金合同独立管理运用基金</w:t>
      </w:r>
      <w:r>
        <w:rPr>
          <w:rFonts w:ascii="Arial" w:hAnsi="宋体" w:cs="Arial" w:hint="eastAsia"/>
          <w:kern w:val="0"/>
          <w:szCs w:val="21"/>
        </w:rPr>
        <w:t>财</w:t>
      </w:r>
      <w:r>
        <w:rPr>
          <w:rFonts w:ascii="Arial" w:hAnsi="宋体" w:cs="Arial"/>
          <w:kern w:val="0"/>
          <w:szCs w:val="21"/>
        </w:rPr>
        <w:t>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）根据法律法规和基金合同的规定，制订、修改并公布有关基金认购、申购、赎回、转托管、基金转换、非交易过户、冻结、收益分配等方面的业务规则；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）根据法律法规和基金合同的规定决定本基金的相关费率结构和收费方式，获得基金管理费，收取认购费、申购费、赎回费及其他事先核准或公告的合理费用以及法律法规规定的其他费用；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）根据法律法规和基金合同的规定销售基金份额；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w:t>
      </w:r>
      <w:r>
        <w:rPr>
          <w:rFonts w:ascii="Arial" w:hAnsi="宋体" w:cs="Arial"/>
          <w:szCs w:val="21"/>
        </w:rPr>
        <w:t>在本合同的有效期内，在不违反公平、合理原则以及不妨碍基金托管人遵守相关法律法规及其行业监管要求的基础上，基金管理人有权对基金托管人履行本合同的情况进行必要的监督。</w:t>
      </w:r>
      <w:r>
        <w:rPr>
          <w:rFonts w:ascii="Arial" w:hAnsi="宋体" w:cs="Arial"/>
          <w:kern w:val="0"/>
          <w:szCs w:val="21"/>
        </w:rPr>
        <w:t>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）根据基金合同的规定选择适当的基金代销机构并有权依照代销协议和有关法律法规对基金代销机构行为进行必要的监督和检查；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）自行担任基金注册登记机构或选择、更换基金注册登记代理机构，办理基金注册登记业务，并按照基金合同规定对基金注册登记代理机构进行必要的监督和检查；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）在基金合同约定的范围内，拒绝或暂停受理申购和赎回的申请；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）在法律法规允许的前提下，为基金份额持有人的利益依法为基金进行融资、融券；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11</w:t>
      </w:r>
      <w:r>
        <w:rPr>
          <w:rFonts w:ascii="Arial" w:hAnsi="宋体" w:cs="Arial"/>
          <w:kern w:val="0"/>
          <w:szCs w:val="21"/>
        </w:rPr>
        <w:t>）依据法律法规和基金合同的规定，制订基金收益分配方案；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12</w:t>
      </w:r>
      <w:r>
        <w:rPr>
          <w:rFonts w:ascii="Arial" w:hAnsi="宋体" w:cs="Arial"/>
          <w:kern w:val="0"/>
          <w:szCs w:val="21"/>
        </w:rPr>
        <w:t>）按照法律法规，代表基金对被投资企业行使股东权利，代表基金行使因投资于其他证券所产生的权利；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13</w:t>
      </w:r>
      <w:r>
        <w:rPr>
          <w:rFonts w:ascii="Arial" w:hAnsi="宋体" w:cs="Arial"/>
          <w:kern w:val="0"/>
          <w:szCs w:val="21"/>
        </w:rPr>
        <w:t>）在基金托管人职责终止时，提名新的基金托管人；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14</w:t>
      </w:r>
      <w:r>
        <w:rPr>
          <w:rFonts w:ascii="Arial" w:hAnsi="宋体" w:cs="Arial"/>
          <w:kern w:val="0"/>
          <w:szCs w:val="21"/>
        </w:rPr>
        <w:t>）依据法律法规和基金合同的规定，召集基金份额持有人大会；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15</w:t>
      </w:r>
      <w:r>
        <w:rPr>
          <w:rFonts w:ascii="Arial" w:hAnsi="宋体" w:cs="Arial"/>
          <w:kern w:val="0"/>
          <w:szCs w:val="21"/>
        </w:rPr>
        <w:t>）选择、更换律师、审计师、证券经纪商或其他为基金提供服务的外部机构并确定有关费率；</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16</w:t>
      </w:r>
      <w:r>
        <w:rPr>
          <w:rFonts w:ascii="Arial" w:hAnsi="宋体" w:cs="Arial"/>
          <w:kern w:val="0"/>
          <w:szCs w:val="21"/>
        </w:rPr>
        <w:t>）法律法规、基金合同规定的其他权利。</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宋体" w:cs="Arial"/>
          <w:kern w:val="0"/>
          <w:szCs w:val="21"/>
        </w:rPr>
        <w:t>、基金管理人的义务</w:t>
      </w:r>
    </w:p>
    <w:p w:rsidR="0057376A" w:rsidRDefault="00117DFA">
      <w:pPr>
        <w:snapToGrid w:val="0"/>
        <w:spacing w:line="360" w:lineRule="auto"/>
        <w:ind w:firstLineChars="200" w:firstLine="420"/>
        <w:rPr>
          <w:rFonts w:ascii="Arial" w:hAnsi="Arial" w:cs="Arial"/>
          <w:color w:val="FF0000"/>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w:t>
      </w:r>
      <w:r>
        <w:rPr>
          <w:rFonts w:ascii="Arial" w:hAnsi="宋体" w:cs="Arial"/>
          <w:color w:val="000000"/>
          <w:kern w:val="0"/>
          <w:szCs w:val="21"/>
        </w:rPr>
        <w:t>依法申请并募集基金，办理或者委托经中国证监会认定的其他机构代为办理基金份额的发售、申购、赎回和登记事宜；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w:t>
      </w:r>
      <w:r>
        <w:rPr>
          <w:rFonts w:ascii="Arial" w:hAnsi="宋体" w:cs="Arial"/>
          <w:color w:val="000000"/>
          <w:kern w:val="0"/>
          <w:szCs w:val="21"/>
        </w:rPr>
        <w:t>办理基金备案手续；</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）自基金合同生效之日起，以诚实信用、勤勉尽责的原则管理和运用基金财产；</w:t>
      </w:r>
    </w:p>
    <w:p w:rsidR="0057376A" w:rsidRDefault="00117DFA">
      <w:pPr>
        <w:snapToGrid w:val="0"/>
        <w:spacing w:line="360" w:lineRule="auto"/>
        <w:ind w:firstLineChars="200" w:firstLine="420"/>
        <w:rPr>
          <w:rFonts w:ascii="Arial" w:hAnsi="Arial" w:cs="Arial"/>
          <w:color w:val="FF0000"/>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）配备足够的具有专业资格的人员进行基金投资分析、决策，以专业化的经营方式管理和运作基金财产；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5</w:t>
      </w:r>
      <w:r>
        <w:rPr>
          <w:rFonts w:ascii="Arial" w:hAnsi="宋体" w:cs="Arial"/>
          <w:kern w:val="0"/>
          <w:szCs w:val="21"/>
        </w:rPr>
        <w:t>）建立健全内部风险控制、监察与稽核、财务管理及人事管理等制度，保证所管理的基金财产和基金管理人的财产相互独立，对所管理的不同基金分别管理、分别记账，进行证券投资；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）按基金合同的约定确定基金收益分配方案，及时向基金份额持有人分配基金收益；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）除依据《基金法》、基金合同及其他有关规定外，不得为自己及任何第三人谋取利益，不得委托第三人运作基金财产；</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）进行基金会计核算并编制基金的财务会计报告；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）依法接受基金托管人的监督；</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）编制季度报告、中期报告和年度报告；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11</w:t>
      </w:r>
      <w:r>
        <w:rPr>
          <w:rFonts w:ascii="Arial" w:hAnsi="宋体" w:cs="Arial"/>
          <w:kern w:val="0"/>
          <w:szCs w:val="21"/>
        </w:rPr>
        <w:t>）采取适当合理的措施使计算开放式基金份额认购、申购、赎回和注销价格的方法符合基金合同等法律文件的规定；</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12</w:t>
      </w:r>
      <w:r>
        <w:rPr>
          <w:rFonts w:ascii="Arial" w:hAnsi="宋体" w:cs="Arial"/>
          <w:kern w:val="0"/>
          <w:szCs w:val="21"/>
        </w:rPr>
        <w:t>）计算并公告基金资产净值</w:t>
      </w:r>
      <w:r>
        <w:rPr>
          <w:rFonts w:ascii="Arial" w:hAnsi="宋体" w:cs="Arial" w:hint="eastAsia"/>
          <w:kern w:val="0"/>
          <w:szCs w:val="21"/>
        </w:rPr>
        <w:t>信息</w:t>
      </w:r>
      <w:r>
        <w:rPr>
          <w:rFonts w:ascii="Arial" w:hAnsi="宋体" w:cs="Arial"/>
          <w:kern w:val="0"/>
          <w:szCs w:val="21"/>
        </w:rPr>
        <w:t>，确定基金份额申购、赎回价格；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13</w:t>
      </w:r>
      <w:r>
        <w:rPr>
          <w:rFonts w:ascii="Arial" w:hAnsi="宋体" w:cs="Arial"/>
          <w:kern w:val="0"/>
          <w:szCs w:val="21"/>
        </w:rPr>
        <w:t>）严格按照《基金法》、基金合同及其他有关规定，履行信息披露及报告义务；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14</w:t>
      </w:r>
      <w:r>
        <w:rPr>
          <w:rFonts w:ascii="Arial" w:hAnsi="宋体" w:cs="Arial"/>
          <w:kern w:val="0"/>
          <w:szCs w:val="21"/>
        </w:rPr>
        <w:t>）保守基金商业秘密，不泄露基金投资计划、投资意向等。除基金法、基金合同及其他有关规定另有规定外，在基金信息公开披露前应予以保密，不得向他人泄露；</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15</w:t>
      </w:r>
      <w:r>
        <w:rPr>
          <w:rFonts w:ascii="Arial" w:hAnsi="宋体" w:cs="Arial"/>
          <w:kern w:val="0"/>
          <w:szCs w:val="21"/>
        </w:rPr>
        <w:t>）按规定受理申购和赎回申请，及时、足额支付赎回款项；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16</w:t>
      </w:r>
      <w:r>
        <w:rPr>
          <w:rFonts w:ascii="Arial" w:hAnsi="宋体" w:cs="Arial"/>
          <w:kern w:val="0"/>
          <w:szCs w:val="21"/>
        </w:rPr>
        <w:t>）保存基金财产管理业务活动的记录、账册、报表、代表基金签订的重大合同及其他相关资料；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17</w:t>
      </w:r>
      <w:r>
        <w:rPr>
          <w:rFonts w:ascii="Arial" w:hAnsi="宋体" w:cs="Arial"/>
          <w:kern w:val="0"/>
          <w:szCs w:val="21"/>
        </w:rPr>
        <w:t>）依据《基金法》、基金合同及其他有关规定召集基金份额持有人大会或配合基金托管人、基金份额持有人依法召集基金份额持有人大会；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18</w:t>
      </w:r>
      <w:r>
        <w:rPr>
          <w:rFonts w:ascii="Arial" w:hAnsi="宋体" w:cs="Arial"/>
          <w:kern w:val="0"/>
          <w:szCs w:val="21"/>
        </w:rPr>
        <w:t>）以基金管理人名义，代表基金份额持有人利益行使诉讼权利或实施其他法律行为；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19</w:t>
      </w:r>
      <w:r>
        <w:rPr>
          <w:rFonts w:ascii="Arial" w:hAnsi="宋体" w:cs="Arial"/>
          <w:kern w:val="0"/>
          <w:szCs w:val="21"/>
        </w:rPr>
        <w:t>）组织并参加基金财产清算小组，参与基金财产的保管、清理、估价、变现和分配；</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20</w:t>
      </w:r>
      <w:r>
        <w:rPr>
          <w:rFonts w:ascii="Arial" w:hAnsi="宋体" w:cs="Arial"/>
          <w:kern w:val="0"/>
          <w:szCs w:val="21"/>
        </w:rPr>
        <w:t>）因违反基金合同导致基金财产的损失或损害基金份额持有人的合法权益，应承担赔偿责任，其赔偿责任不因其退任而免除；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21</w:t>
      </w:r>
      <w:r>
        <w:rPr>
          <w:rFonts w:ascii="Arial" w:hAnsi="宋体" w:cs="Arial"/>
          <w:kern w:val="0"/>
          <w:szCs w:val="21"/>
        </w:rPr>
        <w:t>）基金托管人违反基金合同造成基金财产损失时，应为基金份额持有人利益向基金托管人追偿；</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22</w:t>
      </w:r>
      <w:r>
        <w:rPr>
          <w:rFonts w:ascii="Arial" w:hAnsi="宋体" w:cs="Arial"/>
          <w:kern w:val="0"/>
          <w:szCs w:val="21"/>
        </w:rPr>
        <w:t>）法律法规、基金合同及中国证监会规定的其他义务。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三</w:t>
      </w:r>
      <w:r>
        <w:rPr>
          <w:rFonts w:ascii="Arial" w:hAnsi="宋体" w:cs="Arial"/>
          <w:kern w:val="0"/>
          <w:szCs w:val="21"/>
        </w:rPr>
        <w:t>）基金托管人</w:t>
      </w:r>
      <w:r>
        <w:rPr>
          <w:rFonts w:ascii="Arial" w:hAnsi="宋体" w:cs="Arial" w:hint="eastAsia"/>
          <w:kern w:val="0"/>
          <w:szCs w:val="21"/>
        </w:rPr>
        <w:t>的权利和义务</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1</w:t>
      </w:r>
      <w:r>
        <w:rPr>
          <w:rFonts w:ascii="Arial" w:hAnsi="宋体" w:cs="Arial"/>
          <w:kern w:val="0"/>
          <w:szCs w:val="21"/>
        </w:rPr>
        <w:t>、基金托管人的权利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）依据法律法规和基金合同的规定安全保管基金财产；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）依照基金合同的约定获得基金托管费；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）监督基金管理人对本基金的投资运作；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4</w:t>
      </w:r>
      <w:r>
        <w:rPr>
          <w:rFonts w:ascii="Arial" w:hAnsi="宋体" w:cs="Arial"/>
          <w:kern w:val="0"/>
          <w:szCs w:val="21"/>
        </w:rPr>
        <w:t>）在基金管理人职责终止时，提名新的基金管理人；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）依据法律法规和基金合同的规定召集基金份额持有人大会；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）法律法规、基金合同规定的其他权利。</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宋体" w:cs="Arial"/>
          <w:kern w:val="0"/>
          <w:szCs w:val="21"/>
        </w:rPr>
        <w:t>、基金托管人的义务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）安全保管基金财产；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）设立专门的基金托管部，具有符合要求的营业场所，配备足够的、合格的熟悉基金托管业务的专职人员，负责基金财产托管事宜；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）按规定开设基金财产的资金账户和证券账户；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）除依据《基金法》、基金合同及其他有关规定外，不得以基金财产为自己及任何第三人谋取利益，不得委托第三人托管基金财产；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）对所托管的不同基金财产分别设置账户，确保基金财产的完整和独立；</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）保管由基金管理人代表基金签订的与基金有关的重大合同及有关凭证；</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）保存基金托管业务活动的记录、账册、报表和其他相关资料；</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）按照基金合同的约定，根据基金管理人的指令，及时办理清算、交割事宜；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9</w:t>
      </w:r>
      <w:r>
        <w:rPr>
          <w:rFonts w:ascii="Arial" w:hAnsi="宋体" w:cs="Arial"/>
          <w:kern w:val="0"/>
          <w:szCs w:val="21"/>
        </w:rPr>
        <w:t>）保守基金商业秘密。除《基金法》、基金合同及其他有关规定另有规定外，在基金信息公开披露前应予以保密，不得向他人泄露；</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10</w:t>
      </w:r>
      <w:r>
        <w:rPr>
          <w:rFonts w:ascii="Arial" w:hAnsi="宋体" w:cs="Arial"/>
          <w:kern w:val="0"/>
          <w:szCs w:val="21"/>
        </w:rPr>
        <w:t>）根据法律法规及本合同的约定，办理与基金托管业务活动有关的信息披露事项；</w:t>
      </w:r>
    </w:p>
    <w:p w:rsidR="0057376A" w:rsidRDefault="00117DFA">
      <w:pPr>
        <w:snapToGrid w:val="0"/>
        <w:spacing w:line="360" w:lineRule="auto"/>
        <w:ind w:firstLineChars="200" w:firstLine="420"/>
        <w:rPr>
          <w:rFonts w:ascii="Arial" w:hAnsi="Arial" w:cs="Arial"/>
          <w:color w:val="000000"/>
          <w:kern w:val="0"/>
          <w:szCs w:val="21"/>
        </w:rPr>
      </w:pPr>
      <w:r>
        <w:rPr>
          <w:rFonts w:ascii="Arial" w:hAnsi="宋体" w:cs="Arial"/>
          <w:color w:val="000000"/>
          <w:kern w:val="0"/>
          <w:szCs w:val="21"/>
        </w:rPr>
        <w:t>（</w:t>
      </w:r>
      <w:r>
        <w:rPr>
          <w:rFonts w:ascii="Arial" w:hAnsi="Arial" w:cs="Arial"/>
          <w:color w:val="000000"/>
          <w:kern w:val="0"/>
          <w:szCs w:val="21"/>
        </w:rPr>
        <w:t>11</w:t>
      </w:r>
      <w:r>
        <w:rPr>
          <w:rFonts w:ascii="Arial" w:hAnsi="宋体" w:cs="Arial"/>
          <w:color w:val="000000"/>
          <w:kern w:val="0"/>
          <w:szCs w:val="21"/>
        </w:rPr>
        <w:t>）对基金财务会计报告、半年度和年度基金报告的相关内容出具意见，说明基金管理人在各重要方面的运作是否严格按照基金合同的规定进行；如果基金管理人有未执行基金合同规定的行为，还应当说明基金托管人是否采取了适当的措施；</w:t>
      </w:r>
    </w:p>
    <w:p w:rsidR="0057376A" w:rsidRDefault="00117DFA">
      <w:pPr>
        <w:snapToGrid w:val="0"/>
        <w:spacing w:line="360" w:lineRule="auto"/>
        <w:ind w:firstLineChars="200" w:firstLine="420"/>
        <w:rPr>
          <w:rFonts w:ascii="Arial" w:hAnsi="Arial" w:cs="Arial"/>
          <w:color w:val="000000"/>
          <w:kern w:val="0"/>
          <w:szCs w:val="21"/>
        </w:rPr>
      </w:pPr>
      <w:r>
        <w:rPr>
          <w:rFonts w:ascii="Arial" w:hAnsi="宋体" w:cs="Arial"/>
          <w:color w:val="000000"/>
          <w:kern w:val="0"/>
          <w:szCs w:val="21"/>
        </w:rPr>
        <w:t>（</w:t>
      </w:r>
      <w:r>
        <w:rPr>
          <w:rFonts w:ascii="Arial" w:hAnsi="Arial" w:cs="Arial"/>
          <w:color w:val="000000"/>
          <w:kern w:val="0"/>
          <w:szCs w:val="21"/>
        </w:rPr>
        <w:t>12</w:t>
      </w:r>
      <w:r>
        <w:rPr>
          <w:rFonts w:ascii="Arial" w:hAnsi="宋体" w:cs="Arial"/>
          <w:color w:val="000000"/>
          <w:kern w:val="0"/>
          <w:szCs w:val="21"/>
        </w:rPr>
        <w:t>）</w:t>
      </w:r>
      <w:r>
        <w:rPr>
          <w:rFonts w:ascii="Arial" w:hAnsi="宋体" w:cs="Arial" w:hint="eastAsia"/>
          <w:color w:val="000000"/>
          <w:kern w:val="0"/>
          <w:szCs w:val="21"/>
        </w:rPr>
        <w:t>建立并</w:t>
      </w:r>
      <w:r>
        <w:rPr>
          <w:rFonts w:ascii="Arial" w:hAnsi="宋体" w:cs="Arial"/>
          <w:color w:val="000000"/>
          <w:kern w:val="0"/>
          <w:szCs w:val="21"/>
        </w:rPr>
        <w:t>保存基金份额持有人名册；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13</w:t>
      </w:r>
      <w:r>
        <w:rPr>
          <w:rFonts w:ascii="Arial" w:hAnsi="宋体" w:cs="Arial"/>
          <w:kern w:val="0"/>
          <w:szCs w:val="21"/>
        </w:rPr>
        <w:t>）复核</w:t>
      </w:r>
      <w:r>
        <w:rPr>
          <w:rFonts w:ascii="Arial" w:hAnsi="宋体" w:cs="Arial" w:hint="eastAsia"/>
          <w:kern w:val="0"/>
          <w:szCs w:val="21"/>
        </w:rPr>
        <w:t>审查</w:t>
      </w:r>
      <w:r>
        <w:rPr>
          <w:rFonts w:ascii="Arial" w:hAnsi="宋体" w:cs="Arial"/>
          <w:kern w:val="0"/>
          <w:szCs w:val="21"/>
        </w:rPr>
        <w:t>基金管理人计算的基金资产净值和基金份额</w:t>
      </w:r>
      <w:r>
        <w:rPr>
          <w:rFonts w:ascii="Arial" w:hAnsi="宋体" w:cs="Arial" w:hint="eastAsia"/>
          <w:kern w:val="0"/>
          <w:szCs w:val="21"/>
        </w:rPr>
        <w:t>净值、基金份额</w:t>
      </w:r>
      <w:r>
        <w:rPr>
          <w:rFonts w:ascii="Arial" w:hAnsi="宋体" w:cs="Arial"/>
          <w:kern w:val="0"/>
          <w:szCs w:val="21"/>
        </w:rPr>
        <w:t>申购、赎回价格；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14</w:t>
      </w:r>
      <w:r>
        <w:rPr>
          <w:rFonts w:ascii="Arial" w:hAnsi="宋体" w:cs="Arial"/>
          <w:kern w:val="0"/>
          <w:szCs w:val="21"/>
        </w:rPr>
        <w:t>）按规定制作相关账册并与基金管理人核对；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15</w:t>
      </w:r>
      <w:r>
        <w:rPr>
          <w:rFonts w:ascii="Arial" w:hAnsi="宋体" w:cs="Arial"/>
          <w:kern w:val="0"/>
          <w:szCs w:val="21"/>
        </w:rPr>
        <w:t>）依据基金管理人的指令或有关规定向基金份额持有人支付基金收益和赎回款项；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16</w:t>
      </w:r>
      <w:r>
        <w:rPr>
          <w:rFonts w:ascii="Arial" w:hAnsi="宋体" w:cs="Arial"/>
          <w:kern w:val="0"/>
          <w:szCs w:val="21"/>
        </w:rPr>
        <w:t>）按照规定召集基金份额持有人大会或配合基金份额持有人依法自行召集基金份额持有人大会；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17</w:t>
      </w:r>
      <w:r>
        <w:rPr>
          <w:rFonts w:ascii="Arial" w:hAnsi="宋体" w:cs="Arial"/>
          <w:kern w:val="0"/>
          <w:szCs w:val="21"/>
        </w:rPr>
        <w:t>）按照法律法规监督基金管理人的投资运作；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18</w:t>
      </w:r>
      <w:r>
        <w:rPr>
          <w:rFonts w:ascii="Arial" w:hAnsi="宋体" w:cs="Arial"/>
          <w:kern w:val="0"/>
          <w:szCs w:val="21"/>
        </w:rPr>
        <w:t>）违反基金合同导致基金财产损失，应承担赔偿责任，其责任不因其退任而免除；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19</w:t>
      </w:r>
      <w:r>
        <w:rPr>
          <w:rFonts w:ascii="Arial" w:hAnsi="宋体" w:cs="Arial"/>
          <w:kern w:val="0"/>
          <w:szCs w:val="21"/>
        </w:rPr>
        <w:t>）因基金管理人违反基金合同造成基金财产损失时，应为基金向基金管理人追偿；</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20</w:t>
      </w:r>
      <w:r>
        <w:rPr>
          <w:rFonts w:ascii="Arial" w:hAnsi="宋体" w:cs="Arial"/>
          <w:kern w:val="0"/>
          <w:szCs w:val="21"/>
        </w:rPr>
        <w:t>）法律法规、基金合同及中国证监会规定的其他义务。</w:t>
      </w:r>
    </w:p>
    <w:p w:rsidR="0057376A" w:rsidRDefault="0057376A">
      <w:pPr>
        <w:snapToGrid w:val="0"/>
        <w:spacing w:line="360" w:lineRule="auto"/>
        <w:rPr>
          <w:rFonts w:ascii="Arial" w:hAnsi="Arial" w:cs="Arial"/>
          <w:szCs w:val="21"/>
        </w:rPr>
      </w:pPr>
    </w:p>
    <w:p w:rsidR="0057376A" w:rsidRDefault="00117DFA">
      <w:pPr>
        <w:pStyle w:val="2"/>
        <w:snapToGrid w:val="0"/>
        <w:spacing w:before="0" w:after="0" w:line="360" w:lineRule="auto"/>
        <w:rPr>
          <w:rFonts w:eastAsia="宋体" w:cs="Arial"/>
          <w:kern w:val="0"/>
          <w:sz w:val="21"/>
          <w:szCs w:val="21"/>
        </w:rPr>
      </w:pPr>
      <w:bookmarkStart w:id="61" w:name="_Toc253128720"/>
      <w:r>
        <w:rPr>
          <w:rFonts w:eastAsia="宋体" w:hAnsi="宋体" w:cs="Arial" w:hint="eastAsia"/>
          <w:kern w:val="0"/>
          <w:sz w:val="21"/>
          <w:szCs w:val="21"/>
        </w:rPr>
        <w:t>二</w:t>
      </w:r>
      <w:r>
        <w:rPr>
          <w:rFonts w:eastAsia="宋体" w:hAnsi="宋体" w:cs="Arial"/>
          <w:kern w:val="0"/>
          <w:sz w:val="21"/>
          <w:szCs w:val="21"/>
        </w:rPr>
        <w:t>、基金份额持有人大会</w:t>
      </w:r>
      <w:r>
        <w:rPr>
          <w:rFonts w:eastAsia="宋体" w:hAnsi="宋体" w:cs="Arial" w:hint="eastAsia"/>
          <w:kern w:val="0"/>
          <w:sz w:val="21"/>
          <w:szCs w:val="21"/>
        </w:rPr>
        <w:t>召集、议事及表决的程序和规则</w:t>
      </w:r>
      <w:bookmarkEnd w:id="61"/>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（一）本基金的基金份额持有人大会，由本基金的基金份额持有人或其合法的代理人组</w:t>
      </w:r>
      <w:r>
        <w:rPr>
          <w:rFonts w:ascii="Arial" w:hAnsi="宋体" w:cs="Arial"/>
          <w:kern w:val="0"/>
          <w:szCs w:val="21"/>
        </w:rPr>
        <w:lastRenderedPageBreak/>
        <w:t>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（二）有以下情形之一时，应召开基金份额持有人大会：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、终止基金合同</w:t>
      </w:r>
      <w:r>
        <w:rPr>
          <w:rFonts w:ascii="Arial" w:hAnsi="宋体" w:cs="Arial" w:hint="eastAsia"/>
          <w:kern w:val="0"/>
          <w:szCs w:val="21"/>
        </w:rPr>
        <w:t>，但本章第（四）条规定的情形除外</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、转换基金运作方式；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、提高基金管理人、基金托管人的报酬标准</w:t>
      </w:r>
      <w:r>
        <w:rPr>
          <w:rFonts w:ascii="Arial" w:hAnsi="宋体" w:cs="Arial"/>
        </w:rPr>
        <w:t>及赎回费率</w:t>
      </w:r>
      <w:r>
        <w:rPr>
          <w:rFonts w:ascii="Arial" w:hAnsi="宋体" w:cs="Arial"/>
          <w:kern w:val="0"/>
          <w:szCs w:val="21"/>
        </w:rPr>
        <w:t>，但根据法律法规的要求提高该等报酬标准的除外；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sidRPr="004443CE">
        <w:rPr>
          <w:rFonts w:ascii="Arial" w:hAnsi="宋体"/>
          <w:kern w:val="0"/>
        </w:rPr>
        <w:t>、更换基金管理人、基金托管人；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、变更基金类别；</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、变更基金投资目标、范围或策略；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7</w:t>
      </w:r>
      <w:r>
        <w:rPr>
          <w:rFonts w:ascii="Arial" w:hAnsi="宋体" w:cs="Arial"/>
          <w:kern w:val="0"/>
          <w:szCs w:val="21"/>
        </w:rPr>
        <w:t>、变更基金份额持有人大会议事程序、表决方式和表决程序；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8</w:t>
      </w:r>
      <w:r>
        <w:rPr>
          <w:rFonts w:ascii="Arial" w:hAnsi="宋体" w:cs="Arial"/>
          <w:kern w:val="0"/>
          <w:szCs w:val="21"/>
        </w:rPr>
        <w:t>、本基金与其他基金合并；</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9</w:t>
      </w:r>
      <w:r>
        <w:rPr>
          <w:rFonts w:ascii="Arial" w:hAnsi="宋体" w:cs="Arial"/>
          <w:kern w:val="0"/>
          <w:szCs w:val="21"/>
        </w:rPr>
        <w:t>、对基金合同当事人权利、义务产生重大影响，需召开基金份额持有人大会的变更基金合同等其他事项；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10</w:t>
      </w:r>
      <w:r>
        <w:rPr>
          <w:rFonts w:ascii="Arial" w:hAnsi="宋体" w:cs="Arial"/>
          <w:kern w:val="0"/>
          <w:szCs w:val="21"/>
        </w:rPr>
        <w:t>、法律法规或中国证监会规定的其他应当召开基金份额持有人大会的事项。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（三）有以下情形之一的，不需召开基金份额持有人大会：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、调低基金管理费率、基金托管费率</w:t>
      </w:r>
      <w:r>
        <w:rPr>
          <w:rFonts w:ascii="Arial" w:hAnsi="宋体" w:cs="Arial" w:hint="eastAsia"/>
          <w:kern w:val="0"/>
          <w:szCs w:val="21"/>
        </w:rPr>
        <w:t>、销售服务费</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、在法律法规和基金合同规定的范围内变更本基金的申购费率、调低赎回费率或变更收费方式；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、因相应的法律法规发生变动而应当对基金合同进行修改；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、对基金合同的修改不涉及基金合同当事人权利义务关系发生变化；</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、对基金合同的修改对基金份额持有人利益无实质性不利影响；</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6</w:t>
      </w:r>
      <w:r>
        <w:rPr>
          <w:rFonts w:ascii="Arial" w:hAnsi="宋体" w:cs="Arial"/>
          <w:kern w:val="0"/>
          <w:szCs w:val="21"/>
        </w:rPr>
        <w:t>、除法律法规或基金合同规定应当召开基金份额持有人大会以外的其他情形。</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（四）基金合同生效后，有以下事由情形之一时，终止基金合同不需要召开基金份额持有人大会：</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1</w:t>
      </w:r>
      <w:r>
        <w:rPr>
          <w:rFonts w:ascii="Arial" w:hAnsi="宋体" w:cs="Arial" w:hint="eastAsia"/>
          <w:kern w:val="0"/>
          <w:szCs w:val="21"/>
        </w:rPr>
        <w:t>、连续</w:t>
      </w:r>
      <w:r>
        <w:rPr>
          <w:rFonts w:ascii="Arial" w:hAnsi="宋体" w:cs="Arial" w:hint="eastAsia"/>
          <w:kern w:val="0"/>
          <w:szCs w:val="21"/>
        </w:rPr>
        <w:t>60</w:t>
      </w:r>
      <w:r>
        <w:rPr>
          <w:rFonts w:ascii="Arial" w:hAnsi="宋体" w:cs="Arial" w:hint="eastAsia"/>
          <w:kern w:val="0"/>
          <w:szCs w:val="21"/>
        </w:rPr>
        <w:t>个工作日出现基金份额持有人数量不满</w:t>
      </w:r>
      <w:r>
        <w:rPr>
          <w:rFonts w:ascii="Arial" w:hAnsi="宋体" w:cs="Arial" w:hint="eastAsia"/>
          <w:kern w:val="0"/>
          <w:szCs w:val="21"/>
        </w:rPr>
        <w:t>200</w:t>
      </w:r>
      <w:r>
        <w:rPr>
          <w:rFonts w:ascii="Arial" w:hAnsi="宋体" w:cs="Arial" w:hint="eastAsia"/>
          <w:kern w:val="0"/>
          <w:szCs w:val="21"/>
        </w:rPr>
        <w:t>人；</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2</w:t>
      </w:r>
      <w:r>
        <w:rPr>
          <w:rFonts w:ascii="Arial" w:hAnsi="宋体" w:cs="Arial" w:hint="eastAsia"/>
          <w:kern w:val="0"/>
          <w:szCs w:val="21"/>
        </w:rPr>
        <w:t>、连续</w:t>
      </w:r>
      <w:r>
        <w:rPr>
          <w:rFonts w:ascii="Arial" w:hAnsi="宋体" w:cs="Arial" w:hint="eastAsia"/>
          <w:kern w:val="0"/>
          <w:szCs w:val="21"/>
        </w:rPr>
        <w:t>60</w:t>
      </w:r>
      <w:r>
        <w:rPr>
          <w:rFonts w:ascii="Arial" w:hAnsi="宋体" w:cs="Arial" w:hint="eastAsia"/>
          <w:kern w:val="0"/>
          <w:szCs w:val="21"/>
        </w:rPr>
        <w:t>个工作日出现基金资产净值低于</w:t>
      </w:r>
      <w:r>
        <w:rPr>
          <w:rFonts w:ascii="Arial" w:hAnsi="宋体" w:cs="Arial" w:hint="eastAsia"/>
          <w:kern w:val="0"/>
          <w:szCs w:val="21"/>
        </w:rPr>
        <w:t>3000</w:t>
      </w:r>
      <w:r>
        <w:rPr>
          <w:rFonts w:ascii="Arial" w:hAnsi="宋体" w:cs="Arial" w:hint="eastAsia"/>
          <w:kern w:val="0"/>
          <w:szCs w:val="21"/>
        </w:rPr>
        <w:t>万元；</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3</w:t>
      </w:r>
      <w:r>
        <w:rPr>
          <w:rFonts w:ascii="Arial" w:hAnsi="宋体" w:cs="Arial" w:hint="eastAsia"/>
          <w:kern w:val="0"/>
          <w:szCs w:val="21"/>
        </w:rPr>
        <w:t>、连续</w:t>
      </w:r>
      <w:r>
        <w:rPr>
          <w:rFonts w:ascii="Arial" w:hAnsi="宋体" w:cs="Arial" w:hint="eastAsia"/>
          <w:kern w:val="0"/>
          <w:szCs w:val="21"/>
        </w:rPr>
        <w:t>60</w:t>
      </w:r>
      <w:r>
        <w:rPr>
          <w:rFonts w:ascii="Arial" w:hAnsi="宋体" w:cs="Arial" w:hint="eastAsia"/>
          <w:kern w:val="0"/>
          <w:szCs w:val="21"/>
        </w:rPr>
        <w:t>个工作日出现前十大基金份额持有人持有基金份额总额超过基金总份额的</w:t>
      </w:r>
      <w:r>
        <w:rPr>
          <w:rFonts w:ascii="Arial" w:hAnsi="宋体" w:cs="Arial" w:hint="eastAsia"/>
          <w:kern w:val="0"/>
          <w:szCs w:val="21"/>
        </w:rPr>
        <w:t>90%</w:t>
      </w:r>
      <w:r>
        <w:rPr>
          <w:rFonts w:ascii="Arial" w:hAnsi="宋体" w:cs="Arial" w:hint="eastAsia"/>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五</w:t>
      </w:r>
      <w:r>
        <w:rPr>
          <w:rFonts w:ascii="Arial" w:hAnsi="宋体" w:cs="Arial"/>
          <w:kern w:val="0"/>
          <w:szCs w:val="21"/>
        </w:rPr>
        <w:t>）召集方式：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、除法律法规或基金合同另有约定外，基金份额持有人大会由基金管理人召集。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、基金托管人认为有必要召开基金份额持有人大会的，应当向基金管理人提出书面提议。基金管理人应当自收到书面提议之日起</w:t>
      </w:r>
      <w:r>
        <w:rPr>
          <w:rFonts w:ascii="Arial" w:hAnsi="Arial" w:cs="Arial"/>
          <w:kern w:val="0"/>
          <w:szCs w:val="21"/>
        </w:rPr>
        <w:t>10</w:t>
      </w:r>
      <w:r>
        <w:rPr>
          <w:rFonts w:ascii="Arial" w:hAnsi="宋体" w:cs="Arial"/>
          <w:kern w:val="0"/>
          <w:szCs w:val="21"/>
        </w:rPr>
        <w:t>日内决定是否召集，并书面告知基金托管人。基金管理人决定召集的，应当自出具书面决定之日起</w:t>
      </w:r>
      <w:r>
        <w:rPr>
          <w:rFonts w:ascii="Arial" w:hAnsi="Arial" w:cs="Arial"/>
          <w:kern w:val="0"/>
          <w:szCs w:val="21"/>
        </w:rPr>
        <w:t>60</w:t>
      </w:r>
      <w:r>
        <w:rPr>
          <w:rFonts w:ascii="Arial" w:hAnsi="宋体" w:cs="Arial"/>
          <w:kern w:val="0"/>
          <w:szCs w:val="21"/>
        </w:rPr>
        <w:t>日内召开；基金管理人决定不召集，基金托管人仍认为有必要召开的，应当自行召集。</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lastRenderedPageBreak/>
        <w:t>3</w:t>
      </w:r>
      <w:r>
        <w:rPr>
          <w:rFonts w:ascii="Arial" w:hAnsi="宋体" w:cs="Arial"/>
          <w:kern w:val="0"/>
          <w:szCs w:val="21"/>
        </w:rPr>
        <w:t>、代表基金份额</w:t>
      </w:r>
      <w:r>
        <w:rPr>
          <w:rFonts w:ascii="Arial" w:hAnsi="Arial" w:cs="Arial"/>
          <w:kern w:val="0"/>
          <w:szCs w:val="21"/>
        </w:rPr>
        <w:t>10%</w:t>
      </w:r>
      <w:r>
        <w:rPr>
          <w:rFonts w:ascii="Arial" w:hAnsi="宋体" w:cs="Arial"/>
          <w:kern w:val="0"/>
          <w:szCs w:val="21"/>
        </w:rPr>
        <w:t>以上的基金份额持有人认为有必要召开基金份额持有人大会的，应当向基金管理人提出书面提议。基金管理人应当自收到书面提议之日起</w:t>
      </w:r>
      <w:r>
        <w:rPr>
          <w:rFonts w:ascii="Arial" w:hAnsi="Arial" w:cs="Arial"/>
          <w:kern w:val="0"/>
          <w:szCs w:val="21"/>
        </w:rPr>
        <w:t>10</w:t>
      </w:r>
      <w:r>
        <w:rPr>
          <w:rFonts w:ascii="Arial" w:hAnsi="宋体" w:cs="Arial"/>
          <w:kern w:val="0"/>
          <w:szCs w:val="21"/>
        </w:rPr>
        <w:t>日内决定是否召集，并书面告知提出提议的基金份额持有人代表和基金托管人。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基金管理人决定召集的，应当自出具书面决定之日起</w:t>
      </w:r>
      <w:r>
        <w:rPr>
          <w:rFonts w:ascii="Arial" w:hAnsi="Arial" w:cs="Arial"/>
          <w:kern w:val="0"/>
          <w:szCs w:val="21"/>
        </w:rPr>
        <w:t>60</w:t>
      </w:r>
      <w:r>
        <w:rPr>
          <w:rFonts w:ascii="Arial" w:hAnsi="宋体" w:cs="Arial"/>
          <w:kern w:val="0"/>
          <w:szCs w:val="21"/>
        </w:rPr>
        <w:t>日内召开；基金管理人决定不召集，代表基金份额</w:t>
      </w:r>
      <w:r>
        <w:rPr>
          <w:rFonts w:ascii="Arial" w:hAnsi="Arial" w:cs="Arial"/>
          <w:kern w:val="0"/>
          <w:szCs w:val="21"/>
        </w:rPr>
        <w:t>10%</w:t>
      </w:r>
      <w:r>
        <w:rPr>
          <w:rFonts w:ascii="Arial" w:hAnsi="宋体" w:cs="Arial"/>
          <w:kern w:val="0"/>
          <w:szCs w:val="21"/>
        </w:rPr>
        <w:t>以上的基金份额持有人仍认为有必要召开的，应当向基金托管人提出书面提议。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基金托管人应当自收到书面提议之日起</w:t>
      </w:r>
      <w:r>
        <w:rPr>
          <w:rFonts w:ascii="Arial" w:hAnsi="Arial" w:cs="Arial"/>
          <w:kern w:val="0"/>
          <w:szCs w:val="21"/>
        </w:rPr>
        <w:t>10</w:t>
      </w:r>
      <w:r>
        <w:rPr>
          <w:rFonts w:ascii="Arial" w:hAnsi="宋体" w:cs="Arial"/>
          <w:kern w:val="0"/>
          <w:szCs w:val="21"/>
        </w:rPr>
        <w:t>日内决定是否召集，并书面告知提出提议的基金份额持有人代表和基金管理人；基金托管人决定召集的，应当自出具书面决定之日起</w:t>
      </w:r>
      <w:r>
        <w:rPr>
          <w:rFonts w:ascii="Arial" w:hAnsi="Arial" w:cs="Arial"/>
          <w:kern w:val="0"/>
          <w:szCs w:val="21"/>
        </w:rPr>
        <w:t>60</w:t>
      </w:r>
      <w:r>
        <w:rPr>
          <w:rFonts w:ascii="Arial" w:hAnsi="宋体" w:cs="Arial"/>
          <w:kern w:val="0"/>
          <w:szCs w:val="21"/>
        </w:rPr>
        <w:t>日内召开。</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、代表基金份额</w:t>
      </w:r>
      <w:r>
        <w:rPr>
          <w:rFonts w:ascii="Arial" w:hAnsi="Arial" w:cs="Arial"/>
          <w:kern w:val="0"/>
          <w:szCs w:val="21"/>
        </w:rPr>
        <w:t>10%</w:t>
      </w:r>
      <w:r>
        <w:rPr>
          <w:rFonts w:ascii="Arial" w:hAnsi="宋体" w:cs="Arial"/>
          <w:kern w:val="0"/>
          <w:szCs w:val="21"/>
        </w:rPr>
        <w:t>的基金份额持有人就同一事项书面要求召开基金份额持有人大会，而基金管理人、基金托管人都不召集的，代表基金份额</w:t>
      </w:r>
      <w:r>
        <w:rPr>
          <w:rFonts w:ascii="Arial" w:hAnsi="Arial" w:cs="Arial"/>
          <w:kern w:val="0"/>
          <w:szCs w:val="21"/>
        </w:rPr>
        <w:t>10%</w:t>
      </w:r>
      <w:r>
        <w:rPr>
          <w:rFonts w:ascii="Arial" w:hAnsi="宋体" w:cs="Arial"/>
          <w:kern w:val="0"/>
          <w:szCs w:val="21"/>
        </w:rPr>
        <w:t>以上的基金份额持有人有权自行召集，并至少提前</w:t>
      </w:r>
      <w:r>
        <w:rPr>
          <w:rFonts w:ascii="Arial" w:hAnsi="Arial" w:cs="Arial"/>
          <w:kern w:val="0"/>
          <w:szCs w:val="21"/>
        </w:rPr>
        <w:t>30</w:t>
      </w:r>
      <w:r>
        <w:rPr>
          <w:rFonts w:ascii="Arial" w:hAnsi="宋体" w:cs="Arial"/>
          <w:kern w:val="0"/>
          <w:szCs w:val="21"/>
        </w:rPr>
        <w:t>日报中国证监会备案。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、基金份额持有人依法自行召集基金份额持有人大会的，基金管理人、基金托管人应当配合，不得阻碍、干扰。</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、基金份额持有人大会的召集人负责选择确定开会时间、地点、方式和权益登记日。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六</w:t>
      </w:r>
      <w:r>
        <w:rPr>
          <w:rFonts w:ascii="Arial" w:hAnsi="宋体" w:cs="Arial"/>
          <w:kern w:val="0"/>
          <w:szCs w:val="21"/>
        </w:rPr>
        <w:t>）通知</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召开基金份额持有人大会，召集人应当于会议召开前</w:t>
      </w:r>
      <w:r>
        <w:rPr>
          <w:rFonts w:ascii="Arial" w:hAnsi="Arial" w:cs="Arial"/>
          <w:kern w:val="0"/>
          <w:szCs w:val="21"/>
        </w:rPr>
        <w:t>30</w:t>
      </w:r>
      <w:r>
        <w:rPr>
          <w:rFonts w:ascii="Arial" w:hAnsi="宋体" w:cs="Arial"/>
          <w:kern w:val="0"/>
          <w:szCs w:val="21"/>
        </w:rPr>
        <w:t>天在指定媒介上公告。基金份额持有人大会不得就未经公告的事项进行表决。基金份额持有人大会通知将至少载明以下内容：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、会议召开的时间、地点、方式；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、会议拟审议的主要事项、议事程序和表决方式；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、代理投票授权委托书送达时间和地点；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、会务常设联系人姓名、电话；</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、权益登记日；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、如采用通讯表决方式，还应载明具体通讯方式、委托的公证机关及其联系方式和联系人、书面表达意见的寄交和收取方式、投票表决的截止日以及表决票的送达地址等内容。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七</w:t>
      </w:r>
      <w:r>
        <w:rPr>
          <w:rFonts w:ascii="Arial" w:hAnsi="宋体" w:cs="Arial"/>
          <w:kern w:val="0"/>
          <w:szCs w:val="21"/>
        </w:rPr>
        <w:t>）开会方式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基金份额持有人大会的召开方式包括现场开会和通讯方式开会。现场开会由基金份额持有人本人出席或通过授权委派其代理人出席，现场开会时基金管理人和基金托管人的授权代表应当出席</w:t>
      </w:r>
      <w:r>
        <w:rPr>
          <w:rFonts w:ascii="Arial" w:hAnsi="宋体" w:cs="Arial"/>
          <w:kern w:val="0"/>
        </w:rPr>
        <w:t>，</w:t>
      </w:r>
      <w:r>
        <w:rPr>
          <w:rFonts w:ascii="Arial" w:hAnsi="宋体" w:cs="Arial"/>
          <w:kern w:val="0"/>
          <w:szCs w:val="21"/>
        </w:rPr>
        <w:t>基金管理人或基金托管人不派代表出席的，不影响表决效力；通讯方式开会指按照基金合同的相关规定以通讯的书面方式进行表决。会议的召开方式由召集人确定，但决定基金管理人更换或基金托管人的更换、转换基金运作方式和终止基金合同事宜必须以现场开会方式召开基金份额持有人大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现场开会同时符合以下条件时，可以进行基金份额持有人大会议程：</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lastRenderedPageBreak/>
        <w:t>1</w:t>
      </w:r>
      <w:r>
        <w:rPr>
          <w:rFonts w:ascii="Arial" w:hAnsi="宋体" w:cs="Arial"/>
          <w:kern w:val="0"/>
          <w:szCs w:val="21"/>
        </w:rPr>
        <w:t>、亲自出席会议者持有基金份额的凭证和受托出席会议者出具的委托人持有基金份额的凭证和授权委托书等文件符合法律法规、本基金合同和会议通知的规定，</w:t>
      </w:r>
      <w:r>
        <w:rPr>
          <w:rFonts w:ascii="Arial" w:hAnsi="宋体" w:cs="Arial"/>
        </w:rPr>
        <w:t>并且持有基金份额的凭证与基金注册登记机构提供的注册登记资料相符</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、经核对，汇总到会者出示的在权益登记日持有基金份额的凭证显示，全部有效凭证所代表的基金份额占权益登记日基金总份额的</w:t>
      </w:r>
      <w:r>
        <w:rPr>
          <w:rFonts w:ascii="Arial" w:hAnsi="Arial" w:cs="Arial"/>
          <w:kern w:val="0"/>
          <w:szCs w:val="21"/>
        </w:rPr>
        <w:t>50%</w:t>
      </w:r>
      <w:r>
        <w:rPr>
          <w:rFonts w:ascii="Arial" w:hAnsi="宋体" w:cs="Arial"/>
          <w:kern w:val="0"/>
          <w:szCs w:val="21"/>
        </w:rPr>
        <w:t>以上。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在同时符合以下条件时，通讯开会的方式视为有效：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、召集人按基金合同规定公布会议通知后，在两个工作日内连续公布相关提示性公告；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、召集人按照会议通知规定的方式收取基金份额持有人的书面表决意见；</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、本人直接出具书面意见或授权他人代表出具书面意见的基金份额持有人所代表的基金份额占权益登记日基金总份额的</w:t>
      </w:r>
      <w:r>
        <w:rPr>
          <w:rFonts w:ascii="Arial" w:hAnsi="Arial" w:cs="Arial"/>
          <w:kern w:val="0"/>
          <w:szCs w:val="21"/>
        </w:rPr>
        <w:t>50%</w:t>
      </w:r>
      <w:r>
        <w:rPr>
          <w:rFonts w:ascii="Arial" w:hAnsi="宋体" w:cs="Arial"/>
          <w:kern w:val="0"/>
          <w:szCs w:val="21"/>
        </w:rPr>
        <w:t>以上；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、会议通知公布前已报中国证监会备案。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如果开会条件达不到上述的条件，则召集人可另行确定并公告重新表决的时间</w:t>
      </w:r>
      <w:r>
        <w:rPr>
          <w:rFonts w:ascii="Arial" w:hAnsi="Arial" w:cs="Arial"/>
          <w:kern w:val="0"/>
          <w:szCs w:val="21"/>
        </w:rPr>
        <w:t>（</w:t>
      </w:r>
      <w:r>
        <w:rPr>
          <w:rFonts w:ascii="Arial" w:hAnsi="宋体" w:cs="Arial"/>
          <w:kern w:val="0"/>
          <w:szCs w:val="21"/>
        </w:rPr>
        <w:t>至少应在</w:t>
      </w:r>
      <w:r>
        <w:rPr>
          <w:rFonts w:ascii="Arial" w:hAnsi="Arial" w:cs="Arial"/>
          <w:kern w:val="0"/>
          <w:szCs w:val="21"/>
        </w:rPr>
        <w:t xml:space="preserve">25 </w:t>
      </w:r>
      <w:r>
        <w:rPr>
          <w:rFonts w:ascii="Arial" w:hAnsi="宋体" w:cs="Arial"/>
          <w:kern w:val="0"/>
          <w:szCs w:val="21"/>
        </w:rPr>
        <w:t>个工作日后</w:t>
      </w:r>
      <w:r>
        <w:rPr>
          <w:rFonts w:ascii="Arial" w:hAnsi="Arial" w:cs="Arial"/>
          <w:kern w:val="0"/>
          <w:szCs w:val="21"/>
        </w:rPr>
        <w:t>）</w:t>
      </w:r>
      <w:r>
        <w:rPr>
          <w:rFonts w:ascii="Arial" w:hAnsi="宋体" w:cs="Arial"/>
          <w:kern w:val="0"/>
          <w:szCs w:val="21"/>
        </w:rPr>
        <w:t>，且确定有权出席会议的基金份额持有人资格的权益登记日应保持不变。</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八</w:t>
      </w:r>
      <w:r>
        <w:rPr>
          <w:rFonts w:ascii="Arial" w:hAnsi="宋体" w:cs="Arial"/>
          <w:kern w:val="0"/>
          <w:szCs w:val="21"/>
        </w:rPr>
        <w:t>）议事内容与程序</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、议事内容及提案权</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）议事内容限为本条前述第（二）款规定的基金份额持有人大会召开事由范围内的事项。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）基金管理人、基金托管人、代表基金份额</w:t>
      </w:r>
      <w:r>
        <w:rPr>
          <w:rFonts w:ascii="Arial" w:hAnsi="Arial" w:cs="Arial"/>
          <w:kern w:val="0"/>
          <w:szCs w:val="21"/>
        </w:rPr>
        <w:t>10%</w:t>
      </w:r>
      <w:r>
        <w:rPr>
          <w:rFonts w:ascii="Arial" w:hAnsi="宋体" w:cs="Arial"/>
          <w:kern w:val="0"/>
          <w:szCs w:val="21"/>
        </w:rPr>
        <w:t>以上的基金份额持有人可以在大会召集人发出会议通知前向大会召集人提交需由基金份额持有人大会审议表决的提案。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）对于基金份额持有人提交的提案，大会召集人应当按照以下原则对提案进行审核：</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a</w:t>
      </w:r>
      <w:r>
        <w:rPr>
          <w:rFonts w:ascii="Arial" w:hAnsi="宋体" w:cs="Arial"/>
          <w:kern w:val="0"/>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b</w:t>
      </w:r>
      <w:r>
        <w:rPr>
          <w:rFonts w:ascii="Arial" w:hAnsi="宋体" w:cs="Arial"/>
          <w:kern w:val="0"/>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）代表基金份额</w:t>
      </w:r>
      <w:r>
        <w:rPr>
          <w:rFonts w:ascii="Arial" w:hAnsi="Arial" w:cs="Arial"/>
          <w:kern w:val="0"/>
          <w:szCs w:val="21"/>
        </w:rPr>
        <w:t>10%</w:t>
      </w:r>
      <w:r>
        <w:rPr>
          <w:rFonts w:ascii="Arial" w:hAnsi="宋体" w:cs="Arial"/>
          <w:kern w:val="0"/>
          <w:szCs w:val="21"/>
        </w:rPr>
        <w:t>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w:t>
      </w:r>
      <w:r>
        <w:rPr>
          <w:rFonts w:ascii="Arial" w:hAnsi="Arial" w:cs="Arial"/>
          <w:kern w:val="0"/>
          <w:szCs w:val="21"/>
        </w:rPr>
        <w:t>6</w:t>
      </w:r>
      <w:r>
        <w:rPr>
          <w:rFonts w:ascii="Arial" w:hAnsi="宋体" w:cs="Arial"/>
          <w:kern w:val="0"/>
          <w:szCs w:val="21"/>
        </w:rPr>
        <w:lastRenderedPageBreak/>
        <w:t>个月。法律法规另有规定的除外。</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）基金份额持有人大会不得对未事先公告的议事内容进行表决。</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、议事程序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九</w:t>
      </w:r>
      <w:r>
        <w:rPr>
          <w:rFonts w:ascii="Arial" w:hAnsi="宋体" w:cs="Arial"/>
          <w:kern w:val="0"/>
          <w:szCs w:val="21"/>
        </w:rPr>
        <w:t>）表决</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、基金份额持有人所持每份基金份额享有平等的表决权。</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、基金份额持有人大会决议分为一般决议和特别决议：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）特别决议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对于特别决议应当经参加大会的基金份额持有人所持表决权的三分之二以上（含三分之二）通过。</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）一般决议</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对于一般决议应当经参加大会的基金份额持有人所持表决权的</w:t>
      </w:r>
      <w:r>
        <w:rPr>
          <w:rFonts w:ascii="Arial" w:hAnsi="Arial" w:cs="Arial"/>
          <w:kern w:val="0"/>
          <w:szCs w:val="21"/>
        </w:rPr>
        <w:t>50%</w:t>
      </w:r>
      <w:r>
        <w:rPr>
          <w:rFonts w:ascii="Arial" w:hAnsi="宋体" w:cs="Arial"/>
          <w:kern w:val="0"/>
          <w:szCs w:val="21"/>
        </w:rPr>
        <w:t>以上通过。</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更换基金管理人或者基金托管人、转换基金运作方式或终止基金合同应当以特别决议通过方为有效。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基金份额持有人大会采取记名方式进行投票表决。</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采取通讯方式进行表决时，符合法律法规、基金合同和会议通知规定的书面表决意见即视为有效的表决；表决意见模糊不清或相互矛盾的视为弃权表决，但应当计入出具书面意见的基金份额持有人所代表的基金份额总数。</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基金份额持有人大会的各项提案或同一项提案内并列的各项议题应当分开审议、逐项表决。</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十</w:t>
      </w:r>
      <w:r>
        <w:rPr>
          <w:rFonts w:ascii="Arial" w:hAnsi="宋体" w:cs="Arial"/>
          <w:kern w:val="0"/>
          <w:szCs w:val="21"/>
        </w:rPr>
        <w:t>）计票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、现场开会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w:t>
      </w:r>
      <w:r>
        <w:rPr>
          <w:rFonts w:ascii="Arial" w:hAnsi="Arial" w:cs="Arial"/>
          <w:color w:val="000000"/>
          <w:szCs w:val="21"/>
        </w:rPr>
        <w:t>（</w:t>
      </w:r>
      <w:r>
        <w:rPr>
          <w:rFonts w:ascii="Arial" w:hAnsi="宋体" w:cs="Arial"/>
          <w:color w:val="000000"/>
          <w:szCs w:val="21"/>
        </w:rPr>
        <w:t>如果基金管理人为召集人，则监督员由基金托管人担任；如基金托管人为召集人，则监督员由基金托管人在出席会议的基金份额持有人中指定</w:t>
      </w:r>
      <w:r>
        <w:rPr>
          <w:rFonts w:ascii="Arial" w:hAnsi="Arial" w:cs="Arial"/>
          <w:color w:val="000000"/>
          <w:szCs w:val="21"/>
        </w:rPr>
        <w:t>）</w:t>
      </w:r>
      <w:r>
        <w:rPr>
          <w:rFonts w:ascii="Arial" w:hAnsi="宋体" w:cs="Arial"/>
          <w:kern w:val="0"/>
          <w:szCs w:val="21"/>
        </w:rPr>
        <w:t>共同担任监票人；如大会由基金份额持有人自行召集，基金份额持有人大会的主持人应当在会议开始后宣布在出席会议的基金份额持有人中推举三名基金份额持有人代表担任监票人。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）监票人应当在基金份额持有人表决后立即进行清点并由大会主持人当场公布计票结果。</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3</w:t>
      </w:r>
      <w:r>
        <w:rPr>
          <w:rFonts w:ascii="Arial" w:hAnsi="宋体" w:cs="Arial"/>
          <w:kern w:val="0"/>
          <w:szCs w:val="21"/>
        </w:rPr>
        <w:t>）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w:t>
      </w:r>
      <w:r>
        <w:rPr>
          <w:rFonts w:ascii="Arial" w:hAnsi="宋体" w:cs="Arial"/>
          <w:color w:val="000000"/>
          <w:szCs w:val="21"/>
        </w:rPr>
        <w:t>在基金管理人或基金托管人担任召集人的情形下，如果在计票过程中基金管理人或者基金托管人拒不配合的，则参加会议的基金份额持有人有权推举三名基金份额持有人代表共同担任监票人进行计票。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、通讯方式开会</w:t>
      </w:r>
    </w:p>
    <w:p w:rsidR="0057376A" w:rsidRDefault="00117DFA">
      <w:pPr>
        <w:snapToGrid w:val="0"/>
        <w:spacing w:line="360" w:lineRule="auto"/>
        <w:ind w:firstLineChars="200" w:firstLine="420"/>
        <w:rPr>
          <w:rFonts w:ascii="宋体" w:hAnsi="宋体"/>
          <w:szCs w:val="21"/>
        </w:rPr>
      </w:pPr>
      <w:r>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十一</w:t>
      </w:r>
      <w:r>
        <w:rPr>
          <w:rFonts w:ascii="Arial" w:hAnsi="宋体" w:cs="Arial"/>
          <w:kern w:val="0"/>
          <w:szCs w:val="21"/>
        </w:rPr>
        <w:t>）生效与公告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、基金份额持有人大会按照《基金法》有关法律法规规定表决通过的事项，召集人应当自通过之日起</w:t>
      </w:r>
      <w:r>
        <w:rPr>
          <w:rFonts w:ascii="Arial" w:hAnsi="Arial" w:cs="Arial"/>
          <w:kern w:val="0"/>
          <w:szCs w:val="21"/>
        </w:rPr>
        <w:t>5</w:t>
      </w:r>
      <w:r>
        <w:rPr>
          <w:rFonts w:ascii="Arial" w:hAnsi="宋体" w:cs="Arial"/>
          <w:kern w:val="0"/>
          <w:szCs w:val="21"/>
        </w:rPr>
        <w:t>日内报中国证监会核准或者备案。基金份额持有人大会决定的事项自中国证监会依法核准或者出具无异议意见之日起生效。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、生效的基金份额持有人大会决议对全体基金份额持有人、基金管理人、基金托管人均有法律约束力。基金管理人、基金托管人和基金份额持有人应当执行生效的基金份额持有人大会的决定。</w:t>
      </w:r>
    </w:p>
    <w:p w:rsidR="0057376A" w:rsidRDefault="004443CE">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、基金份额持有人大会决议应当自中国证监会核准或出具无异议意见后</w:t>
      </w:r>
      <w:r>
        <w:rPr>
          <w:rFonts w:ascii="Arial" w:hAnsi="Arial" w:cs="Arial"/>
          <w:kern w:val="0"/>
          <w:szCs w:val="21"/>
        </w:rPr>
        <w:t>2</w:t>
      </w:r>
      <w:r>
        <w:rPr>
          <w:rFonts w:ascii="Arial" w:hAnsi="宋体" w:cs="Arial"/>
          <w:kern w:val="0"/>
          <w:szCs w:val="21"/>
        </w:rPr>
        <w:t>日内，由基金份额持有人大会召集人在指定媒介上公告。</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、如果采用通讯方式进行表决，在公告基金份额持有人大会决议时，必须将公证书全文、公证机关、公证员姓名等一同公告。</w:t>
      </w:r>
    </w:p>
    <w:p w:rsidR="0057376A" w:rsidRDefault="00117DFA">
      <w:pPr>
        <w:snapToGrid w:val="0"/>
        <w:spacing w:line="360" w:lineRule="auto"/>
        <w:ind w:firstLineChars="200" w:firstLine="420"/>
        <w:rPr>
          <w:rFonts w:ascii="Arial" w:hAnsi="宋体" w:cs="Arial"/>
          <w:szCs w:val="21"/>
        </w:rPr>
      </w:pPr>
      <w:r>
        <w:rPr>
          <w:rFonts w:ascii="Arial" w:hAnsi="宋体" w:cs="Arial"/>
          <w:szCs w:val="21"/>
        </w:rPr>
        <w:t>（十</w:t>
      </w:r>
      <w:r>
        <w:rPr>
          <w:rFonts w:ascii="Arial" w:hAnsi="宋体" w:cs="Arial" w:hint="eastAsia"/>
          <w:szCs w:val="21"/>
        </w:rPr>
        <w:t>二</w:t>
      </w:r>
      <w:r>
        <w:rPr>
          <w:rFonts w:ascii="Arial" w:hAnsi="宋体" w:cs="Arial"/>
          <w:szCs w:val="21"/>
        </w:rPr>
        <w:t>）法律法规或监管机关对基金份额持有人大会另有规定的，从其规定。</w:t>
      </w:r>
    </w:p>
    <w:p w:rsidR="0057376A" w:rsidRDefault="0057376A">
      <w:pPr>
        <w:snapToGrid w:val="0"/>
        <w:spacing w:line="358" w:lineRule="auto"/>
        <w:ind w:firstLine="420"/>
        <w:rPr>
          <w:rFonts w:ascii="Arial" w:hAnsi="Arial" w:cs="Arial"/>
          <w:szCs w:val="21"/>
        </w:rPr>
      </w:pPr>
    </w:p>
    <w:p w:rsidR="0057376A" w:rsidRDefault="00117DFA">
      <w:pPr>
        <w:pStyle w:val="2"/>
        <w:snapToGrid w:val="0"/>
        <w:spacing w:before="0" w:after="0" w:line="358" w:lineRule="auto"/>
        <w:jc w:val="left"/>
        <w:rPr>
          <w:rFonts w:eastAsia="宋体" w:cs="Arial"/>
          <w:kern w:val="0"/>
          <w:sz w:val="21"/>
          <w:szCs w:val="21"/>
        </w:rPr>
      </w:pPr>
      <w:bookmarkStart w:id="62" w:name="_Toc253128721"/>
      <w:r>
        <w:rPr>
          <w:rFonts w:eastAsia="宋体" w:hAnsi="宋体" w:cs="Arial" w:hint="eastAsia"/>
          <w:kern w:val="0"/>
          <w:sz w:val="21"/>
          <w:szCs w:val="21"/>
        </w:rPr>
        <w:t>三</w:t>
      </w:r>
      <w:r>
        <w:rPr>
          <w:rFonts w:eastAsia="宋体" w:hAnsi="宋体" w:cs="Arial"/>
          <w:kern w:val="0"/>
          <w:sz w:val="21"/>
          <w:szCs w:val="21"/>
        </w:rPr>
        <w:t>、基金收益分配</w:t>
      </w:r>
      <w:r>
        <w:rPr>
          <w:rFonts w:eastAsia="宋体" w:hAnsi="宋体" w:cs="Arial" w:hint="eastAsia"/>
          <w:kern w:val="0"/>
          <w:sz w:val="21"/>
          <w:szCs w:val="21"/>
        </w:rPr>
        <w:t>原则、执行方式</w:t>
      </w:r>
      <w:bookmarkEnd w:id="62"/>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一</w:t>
      </w:r>
      <w:r>
        <w:rPr>
          <w:rFonts w:ascii="Arial" w:hAnsi="宋体" w:cs="Arial"/>
          <w:kern w:val="0"/>
          <w:szCs w:val="21"/>
        </w:rPr>
        <w:t>）收益分配原则</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、基金收益分配采用现金方式</w:t>
      </w:r>
      <w:r>
        <w:rPr>
          <w:rFonts w:ascii="Arial" w:hAnsi="宋体" w:cs="Arial"/>
          <w:kern w:val="0"/>
        </w:rPr>
        <w:t>或红利再投资方式</w:t>
      </w:r>
      <w:r>
        <w:rPr>
          <w:rFonts w:ascii="Arial" w:hAnsi="宋体" w:cs="Arial"/>
          <w:kern w:val="0"/>
          <w:szCs w:val="21"/>
        </w:rPr>
        <w:t>，</w:t>
      </w:r>
      <w:r>
        <w:rPr>
          <w:rFonts w:ascii="Arial" w:hAnsi="宋体" w:cs="Arial"/>
          <w:kern w:val="0"/>
        </w:rPr>
        <w:t>基金份额持有人</w:t>
      </w:r>
      <w:r>
        <w:rPr>
          <w:rFonts w:ascii="Arial" w:hAnsi="宋体" w:cs="Arial"/>
          <w:kern w:val="0"/>
          <w:szCs w:val="21"/>
        </w:rPr>
        <w:t>可自行选择收益分配方式；基金份额持有人事先未做出选择的，默认的分红方式为现金红利；选择红利再投资的，</w:t>
      </w:r>
      <w:r>
        <w:rPr>
          <w:rFonts w:ascii="Arial" w:hAnsi="宋体" w:cs="Arial"/>
          <w:szCs w:val="21"/>
        </w:rPr>
        <w:t>现金红利则按除权日经除权后的基金份额净值自动转为基金份额进行再投资；</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w:t>
      </w:r>
      <w:r>
        <w:rPr>
          <w:rFonts w:ascii="Arial" w:hAnsi="宋体" w:cs="Arial"/>
          <w:color w:val="000000"/>
        </w:rPr>
        <w:t>本基金同一类别的每一基金份额享有同等分配权；</w:t>
      </w:r>
      <w:r>
        <w:rPr>
          <w:rFonts w:ascii="Arial" w:hAnsi="Arial" w:cs="Arial"/>
          <w:kern w:val="0"/>
          <w:szCs w:val="21"/>
        </w:rPr>
        <w:t xml:space="preserve"> </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、基金收益分配基准日的基金份额净值减去每单位基金份额收益分配金额后不能低于面值，基金收益分配基准日即期末可供分配利润计算截止日；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、在符合有关基金分红条件的前提下，基金收益分配每年最多为</w:t>
      </w:r>
      <w:r>
        <w:rPr>
          <w:rFonts w:ascii="Arial" w:hAnsi="Arial" w:cs="Arial" w:hint="eastAsia"/>
          <w:kern w:val="0"/>
          <w:szCs w:val="21"/>
        </w:rPr>
        <w:t>4</w:t>
      </w:r>
      <w:r>
        <w:rPr>
          <w:rFonts w:ascii="Arial" w:hAnsi="宋体" w:cs="Arial"/>
          <w:kern w:val="0"/>
          <w:szCs w:val="21"/>
        </w:rPr>
        <w:t>次；每次基金收益</w:t>
      </w:r>
      <w:r>
        <w:rPr>
          <w:rFonts w:ascii="Arial" w:hAnsi="宋体" w:cs="Arial"/>
          <w:kern w:val="0"/>
          <w:szCs w:val="21"/>
        </w:rPr>
        <w:lastRenderedPageBreak/>
        <w:t>分配比例不得低于期末</w:t>
      </w:r>
      <w:r>
        <w:rPr>
          <w:rFonts w:ascii="Arial" w:hAnsi="宋体" w:cs="Arial" w:hint="eastAsia"/>
          <w:kern w:val="0"/>
          <w:szCs w:val="21"/>
        </w:rPr>
        <w:t>（收益分配基准日）</w:t>
      </w:r>
      <w:r>
        <w:rPr>
          <w:rFonts w:ascii="Arial" w:hAnsi="宋体" w:cs="Arial"/>
          <w:kern w:val="0"/>
          <w:szCs w:val="21"/>
        </w:rPr>
        <w:t>可供分配利润的</w:t>
      </w:r>
      <w:r>
        <w:rPr>
          <w:rFonts w:ascii="Arial" w:hAnsi="Arial" w:cs="Arial"/>
          <w:kern w:val="0"/>
          <w:szCs w:val="21"/>
        </w:rPr>
        <w:t>20%</w:t>
      </w:r>
      <w:r>
        <w:rPr>
          <w:rFonts w:ascii="Arial" w:hAnsi="宋体" w:cs="Arial"/>
          <w:kern w:val="0"/>
          <w:szCs w:val="21"/>
        </w:rPr>
        <w:t>。基金的收益分配比例以期末可供分配利润为基准计算，期末可供分配利润以期末资产负债表中未分配利润与未分配利润中已实现收益的孰低数为准。基金合同生效不满三个月，收益可不分配；</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w:t>
      </w:r>
      <w:r>
        <w:rPr>
          <w:rFonts w:ascii="Arial" w:hAnsi="宋体" w:cs="Arial"/>
          <w:szCs w:val="21"/>
        </w:rPr>
        <w:t>基金红利发放日距离收益分配基准日的时间不超过</w:t>
      </w:r>
      <w:r>
        <w:rPr>
          <w:rFonts w:ascii="Arial" w:hAnsi="Arial" w:cs="Arial"/>
          <w:szCs w:val="21"/>
        </w:rPr>
        <w:t>15</w:t>
      </w:r>
      <w:r>
        <w:rPr>
          <w:rFonts w:ascii="Arial" w:hAnsi="宋体" w:cs="Arial"/>
          <w:szCs w:val="21"/>
        </w:rPr>
        <w:t>个工作日；</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、法律法规或监管机构另有规定的，从其规定。</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本基金同一基金份额类别内的每份基金份额享有同等收益分配权，但由于本基金</w:t>
      </w:r>
      <w:r>
        <w:rPr>
          <w:rFonts w:ascii="Arial" w:hAnsi="Arial" w:cs="Arial"/>
          <w:kern w:val="0"/>
          <w:szCs w:val="21"/>
        </w:rPr>
        <w:t>A</w:t>
      </w:r>
      <w:r>
        <w:rPr>
          <w:rFonts w:ascii="Arial" w:hAnsi="宋体" w:cs="Arial"/>
          <w:kern w:val="0"/>
          <w:szCs w:val="21"/>
        </w:rPr>
        <w:t>类及</w:t>
      </w:r>
      <w:r>
        <w:rPr>
          <w:rFonts w:ascii="Arial" w:hAnsi="Arial" w:cs="Arial"/>
          <w:kern w:val="0"/>
          <w:szCs w:val="21"/>
        </w:rPr>
        <w:t>B</w:t>
      </w:r>
      <w:r>
        <w:rPr>
          <w:rFonts w:ascii="Arial" w:hAnsi="宋体" w:cs="Arial"/>
          <w:kern w:val="0"/>
          <w:szCs w:val="21"/>
        </w:rPr>
        <w:t>类基金份额不收取销售服务费，</w:t>
      </w:r>
      <w:r>
        <w:rPr>
          <w:rFonts w:ascii="Arial" w:hAnsi="Arial" w:cs="Arial"/>
          <w:kern w:val="0"/>
          <w:szCs w:val="21"/>
        </w:rPr>
        <w:t>C</w:t>
      </w:r>
      <w:r>
        <w:rPr>
          <w:rFonts w:ascii="Arial" w:hAnsi="宋体" w:cs="Arial"/>
          <w:kern w:val="0"/>
          <w:szCs w:val="21"/>
        </w:rPr>
        <w:t>类基金份额收取销售服务费，因此</w:t>
      </w:r>
      <w:r>
        <w:rPr>
          <w:rFonts w:ascii="Arial" w:hAnsi="Arial" w:cs="Arial"/>
          <w:kern w:val="0"/>
          <w:szCs w:val="21"/>
        </w:rPr>
        <w:t>A</w:t>
      </w:r>
      <w:r>
        <w:rPr>
          <w:rFonts w:ascii="Arial" w:hAnsi="宋体" w:cs="Arial"/>
          <w:kern w:val="0"/>
          <w:szCs w:val="21"/>
        </w:rPr>
        <w:t>、</w:t>
      </w:r>
      <w:r>
        <w:rPr>
          <w:rFonts w:ascii="Arial" w:hAnsi="Arial" w:cs="Arial"/>
          <w:kern w:val="0"/>
          <w:szCs w:val="21"/>
        </w:rPr>
        <w:t>B</w:t>
      </w:r>
      <w:r>
        <w:rPr>
          <w:rFonts w:ascii="Arial" w:hAnsi="宋体" w:cs="Arial"/>
          <w:kern w:val="0"/>
          <w:szCs w:val="21"/>
        </w:rPr>
        <w:t>两类基金份额与</w:t>
      </w:r>
      <w:r>
        <w:rPr>
          <w:rFonts w:ascii="Arial" w:hAnsi="Arial" w:cs="Arial"/>
          <w:kern w:val="0"/>
          <w:szCs w:val="21"/>
        </w:rPr>
        <w:t>C</w:t>
      </w:r>
      <w:r>
        <w:rPr>
          <w:rFonts w:ascii="Arial" w:hAnsi="宋体" w:cs="Arial"/>
          <w:kern w:val="0"/>
          <w:szCs w:val="21"/>
        </w:rPr>
        <w:t>类基金份额对应的期末可供分配利润将有所不同。</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二</w:t>
      </w:r>
      <w:r>
        <w:rPr>
          <w:rFonts w:ascii="Arial" w:hAnsi="宋体" w:cs="Arial"/>
          <w:kern w:val="0"/>
          <w:szCs w:val="21"/>
        </w:rPr>
        <w:t>）收益分配方案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基金收益分配方案中应载明基金期末可供分配利润、基金收益分配对象、分配原则、分配时间、分配数额及比例、分配方式等内容。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三</w:t>
      </w:r>
      <w:r>
        <w:rPr>
          <w:rFonts w:ascii="Arial" w:hAnsi="宋体" w:cs="Arial"/>
          <w:kern w:val="0"/>
          <w:szCs w:val="21"/>
        </w:rPr>
        <w:t>）收益分配方案的确定与公告</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本基金收益分配方案由基金管理人拟定，并由基金托管人复核，依照《信息披露办法》的有关规定在指定媒介公告。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四</w:t>
      </w:r>
      <w:r>
        <w:rPr>
          <w:rFonts w:ascii="Arial" w:hAnsi="宋体" w:cs="Arial"/>
          <w:kern w:val="0"/>
          <w:szCs w:val="21"/>
        </w:rPr>
        <w:t>）收益分配中发生的费用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、收益分配采用红利再投资方式免收再投资的费用。</w:t>
      </w:r>
    </w:p>
    <w:p w:rsidR="0057376A" w:rsidRDefault="00117DFA">
      <w:pPr>
        <w:snapToGrid w:val="0"/>
        <w:spacing w:line="360" w:lineRule="auto"/>
        <w:ind w:firstLineChars="200" w:firstLine="420"/>
        <w:rPr>
          <w:rFonts w:ascii="Arial" w:hAnsi="宋体" w:cs="Arial"/>
          <w:kern w:val="0"/>
          <w:szCs w:val="21"/>
        </w:rPr>
      </w:pPr>
      <w:r>
        <w:rPr>
          <w:rFonts w:ascii="Arial" w:hAnsi="Arial" w:cs="Arial"/>
          <w:kern w:val="0"/>
          <w:szCs w:val="21"/>
        </w:rPr>
        <w:t>2</w:t>
      </w:r>
      <w:r>
        <w:rPr>
          <w:rFonts w:ascii="Arial" w:hAnsi="宋体" w:cs="Arial"/>
          <w:kern w:val="0"/>
          <w:szCs w:val="21"/>
        </w:rPr>
        <w:t>、收益分配时发生的银行转账等手续费用由基金份额持有人自行承担。如果基金份额持有人所获现金红利不足支付前述银行转账等手续费用，注册登记机构自动将该基金份额持有人的现金红利</w:t>
      </w:r>
      <w:r>
        <w:rPr>
          <w:rFonts w:ascii="Arial" w:hAnsi="宋体" w:cs="Arial"/>
          <w:szCs w:val="21"/>
        </w:rPr>
        <w:t>按</w:t>
      </w:r>
      <w:r>
        <w:rPr>
          <w:rFonts w:ascii="Arial" w:hAnsi="宋体" w:cs="Arial"/>
          <w:color w:val="000000"/>
        </w:rPr>
        <w:t>除权</w:t>
      </w:r>
      <w:r>
        <w:rPr>
          <w:rFonts w:ascii="Arial" w:hAnsi="宋体" w:cs="Arial"/>
          <w:szCs w:val="21"/>
        </w:rPr>
        <w:t>日</w:t>
      </w:r>
      <w:r>
        <w:rPr>
          <w:rFonts w:ascii="Arial" w:hAnsi="宋体" w:cs="Arial" w:hint="eastAsia"/>
          <w:szCs w:val="21"/>
        </w:rPr>
        <w:t>经除权后</w:t>
      </w:r>
      <w:r>
        <w:rPr>
          <w:rFonts w:ascii="Arial" w:hAnsi="宋体" w:cs="Arial"/>
          <w:szCs w:val="21"/>
        </w:rPr>
        <w:t>的基金份额净值</w:t>
      </w:r>
      <w:r>
        <w:rPr>
          <w:rFonts w:ascii="Arial" w:hAnsi="宋体" w:cs="Arial"/>
          <w:kern w:val="0"/>
          <w:szCs w:val="21"/>
        </w:rPr>
        <w:t>转为基金份额。</w:t>
      </w:r>
    </w:p>
    <w:p w:rsidR="0057376A" w:rsidRDefault="0057376A">
      <w:pPr>
        <w:snapToGrid w:val="0"/>
        <w:spacing w:line="360" w:lineRule="auto"/>
        <w:ind w:firstLine="420"/>
        <w:rPr>
          <w:rFonts w:ascii="Arial" w:hAnsi="Arial" w:cs="Arial"/>
          <w:kern w:val="0"/>
          <w:szCs w:val="21"/>
        </w:rPr>
      </w:pPr>
    </w:p>
    <w:p w:rsidR="0057376A" w:rsidRDefault="00117DFA">
      <w:pPr>
        <w:pStyle w:val="2"/>
        <w:snapToGrid w:val="0"/>
        <w:spacing w:before="0" w:after="0" w:line="360" w:lineRule="auto"/>
        <w:rPr>
          <w:rFonts w:eastAsia="宋体" w:cs="Arial"/>
          <w:kern w:val="0"/>
          <w:sz w:val="21"/>
          <w:szCs w:val="21"/>
        </w:rPr>
      </w:pPr>
      <w:bookmarkStart w:id="63" w:name="_Toc253128722"/>
      <w:r>
        <w:rPr>
          <w:rFonts w:eastAsia="宋体" w:hAnsi="宋体" w:cs="Arial" w:hint="eastAsia"/>
          <w:kern w:val="0"/>
          <w:sz w:val="21"/>
          <w:szCs w:val="21"/>
        </w:rPr>
        <w:t>四</w:t>
      </w:r>
      <w:r>
        <w:rPr>
          <w:rFonts w:eastAsia="宋体" w:hAnsi="宋体" w:cs="Arial"/>
          <w:kern w:val="0"/>
          <w:sz w:val="21"/>
          <w:szCs w:val="21"/>
        </w:rPr>
        <w:t>、</w:t>
      </w:r>
      <w:r>
        <w:rPr>
          <w:rFonts w:eastAsia="宋体" w:hAnsi="宋体" w:cs="Arial" w:hint="eastAsia"/>
          <w:kern w:val="0"/>
          <w:sz w:val="21"/>
          <w:szCs w:val="21"/>
        </w:rPr>
        <w:t>与基金财产管理、运用有关费用的提取、支付方式与比例</w:t>
      </w:r>
      <w:bookmarkEnd w:id="63"/>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一</w:t>
      </w:r>
      <w:r>
        <w:rPr>
          <w:rFonts w:ascii="Arial" w:hAnsi="宋体" w:cs="Arial"/>
          <w:kern w:val="0"/>
          <w:szCs w:val="21"/>
        </w:rPr>
        <w:t>）基金费用计提方法、计提标准和支付方式</w:t>
      </w:r>
      <w:bookmarkStart w:id="64" w:name="_GoBack"/>
      <w:bookmarkEnd w:id="64"/>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、基金管理人的管理费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基金管理人的基金管理费按基金资产净值的</w:t>
      </w:r>
      <w:r>
        <w:rPr>
          <w:rFonts w:ascii="Arial" w:hAnsi="Arial" w:cs="Arial"/>
          <w:kern w:val="0"/>
          <w:szCs w:val="21"/>
        </w:rPr>
        <w:t>0.70%</w:t>
      </w:r>
      <w:r>
        <w:rPr>
          <w:rFonts w:ascii="Arial" w:hAnsi="宋体" w:cs="Arial"/>
          <w:kern w:val="0"/>
          <w:szCs w:val="21"/>
        </w:rPr>
        <w:t>年费率计提。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在通常情况下，基金管理费按前一日基金资产净值的</w:t>
      </w:r>
      <w:r>
        <w:rPr>
          <w:rFonts w:ascii="Arial" w:hAnsi="Arial" w:cs="Arial"/>
          <w:kern w:val="0"/>
          <w:szCs w:val="21"/>
        </w:rPr>
        <w:t>0.70%</w:t>
      </w:r>
      <w:r>
        <w:rPr>
          <w:rFonts w:ascii="Arial" w:hAnsi="宋体" w:cs="Arial"/>
          <w:kern w:val="0"/>
          <w:szCs w:val="21"/>
        </w:rPr>
        <w:t>年费率计提。计算方法如下：</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H</w:t>
      </w:r>
      <w:r>
        <w:rPr>
          <w:rFonts w:ascii="Arial" w:hAnsi="宋体" w:cs="Arial"/>
          <w:kern w:val="0"/>
          <w:szCs w:val="21"/>
        </w:rPr>
        <w:t>＝</w:t>
      </w:r>
      <w:r>
        <w:rPr>
          <w:rFonts w:ascii="Arial" w:hAnsi="Arial" w:cs="Arial"/>
          <w:kern w:val="0"/>
          <w:szCs w:val="21"/>
        </w:rPr>
        <w:t>E×0.70%÷</w:t>
      </w:r>
      <w:r>
        <w:rPr>
          <w:rFonts w:ascii="Arial" w:hAnsi="宋体" w:cs="Arial"/>
          <w:kern w:val="0"/>
          <w:szCs w:val="21"/>
        </w:rPr>
        <w:t>当年天数</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H </w:t>
      </w:r>
      <w:r>
        <w:rPr>
          <w:rFonts w:ascii="Arial" w:hAnsi="宋体" w:cs="Arial"/>
          <w:kern w:val="0"/>
          <w:szCs w:val="21"/>
        </w:rPr>
        <w:t>为每日应计提的基金管理费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E </w:t>
      </w:r>
      <w:r>
        <w:rPr>
          <w:rFonts w:ascii="Arial" w:hAnsi="宋体" w:cs="Arial"/>
          <w:kern w:val="0"/>
          <w:szCs w:val="21"/>
        </w:rPr>
        <w:t>为前一日基金资产净值</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基金管理费每日计提，按月支付。</w:t>
      </w:r>
      <w:r>
        <w:rPr>
          <w:rFonts w:ascii="Arial" w:hAnsi="宋体" w:cs="Arial"/>
        </w:rPr>
        <w:t>经基金管理人与基金托管人核对一致后，由基金托管人于次月首日起</w:t>
      </w:r>
      <w:r>
        <w:rPr>
          <w:rFonts w:ascii="Arial" w:hAnsi="Arial" w:cs="Arial"/>
        </w:rPr>
        <w:t>3</w:t>
      </w:r>
      <w:r>
        <w:rPr>
          <w:rFonts w:ascii="Arial" w:hAnsi="宋体" w:cs="Arial"/>
        </w:rPr>
        <w:t>个工作日内从基金资产中一次性支付给基金管理人。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、基金托管人的基金托管费</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基金托管人的基金托管费按基金资产净值的</w:t>
      </w:r>
      <w:r>
        <w:rPr>
          <w:rFonts w:ascii="Arial" w:hAnsi="Arial" w:cs="Arial"/>
          <w:kern w:val="0"/>
          <w:szCs w:val="21"/>
        </w:rPr>
        <w:t>0.20%</w:t>
      </w:r>
      <w:r>
        <w:rPr>
          <w:rFonts w:ascii="Arial" w:hAnsi="宋体" w:cs="Arial"/>
          <w:kern w:val="0"/>
          <w:szCs w:val="21"/>
        </w:rPr>
        <w:t>年费率计提。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在通常情况下，基金托管费按前一日基金资产净值的</w:t>
      </w:r>
      <w:r>
        <w:rPr>
          <w:rFonts w:ascii="Arial" w:hAnsi="Arial" w:cs="Arial"/>
          <w:kern w:val="0"/>
          <w:szCs w:val="21"/>
        </w:rPr>
        <w:t>0.20%</w:t>
      </w:r>
      <w:r>
        <w:rPr>
          <w:rFonts w:ascii="Arial" w:hAnsi="宋体" w:cs="Arial"/>
          <w:kern w:val="0"/>
          <w:szCs w:val="21"/>
        </w:rPr>
        <w:t>年费率计提。计算方法如</w:t>
      </w:r>
      <w:r>
        <w:rPr>
          <w:rFonts w:ascii="Arial" w:hAnsi="宋体" w:cs="Arial"/>
          <w:kern w:val="0"/>
          <w:szCs w:val="21"/>
        </w:rPr>
        <w:lastRenderedPageBreak/>
        <w:t>下：</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H=E×0.20%÷</w:t>
      </w:r>
      <w:r>
        <w:rPr>
          <w:rFonts w:ascii="Arial" w:hAnsi="宋体" w:cs="Arial"/>
          <w:kern w:val="0"/>
          <w:szCs w:val="21"/>
        </w:rPr>
        <w:t>当年天数</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H </w:t>
      </w:r>
      <w:r>
        <w:rPr>
          <w:rFonts w:ascii="Arial" w:hAnsi="宋体" w:cs="Arial"/>
          <w:kern w:val="0"/>
          <w:szCs w:val="21"/>
        </w:rPr>
        <w:t>为每日应计提的基金托管费</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 xml:space="preserve">E </w:t>
      </w:r>
      <w:r>
        <w:rPr>
          <w:rFonts w:ascii="Arial" w:hAnsi="宋体" w:cs="Arial"/>
          <w:kern w:val="0"/>
          <w:szCs w:val="21"/>
        </w:rPr>
        <w:t>为前一日的基金资产净值</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基金托管费每日计提，按月支付。</w:t>
      </w:r>
      <w:r>
        <w:rPr>
          <w:rFonts w:ascii="Arial" w:hAnsi="宋体" w:cs="Arial"/>
        </w:rPr>
        <w:t>经基金管理人与基金托管人核对一致后，由基金托管人于次月首日起</w:t>
      </w:r>
      <w:r>
        <w:rPr>
          <w:rFonts w:ascii="Arial" w:hAnsi="Arial" w:cs="Arial"/>
        </w:rPr>
        <w:t>3</w:t>
      </w:r>
      <w:r>
        <w:rPr>
          <w:rFonts w:ascii="Arial" w:hAnsi="宋体" w:cs="Arial"/>
        </w:rPr>
        <w:t>个工作日内从基金资产中一次性支付给</w:t>
      </w:r>
      <w:r>
        <w:rPr>
          <w:rFonts w:ascii="Arial" w:hAnsi="宋体" w:cs="Arial"/>
          <w:szCs w:val="21"/>
        </w:rPr>
        <w:t>基金托管人。</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3</w:t>
      </w:r>
      <w:r>
        <w:rPr>
          <w:rFonts w:ascii="Arial" w:hAnsi="宋体" w:cs="Arial"/>
          <w:szCs w:val="21"/>
        </w:rPr>
        <w:t>、销售服务费</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本基金</w:t>
      </w:r>
      <w:r>
        <w:rPr>
          <w:rFonts w:ascii="Arial" w:hAnsi="Arial" w:cs="Arial"/>
          <w:szCs w:val="21"/>
        </w:rPr>
        <w:t>A</w:t>
      </w:r>
      <w:r>
        <w:rPr>
          <w:rFonts w:ascii="Arial" w:hAnsi="宋体" w:cs="Arial"/>
          <w:szCs w:val="21"/>
        </w:rPr>
        <w:t>类</w:t>
      </w:r>
      <w:r>
        <w:rPr>
          <w:rFonts w:ascii="Arial" w:hAnsi="Arial" w:cs="Arial"/>
          <w:szCs w:val="21"/>
        </w:rPr>
        <w:t>/B</w:t>
      </w:r>
      <w:r>
        <w:rPr>
          <w:rFonts w:ascii="Arial" w:hAnsi="宋体" w:cs="Arial"/>
          <w:szCs w:val="21"/>
        </w:rPr>
        <w:t>类基金份额不收取销售服务费，</w:t>
      </w:r>
      <w:r>
        <w:rPr>
          <w:rFonts w:ascii="Arial" w:hAnsi="Arial" w:cs="Arial"/>
          <w:szCs w:val="21"/>
        </w:rPr>
        <w:t>C</w:t>
      </w:r>
      <w:r>
        <w:rPr>
          <w:rFonts w:ascii="Arial" w:hAnsi="宋体" w:cs="Arial"/>
          <w:szCs w:val="21"/>
        </w:rPr>
        <w:t>类基金份额的销售服务费年费率为</w:t>
      </w:r>
      <w:r>
        <w:rPr>
          <w:rFonts w:ascii="Arial" w:hAnsi="Arial" w:cs="Arial"/>
          <w:szCs w:val="21"/>
        </w:rPr>
        <w:t>0.35%</w:t>
      </w:r>
      <w:r>
        <w:rPr>
          <w:rFonts w:ascii="Arial" w:hAnsi="宋体" w:cs="Arial"/>
          <w:szCs w:val="21"/>
        </w:rPr>
        <w:t>。</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本基金销售服务费按前一日</w:t>
      </w:r>
      <w:r>
        <w:rPr>
          <w:rFonts w:ascii="Arial" w:hAnsi="Arial" w:cs="Arial"/>
          <w:szCs w:val="21"/>
        </w:rPr>
        <w:t>C</w:t>
      </w:r>
      <w:r>
        <w:rPr>
          <w:rFonts w:ascii="Arial" w:hAnsi="宋体" w:cs="Arial"/>
          <w:szCs w:val="21"/>
        </w:rPr>
        <w:t>类基金资产净值的</w:t>
      </w:r>
      <w:r>
        <w:rPr>
          <w:rFonts w:ascii="Arial" w:hAnsi="Arial" w:cs="Arial"/>
          <w:szCs w:val="21"/>
        </w:rPr>
        <w:t>0.35%</w:t>
      </w:r>
      <w:r>
        <w:rPr>
          <w:rFonts w:ascii="Arial" w:hAnsi="宋体" w:cs="Arial"/>
          <w:szCs w:val="21"/>
        </w:rPr>
        <w:t>年费率计提。</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计算方法如下：</w:t>
      </w:r>
      <w:r>
        <w:rPr>
          <w:rFonts w:ascii="Arial" w:hAnsi="Arial" w:cs="Arial"/>
          <w:szCs w:val="21"/>
        </w:rPr>
        <w:t xml:space="preserve"> </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H</w:t>
      </w:r>
      <w:r>
        <w:rPr>
          <w:rFonts w:ascii="Arial" w:hAnsi="宋体" w:cs="Arial"/>
          <w:szCs w:val="21"/>
        </w:rPr>
        <w:t>＝</w:t>
      </w:r>
      <w:r>
        <w:rPr>
          <w:rFonts w:ascii="Arial" w:hAnsi="Arial" w:cs="Arial"/>
          <w:szCs w:val="21"/>
        </w:rPr>
        <w:t>E×0.35%÷</w:t>
      </w:r>
      <w:r>
        <w:rPr>
          <w:rFonts w:ascii="Arial" w:hAnsi="宋体" w:cs="Arial"/>
          <w:szCs w:val="21"/>
        </w:rPr>
        <w:t>当年天数</w:t>
      </w:r>
      <w:r>
        <w:rPr>
          <w:rFonts w:ascii="Arial" w:hAnsi="Arial" w:cs="Arial"/>
          <w:szCs w:val="21"/>
        </w:rPr>
        <w:t xml:space="preserve"> </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H</w:t>
      </w:r>
      <w:r>
        <w:rPr>
          <w:rFonts w:ascii="Arial" w:hAnsi="宋体" w:cs="Arial"/>
          <w:szCs w:val="21"/>
        </w:rPr>
        <w:t>为</w:t>
      </w:r>
      <w:r>
        <w:rPr>
          <w:rFonts w:ascii="Arial" w:hAnsi="Arial" w:cs="Arial"/>
          <w:szCs w:val="21"/>
        </w:rPr>
        <w:t>C</w:t>
      </w:r>
      <w:r>
        <w:rPr>
          <w:rFonts w:ascii="Arial" w:hAnsi="宋体" w:cs="Arial"/>
          <w:szCs w:val="21"/>
        </w:rPr>
        <w:t>类基金份额每日应计提的销售服务费</w:t>
      </w:r>
    </w:p>
    <w:p w:rsidR="0057376A" w:rsidRDefault="00117DFA">
      <w:pPr>
        <w:snapToGrid w:val="0"/>
        <w:spacing w:line="360" w:lineRule="auto"/>
        <w:ind w:firstLineChars="200" w:firstLine="420"/>
        <w:rPr>
          <w:rFonts w:ascii="Arial" w:hAnsi="Arial" w:cs="Arial"/>
          <w:szCs w:val="21"/>
        </w:rPr>
      </w:pPr>
      <w:r>
        <w:rPr>
          <w:rFonts w:ascii="Arial" w:hAnsi="Arial" w:cs="Arial"/>
          <w:szCs w:val="21"/>
        </w:rPr>
        <w:t>E</w:t>
      </w:r>
      <w:r>
        <w:rPr>
          <w:rFonts w:ascii="Arial" w:hAnsi="宋体" w:cs="Arial"/>
          <w:szCs w:val="21"/>
        </w:rPr>
        <w:t>为</w:t>
      </w:r>
      <w:r>
        <w:rPr>
          <w:rFonts w:ascii="Arial" w:hAnsi="Arial" w:cs="Arial"/>
          <w:szCs w:val="21"/>
        </w:rPr>
        <w:t>C</w:t>
      </w:r>
      <w:r>
        <w:rPr>
          <w:rFonts w:ascii="Arial" w:hAnsi="宋体" w:cs="Arial"/>
          <w:szCs w:val="21"/>
        </w:rPr>
        <w:t>类基金份额前一日基金资产净值</w:t>
      </w:r>
      <w:r>
        <w:rPr>
          <w:rFonts w:ascii="Arial" w:hAnsi="Arial" w:cs="Arial"/>
          <w:szCs w:val="21"/>
        </w:rPr>
        <w:t xml:space="preserve"> </w:t>
      </w:r>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销售服务费每日计提，按月支付。</w:t>
      </w:r>
      <w:r>
        <w:rPr>
          <w:rFonts w:ascii="Arial" w:hAnsi="宋体" w:cs="Arial"/>
        </w:rPr>
        <w:t>经基金管理人与基金托管人核对一致后，由基金托管人于</w:t>
      </w:r>
      <w:r>
        <w:rPr>
          <w:rFonts w:ascii="Arial" w:hAnsi="宋体" w:cs="Arial"/>
          <w:szCs w:val="21"/>
        </w:rPr>
        <w:t>次月首日起</w:t>
      </w:r>
      <w:r>
        <w:rPr>
          <w:rFonts w:ascii="Arial" w:hAnsi="Arial" w:cs="Arial"/>
          <w:szCs w:val="21"/>
        </w:rPr>
        <w:t>3</w:t>
      </w:r>
      <w:r>
        <w:rPr>
          <w:rFonts w:ascii="Arial" w:hAnsi="宋体" w:cs="Arial"/>
          <w:szCs w:val="21"/>
        </w:rPr>
        <w:t>个工作日内从基金资产中一次性支付给基金管理人。</w:t>
      </w:r>
    </w:p>
    <w:p w:rsidR="0057376A" w:rsidRDefault="00117DFA">
      <w:pPr>
        <w:snapToGrid w:val="0"/>
        <w:spacing w:line="360" w:lineRule="auto"/>
        <w:ind w:firstLineChars="200" w:firstLine="420"/>
        <w:rPr>
          <w:rFonts w:ascii="宋体" w:hAnsi="宋体"/>
        </w:rPr>
      </w:pPr>
      <w:r>
        <w:rPr>
          <w:rFonts w:ascii="宋体" w:hAnsi="宋体" w:hint="eastAsia"/>
        </w:rPr>
        <w:t>销售服务费主要用于本基金持续销售以及基金份额持有人服务等各项费用。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二</w:t>
      </w:r>
      <w:r>
        <w:rPr>
          <w:rFonts w:ascii="Arial" w:hAnsi="宋体" w:cs="Arial"/>
          <w:kern w:val="0"/>
          <w:szCs w:val="21"/>
        </w:rPr>
        <w:t>）不列入基金费用的项目</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本条第（一）款约定以外的其他费用，以及</w:t>
      </w:r>
      <w:r>
        <w:rPr>
          <w:rFonts w:ascii="Arial" w:hAnsi="宋体" w:cs="Arial"/>
          <w:kern w:val="0"/>
          <w:szCs w:val="21"/>
        </w:rPr>
        <w:t>基金管理人和基金托管人因未履行或未完全履行义务导致的费用支出或基金财产的损失不列入基金费用。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三</w:t>
      </w:r>
      <w:r>
        <w:rPr>
          <w:rFonts w:ascii="Arial" w:hAnsi="宋体" w:cs="Arial"/>
          <w:kern w:val="0"/>
          <w:szCs w:val="21"/>
        </w:rPr>
        <w:t>）基金管理费和基金托管费的调整</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t>基金管理人和基金托管人可协商酌情调低基金管理费和基金托管费，无须召开基金份额持有人大会</w:t>
      </w:r>
      <w:r>
        <w:rPr>
          <w:rFonts w:ascii="Arial" w:hAnsi="宋体" w:cs="Arial" w:hint="eastAsia"/>
          <w:kern w:val="0"/>
          <w:szCs w:val="21"/>
        </w:rPr>
        <w:t>。</w:t>
      </w:r>
    </w:p>
    <w:p w:rsidR="0057376A" w:rsidRDefault="0057376A">
      <w:pPr>
        <w:snapToGrid w:val="0"/>
        <w:spacing w:line="360" w:lineRule="auto"/>
        <w:ind w:firstLine="420"/>
        <w:rPr>
          <w:rFonts w:ascii="Arial" w:hAnsi="宋体" w:cs="Arial"/>
          <w:kern w:val="0"/>
          <w:szCs w:val="21"/>
        </w:rPr>
      </w:pPr>
    </w:p>
    <w:p w:rsidR="0057376A" w:rsidRDefault="00117DFA">
      <w:pPr>
        <w:pStyle w:val="2"/>
        <w:snapToGrid w:val="0"/>
        <w:spacing w:before="0" w:after="0" w:line="360" w:lineRule="auto"/>
        <w:rPr>
          <w:rFonts w:eastAsia="宋体" w:hAnsi="宋体" w:cs="Arial"/>
          <w:kern w:val="0"/>
          <w:sz w:val="21"/>
          <w:szCs w:val="21"/>
        </w:rPr>
      </w:pPr>
      <w:bookmarkStart w:id="65" w:name="_Toc253128723"/>
      <w:r>
        <w:rPr>
          <w:rFonts w:eastAsia="宋体" w:hAnsi="宋体" w:cs="Arial" w:hint="eastAsia"/>
          <w:kern w:val="0"/>
          <w:sz w:val="21"/>
          <w:szCs w:val="21"/>
        </w:rPr>
        <w:t>五、基金财产的投资方向和投资限制</w:t>
      </w:r>
      <w:bookmarkEnd w:id="65"/>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一</w:t>
      </w:r>
      <w:r>
        <w:rPr>
          <w:rFonts w:ascii="Arial" w:hAnsi="宋体" w:cs="Arial"/>
          <w:kern w:val="0"/>
          <w:szCs w:val="21"/>
        </w:rPr>
        <w:t>）投资范围</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kern w:val="0"/>
          <w:szCs w:val="21"/>
        </w:rPr>
        <w:t>本基金投资于具有良好流动性的金融工具，包括国内依法发行和上市的股票和债券以及法律、法规或中国证监会允许基金投资的其他金融工具。</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的其他</w:t>
      </w:r>
      <w:r>
        <w:rPr>
          <w:rFonts w:ascii="Arial" w:hAnsi="宋体" w:cs="Arial" w:hint="eastAsia"/>
          <w:kern w:val="0"/>
          <w:szCs w:val="21"/>
        </w:rPr>
        <w:t>固定收益类</w:t>
      </w:r>
      <w:r>
        <w:rPr>
          <w:rFonts w:ascii="Arial" w:hAnsi="宋体" w:cs="Arial"/>
          <w:kern w:val="0"/>
          <w:szCs w:val="21"/>
        </w:rPr>
        <w:t>金融工具。其中，对债券</w:t>
      </w:r>
      <w:r>
        <w:rPr>
          <w:rFonts w:ascii="Arial" w:hAnsi="宋体" w:cs="Arial" w:hint="eastAsia"/>
          <w:kern w:val="0"/>
          <w:szCs w:val="21"/>
        </w:rPr>
        <w:t>等固定收益</w:t>
      </w:r>
      <w:r>
        <w:rPr>
          <w:rFonts w:ascii="Arial" w:hAnsi="宋体" w:cs="Arial"/>
          <w:kern w:val="0"/>
          <w:szCs w:val="21"/>
        </w:rPr>
        <w:t>类资产的投资比例不低于基金资产的</w:t>
      </w:r>
      <w:r>
        <w:rPr>
          <w:rFonts w:ascii="Arial" w:hAnsi="Arial" w:cs="Arial"/>
          <w:kern w:val="0"/>
          <w:szCs w:val="21"/>
        </w:rPr>
        <w:t>80%</w:t>
      </w:r>
      <w:r>
        <w:rPr>
          <w:rFonts w:ascii="Arial" w:hAnsi="宋体" w:cs="Arial"/>
          <w:kern w:val="0"/>
          <w:szCs w:val="21"/>
        </w:rPr>
        <w:t>，对现金或者到期日在一年以内的政府债券的投资比例不低于基金资产净值的</w:t>
      </w:r>
      <w:r>
        <w:rPr>
          <w:rFonts w:ascii="Arial" w:hAnsi="Arial" w:cs="Arial"/>
          <w:kern w:val="0"/>
          <w:szCs w:val="21"/>
        </w:rPr>
        <w:t>5%</w:t>
      </w:r>
      <w:r>
        <w:rPr>
          <w:rFonts w:ascii="Arial" w:hAnsi="Arial" w:cs="Arial" w:hint="eastAsia"/>
          <w:kern w:val="0"/>
          <w:szCs w:val="21"/>
        </w:rPr>
        <w:t>，其中，现金不包括结算备付金、存出保证金、应收申购款等</w:t>
      </w:r>
      <w:r>
        <w:rPr>
          <w:rFonts w:ascii="Arial" w:hAnsi="宋体" w:cs="Arial"/>
          <w:kern w:val="0"/>
          <w:szCs w:val="21"/>
        </w:rPr>
        <w:t>。</w:t>
      </w:r>
    </w:p>
    <w:p w:rsidR="0057376A" w:rsidRDefault="00117DFA">
      <w:pPr>
        <w:snapToGrid w:val="0"/>
        <w:spacing w:line="360" w:lineRule="auto"/>
        <w:ind w:firstLineChars="200" w:firstLine="420"/>
        <w:rPr>
          <w:rFonts w:ascii="Arial" w:hAnsi="宋体" w:cs="Arial"/>
          <w:kern w:val="0"/>
          <w:szCs w:val="21"/>
        </w:rPr>
      </w:pPr>
      <w:r>
        <w:rPr>
          <w:rFonts w:ascii="Arial" w:hAnsi="宋体" w:cs="Arial"/>
          <w:kern w:val="0"/>
          <w:szCs w:val="21"/>
        </w:rPr>
        <w:lastRenderedPageBreak/>
        <w:t>本基金还可以参与一级市场新股申购，以及在二级市场上投资股票、权证等权益类证券。本基金投资于股票、权证等权益类证券的比例不超过基金资产的</w:t>
      </w:r>
      <w:r>
        <w:rPr>
          <w:rFonts w:ascii="Arial" w:hAnsi="Arial" w:cs="Arial"/>
          <w:kern w:val="0"/>
          <w:szCs w:val="21"/>
        </w:rPr>
        <w:t>20%</w:t>
      </w:r>
      <w:r>
        <w:rPr>
          <w:rFonts w:ascii="Arial" w:hAnsi="宋体" w:cs="Arial"/>
          <w:kern w:val="0"/>
          <w:szCs w:val="21"/>
        </w:rPr>
        <w:t>。</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如法律法规或监管机构以后允许基金投资其他品种，基金管理人在履行适当程序后，可以将其纳入投资范围。</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宋体" w:cs="Arial" w:hint="eastAsia"/>
          <w:kern w:val="0"/>
          <w:szCs w:val="21"/>
        </w:rPr>
        <w:t>二</w:t>
      </w:r>
      <w:r>
        <w:rPr>
          <w:rFonts w:ascii="Arial" w:hAnsi="宋体" w:cs="Arial"/>
          <w:kern w:val="0"/>
          <w:szCs w:val="21"/>
        </w:rPr>
        <w:t>）投资禁止行为</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、禁止用本基金财产从事以下行为：</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）承销证券；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）向他人贷款或者提供担保；</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）从事承担无限责任的投资；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）买卖其他基金份额，但是国务院另有规定的除外；</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）向基金管理人、基金托管人出资或者买卖基金管理人、基金托管人发行的股票或者债券；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）买卖与基金管理人、基金托管人有控股关系的股东或者与基金管理人、基金托管人有其他重大利害关系的公司发行的证券或者承销期内承销的证券；</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）从事内幕交易、操纵证券交易价格及其他不正当的证券交易活动；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）依照法律、行政法规有关法律法规规定，由中国证监会规定禁止的其他活动。</w:t>
      </w:r>
    </w:p>
    <w:p w:rsidR="0057376A" w:rsidRDefault="00117DFA">
      <w:pPr>
        <w:snapToGrid w:val="0"/>
        <w:spacing w:line="360" w:lineRule="auto"/>
        <w:ind w:firstLineChars="200" w:firstLine="420"/>
        <w:rPr>
          <w:rFonts w:ascii="Arial" w:hAnsi="宋体" w:cs="Arial"/>
          <w:kern w:val="0"/>
          <w:szCs w:val="21"/>
        </w:rPr>
      </w:pPr>
      <w:r>
        <w:rPr>
          <w:rFonts w:ascii="Arial" w:hAnsi="Arial" w:cs="Arial" w:hint="eastAsia"/>
          <w:kern w:val="0"/>
          <w:szCs w:val="21"/>
        </w:rPr>
        <w:t>（三）</w:t>
      </w:r>
      <w:r>
        <w:rPr>
          <w:rFonts w:ascii="Arial" w:hAnsi="宋体" w:cs="Arial"/>
          <w:kern w:val="0"/>
          <w:szCs w:val="21"/>
        </w:rPr>
        <w:t>投资限制</w:t>
      </w:r>
    </w:p>
    <w:p w:rsidR="0057376A" w:rsidRDefault="00117DFA">
      <w:pPr>
        <w:snapToGrid w:val="0"/>
        <w:spacing w:line="360" w:lineRule="auto"/>
        <w:ind w:firstLineChars="200" w:firstLine="420"/>
        <w:rPr>
          <w:rFonts w:ascii="Arial" w:hAnsi="Arial" w:cs="Arial"/>
          <w:kern w:val="0"/>
          <w:szCs w:val="21"/>
        </w:rPr>
      </w:pPr>
      <w:r>
        <w:rPr>
          <w:rFonts w:ascii="Arial" w:hAnsi="宋体" w:cs="Arial" w:hint="eastAsia"/>
          <w:kern w:val="0"/>
          <w:szCs w:val="21"/>
        </w:rPr>
        <w:t>1</w:t>
      </w:r>
      <w:r>
        <w:rPr>
          <w:rFonts w:ascii="Arial" w:hAnsi="宋体" w:cs="Arial" w:hint="eastAsia"/>
          <w:kern w:val="0"/>
          <w:szCs w:val="21"/>
        </w:rPr>
        <w:t>、本基金的投资组合将遵循以下限制：</w:t>
      </w:r>
    </w:p>
    <w:p w:rsidR="0057376A" w:rsidRDefault="00117DFA">
      <w:pPr>
        <w:snapToGrid w:val="0"/>
        <w:spacing w:line="360" w:lineRule="auto"/>
        <w:ind w:firstLineChars="200" w:firstLine="420"/>
        <w:rPr>
          <w:rFonts w:ascii="Arial" w:hAnsi="Arial" w:cs="Arial"/>
        </w:rPr>
      </w:pPr>
      <w:r>
        <w:rPr>
          <w:rFonts w:ascii="Arial" w:hAnsi="宋体" w:cs="Arial"/>
          <w:color w:val="000000"/>
        </w:rPr>
        <w:t>（</w:t>
      </w:r>
      <w:r>
        <w:rPr>
          <w:rFonts w:ascii="Arial" w:hAnsi="Arial" w:cs="Arial"/>
          <w:color w:val="000000"/>
        </w:rPr>
        <w:t>1</w:t>
      </w:r>
      <w:r>
        <w:rPr>
          <w:rFonts w:ascii="Arial" w:hAnsi="宋体" w:cs="Arial"/>
          <w:color w:val="000000"/>
        </w:rPr>
        <w:t>）</w:t>
      </w:r>
      <w:r>
        <w:rPr>
          <w:rFonts w:ascii="Arial" w:hAnsi="宋体" w:cs="Arial"/>
          <w:color w:val="000000"/>
          <w:kern w:val="0"/>
          <w:szCs w:val="21"/>
        </w:rPr>
        <w:t>本基金对债券</w:t>
      </w:r>
      <w:r>
        <w:rPr>
          <w:rFonts w:ascii="Arial" w:hAnsi="宋体" w:cs="Arial" w:hint="eastAsia"/>
          <w:color w:val="000000"/>
          <w:kern w:val="0"/>
          <w:szCs w:val="21"/>
        </w:rPr>
        <w:t>等固定收益</w:t>
      </w:r>
      <w:r>
        <w:rPr>
          <w:rFonts w:ascii="Arial" w:hAnsi="宋体" w:cs="Arial"/>
          <w:color w:val="000000"/>
          <w:kern w:val="0"/>
          <w:szCs w:val="21"/>
        </w:rPr>
        <w:t>类资产的投资比例不低于基金资产的</w:t>
      </w:r>
      <w:r>
        <w:rPr>
          <w:rFonts w:ascii="Arial" w:hAnsi="Arial" w:cs="Arial"/>
          <w:color w:val="000000"/>
          <w:kern w:val="0"/>
          <w:szCs w:val="21"/>
        </w:rPr>
        <w:t>80%</w:t>
      </w:r>
      <w:r>
        <w:rPr>
          <w:rFonts w:ascii="Arial" w:hAnsi="宋体" w:cs="Arial"/>
          <w:color w:val="000000"/>
          <w:kern w:val="0"/>
          <w:szCs w:val="21"/>
        </w:rPr>
        <w:t>，</w:t>
      </w:r>
      <w:r>
        <w:rPr>
          <w:rFonts w:ascii="Arial" w:hAnsi="宋体" w:cs="Arial"/>
        </w:rPr>
        <w:t>对股票</w:t>
      </w:r>
      <w:r>
        <w:rPr>
          <w:rFonts w:ascii="Arial" w:hAnsi="宋体" w:cs="Arial" w:hint="eastAsia"/>
        </w:rPr>
        <w:t>、权证</w:t>
      </w:r>
      <w:r>
        <w:rPr>
          <w:rFonts w:ascii="Arial" w:hAnsi="宋体" w:cs="Arial"/>
        </w:rPr>
        <w:t>等权益类证券的投资比例不高于基金资产的</w:t>
      </w:r>
      <w:r>
        <w:rPr>
          <w:rFonts w:ascii="Arial" w:hAnsi="Arial" w:cs="Arial"/>
        </w:rPr>
        <w:t>20%</w:t>
      </w:r>
      <w:r>
        <w:rPr>
          <w:rFonts w:ascii="Arial" w:hAnsi="宋体" w:cs="Arial"/>
          <w:color w:val="000000"/>
          <w:kern w:val="0"/>
          <w:szCs w:val="21"/>
        </w:rPr>
        <w:t>；</w:t>
      </w:r>
    </w:p>
    <w:p w:rsidR="0057376A" w:rsidRDefault="00117DFA">
      <w:pPr>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2</w:t>
      </w:r>
      <w:r>
        <w:rPr>
          <w:rFonts w:ascii="Arial" w:hAnsi="宋体" w:cs="Arial"/>
          <w:color w:val="000000"/>
        </w:rPr>
        <w:t>）本基金与由基金管理人管理的其他基金持有一家公司发行的证券总和，不超过该证券总和的</w:t>
      </w:r>
      <w:r>
        <w:rPr>
          <w:rFonts w:ascii="Arial" w:hAnsi="Arial" w:cs="Arial"/>
          <w:color w:val="000000"/>
        </w:rPr>
        <w:t>10%</w:t>
      </w:r>
      <w:r>
        <w:rPr>
          <w:rFonts w:ascii="Arial" w:hAnsi="宋体" w:cs="Arial"/>
          <w:color w:val="000000"/>
        </w:rPr>
        <w:t>；</w:t>
      </w:r>
    </w:p>
    <w:p w:rsidR="0057376A" w:rsidRDefault="00117DFA">
      <w:pPr>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3</w:t>
      </w:r>
      <w:r>
        <w:rPr>
          <w:rFonts w:ascii="Arial" w:hAnsi="宋体" w:cs="Arial"/>
          <w:color w:val="000000"/>
        </w:rPr>
        <w:t>）在全国银行间同业市场中的债券回购最长期限为</w:t>
      </w:r>
      <w:r>
        <w:rPr>
          <w:rFonts w:ascii="Arial" w:hAnsi="Arial" w:cs="Arial"/>
          <w:color w:val="000000"/>
        </w:rPr>
        <w:t>1</w:t>
      </w:r>
      <w:r>
        <w:rPr>
          <w:rFonts w:ascii="Arial" w:hAnsi="宋体" w:cs="Arial"/>
          <w:color w:val="000000"/>
        </w:rPr>
        <w:t>年，债券回购到期后不展期；</w:t>
      </w:r>
    </w:p>
    <w:p w:rsidR="0057376A" w:rsidRDefault="00117DFA">
      <w:pPr>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4</w:t>
      </w:r>
      <w:r>
        <w:rPr>
          <w:rFonts w:ascii="Arial" w:hAnsi="宋体" w:cs="Arial"/>
          <w:color w:val="000000"/>
        </w:rPr>
        <w:t>）在全国银行间债券市场回购融入的资金余额不超过基金资产净值的</w:t>
      </w:r>
      <w:r>
        <w:rPr>
          <w:rFonts w:ascii="Arial" w:hAnsi="Arial" w:cs="Arial"/>
          <w:color w:val="000000"/>
        </w:rPr>
        <w:t>40%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hint="eastAsia"/>
          <w:color w:val="000000"/>
        </w:rPr>
        <w:t>5</w:t>
      </w:r>
      <w:r>
        <w:rPr>
          <w:rFonts w:ascii="Arial" w:hAnsi="宋体" w:cs="Arial"/>
          <w:color w:val="000000"/>
        </w:rPr>
        <w:t>）本基金持有一家上市公司的股票，其市值不超过基金资产净值的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宋体" w:cs="Arial"/>
          <w:color w:val="000000"/>
        </w:rPr>
      </w:pPr>
      <w:r>
        <w:rPr>
          <w:rFonts w:ascii="Arial" w:hAnsi="宋体" w:cs="Arial"/>
          <w:color w:val="000000"/>
        </w:rPr>
        <w:t>（</w:t>
      </w:r>
      <w:r>
        <w:rPr>
          <w:rFonts w:ascii="Arial" w:hAnsi="Arial" w:cs="Arial" w:hint="eastAsia"/>
          <w:color w:val="000000"/>
        </w:rPr>
        <w:t>6</w:t>
      </w:r>
      <w:r>
        <w:rPr>
          <w:rFonts w:ascii="Arial" w:hAnsi="宋体" w:cs="Arial"/>
          <w:color w:val="000000"/>
        </w:rPr>
        <w:t>）</w:t>
      </w:r>
      <w:r>
        <w:rPr>
          <w:rFonts w:ascii="Arial" w:hAnsi="宋体" w:cs="Arial" w:hint="eastAsia"/>
          <w:color w:val="000000"/>
        </w:rPr>
        <w:t>本基金在任何交易日买入权证的总金额，不得超过上一交易日基金资产净值的</w:t>
      </w:r>
      <w:r>
        <w:rPr>
          <w:rFonts w:ascii="Arial" w:hAnsi="宋体" w:cs="Arial" w:hint="eastAsia"/>
          <w:color w:val="000000"/>
        </w:rPr>
        <w:t>0.5%</w:t>
      </w:r>
      <w:r>
        <w:rPr>
          <w:rFonts w:ascii="Arial" w:hAnsi="宋体" w:cs="Arial" w:hint="eastAsia"/>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hint="eastAsia"/>
          <w:color w:val="000000"/>
        </w:rPr>
        <w:t>（</w:t>
      </w:r>
      <w:r>
        <w:rPr>
          <w:rFonts w:ascii="Arial" w:hAnsi="宋体" w:cs="Arial" w:hint="eastAsia"/>
          <w:color w:val="000000"/>
        </w:rPr>
        <w:t>7</w:t>
      </w:r>
      <w:r>
        <w:rPr>
          <w:rFonts w:ascii="Arial" w:hAnsi="宋体" w:cs="Arial" w:hint="eastAsia"/>
          <w:color w:val="000000"/>
        </w:rPr>
        <w:t>）</w:t>
      </w:r>
      <w:r>
        <w:rPr>
          <w:rFonts w:ascii="Arial" w:hAnsi="宋体" w:cs="Arial"/>
          <w:color w:val="000000"/>
        </w:rPr>
        <w:t>本基金持有的全部权证，其市值不得超过基金资产净值的</w:t>
      </w:r>
      <w:r>
        <w:rPr>
          <w:rFonts w:ascii="Arial" w:hAnsi="Arial" w:cs="Arial"/>
          <w:color w:val="000000"/>
        </w:rPr>
        <w:t>3%</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hint="eastAsia"/>
          <w:color w:val="000000"/>
        </w:rPr>
        <w:t>8</w:t>
      </w:r>
      <w:r>
        <w:rPr>
          <w:rFonts w:ascii="Arial" w:hAnsi="宋体" w:cs="Arial"/>
          <w:color w:val="000000"/>
        </w:rPr>
        <w:t>）本基金管理人管理的全部基金持有的同一权证，不得超过该权证的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hint="eastAsia"/>
          <w:color w:val="000000"/>
        </w:rPr>
        <w:t>9</w:t>
      </w:r>
      <w:r>
        <w:rPr>
          <w:rFonts w:ascii="Arial" w:hAnsi="宋体" w:cs="Arial"/>
          <w:color w:val="000000"/>
        </w:rPr>
        <w:t>）本基金持有的同一（指同一信用级别）资产支持证券的比例，不得超过该资产支持证券规模的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hint="eastAsia"/>
          <w:color w:val="000000"/>
        </w:rPr>
        <w:t>10</w:t>
      </w:r>
      <w:r>
        <w:rPr>
          <w:rFonts w:ascii="Arial" w:hAnsi="宋体" w:cs="Arial"/>
          <w:color w:val="000000"/>
        </w:rPr>
        <w:t>）本基金投资于同一原始权益人的各类资产支持证券的比例，不得超过基金资产净值的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1</w:t>
      </w:r>
      <w:r>
        <w:rPr>
          <w:rFonts w:ascii="Arial" w:hAnsi="宋体" w:cs="Arial"/>
          <w:color w:val="000000"/>
        </w:rPr>
        <w:t>）本基金管理人管理的全部基金投资于同一原始权益人的各类资产支持证券，不得</w:t>
      </w:r>
      <w:r>
        <w:rPr>
          <w:rFonts w:ascii="Arial" w:hAnsi="宋体" w:cs="Arial"/>
          <w:color w:val="000000"/>
        </w:rPr>
        <w:lastRenderedPageBreak/>
        <w:t>超过其各类资产支持证券合计规模的</w:t>
      </w:r>
      <w:r>
        <w:rPr>
          <w:rFonts w:ascii="Arial" w:hAnsi="Arial" w:cs="Arial"/>
          <w:color w:val="000000"/>
        </w:rPr>
        <w:t>10%</w:t>
      </w:r>
      <w:r>
        <w:rPr>
          <w:rFonts w:ascii="Arial" w:hAnsi="宋体" w:cs="Arial"/>
          <w:color w:val="000000"/>
        </w:rPr>
        <w:t>；</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2</w:t>
      </w:r>
      <w:r>
        <w:rPr>
          <w:rFonts w:ascii="Arial" w:hAnsi="宋体" w:cs="Arial"/>
          <w:color w:val="000000"/>
        </w:rPr>
        <w:t>）</w:t>
      </w:r>
      <w:r>
        <w:rPr>
          <w:rFonts w:ascii="Arial" w:hAnsi="Arial" w:cs="Arial" w:hint="eastAsia"/>
          <w:color w:val="000000"/>
        </w:rPr>
        <w:t>本基金持有的全部资产支持证券，其市值不得超过基金资产净值的</w:t>
      </w:r>
      <w:r>
        <w:rPr>
          <w:rFonts w:ascii="Arial" w:hAnsi="Arial" w:cs="Arial" w:hint="eastAsia"/>
          <w:color w:val="000000"/>
        </w:rPr>
        <w:t>20%</w:t>
      </w:r>
      <w:r>
        <w:rPr>
          <w:rFonts w:ascii="Arial" w:hAnsi="Arial" w:cs="Arial" w:hint="eastAsia"/>
          <w:color w:val="000000"/>
        </w:rPr>
        <w:t>，中国证监会规定的特殊品种除外；</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Arial" w:cs="Arial" w:hint="eastAsia"/>
          <w:color w:val="000000"/>
        </w:rPr>
        <w:t>（</w:t>
      </w:r>
      <w:r>
        <w:rPr>
          <w:rFonts w:ascii="Arial" w:hAnsi="Arial" w:cs="Arial" w:hint="eastAsia"/>
          <w:color w:val="000000"/>
        </w:rPr>
        <w:t>13</w:t>
      </w:r>
      <w:r>
        <w:rPr>
          <w:rFonts w:ascii="Arial" w:hAnsi="Arial" w:cs="Arial" w:hint="eastAsia"/>
          <w:color w:val="000000"/>
        </w:rPr>
        <w:t>）</w:t>
      </w:r>
      <w:r>
        <w:rPr>
          <w:rFonts w:ascii="Arial" w:hAnsi="宋体" w:cs="Arial"/>
          <w:color w:val="000000"/>
        </w:rPr>
        <w:t>基金资产参与股票发行申购，本基金所申报的金额不超过本基金的总资产，本基金所申报的股票数量不超过拟发行股票公司本次发行股票的总量；</w:t>
      </w:r>
    </w:p>
    <w:p w:rsidR="0057376A" w:rsidRDefault="00117DFA">
      <w:pPr>
        <w:pStyle w:val="a7"/>
        <w:numPr>
          <w:ilvl w:val="2"/>
          <w:numId w:val="0"/>
        </w:numPr>
        <w:tabs>
          <w:tab w:val="left" w:pos="360"/>
        </w:tabs>
        <w:snapToGrid w:val="0"/>
        <w:spacing w:line="360" w:lineRule="auto"/>
        <w:ind w:firstLineChars="200" w:firstLine="420"/>
        <w:rPr>
          <w:rFonts w:ascii="Arial" w:hAnsi="Arial" w:cs="Arial"/>
          <w:color w:val="000000"/>
        </w:rPr>
      </w:pPr>
      <w:r>
        <w:rPr>
          <w:rFonts w:ascii="Arial" w:hAnsi="宋体" w:cs="Arial"/>
          <w:color w:val="000000"/>
        </w:rPr>
        <w:t>（</w:t>
      </w:r>
      <w:r>
        <w:rPr>
          <w:rFonts w:ascii="Arial" w:hAnsi="Arial" w:cs="Arial"/>
          <w:color w:val="000000"/>
        </w:rPr>
        <w:t>1</w:t>
      </w:r>
      <w:r>
        <w:rPr>
          <w:rFonts w:ascii="Arial" w:hAnsi="Arial" w:cs="Arial" w:hint="eastAsia"/>
          <w:color w:val="000000"/>
        </w:rPr>
        <w:t>4</w:t>
      </w:r>
      <w:r>
        <w:rPr>
          <w:rFonts w:ascii="Arial" w:hAnsi="宋体" w:cs="Arial"/>
          <w:color w:val="000000"/>
        </w:rPr>
        <w:t>）本基金对现金或者到期日在一年以内的政府债券的投资比例不低于基金资产净值的</w:t>
      </w:r>
      <w:r>
        <w:rPr>
          <w:rFonts w:ascii="Arial" w:hAnsi="Arial" w:cs="Arial"/>
          <w:color w:val="000000"/>
        </w:rPr>
        <w:t>5%</w:t>
      </w:r>
      <w:r>
        <w:rPr>
          <w:rFonts w:ascii="Arial" w:hAnsi="Arial" w:cs="Arial" w:hint="eastAsia"/>
          <w:color w:val="000000"/>
        </w:rPr>
        <w:t>，其中，现金不包括结算备付金、存出保证金、应收申购款等</w:t>
      </w:r>
      <w:r>
        <w:rPr>
          <w:rFonts w:ascii="Arial" w:hAnsi="宋体" w:cs="Arial"/>
          <w:color w:val="000000"/>
        </w:rPr>
        <w:t>；</w:t>
      </w:r>
    </w:p>
    <w:p w:rsidR="0057376A" w:rsidRDefault="00117DFA">
      <w:pPr>
        <w:snapToGrid w:val="0"/>
        <w:spacing w:line="360" w:lineRule="auto"/>
        <w:ind w:firstLineChars="200" w:firstLine="420"/>
        <w:rPr>
          <w:rFonts w:ascii="Arial" w:hAnsi="宋体" w:cs="Arial"/>
          <w:color w:val="000000"/>
          <w:szCs w:val="20"/>
        </w:rPr>
      </w:pPr>
      <w:r>
        <w:rPr>
          <w:rFonts w:ascii="Arial" w:hAnsi="宋体" w:cs="Arial"/>
          <w:kern w:val="0"/>
          <w:szCs w:val="21"/>
        </w:rPr>
        <w:t>（</w:t>
      </w:r>
      <w:r>
        <w:rPr>
          <w:rFonts w:ascii="Arial" w:hAnsi="Arial" w:cs="Arial"/>
          <w:kern w:val="0"/>
          <w:szCs w:val="21"/>
        </w:rPr>
        <w:t>1</w:t>
      </w:r>
      <w:r>
        <w:rPr>
          <w:rFonts w:ascii="Arial" w:hAnsi="Arial" w:cs="Arial" w:hint="eastAsia"/>
          <w:kern w:val="0"/>
          <w:szCs w:val="21"/>
        </w:rPr>
        <w:t>5</w:t>
      </w:r>
      <w:r>
        <w:rPr>
          <w:rFonts w:ascii="Arial" w:hAnsi="宋体" w:cs="Arial"/>
          <w:kern w:val="0"/>
          <w:szCs w:val="21"/>
        </w:rPr>
        <w:t>）</w:t>
      </w:r>
      <w:r>
        <w:rPr>
          <w:rFonts w:ascii="Arial" w:hAnsi="宋体" w:cs="Arial" w:hint="eastAsia"/>
          <w:color w:val="000000"/>
          <w:szCs w:val="20"/>
        </w:rPr>
        <w:t>本基金应投资于信用级别评级为</w:t>
      </w:r>
      <w:r>
        <w:rPr>
          <w:rFonts w:ascii="Arial" w:hAnsi="宋体" w:cs="Arial" w:hint="eastAsia"/>
          <w:color w:val="000000"/>
          <w:szCs w:val="20"/>
        </w:rPr>
        <w:t>BBB</w:t>
      </w:r>
      <w:r>
        <w:rPr>
          <w:rFonts w:ascii="Arial" w:hAnsi="宋体" w:cs="Arial" w:hint="eastAsia"/>
          <w:color w:val="000000"/>
          <w:szCs w:val="20"/>
        </w:rPr>
        <w:t>以上（含</w:t>
      </w:r>
      <w:r>
        <w:rPr>
          <w:rFonts w:ascii="Arial" w:hAnsi="宋体" w:cs="Arial" w:hint="eastAsia"/>
          <w:color w:val="000000"/>
          <w:szCs w:val="20"/>
        </w:rPr>
        <w:t>BBB</w:t>
      </w:r>
      <w:r>
        <w:rPr>
          <w:rFonts w:ascii="Arial" w:hAnsi="宋体" w:cs="Arial" w:hint="eastAsia"/>
          <w:color w:val="000000"/>
          <w:szCs w:val="20"/>
        </w:rPr>
        <w:t>）的资产支持证券。基金持有资产支持证券期间，如果其信用等级下降、不再符合投资标准，应在评级报告发布之日起</w:t>
      </w:r>
      <w:r>
        <w:rPr>
          <w:rFonts w:ascii="Arial" w:hAnsi="宋体" w:cs="Arial" w:hint="eastAsia"/>
          <w:color w:val="000000"/>
          <w:szCs w:val="20"/>
        </w:rPr>
        <w:t xml:space="preserve">3 </w:t>
      </w:r>
      <w:r>
        <w:rPr>
          <w:rFonts w:ascii="Arial" w:hAnsi="宋体" w:cs="Arial" w:hint="eastAsia"/>
          <w:color w:val="000000"/>
          <w:szCs w:val="20"/>
        </w:rPr>
        <w:t>个月内予以全部卖出；</w:t>
      </w:r>
    </w:p>
    <w:p w:rsidR="0057376A" w:rsidRDefault="00117DFA">
      <w:pPr>
        <w:snapToGrid w:val="0"/>
        <w:spacing w:line="360" w:lineRule="auto"/>
        <w:ind w:firstLineChars="200" w:firstLine="420"/>
        <w:rPr>
          <w:rFonts w:ascii="Arial" w:hAnsi="宋体" w:cs="Arial"/>
          <w:color w:val="000000"/>
          <w:szCs w:val="20"/>
        </w:rPr>
      </w:pPr>
      <w:r>
        <w:rPr>
          <w:rFonts w:ascii="Arial" w:hAnsi="宋体" w:cs="Arial" w:hint="eastAsia"/>
          <w:color w:val="000000"/>
          <w:szCs w:val="20"/>
        </w:rPr>
        <w:t>（</w:t>
      </w:r>
      <w:r>
        <w:rPr>
          <w:rFonts w:ascii="Arial" w:hAnsi="宋体" w:cs="Arial" w:hint="eastAsia"/>
          <w:color w:val="000000"/>
          <w:szCs w:val="20"/>
        </w:rPr>
        <w:t>16</w:t>
      </w:r>
      <w:r>
        <w:rPr>
          <w:rFonts w:ascii="Arial" w:hAnsi="宋体" w:cs="Arial" w:hint="eastAsia"/>
          <w:color w:val="000000"/>
          <w:szCs w:val="20"/>
        </w:rPr>
        <w:t>）本基金管理人管理的全部开放式基金持有一家上市公司发行的可流通股票，不得超过该上市公司可流通股票的</w:t>
      </w:r>
      <w:r>
        <w:rPr>
          <w:rFonts w:ascii="Arial" w:hAnsi="宋体" w:cs="Arial" w:hint="eastAsia"/>
          <w:color w:val="000000"/>
          <w:szCs w:val="20"/>
        </w:rPr>
        <w:t>15%</w:t>
      </w:r>
      <w:r>
        <w:rPr>
          <w:rFonts w:ascii="Arial" w:hAnsi="宋体" w:cs="Arial" w:hint="eastAsia"/>
          <w:color w:val="000000"/>
          <w:szCs w:val="20"/>
        </w:rPr>
        <w:t>；本基金管理人管理的全部投资组合持有一家上市公司发行的可流通股票，不得超过该上市公司可流通股票的</w:t>
      </w:r>
      <w:r>
        <w:rPr>
          <w:rFonts w:ascii="Arial" w:hAnsi="宋体" w:cs="Arial" w:hint="eastAsia"/>
          <w:color w:val="000000"/>
          <w:szCs w:val="20"/>
        </w:rPr>
        <w:t>30 %</w:t>
      </w:r>
      <w:r>
        <w:rPr>
          <w:rFonts w:ascii="Arial" w:hAnsi="宋体" w:cs="Arial" w:hint="eastAsia"/>
          <w:color w:val="000000"/>
          <w:szCs w:val="20"/>
        </w:rPr>
        <w:t>；</w:t>
      </w:r>
    </w:p>
    <w:p w:rsidR="0057376A" w:rsidRDefault="00117DFA">
      <w:pPr>
        <w:snapToGrid w:val="0"/>
        <w:spacing w:line="360" w:lineRule="auto"/>
        <w:ind w:firstLineChars="200" w:firstLine="420"/>
        <w:rPr>
          <w:rFonts w:ascii="Arial" w:hAnsi="宋体" w:cs="Arial"/>
          <w:color w:val="000000"/>
          <w:szCs w:val="20"/>
        </w:rPr>
      </w:pPr>
      <w:r>
        <w:rPr>
          <w:rFonts w:ascii="Arial" w:hAnsi="宋体" w:cs="Arial" w:hint="eastAsia"/>
          <w:color w:val="000000"/>
          <w:szCs w:val="20"/>
        </w:rPr>
        <w:t>（</w:t>
      </w:r>
      <w:r>
        <w:rPr>
          <w:rFonts w:ascii="Arial" w:hAnsi="宋体" w:cs="Arial" w:hint="eastAsia"/>
          <w:color w:val="000000"/>
          <w:szCs w:val="20"/>
        </w:rPr>
        <w:t>17</w:t>
      </w:r>
      <w:r>
        <w:rPr>
          <w:rFonts w:ascii="Arial" w:hAnsi="宋体" w:cs="Arial" w:hint="eastAsia"/>
          <w:color w:val="000000"/>
          <w:szCs w:val="20"/>
        </w:rPr>
        <w:t>）本基金主动投资于流动性受限资产的市值合计不得超过本基金资产净值的</w:t>
      </w:r>
      <w:r>
        <w:rPr>
          <w:rFonts w:ascii="Arial" w:hAnsi="宋体" w:cs="Arial" w:hint="eastAsia"/>
          <w:color w:val="000000"/>
          <w:szCs w:val="20"/>
        </w:rPr>
        <w:t xml:space="preserve">15% </w:t>
      </w:r>
      <w:r>
        <w:rPr>
          <w:rFonts w:ascii="Arial" w:hAnsi="宋体" w:cs="Arial" w:hint="eastAsia"/>
          <w:color w:val="000000"/>
          <w:szCs w:val="20"/>
        </w:rPr>
        <w:t>；</w:t>
      </w:r>
    </w:p>
    <w:p w:rsidR="0057376A" w:rsidRDefault="00117DFA">
      <w:pPr>
        <w:snapToGrid w:val="0"/>
        <w:spacing w:line="360" w:lineRule="auto"/>
        <w:ind w:firstLineChars="200" w:firstLine="420"/>
        <w:rPr>
          <w:rFonts w:ascii="Arial" w:hAnsi="宋体" w:cs="Arial"/>
          <w:color w:val="000000"/>
          <w:szCs w:val="20"/>
        </w:rPr>
      </w:pPr>
      <w:r>
        <w:rPr>
          <w:rFonts w:ascii="Arial" w:hAnsi="宋体" w:cs="Arial" w:hint="eastAsia"/>
          <w:color w:val="000000"/>
          <w:szCs w:val="20"/>
        </w:rPr>
        <w:t>因证券市场波动、上市公司股票停牌、基金规模变动等基金管理人之外的因素致使基金不符合前款所规定比例限制的，基金管理人不得主动新增流动性受限资产的投资。</w:t>
      </w:r>
    </w:p>
    <w:p w:rsidR="0057376A" w:rsidRDefault="00117DFA">
      <w:pPr>
        <w:snapToGrid w:val="0"/>
        <w:spacing w:line="360" w:lineRule="auto"/>
        <w:ind w:firstLineChars="200" w:firstLine="420"/>
        <w:rPr>
          <w:rFonts w:ascii="Arial" w:hAnsi="宋体" w:cs="Arial"/>
          <w:color w:val="000000"/>
          <w:szCs w:val="20"/>
        </w:rPr>
      </w:pPr>
      <w:r>
        <w:rPr>
          <w:rFonts w:ascii="Arial" w:hAnsi="宋体" w:cs="Arial" w:hint="eastAsia"/>
          <w:color w:val="000000"/>
          <w:szCs w:val="20"/>
        </w:rPr>
        <w:t>（</w:t>
      </w:r>
      <w:r>
        <w:rPr>
          <w:rFonts w:ascii="Arial" w:hAnsi="宋体" w:cs="Arial" w:hint="eastAsia"/>
          <w:color w:val="000000"/>
          <w:szCs w:val="20"/>
        </w:rPr>
        <w:t>18</w:t>
      </w:r>
      <w:r>
        <w:rPr>
          <w:rFonts w:ascii="Arial" w:hAnsi="宋体" w:cs="Arial" w:hint="eastAsia"/>
          <w:color w:val="000000"/>
          <w:szCs w:val="20"/>
        </w:rPr>
        <w:t>）本基金与私募类证券资管产品及中国证监会认定的其他主体为交易对手开展逆回购交易的，可接受质押品的资质要求应当与基金合同约定的投资范围保持一致；</w:t>
      </w:r>
    </w:p>
    <w:p w:rsidR="0057376A" w:rsidRDefault="00117DFA">
      <w:pPr>
        <w:snapToGrid w:val="0"/>
        <w:spacing w:line="360" w:lineRule="auto"/>
        <w:ind w:firstLineChars="200" w:firstLine="420"/>
        <w:rPr>
          <w:rFonts w:ascii="Arial" w:hAnsi="宋体" w:cs="Arial"/>
          <w:kern w:val="0"/>
          <w:szCs w:val="21"/>
        </w:rPr>
      </w:pPr>
      <w:r>
        <w:rPr>
          <w:rFonts w:ascii="Arial" w:hAnsi="宋体" w:cs="Arial" w:hint="eastAsia"/>
          <w:color w:val="000000"/>
          <w:szCs w:val="20"/>
        </w:rPr>
        <w:t>（</w:t>
      </w:r>
      <w:r>
        <w:rPr>
          <w:rFonts w:ascii="Arial" w:hAnsi="宋体" w:cs="Arial"/>
          <w:color w:val="000000"/>
          <w:szCs w:val="20"/>
        </w:rPr>
        <w:t>19</w:t>
      </w:r>
      <w:r>
        <w:rPr>
          <w:rFonts w:ascii="Arial" w:hAnsi="宋体" w:cs="Arial" w:hint="eastAsia"/>
          <w:color w:val="000000"/>
          <w:szCs w:val="20"/>
        </w:rPr>
        <w:t>）</w:t>
      </w:r>
      <w:r>
        <w:rPr>
          <w:rFonts w:ascii="Arial" w:hAnsi="宋体" w:cs="Arial"/>
          <w:kern w:val="0"/>
          <w:szCs w:val="21"/>
        </w:rPr>
        <w:t>法律法规和基金合同规定的其他限制。</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Arial" w:cs="Arial" w:hint="eastAsia"/>
          <w:kern w:val="0"/>
          <w:szCs w:val="21"/>
        </w:rPr>
        <w:t>、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（四）投资组合比例调整</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基金管理人应当自基金合同生效之日起六个月内使基金的投资组合比例符合基金合同的约定。除第（</w:t>
      </w:r>
      <w:r>
        <w:rPr>
          <w:rFonts w:ascii="Arial" w:hAnsi="Arial" w:cs="Arial" w:hint="eastAsia"/>
          <w:kern w:val="0"/>
          <w:szCs w:val="21"/>
        </w:rPr>
        <w:t>14</w:t>
      </w:r>
      <w:r>
        <w:rPr>
          <w:rFonts w:ascii="Arial" w:hAnsi="Arial" w:cs="Arial" w:hint="eastAsia"/>
          <w:kern w:val="0"/>
          <w:szCs w:val="21"/>
        </w:rPr>
        <w:t>）、（</w:t>
      </w:r>
      <w:r>
        <w:rPr>
          <w:rFonts w:ascii="Arial" w:hAnsi="Arial" w:cs="Arial" w:hint="eastAsia"/>
          <w:kern w:val="0"/>
          <w:szCs w:val="21"/>
        </w:rPr>
        <w:t>15</w:t>
      </w:r>
      <w:r>
        <w:rPr>
          <w:rFonts w:ascii="Arial" w:hAnsi="Arial" w:cs="Arial" w:hint="eastAsia"/>
          <w:kern w:val="0"/>
          <w:szCs w:val="21"/>
        </w:rPr>
        <w:t>）、（</w:t>
      </w:r>
      <w:r>
        <w:rPr>
          <w:rFonts w:ascii="Arial" w:hAnsi="Arial" w:cs="Arial" w:hint="eastAsia"/>
          <w:kern w:val="0"/>
          <w:szCs w:val="21"/>
        </w:rPr>
        <w:t>17</w:t>
      </w:r>
      <w:r>
        <w:rPr>
          <w:rFonts w:ascii="Arial" w:hAnsi="Arial" w:cs="Arial" w:hint="eastAsia"/>
          <w:kern w:val="0"/>
          <w:szCs w:val="21"/>
        </w:rPr>
        <w:t>）、（</w:t>
      </w:r>
      <w:r>
        <w:rPr>
          <w:rFonts w:ascii="Arial" w:hAnsi="Arial" w:cs="Arial" w:hint="eastAsia"/>
          <w:kern w:val="0"/>
          <w:szCs w:val="21"/>
        </w:rPr>
        <w:t>18</w:t>
      </w:r>
      <w:r>
        <w:rPr>
          <w:rFonts w:ascii="Arial" w:hAnsi="Arial" w:cs="Arial" w:hint="eastAsia"/>
          <w:kern w:val="0"/>
          <w:szCs w:val="21"/>
        </w:rPr>
        <w:t>）项外，因证券市场波动、上市公司合并、基金规模变动等基金管理人之外的因素致使基金投资不符合基金合同约定的投资比例规定的，基金管理人应当在十个交易日内进行调整。法律法规或监管机构另有规定时，从其规定。</w:t>
      </w:r>
      <w:r>
        <w:rPr>
          <w:rFonts w:ascii="Arial" w:hAnsi="Arial" w:cs="Arial" w:hint="eastAsia"/>
          <w:kern w:val="0"/>
          <w:szCs w:val="21"/>
        </w:rPr>
        <w:t xml:space="preserve"> </w:t>
      </w:r>
    </w:p>
    <w:p w:rsidR="0057376A" w:rsidRDefault="0057376A">
      <w:pPr>
        <w:snapToGrid w:val="0"/>
        <w:spacing w:line="360" w:lineRule="auto"/>
        <w:ind w:firstLineChars="200" w:firstLine="420"/>
        <w:rPr>
          <w:rFonts w:ascii="Arial" w:hAnsi="Arial" w:cs="Arial"/>
          <w:kern w:val="0"/>
          <w:szCs w:val="21"/>
        </w:rPr>
      </w:pPr>
    </w:p>
    <w:p w:rsidR="0057376A" w:rsidRDefault="0057376A">
      <w:pPr>
        <w:snapToGrid w:val="0"/>
        <w:spacing w:line="329" w:lineRule="auto"/>
        <w:ind w:firstLine="420"/>
        <w:rPr>
          <w:rFonts w:ascii="Arial" w:hAnsi="Arial" w:cs="Arial"/>
          <w:kern w:val="0"/>
          <w:szCs w:val="21"/>
        </w:rPr>
      </w:pPr>
    </w:p>
    <w:p w:rsidR="0057376A" w:rsidRDefault="00117DFA">
      <w:pPr>
        <w:pStyle w:val="2"/>
        <w:snapToGrid w:val="0"/>
        <w:spacing w:before="0" w:after="0" w:line="329" w:lineRule="auto"/>
        <w:rPr>
          <w:rFonts w:eastAsia="宋体" w:hAnsi="宋体" w:cs="Arial"/>
          <w:kern w:val="0"/>
          <w:sz w:val="21"/>
          <w:szCs w:val="21"/>
        </w:rPr>
      </w:pPr>
      <w:bookmarkStart w:id="66" w:name="_Toc253128724"/>
      <w:r>
        <w:rPr>
          <w:rFonts w:eastAsia="宋体" w:hAnsi="宋体" w:cs="Arial" w:hint="eastAsia"/>
          <w:kern w:val="0"/>
          <w:sz w:val="21"/>
          <w:szCs w:val="21"/>
        </w:rPr>
        <w:t>六、基金资产净值的计算方法和公告方式</w:t>
      </w:r>
      <w:bookmarkEnd w:id="66"/>
    </w:p>
    <w:p w:rsidR="0057376A" w:rsidRDefault="00117DFA">
      <w:pPr>
        <w:spacing w:line="360" w:lineRule="auto"/>
        <w:ind w:firstLineChars="200" w:firstLine="420"/>
        <w:rPr>
          <w:rFonts w:ascii="Arial" w:hAnsi="Arial" w:cs="Arial"/>
        </w:rPr>
      </w:pPr>
      <w:r>
        <w:rPr>
          <w:rFonts w:ascii="Arial" w:hAnsi="宋体" w:cs="Arial"/>
        </w:rPr>
        <w:t>（一）基金资产净值</w:t>
      </w:r>
    </w:p>
    <w:p w:rsidR="0057376A" w:rsidRDefault="00117DFA">
      <w:pPr>
        <w:spacing w:line="360" w:lineRule="auto"/>
        <w:ind w:firstLineChars="200" w:firstLine="420"/>
        <w:rPr>
          <w:rFonts w:ascii="Arial" w:hAnsi="Arial" w:cs="Arial"/>
        </w:rPr>
      </w:pPr>
      <w:r>
        <w:rPr>
          <w:rFonts w:ascii="Arial" w:hAnsi="宋体" w:cs="Arial"/>
        </w:rPr>
        <w:t>本基金的基金资产净值是指基金资产总值减去负债后的价值。</w:t>
      </w:r>
    </w:p>
    <w:p w:rsidR="0057376A" w:rsidRDefault="00117DFA">
      <w:pPr>
        <w:spacing w:line="360" w:lineRule="auto"/>
        <w:ind w:firstLineChars="200" w:firstLine="420"/>
        <w:rPr>
          <w:rFonts w:ascii="Arial" w:hAnsi="Arial" w:cs="Arial"/>
        </w:rPr>
      </w:pPr>
      <w:r>
        <w:rPr>
          <w:rFonts w:ascii="Arial" w:hAnsi="宋体" w:cs="Arial"/>
        </w:rPr>
        <w:lastRenderedPageBreak/>
        <w:t>（二）基金资产的估值方法</w:t>
      </w:r>
    </w:p>
    <w:p w:rsidR="0057376A" w:rsidRDefault="00117DFA">
      <w:pPr>
        <w:spacing w:line="360" w:lineRule="auto"/>
        <w:ind w:firstLineChars="200" w:firstLine="420"/>
        <w:rPr>
          <w:rFonts w:ascii="Arial" w:hAnsi="Arial" w:cs="Arial"/>
        </w:rPr>
      </w:pPr>
      <w:r>
        <w:rPr>
          <w:rFonts w:ascii="Arial" w:hAnsi="Arial" w:cs="Arial"/>
        </w:rPr>
        <w:t>1</w:t>
      </w:r>
      <w:r>
        <w:rPr>
          <w:rFonts w:ascii="Arial" w:hAnsi="宋体" w:cs="Arial"/>
        </w:rPr>
        <w:t>、股票估值方法</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1</w:t>
      </w:r>
      <w:r>
        <w:rPr>
          <w:rFonts w:ascii="Arial" w:hAnsi="宋体" w:cs="Arial"/>
        </w:rPr>
        <w:t>）上市流通股票的估值</w:t>
      </w:r>
    </w:p>
    <w:p w:rsidR="0057376A" w:rsidRDefault="00117DFA">
      <w:pPr>
        <w:spacing w:line="360" w:lineRule="auto"/>
        <w:ind w:firstLineChars="200" w:firstLine="420"/>
        <w:rPr>
          <w:rFonts w:ascii="Arial" w:hAnsi="Arial" w:cs="Arial"/>
        </w:rPr>
      </w:pPr>
      <w:r>
        <w:rPr>
          <w:rFonts w:ascii="Arial" w:hAnsi="宋体" w:cs="Arial"/>
        </w:rPr>
        <w:t>上市流通股票按估值日其所在证券交易所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2</w:t>
      </w:r>
      <w:r>
        <w:rPr>
          <w:rFonts w:ascii="Arial" w:hAnsi="宋体" w:cs="Arial"/>
        </w:rPr>
        <w:t>）未上市股票的估值</w:t>
      </w:r>
    </w:p>
    <w:p w:rsidR="0057376A" w:rsidRDefault="00117DFA">
      <w:pPr>
        <w:spacing w:line="360" w:lineRule="auto"/>
        <w:ind w:firstLineChars="200" w:firstLine="420"/>
        <w:rPr>
          <w:rFonts w:ascii="Arial" w:hAnsi="Arial" w:cs="Arial"/>
        </w:rPr>
      </w:pPr>
      <w:r>
        <w:rPr>
          <w:rFonts w:ascii="Arial" w:hAnsi="宋体" w:cs="Arial"/>
        </w:rPr>
        <w:t>送股、转增股、配股和公开增发新股等发行未上市的股票，按估值日在交易所挂牌的同一股票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57376A" w:rsidRDefault="00117DFA">
      <w:pPr>
        <w:spacing w:line="360" w:lineRule="auto"/>
        <w:ind w:firstLineChars="200" w:firstLine="420"/>
        <w:rPr>
          <w:rFonts w:ascii="Arial" w:hAnsi="Arial" w:cs="Arial"/>
        </w:rPr>
      </w:pPr>
      <w:r>
        <w:rPr>
          <w:rFonts w:ascii="Arial" w:hAnsi="宋体" w:cs="Arial"/>
        </w:rPr>
        <w:t>首次发行未上市的股票，采用估值技术确定公允价值，在估值技术难以可靠计量的情况下，按成本估值。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3</w:t>
      </w:r>
      <w:r>
        <w:rPr>
          <w:rFonts w:ascii="Arial" w:hAnsi="宋体" w:cs="Arial"/>
        </w:rPr>
        <w:t>）有明确锁定期股票的估值</w:t>
      </w:r>
    </w:p>
    <w:p w:rsidR="0057376A" w:rsidRDefault="00117DFA">
      <w:pPr>
        <w:spacing w:line="360" w:lineRule="auto"/>
        <w:ind w:firstLineChars="200" w:firstLine="420"/>
        <w:rPr>
          <w:rFonts w:ascii="Arial" w:hAnsi="Arial" w:cs="Arial"/>
        </w:rPr>
      </w:pPr>
      <w:r>
        <w:rPr>
          <w:rFonts w:ascii="Arial" w:hAnsi="宋体" w:cs="Arial"/>
        </w:rPr>
        <w:t>首次公开发行有明确锁定期的股票，同一股票在交易所上市后，按交易所上市的同一股票的收盘价估值；非公开发行且处于明确锁定期的股票，按监管机构或行业协会的有关规定确定公允价值。</w:t>
      </w:r>
    </w:p>
    <w:p w:rsidR="0057376A" w:rsidRDefault="00117DFA">
      <w:pPr>
        <w:spacing w:line="360" w:lineRule="auto"/>
        <w:ind w:firstLineChars="200" w:firstLine="420"/>
        <w:rPr>
          <w:rFonts w:ascii="Arial" w:hAnsi="Arial" w:cs="Arial"/>
        </w:rPr>
      </w:pPr>
      <w:r>
        <w:rPr>
          <w:rFonts w:ascii="Arial" w:hAnsi="Arial" w:cs="Arial"/>
        </w:rPr>
        <w:t>2</w:t>
      </w:r>
      <w:r>
        <w:rPr>
          <w:rFonts w:ascii="Arial" w:hAnsi="宋体" w:cs="Arial"/>
        </w:rPr>
        <w:t>、固定收益证券的估值办法</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1</w:t>
      </w:r>
      <w:r>
        <w:rPr>
          <w:rFonts w:ascii="Arial" w:hAnsi="宋体" w:cs="Arial"/>
        </w:rPr>
        <w:t>）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2</w:t>
      </w:r>
      <w:r>
        <w:rPr>
          <w:rFonts w:ascii="Arial" w:hAnsi="宋体" w:cs="Arial"/>
        </w:rPr>
        <w:t>）证券交易所市场未实行净价交易的债券按估值日收盘价减去债券收盘价中所含的债券应收利息（自债券计息起始日或上一起息日至估值当日的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3</w:t>
      </w:r>
      <w:r>
        <w:rPr>
          <w:rFonts w:ascii="Arial" w:hAnsi="宋体" w:cs="Arial"/>
        </w:rPr>
        <w:t>）未上市债券采用估值技术确定公允价值，在估值技术难以可靠计量的情况下，按成本估值。</w:t>
      </w:r>
    </w:p>
    <w:p w:rsidR="0057376A" w:rsidRDefault="00117DFA">
      <w:pPr>
        <w:spacing w:line="360" w:lineRule="auto"/>
        <w:ind w:firstLineChars="200" w:firstLine="420"/>
        <w:rPr>
          <w:rFonts w:ascii="Arial" w:hAnsi="Arial" w:cs="Arial"/>
        </w:rPr>
      </w:pPr>
      <w:r>
        <w:rPr>
          <w:rFonts w:ascii="Arial" w:hAnsi="宋体" w:cs="Arial"/>
        </w:rPr>
        <w:lastRenderedPageBreak/>
        <w:t>（</w:t>
      </w:r>
      <w:r>
        <w:rPr>
          <w:rFonts w:ascii="Arial" w:hAnsi="Arial" w:cs="Arial"/>
        </w:rPr>
        <w:t>4</w:t>
      </w:r>
      <w:r>
        <w:rPr>
          <w:rFonts w:ascii="Arial" w:hAnsi="宋体" w:cs="Arial"/>
        </w:rPr>
        <w:t>）在银行间债券市场交易的债券、资产支持证券等固定收益品种，采用估值技术确定公允价值。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5</w:t>
      </w:r>
      <w:r>
        <w:rPr>
          <w:rFonts w:ascii="Arial" w:hAnsi="宋体" w:cs="Arial"/>
        </w:rPr>
        <w:t>）交易所以大宗交易方式转让的资产支持证券，采用估值技术确定公允价值，在估值技术难以可靠计量公允价值的情况下，按成本进行后续计量。</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6</w:t>
      </w:r>
      <w:r>
        <w:rPr>
          <w:rFonts w:ascii="Arial" w:hAnsi="宋体" w:cs="Arial"/>
        </w:rPr>
        <w:t>）同一债券同时在两个或两个以上市场交易的，按债券所处的市场分别估值。</w:t>
      </w:r>
    </w:p>
    <w:p w:rsidR="0057376A" w:rsidRDefault="00117DFA">
      <w:pPr>
        <w:spacing w:line="360" w:lineRule="auto"/>
        <w:ind w:firstLineChars="200" w:firstLine="420"/>
        <w:rPr>
          <w:rFonts w:ascii="Arial" w:hAnsi="Arial" w:cs="Arial"/>
        </w:rPr>
      </w:pPr>
      <w:r>
        <w:rPr>
          <w:rFonts w:ascii="Arial" w:hAnsi="Arial" w:cs="Arial"/>
        </w:rPr>
        <w:t>3</w:t>
      </w:r>
      <w:r>
        <w:rPr>
          <w:rFonts w:ascii="Arial" w:hAnsi="宋体" w:cs="Arial"/>
        </w:rPr>
        <w:t>、权证估值：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1</w:t>
      </w:r>
      <w:r>
        <w:rPr>
          <w:rFonts w:ascii="Arial" w:hAnsi="宋体" w:cs="Arial"/>
        </w:rPr>
        <w:t>）配股权证的估值：</w:t>
      </w:r>
    </w:p>
    <w:p w:rsidR="0057376A" w:rsidRDefault="00117DFA">
      <w:pPr>
        <w:spacing w:line="360" w:lineRule="auto"/>
        <w:ind w:firstLineChars="200" w:firstLine="420"/>
        <w:rPr>
          <w:rFonts w:ascii="Arial" w:hAnsi="Arial" w:cs="Arial"/>
        </w:rPr>
      </w:pPr>
      <w:r>
        <w:rPr>
          <w:rFonts w:ascii="Arial" w:hAnsi="宋体" w:cs="Arial"/>
        </w:rPr>
        <w:t>因持有股票而享有的配股权，类同权证处理方式的，采用估值技术进行估值。</w:t>
      </w:r>
    </w:p>
    <w:p w:rsidR="0057376A" w:rsidRDefault="00117DFA">
      <w:pPr>
        <w:spacing w:line="360" w:lineRule="auto"/>
        <w:ind w:firstLineChars="200" w:firstLine="420"/>
        <w:rPr>
          <w:rFonts w:ascii="Arial" w:hAnsi="Arial" w:cs="Arial"/>
        </w:rPr>
      </w:pPr>
      <w:r>
        <w:rPr>
          <w:rFonts w:ascii="Arial" w:hAnsi="宋体" w:cs="Arial"/>
        </w:rPr>
        <w:t>（</w:t>
      </w:r>
      <w:r>
        <w:rPr>
          <w:rFonts w:ascii="Arial" w:hAnsi="Arial" w:cs="Arial"/>
        </w:rPr>
        <w:t>2</w:t>
      </w:r>
      <w:r>
        <w:rPr>
          <w:rFonts w:ascii="Arial" w:hAnsi="宋体" w:cs="Arial"/>
        </w:rPr>
        <w:t>）认沽</w:t>
      </w:r>
      <w:r>
        <w:rPr>
          <w:rFonts w:ascii="Arial" w:hAnsi="Arial" w:cs="Arial"/>
        </w:rPr>
        <w:t>/</w:t>
      </w:r>
      <w:r>
        <w:rPr>
          <w:rFonts w:ascii="Arial" w:hAnsi="宋体" w:cs="Arial"/>
        </w:rPr>
        <w:t>认购权证的估值：</w:t>
      </w:r>
    </w:p>
    <w:p w:rsidR="0057376A" w:rsidRDefault="00117DFA">
      <w:pPr>
        <w:spacing w:line="360" w:lineRule="auto"/>
        <w:ind w:firstLineChars="200" w:firstLine="420"/>
        <w:rPr>
          <w:rFonts w:ascii="Arial" w:hAnsi="Arial" w:cs="Arial"/>
        </w:rPr>
      </w:pPr>
      <w:r>
        <w:rPr>
          <w:rFonts w:ascii="Arial" w:hAnsi="宋体" w:cs="Arial"/>
        </w:rPr>
        <w:t>从持有确认日起到卖出日或行权日止，上市交易的认沽</w:t>
      </w:r>
      <w:r>
        <w:rPr>
          <w:rFonts w:ascii="Arial" w:hAnsi="Arial" w:cs="Arial"/>
        </w:rPr>
        <w:t>/</w:t>
      </w:r>
      <w:r>
        <w:rPr>
          <w:rFonts w:ascii="Arial" w:hAnsi="宋体" w:cs="Arial"/>
        </w:rPr>
        <w:t>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w:t>
      </w:r>
      <w:r>
        <w:rPr>
          <w:rFonts w:ascii="Arial" w:hAnsi="Arial" w:cs="Arial"/>
        </w:rPr>
        <w:t>/</w:t>
      </w:r>
      <w:r>
        <w:rPr>
          <w:rFonts w:ascii="Arial" w:hAnsi="宋体" w:cs="Arial"/>
        </w:rPr>
        <w:t>认购权证采用估值技术确定公允价值，在估值技术难以可靠计量的情况下，按成本估值；因持有股票而享有的配股权，停止交易、但未行权的权证，采用估值技术确定公允价值。</w:t>
      </w:r>
    </w:p>
    <w:p w:rsidR="0057376A" w:rsidRDefault="00117DFA">
      <w:pPr>
        <w:spacing w:line="360" w:lineRule="auto"/>
        <w:ind w:firstLineChars="200" w:firstLine="420"/>
        <w:rPr>
          <w:rFonts w:ascii="Arial" w:hAnsi="Arial" w:cs="Arial"/>
        </w:rPr>
      </w:pPr>
      <w:r>
        <w:rPr>
          <w:rFonts w:ascii="Arial" w:hAnsi="Arial" w:cs="Arial"/>
        </w:rPr>
        <w:t>4</w:t>
      </w:r>
      <w:r>
        <w:rPr>
          <w:rFonts w:ascii="Arial" w:hAnsi="宋体" w:cs="Arial"/>
        </w:rPr>
        <w:t>、本基金持有的回购以成本列示，按合同利率在回购期间内逐日计提应收或应付利息。</w:t>
      </w:r>
    </w:p>
    <w:p w:rsidR="0057376A" w:rsidRDefault="00117DFA">
      <w:pPr>
        <w:spacing w:line="360" w:lineRule="auto"/>
        <w:ind w:firstLineChars="200" w:firstLine="420"/>
        <w:rPr>
          <w:rFonts w:ascii="Arial" w:hAnsi="Arial" w:cs="Arial"/>
        </w:rPr>
      </w:pPr>
      <w:r>
        <w:rPr>
          <w:rFonts w:ascii="Arial" w:hAnsi="Arial" w:cs="Arial"/>
        </w:rPr>
        <w:t>5</w:t>
      </w:r>
      <w:r>
        <w:rPr>
          <w:rFonts w:ascii="Arial" w:hAnsi="宋体" w:cs="Arial"/>
        </w:rPr>
        <w:t>、本基金持有的银行存款和备付金余额以本金列示，按相应利率逐日计提利息。</w:t>
      </w:r>
    </w:p>
    <w:p w:rsidR="0057376A" w:rsidRDefault="00117DFA">
      <w:pPr>
        <w:spacing w:line="360" w:lineRule="auto"/>
        <w:ind w:firstLineChars="200" w:firstLine="420"/>
        <w:rPr>
          <w:rFonts w:ascii="Arial" w:hAnsi="Arial" w:cs="Arial"/>
        </w:rPr>
      </w:pPr>
      <w:r>
        <w:rPr>
          <w:rFonts w:ascii="Arial" w:hAnsi="Arial" w:cs="Arial"/>
        </w:rPr>
        <w:t>6</w:t>
      </w:r>
      <w:r>
        <w:rPr>
          <w:rFonts w:ascii="Arial" w:hAnsi="宋体" w:cs="Arial"/>
        </w:rPr>
        <w:t>、在任何情况下，基金管理人采用上述</w:t>
      </w:r>
      <w:r>
        <w:rPr>
          <w:rFonts w:ascii="Arial" w:hAnsi="Arial" w:cs="Arial"/>
        </w:rPr>
        <w:t>1-5</w:t>
      </w:r>
      <w:r>
        <w:rPr>
          <w:rFonts w:ascii="Arial" w:hAnsi="宋体" w:cs="Arial"/>
        </w:rPr>
        <w:t>项规定的方法对基金资产进行估值，均应被认为采用了适当的估值方法。但是，如果基金管理人有充足的理由认为按上述方法对基金资产进行估值不能客观反映其公允价值的，基金管理人可在综合考虑市场成交价、市场报价、流动性、收益率曲线等多种因素的基础上与基金托管人商定后，按最能反映公允价值的价格估值。</w:t>
      </w:r>
    </w:p>
    <w:p w:rsidR="0057376A" w:rsidRDefault="00117DFA">
      <w:pPr>
        <w:spacing w:line="360" w:lineRule="auto"/>
        <w:ind w:firstLineChars="200" w:firstLine="420"/>
        <w:rPr>
          <w:rFonts w:ascii="Arial" w:hAnsi="Arial" w:cs="Arial"/>
        </w:rPr>
      </w:pPr>
      <w:r>
        <w:rPr>
          <w:rFonts w:ascii="Arial" w:hAnsi="Arial" w:cs="Arial"/>
        </w:rPr>
        <w:t>7</w:t>
      </w:r>
      <w:r>
        <w:rPr>
          <w:rFonts w:ascii="Arial" w:hAnsi="宋体" w:cs="Arial"/>
        </w:rPr>
        <w:t>、国家有最新规定的，按国家最新规定进行估值。</w:t>
      </w:r>
    </w:p>
    <w:p w:rsidR="0057376A" w:rsidRDefault="00117DFA">
      <w:pPr>
        <w:spacing w:line="360" w:lineRule="auto"/>
        <w:ind w:firstLineChars="200" w:firstLine="420"/>
        <w:rPr>
          <w:rFonts w:ascii="Arial" w:hAnsi="Arial" w:cs="Arial"/>
        </w:rPr>
      </w:pPr>
      <w:r>
        <w:rPr>
          <w:rFonts w:ascii="Arial" w:hAnsi="宋体" w:cs="Arial"/>
        </w:rPr>
        <w:t>（三）公告方式</w:t>
      </w:r>
    </w:p>
    <w:p w:rsidR="004443CE" w:rsidRDefault="004443CE" w:rsidP="004443CE">
      <w:pPr>
        <w:pStyle w:val="af3"/>
        <w:autoSpaceDE w:val="0"/>
        <w:autoSpaceDN w:val="0"/>
        <w:snapToGrid w:val="0"/>
        <w:textAlignment w:val="bottom"/>
        <w:rPr>
          <w:rFonts w:ascii="Arial" w:hAnsi="Arial" w:cs="Arial"/>
          <w:szCs w:val="21"/>
        </w:rPr>
      </w:pPr>
      <w:r>
        <w:rPr>
          <w:rFonts w:ascii="Arial" w:hAnsi="宋体" w:cs="Arial"/>
          <w:szCs w:val="21"/>
        </w:rPr>
        <w:t>基金合同生效后，在开始办理基金份额申购或者赎回前，基金管理人应当至少每周在指定网站披露一次基金份额净值和基金份额累计净值。</w:t>
      </w:r>
    </w:p>
    <w:p w:rsidR="004443CE" w:rsidRDefault="004443CE" w:rsidP="004443CE">
      <w:pPr>
        <w:autoSpaceDE w:val="0"/>
        <w:autoSpaceDN w:val="0"/>
        <w:snapToGrid w:val="0"/>
        <w:spacing w:line="360" w:lineRule="auto"/>
        <w:ind w:firstLineChars="200" w:firstLine="420"/>
        <w:textAlignment w:val="bottom"/>
        <w:rPr>
          <w:rFonts w:ascii="Arial" w:hAnsi="Arial" w:cs="Arial"/>
          <w:szCs w:val="21"/>
        </w:rPr>
      </w:pPr>
      <w:r>
        <w:rPr>
          <w:rFonts w:ascii="Arial" w:hAnsi="宋体" w:cs="Arial"/>
          <w:szCs w:val="21"/>
        </w:rPr>
        <w:t>在开始办理基金份额申购或者赎回之后，</w:t>
      </w:r>
      <w:r>
        <w:rPr>
          <w:rFonts w:ascii="Arial" w:hAnsi="宋体" w:cs="Arial" w:hint="eastAsia"/>
          <w:szCs w:val="21"/>
        </w:rPr>
        <w:t>基金管理人应当在不晚于每个开放日的次日，通过指定网站、销售机构网站或者营业网点披露开放日的基金份额净值和基金份额累计净值</w:t>
      </w:r>
      <w:r>
        <w:rPr>
          <w:rFonts w:ascii="Arial" w:hAnsi="宋体" w:cs="Arial"/>
          <w:szCs w:val="21"/>
        </w:rPr>
        <w:t>。</w:t>
      </w:r>
    </w:p>
    <w:p w:rsidR="0057376A" w:rsidRDefault="004443CE" w:rsidP="004443CE">
      <w:pPr>
        <w:spacing w:line="360" w:lineRule="auto"/>
        <w:ind w:firstLineChars="200" w:firstLine="420"/>
      </w:pPr>
      <w:r>
        <w:rPr>
          <w:rFonts w:ascii="Arial" w:hAnsi="宋体" w:cs="Arial" w:hint="eastAsia"/>
          <w:szCs w:val="21"/>
        </w:rPr>
        <w:t>基金管理人应当在不晚于半年度和年度最后一日的次日，在指定网站披露半年度和年度</w:t>
      </w:r>
      <w:r>
        <w:rPr>
          <w:rFonts w:ascii="Arial" w:hAnsi="宋体" w:cs="Arial" w:hint="eastAsia"/>
          <w:szCs w:val="21"/>
        </w:rPr>
        <w:lastRenderedPageBreak/>
        <w:t>最后一日的基金份额净值和基金份额累计净值。</w:t>
      </w:r>
    </w:p>
    <w:p w:rsidR="0057376A" w:rsidRDefault="00117DFA">
      <w:pPr>
        <w:pStyle w:val="2"/>
        <w:snapToGrid w:val="0"/>
        <w:spacing w:before="0" w:after="0" w:line="324" w:lineRule="auto"/>
        <w:rPr>
          <w:rFonts w:eastAsia="宋体" w:hAnsi="宋体" w:cs="Arial"/>
          <w:kern w:val="0"/>
          <w:sz w:val="21"/>
          <w:szCs w:val="21"/>
        </w:rPr>
      </w:pPr>
      <w:bookmarkStart w:id="67" w:name="_Toc253128725"/>
      <w:r>
        <w:rPr>
          <w:rFonts w:eastAsia="宋体" w:hAnsi="宋体" w:cs="Arial" w:hint="eastAsia"/>
          <w:kern w:val="0"/>
          <w:sz w:val="21"/>
          <w:szCs w:val="21"/>
        </w:rPr>
        <w:t>七、基金合同解除和终止的事由、程序以及基金财产清算方式</w:t>
      </w:r>
      <w:bookmarkEnd w:id="67"/>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（一）基金合同的变更</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、变更基金合同涉及法律法规规定或本合同约定应经基金份额持有人大会决议通过的事项的，应召开基金份额持有人大会决议通过。</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、变更基金合同的基金份额持有人大会决议应报中国证监会核准或备案，并自中国证监会核准或出具无异议意见之日起生效。</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、但如因相应的法律法规发生变动并属于本基金合同必须遵照进行修改的情形，或者基金合同的修改不涉及本基金合同当事人权利义务关系发生变化</w:t>
      </w:r>
      <w:r>
        <w:rPr>
          <w:rFonts w:ascii="Arial" w:hAnsi="宋体" w:cs="Arial"/>
          <w:szCs w:val="21"/>
        </w:rPr>
        <w:t>或对基金份额持有人利益无实质性不利影响</w:t>
      </w:r>
      <w:r>
        <w:rPr>
          <w:rFonts w:ascii="Arial" w:hAnsi="宋体" w:cs="Arial"/>
          <w:kern w:val="0"/>
          <w:szCs w:val="21"/>
        </w:rPr>
        <w:t>的，可不经基金份额持有人大会决议，而经基金管理人和基金托管人同意后修改、公布，并报中国证监会备案。</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（二）基金合同的终止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有下列情形之一的，本基金合同应当终止：</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、基金份额持有人大会决定终止；</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、基金管理人、基金托管人职责终止，在六个月内没有新基金管理人、基金托管人承接的；</w:t>
      </w:r>
    </w:p>
    <w:p w:rsidR="0057376A" w:rsidRDefault="00117DFA">
      <w:pPr>
        <w:snapToGrid w:val="0"/>
        <w:spacing w:line="360" w:lineRule="auto"/>
        <w:ind w:firstLineChars="200" w:firstLine="420"/>
        <w:rPr>
          <w:rFonts w:ascii="Arial" w:hAnsi="Arial" w:cs="Arial"/>
        </w:rPr>
      </w:pPr>
      <w:r>
        <w:rPr>
          <w:rFonts w:ascii="Arial" w:hAnsi="Arial" w:cs="Arial"/>
        </w:rPr>
        <w:t>3</w:t>
      </w:r>
      <w:r>
        <w:rPr>
          <w:rFonts w:ascii="宋体" w:hAnsi="宋体" w:hint="eastAsia"/>
        </w:rPr>
        <w:t>、基金合同生效后，连续</w:t>
      </w:r>
      <w:r>
        <w:rPr>
          <w:rFonts w:ascii="Arial" w:hAnsi="Arial" w:cs="Arial"/>
        </w:rPr>
        <w:t>60</w:t>
      </w:r>
      <w:r>
        <w:rPr>
          <w:rFonts w:ascii="宋体" w:hAnsi="宋体" w:hint="eastAsia"/>
        </w:rPr>
        <w:t>个工作日出现基金份额持有人数量不满</w:t>
      </w:r>
      <w:r>
        <w:rPr>
          <w:rFonts w:ascii="Arial" w:hAnsi="Arial" w:cs="Arial"/>
        </w:rPr>
        <w:t>200</w:t>
      </w:r>
      <w:r>
        <w:rPr>
          <w:rFonts w:ascii="宋体" w:hAnsi="宋体" w:hint="eastAsia"/>
        </w:rPr>
        <w:t>人的；</w:t>
      </w:r>
    </w:p>
    <w:p w:rsidR="0057376A" w:rsidRDefault="00117DFA">
      <w:pPr>
        <w:snapToGrid w:val="0"/>
        <w:spacing w:line="360" w:lineRule="auto"/>
        <w:ind w:firstLineChars="200" w:firstLine="420"/>
        <w:rPr>
          <w:rFonts w:ascii="Arial" w:hAnsi="Arial" w:cs="Arial"/>
        </w:rPr>
      </w:pPr>
      <w:r>
        <w:rPr>
          <w:rFonts w:ascii="Arial" w:hAnsi="Arial" w:cs="Arial"/>
        </w:rPr>
        <w:t>4</w:t>
      </w:r>
      <w:r>
        <w:rPr>
          <w:rFonts w:ascii="宋体" w:hAnsi="宋体" w:hint="eastAsia"/>
        </w:rPr>
        <w:t>、基金合同生效后，连续</w:t>
      </w:r>
      <w:r>
        <w:rPr>
          <w:rFonts w:ascii="Arial" w:hAnsi="Arial" w:cs="Arial"/>
        </w:rPr>
        <w:t>60</w:t>
      </w:r>
      <w:r>
        <w:rPr>
          <w:rFonts w:ascii="宋体" w:hAnsi="宋体" w:hint="eastAsia"/>
        </w:rPr>
        <w:t>个工作日出现基金资产净值低于</w:t>
      </w:r>
      <w:r>
        <w:rPr>
          <w:rFonts w:ascii="Arial" w:hAnsi="Arial" w:cs="Arial"/>
        </w:rPr>
        <w:t>3000</w:t>
      </w:r>
      <w:r>
        <w:rPr>
          <w:rFonts w:ascii="宋体" w:hAnsi="宋体" w:hint="eastAsia"/>
        </w:rPr>
        <w:t>万元的；</w:t>
      </w:r>
    </w:p>
    <w:p w:rsidR="0057376A" w:rsidRDefault="00117DFA">
      <w:pPr>
        <w:snapToGrid w:val="0"/>
        <w:spacing w:line="360" w:lineRule="auto"/>
        <w:ind w:firstLineChars="200" w:firstLine="420"/>
        <w:rPr>
          <w:rFonts w:ascii="Arial" w:hAnsi="Arial" w:cs="Arial"/>
        </w:rPr>
      </w:pPr>
      <w:r>
        <w:rPr>
          <w:rFonts w:ascii="Arial" w:hAnsi="Arial" w:cs="Arial"/>
        </w:rPr>
        <w:t>5</w:t>
      </w:r>
      <w:r>
        <w:rPr>
          <w:rFonts w:ascii="宋体" w:hAnsi="宋体" w:hint="eastAsia"/>
        </w:rPr>
        <w:t>、基金合同生效后，连续</w:t>
      </w:r>
      <w:r>
        <w:rPr>
          <w:rFonts w:ascii="Arial" w:hAnsi="Arial" w:cs="Arial"/>
        </w:rPr>
        <w:t>60</w:t>
      </w:r>
      <w:r>
        <w:rPr>
          <w:rFonts w:ascii="宋体" w:hAnsi="宋体" w:hint="eastAsia"/>
        </w:rPr>
        <w:t>个工作日出现前十大基金份额持有人持有基金份额总额超过基金总份额的</w:t>
      </w:r>
      <w:r>
        <w:rPr>
          <w:rFonts w:ascii="Arial" w:hAnsi="Arial" w:cs="Arial"/>
        </w:rPr>
        <w:t>90%</w:t>
      </w:r>
      <w:r>
        <w:rPr>
          <w:rFonts w:ascii="宋体" w:hAnsi="宋体" w:hint="eastAsia"/>
        </w:rPr>
        <w:t>的；</w:t>
      </w:r>
    </w:p>
    <w:p w:rsidR="0057376A" w:rsidRDefault="00117DFA">
      <w:pPr>
        <w:snapToGrid w:val="0"/>
        <w:spacing w:line="360" w:lineRule="auto"/>
        <w:ind w:firstLineChars="200" w:firstLine="420"/>
        <w:rPr>
          <w:rFonts w:ascii="Arial" w:hAnsi="Arial" w:cs="Arial"/>
          <w:kern w:val="0"/>
          <w:szCs w:val="21"/>
        </w:rPr>
      </w:pPr>
      <w:r>
        <w:rPr>
          <w:rFonts w:ascii="Arial" w:hAnsi="Arial" w:cs="Arial" w:hint="eastAsia"/>
          <w:kern w:val="0"/>
          <w:szCs w:val="21"/>
        </w:rPr>
        <w:t>6</w:t>
      </w:r>
      <w:r>
        <w:rPr>
          <w:rFonts w:ascii="Arial" w:hAnsi="宋体" w:cs="Arial"/>
          <w:kern w:val="0"/>
          <w:szCs w:val="21"/>
        </w:rPr>
        <w:t>、法律法规和基金合同规定的其他情形。</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基金合同终止后，基金管理人和基金托管人有权依照《基金法》、《运作办法》、《销售办法》、基金合同及其他有关法律法规的规定，行使请求给付报酬、从基金财产中获得补偿的权利。</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（三）基金财产的清算</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1</w:t>
      </w:r>
      <w:r>
        <w:rPr>
          <w:rFonts w:ascii="Arial" w:hAnsi="宋体" w:cs="Arial"/>
          <w:kern w:val="0"/>
          <w:szCs w:val="21"/>
        </w:rPr>
        <w:t>、基金合同终止，</w:t>
      </w:r>
      <w:r>
        <w:rPr>
          <w:rFonts w:ascii="Arial" w:hAnsi="宋体" w:cs="Arial" w:hint="eastAsia"/>
          <w:kern w:val="0"/>
          <w:szCs w:val="21"/>
        </w:rPr>
        <w:t>基金管理人</w:t>
      </w:r>
      <w:r>
        <w:rPr>
          <w:rFonts w:ascii="Arial" w:hAnsi="宋体" w:cs="Arial"/>
          <w:kern w:val="0"/>
          <w:szCs w:val="21"/>
        </w:rPr>
        <w:t>应当按法律法规和本基金合同的有关规定组织清算组对基金财产进行清算。</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2</w:t>
      </w:r>
      <w:r>
        <w:rPr>
          <w:rFonts w:ascii="Arial" w:hAnsi="宋体" w:cs="Arial"/>
          <w:kern w:val="0"/>
          <w:szCs w:val="21"/>
        </w:rPr>
        <w:t>、基金财产清算组</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）自基金合同终止事由之日起</w:t>
      </w:r>
      <w:r>
        <w:rPr>
          <w:rFonts w:ascii="Arial" w:hAnsi="Arial" w:cs="Arial"/>
          <w:kern w:val="0"/>
          <w:szCs w:val="21"/>
        </w:rPr>
        <w:t>30</w:t>
      </w:r>
      <w:r>
        <w:rPr>
          <w:rFonts w:ascii="Arial" w:hAnsi="宋体" w:cs="Arial"/>
          <w:kern w:val="0"/>
          <w:szCs w:val="21"/>
        </w:rPr>
        <w:t>个工作日内由基金管理人组织成立基金财产清算组，在基金财产清算组接管基金财产之前，基金管理人和基金托管人应按照基金合同和托管协议的规定继续履行保护基金财产安全的职责。</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w:t>
      </w:r>
      <w:r w:rsidR="004443CE">
        <w:rPr>
          <w:rFonts w:ascii="Arial" w:hAnsi="宋体" w:cs="Arial"/>
          <w:kern w:val="0"/>
          <w:szCs w:val="21"/>
        </w:rPr>
        <w:t>基金财产清算组成员由基金管理人、基金托管人、具有从事证券</w:t>
      </w:r>
      <w:r w:rsidR="004443CE">
        <w:rPr>
          <w:rFonts w:ascii="Arial" w:hAnsi="宋体" w:cs="Arial" w:hint="eastAsia"/>
          <w:kern w:val="0"/>
          <w:szCs w:val="21"/>
        </w:rPr>
        <w:t>、期货</w:t>
      </w:r>
      <w:r w:rsidR="004443CE">
        <w:rPr>
          <w:rFonts w:ascii="Arial" w:hAnsi="宋体" w:cs="Arial"/>
          <w:kern w:val="0"/>
          <w:szCs w:val="21"/>
        </w:rPr>
        <w:t>相关业务资格的注册会计师、律师以及中国证监会指定的人员组成。基金财产清算组可以聘用必要的工作人员。</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lastRenderedPageBreak/>
        <w:t>（</w:t>
      </w:r>
      <w:r>
        <w:rPr>
          <w:rFonts w:ascii="Arial" w:hAnsi="Arial" w:cs="Arial"/>
          <w:kern w:val="0"/>
          <w:szCs w:val="21"/>
        </w:rPr>
        <w:t>3</w:t>
      </w:r>
      <w:r>
        <w:rPr>
          <w:rFonts w:ascii="Arial" w:hAnsi="宋体" w:cs="Arial"/>
          <w:kern w:val="0"/>
          <w:szCs w:val="21"/>
        </w:rPr>
        <w:t>）基金财产清算组负责基金财产的保管、清理、估价、变现和分配。基金财产清算组可以依法进行必要的民事活动。</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3</w:t>
      </w:r>
      <w:r>
        <w:rPr>
          <w:rFonts w:ascii="Arial" w:hAnsi="宋体" w:cs="Arial"/>
          <w:kern w:val="0"/>
          <w:szCs w:val="21"/>
        </w:rPr>
        <w:t>、清算程序</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1</w:t>
      </w:r>
      <w:r>
        <w:rPr>
          <w:rFonts w:ascii="Arial" w:hAnsi="宋体" w:cs="Arial"/>
          <w:kern w:val="0"/>
          <w:szCs w:val="21"/>
        </w:rPr>
        <w:t>）基金合同终止情形发生后，由基金财产清算组统一接管基金财产；</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2</w:t>
      </w:r>
      <w:r>
        <w:rPr>
          <w:rFonts w:ascii="Arial" w:hAnsi="宋体" w:cs="Arial"/>
          <w:kern w:val="0"/>
          <w:szCs w:val="21"/>
        </w:rPr>
        <w:t>）基金财产清算组根据基金财产的情况确定清算期限；</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3</w:t>
      </w:r>
      <w:r>
        <w:rPr>
          <w:rFonts w:ascii="Arial" w:hAnsi="宋体" w:cs="Arial"/>
          <w:kern w:val="0"/>
          <w:szCs w:val="21"/>
        </w:rPr>
        <w:t>）基金财产清算组对基金财产进行清理和确认；</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4</w:t>
      </w:r>
      <w:r>
        <w:rPr>
          <w:rFonts w:ascii="Arial" w:hAnsi="宋体" w:cs="Arial"/>
          <w:kern w:val="0"/>
          <w:szCs w:val="21"/>
        </w:rPr>
        <w:t>）对基金财产进行评估和变现；</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5</w:t>
      </w:r>
      <w:r>
        <w:rPr>
          <w:rFonts w:ascii="Arial" w:hAnsi="宋体" w:cs="Arial"/>
          <w:kern w:val="0"/>
          <w:szCs w:val="21"/>
        </w:rPr>
        <w:t>）</w:t>
      </w:r>
      <w:r>
        <w:rPr>
          <w:rFonts w:ascii="Arial" w:hAnsi="宋体" w:cs="Arial"/>
          <w:color w:val="000000"/>
          <w:szCs w:val="21"/>
        </w:rPr>
        <w:t>制作清算报告；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6</w:t>
      </w:r>
      <w:r>
        <w:rPr>
          <w:rFonts w:ascii="Arial" w:hAnsi="宋体" w:cs="Arial"/>
          <w:kern w:val="0"/>
          <w:szCs w:val="21"/>
        </w:rPr>
        <w:t>）</w:t>
      </w:r>
      <w:r>
        <w:rPr>
          <w:rFonts w:ascii="Arial" w:hAnsi="宋体" w:cs="Arial"/>
          <w:color w:val="000000"/>
          <w:szCs w:val="21"/>
        </w:rPr>
        <w:t>聘请会计师事务所对清算报告进行外部审计，聘请律师事务所对清算报告出具法律意见书；</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7</w:t>
      </w:r>
      <w:r>
        <w:rPr>
          <w:rFonts w:ascii="Arial" w:hAnsi="宋体" w:cs="Arial"/>
          <w:kern w:val="0"/>
          <w:szCs w:val="21"/>
        </w:rPr>
        <w:t>）</w:t>
      </w:r>
      <w:r>
        <w:rPr>
          <w:rFonts w:ascii="Arial" w:hAnsi="宋体" w:cs="Arial"/>
          <w:color w:val="000000"/>
          <w:szCs w:val="21"/>
        </w:rPr>
        <w:t>将清算报告报中国证监会备案并公告；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w:t>
      </w:r>
      <w:r>
        <w:rPr>
          <w:rFonts w:ascii="Arial" w:hAnsi="Arial" w:cs="Arial"/>
          <w:kern w:val="0"/>
          <w:szCs w:val="21"/>
        </w:rPr>
        <w:t>8</w:t>
      </w:r>
      <w:r>
        <w:rPr>
          <w:rFonts w:ascii="Arial" w:hAnsi="宋体" w:cs="Arial"/>
          <w:kern w:val="0"/>
          <w:szCs w:val="21"/>
        </w:rPr>
        <w:t>）对基金财产进行分配。</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4</w:t>
      </w:r>
      <w:r>
        <w:rPr>
          <w:rFonts w:ascii="Arial" w:hAnsi="宋体" w:cs="Arial"/>
          <w:kern w:val="0"/>
          <w:szCs w:val="21"/>
        </w:rPr>
        <w:t>、清算费用</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清算费用是指基金财产清算组在进行基金清算过程中发生的所有合理费用，清算费用由基金财产清算组优先从基金财产中支付。</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5</w:t>
      </w:r>
      <w:r>
        <w:rPr>
          <w:rFonts w:ascii="Arial" w:hAnsi="宋体" w:cs="Arial"/>
          <w:kern w:val="0"/>
          <w:szCs w:val="21"/>
        </w:rPr>
        <w:t>、基金剩余财产的分配</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基金财产按下列顺序清偿：</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）支付清算费用；</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）交纳所欠税款；</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3</w:t>
      </w:r>
      <w:r>
        <w:rPr>
          <w:rFonts w:ascii="Arial" w:hAnsi="宋体" w:cs="Arial"/>
          <w:szCs w:val="21"/>
        </w:rPr>
        <w:t>）清偿基金债务；</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w:t>
      </w:r>
      <w:r>
        <w:rPr>
          <w:rFonts w:ascii="Arial" w:hAnsi="Arial" w:cs="Arial"/>
          <w:szCs w:val="21"/>
        </w:rPr>
        <w:t>4</w:t>
      </w:r>
      <w:r>
        <w:rPr>
          <w:rFonts w:ascii="Arial" w:hAnsi="宋体" w:cs="Arial"/>
          <w:szCs w:val="21"/>
        </w:rPr>
        <w:t>）按基金份额持有人持有的基金份额比例进行分配。</w:t>
      </w:r>
    </w:p>
    <w:p w:rsidR="0057376A" w:rsidRDefault="00117DFA">
      <w:pPr>
        <w:snapToGrid w:val="0"/>
        <w:spacing w:line="360" w:lineRule="auto"/>
        <w:ind w:firstLineChars="200" w:firstLine="420"/>
        <w:rPr>
          <w:rFonts w:ascii="Arial" w:hAnsi="Arial" w:cs="Arial"/>
          <w:szCs w:val="21"/>
        </w:rPr>
      </w:pPr>
      <w:r>
        <w:rPr>
          <w:rFonts w:ascii="Arial" w:hAnsi="宋体" w:cs="Arial"/>
          <w:szCs w:val="21"/>
        </w:rPr>
        <w:t>基金财产未按前款（</w:t>
      </w:r>
      <w:r>
        <w:rPr>
          <w:rFonts w:ascii="Arial" w:hAnsi="Arial" w:cs="Arial"/>
          <w:szCs w:val="21"/>
        </w:rPr>
        <w:t>1</w:t>
      </w:r>
      <w:r>
        <w:rPr>
          <w:rFonts w:ascii="Arial" w:hAnsi="宋体" w:cs="Arial"/>
          <w:szCs w:val="21"/>
        </w:rPr>
        <w:t>）、（</w:t>
      </w:r>
      <w:r>
        <w:rPr>
          <w:rFonts w:ascii="Arial" w:hAnsi="Arial" w:cs="Arial"/>
          <w:szCs w:val="21"/>
        </w:rPr>
        <w:t>2</w:t>
      </w:r>
      <w:r>
        <w:rPr>
          <w:rFonts w:ascii="Arial" w:hAnsi="宋体" w:cs="Arial"/>
          <w:szCs w:val="21"/>
        </w:rPr>
        <w:t>）、（</w:t>
      </w:r>
      <w:r>
        <w:rPr>
          <w:rFonts w:ascii="Arial" w:hAnsi="Arial" w:cs="Arial"/>
          <w:szCs w:val="21"/>
        </w:rPr>
        <w:t>3</w:t>
      </w:r>
      <w:r>
        <w:rPr>
          <w:rFonts w:ascii="Arial" w:hAnsi="宋体" w:cs="Arial"/>
          <w:szCs w:val="21"/>
        </w:rPr>
        <w:t>）项规定清偿前，不分配给基金份额持有人。</w:t>
      </w:r>
    </w:p>
    <w:p w:rsidR="0057376A" w:rsidRDefault="00117DFA">
      <w:pPr>
        <w:snapToGrid w:val="0"/>
        <w:spacing w:line="360" w:lineRule="auto"/>
        <w:ind w:firstLineChars="200" w:firstLine="420"/>
        <w:rPr>
          <w:rFonts w:ascii="Arial" w:hAnsi="Arial" w:cs="Arial"/>
          <w:kern w:val="0"/>
          <w:szCs w:val="21"/>
          <w:lang w:val="zh-CN"/>
        </w:rPr>
      </w:pPr>
      <w:r>
        <w:rPr>
          <w:rFonts w:ascii="Arial" w:hAnsi="宋体" w:cs="Arial"/>
          <w:kern w:val="0"/>
          <w:szCs w:val="21"/>
          <w:lang w:val="zh-CN"/>
        </w:rPr>
        <w:t>对于基金缴存于中国证券登记结算有限责任公司的最低结算备付金和交易席位保证金等，在中国证券登记结算有限责任公司对其进行调整后方可收回。</w:t>
      </w:r>
    </w:p>
    <w:p w:rsidR="0057376A" w:rsidRDefault="00117DFA">
      <w:pPr>
        <w:snapToGrid w:val="0"/>
        <w:spacing w:line="360" w:lineRule="auto"/>
        <w:ind w:firstLineChars="200" w:firstLine="420"/>
        <w:rPr>
          <w:rFonts w:ascii="Arial" w:hAnsi="Arial" w:cs="Arial"/>
          <w:kern w:val="0"/>
          <w:szCs w:val="21"/>
        </w:rPr>
      </w:pPr>
      <w:r>
        <w:rPr>
          <w:rFonts w:ascii="Arial" w:hAnsi="Arial" w:cs="Arial"/>
          <w:kern w:val="0"/>
          <w:szCs w:val="21"/>
        </w:rPr>
        <w:t>6</w:t>
      </w:r>
      <w:r>
        <w:rPr>
          <w:rFonts w:ascii="Arial" w:hAnsi="宋体" w:cs="Arial"/>
          <w:kern w:val="0"/>
          <w:szCs w:val="21"/>
        </w:rPr>
        <w:t>、基金财产清算的公告</w:t>
      </w:r>
    </w:p>
    <w:p w:rsidR="0057376A" w:rsidRDefault="004443CE">
      <w:pPr>
        <w:snapToGrid w:val="0"/>
        <w:spacing w:line="360" w:lineRule="auto"/>
        <w:ind w:firstLineChars="200" w:firstLine="420"/>
        <w:rPr>
          <w:rFonts w:ascii="Arial" w:hAnsi="Arial" w:cs="Arial"/>
          <w:kern w:val="0"/>
          <w:szCs w:val="21"/>
        </w:rPr>
      </w:pPr>
      <w:r>
        <w:rPr>
          <w:rFonts w:ascii="Arial" w:hAnsi="宋体" w:cs="Arial"/>
          <w:kern w:val="0"/>
          <w:szCs w:val="21"/>
        </w:rPr>
        <w:t>基金财产清算</w:t>
      </w:r>
      <w:proofErr w:type="gramStart"/>
      <w:r>
        <w:rPr>
          <w:rFonts w:ascii="Arial" w:hAnsi="宋体" w:cs="Arial"/>
          <w:kern w:val="0"/>
          <w:szCs w:val="21"/>
        </w:rPr>
        <w:t>组做出</w:t>
      </w:r>
      <w:proofErr w:type="gramEnd"/>
      <w:r>
        <w:rPr>
          <w:rFonts w:ascii="Arial" w:hAnsi="宋体" w:cs="Arial"/>
          <w:kern w:val="0"/>
          <w:szCs w:val="21"/>
        </w:rPr>
        <w:t>的清算报告经</w:t>
      </w:r>
      <w:r>
        <w:rPr>
          <w:rFonts w:ascii="Arial" w:hAnsi="宋体" w:cs="Arial" w:hint="eastAsia"/>
          <w:kern w:val="0"/>
          <w:szCs w:val="21"/>
        </w:rPr>
        <w:t>具有证券、期货相关业务资格的</w:t>
      </w:r>
      <w:r>
        <w:rPr>
          <w:rFonts w:ascii="Arial" w:hAnsi="宋体" w:cs="Arial"/>
          <w:kern w:val="0"/>
          <w:szCs w:val="21"/>
        </w:rPr>
        <w:t>会计师事务所审计，律师事务所出具法律意见书后，报中国证监会备案并公告。基金财产清算公告于基金财产清算报告报中国证监会备案后</w:t>
      </w:r>
      <w:r>
        <w:rPr>
          <w:rFonts w:ascii="Arial" w:hAnsi="宋体" w:cs="Arial"/>
          <w:kern w:val="0"/>
          <w:szCs w:val="21"/>
        </w:rPr>
        <w:t>5</w:t>
      </w:r>
      <w:r>
        <w:rPr>
          <w:rFonts w:ascii="Arial" w:hAnsi="宋体" w:cs="Arial"/>
          <w:kern w:val="0"/>
          <w:szCs w:val="21"/>
        </w:rPr>
        <w:t>个工作日内由基金财产清算小组进行公告</w:t>
      </w:r>
      <w:r>
        <w:rPr>
          <w:rFonts w:ascii="Arial" w:hAnsi="宋体" w:cs="Arial" w:hint="eastAsia"/>
          <w:kern w:val="0"/>
          <w:szCs w:val="21"/>
        </w:rPr>
        <w:t>，基金财产清算小组应当将清算报告登载在指定网站上，并将清算报告提示性公告登载在指定报刊上</w:t>
      </w:r>
      <w:r>
        <w:rPr>
          <w:rFonts w:ascii="Arial" w:hAnsi="宋体" w:cs="Arial"/>
          <w:kern w:val="0"/>
          <w:szCs w:val="21"/>
        </w:rPr>
        <w:t>。</w:t>
      </w:r>
    </w:p>
    <w:p w:rsidR="0057376A" w:rsidRDefault="00117DFA">
      <w:pPr>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7</w:t>
      </w:r>
      <w:r>
        <w:rPr>
          <w:rFonts w:ascii="Arial" w:hAnsi="宋体" w:cs="Arial"/>
          <w:color w:val="000000"/>
          <w:kern w:val="0"/>
          <w:szCs w:val="21"/>
        </w:rPr>
        <w:t>、基金财产清算账册及文件由基金托管人保存</w:t>
      </w:r>
      <w:r>
        <w:rPr>
          <w:rFonts w:ascii="Arial" w:hAnsi="Arial" w:cs="Arial"/>
          <w:color w:val="000000"/>
          <w:kern w:val="0"/>
          <w:szCs w:val="21"/>
        </w:rPr>
        <w:t>15</w:t>
      </w:r>
      <w:r>
        <w:rPr>
          <w:rFonts w:ascii="Arial" w:hAnsi="宋体" w:cs="Arial"/>
          <w:color w:val="000000"/>
          <w:kern w:val="0"/>
          <w:szCs w:val="21"/>
        </w:rPr>
        <w:t>年以上。</w:t>
      </w:r>
    </w:p>
    <w:p w:rsidR="0057376A" w:rsidRDefault="0057376A">
      <w:pPr>
        <w:snapToGrid w:val="0"/>
        <w:spacing w:line="360" w:lineRule="auto"/>
      </w:pPr>
    </w:p>
    <w:p w:rsidR="0057376A" w:rsidRDefault="00117DFA">
      <w:pPr>
        <w:pStyle w:val="2"/>
        <w:snapToGrid w:val="0"/>
        <w:spacing w:before="0" w:after="0" w:line="360" w:lineRule="auto"/>
        <w:rPr>
          <w:rFonts w:eastAsia="宋体" w:hAnsi="宋体" w:cs="Arial"/>
          <w:kern w:val="0"/>
          <w:sz w:val="21"/>
          <w:szCs w:val="21"/>
        </w:rPr>
      </w:pPr>
      <w:bookmarkStart w:id="68" w:name="_Toc253128726"/>
      <w:r>
        <w:rPr>
          <w:rFonts w:eastAsia="宋体" w:hAnsi="宋体" w:cs="Arial" w:hint="eastAsia"/>
          <w:kern w:val="0"/>
          <w:sz w:val="21"/>
          <w:szCs w:val="21"/>
        </w:rPr>
        <w:t>八、争议解决方式</w:t>
      </w:r>
      <w:bookmarkEnd w:id="68"/>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（一）本基金合同适用中华人民共和国法律并从其解释。</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（二）本基金合同的当事人之间因本基金合同产生的或与本基金合同有关的争议可通过</w:t>
      </w:r>
      <w:r>
        <w:rPr>
          <w:rFonts w:ascii="Arial" w:hAnsi="宋体" w:cs="Arial"/>
          <w:kern w:val="0"/>
          <w:szCs w:val="21"/>
        </w:rPr>
        <w:lastRenderedPageBreak/>
        <w:t>友好协商解决，但若自一方书面提出协商解决争议之日起</w:t>
      </w:r>
      <w:r>
        <w:rPr>
          <w:rFonts w:ascii="Arial" w:hAnsi="Arial" w:cs="Arial"/>
          <w:kern w:val="0"/>
          <w:szCs w:val="21"/>
        </w:rPr>
        <w:t>60</w:t>
      </w:r>
      <w:r>
        <w:rPr>
          <w:rFonts w:ascii="Arial" w:hAnsi="宋体" w:cs="Arial"/>
          <w:kern w:val="0"/>
          <w:szCs w:val="21"/>
        </w:rPr>
        <w:t>日内争议未能以协商方式解决的，则任何一方有权将争议提交位于北京的中国国际经济贸易仲裁委员会，按照其时有效的仲裁规则进行仲裁。仲裁裁决是终局的，对仲裁各方当事人均具有约束力。</w:t>
      </w:r>
    </w:p>
    <w:p w:rsidR="0057376A" w:rsidRDefault="00117DFA">
      <w:pPr>
        <w:snapToGrid w:val="0"/>
        <w:spacing w:line="360" w:lineRule="auto"/>
        <w:ind w:firstLineChars="200" w:firstLine="420"/>
        <w:rPr>
          <w:rFonts w:ascii="Arial" w:hAnsi="Arial" w:cs="Arial"/>
          <w:kern w:val="0"/>
          <w:szCs w:val="21"/>
        </w:rPr>
      </w:pPr>
      <w:r>
        <w:rPr>
          <w:rFonts w:ascii="Arial" w:hAnsi="宋体" w:cs="Arial"/>
          <w:kern w:val="0"/>
          <w:szCs w:val="21"/>
        </w:rPr>
        <w:t>（三）除争议所涉内容之外，本基金合同的其他部分应当由本基金合同当事人继续履行。</w:t>
      </w:r>
    </w:p>
    <w:p w:rsidR="0057376A" w:rsidRDefault="0057376A">
      <w:pPr>
        <w:snapToGrid w:val="0"/>
        <w:spacing w:line="360" w:lineRule="auto"/>
      </w:pPr>
    </w:p>
    <w:p w:rsidR="0057376A" w:rsidRDefault="00117DFA">
      <w:pPr>
        <w:pStyle w:val="2"/>
        <w:snapToGrid w:val="0"/>
        <w:spacing w:before="0" w:after="0" w:line="360" w:lineRule="auto"/>
        <w:rPr>
          <w:rFonts w:eastAsia="宋体" w:hAnsi="宋体" w:cs="Arial"/>
          <w:kern w:val="0"/>
          <w:sz w:val="21"/>
          <w:szCs w:val="21"/>
        </w:rPr>
      </w:pPr>
      <w:bookmarkStart w:id="69" w:name="_Toc253128727"/>
      <w:r>
        <w:rPr>
          <w:rFonts w:eastAsia="宋体" w:hAnsi="宋体" w:cs="Arial" w:hint="eastAsia"/>
          <w:kern w:val="0"/>
          <w:sz w:val="21"/>
          <w:szCs w:val="21"/>
        </w:rPr>
        <w:t>九、基金合同存放地和投资者取得基金合同的方式</w:t>
      </w:r>
      <w:bookmarkEnd w:id="69"/>
    </w:p>
    <w:p w:rsidR="0057376A" w:rsidRDefault="00117DFA">
      <w:pPr>
        <w:snapToGrid w:val="0"/>
        <w:spacing w:line="360" w:lineRule="auto"/>
        <w:ind w:firstLineChars="200" w:firstLine="420"/>
        <w:rPr>
          <w:rFonts w:ascii="Arial" w:hAnsi="Arial" w:cs="Arial"/>
          <w:szCs w:val="21"/>
        </w:rPr>
      </w:pPr>
      <w:r>
        <w:rPr>
          <w:rFonts w:ascii="Arial" w:hAnsi="宋体" w:cs="Arial"/>
          <w:kern w:val="0"/>
          <w:szCs w:val="21"/>
        </w:rPr>
        <w:t>基金合同存放在基金管理人和基金托管人住所，投资者在支付工本费后，可在合理时间内取得上述文件复印件，基金合同条款及内容应以基金合同正本为</w:t>
      </w:r>
      <w:bookmarkEnd w:id="51"/>
      <w:r>
        <w:rPr>
          <w:rFonts w:ascii="Arial" w:hAnsi="Arial" w:cs="Arial" w:hint="eastAsia"/>
          <w:szCs w:val="21"/>
        </w:rPr>
        <w:t>准。</w:t>
      </w:r>
    </w:p>
    <w:sectPr w:rsidR="0057376A">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A2" w:rsidRDefault="00D734A2">
      <w:r>
        <w:separator/>
      </w:r>
    </w:p>
  </w:endnote>
  <w:endnote w:type="continuationSeparator" w:id="0">
    <w:p w:rsidR="00D734A2" w:rsidRDefault="00D7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6A" w:rsidRDefault="0057376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6A" w:rsidRDefault="0057376A">
    <w:pPr>
      <w:pStyle w:val="ab"/>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6A" w:rsidRDefault="00117DFA">
    <w:pPr>
      <w:pStyle w:val="ab"/>
      <w:jc w:val="center"/>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EE196A" w:rsidRPr="00EE196A">
      <w:rPr>
        <w:rFonts w:ascii="Arial" w:hAnsi="Arial" w:cs="Arial"/>
        <w:noProof/>
        <w:sz w:val="21"/>
        <w:szCs w:val="21"/>
        <w:lang w:val="zh-CN"/>
      </w:rPr>
      <w:t>76</w:t>
    </w:r>
    <w:r>
      <w:rPr>
        <w:rFonts w:ascii="Arial" w:hAnsi="Arial" w:cs="Arial"/>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A2" w:rsidRDefault="00D734A2">
      <w:r>
        <w:separator/>
      </w:r>
    </w:p>
  </w:footnote>
  <w:footnote w:type="continuationSeparator" w:id="0">
    <w:p w:rsidR="00D734A2" w:rsidRDefault="00D7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6A" w:rsidRDefault="0057376A">
    <w:pPr>
      <w:pStyle w:val="ac"/>
      <w:pBdr>
        <w:bottom w:val="none" w:sz="0" w:space="0" w:color="auto"/>
      </w:pBdr>
      <w:ind w:firstLine="180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6A" w:rsidRDefault="00117DFA">
    <w:pPr>
      <w:pStyle w:val="ac"/>
      <w:ind w:firstLine="1800"/>
      <w:jc w:val="right"/>
    </w:pP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8D5"/>
    <w:multiLevelType w:val="multilevel"/>
    <w:tmpl w:val="0BAE48D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E7B43AB"/>
    <w:multiLevelType w:val="multilevel"/>
    <w:tmpl w:val="0E7B43AB"/>
    <w:lvl w:ilvl="0">
      <w:start w:val="1"/>
      <w:numFmt w:val="decimal"/>
      <w:lvlText w:val="（%1）"/>
      <w:lvlJc w:val="left"/>
      <w:pPr>
        <w:ind w:left="420" w:hanging="420"/>
      </w:pPr>
      <w:rPr>
        <w:rFonts w:ascii="Arial" w:hAnsi="Arial" w:cs="宋体" w:hint="default"/>
      </w:rPr>
    </w:lvl>
    <w:lvl w:ilvl="1">
      <w:start w:val="1"/>
      <w:numFmt w:val="decimal"/>
      <w:lvlText w:val="%2）"/>
      <w:lvlJc w:val="left"/>
      <w:pPr>
        <w:ind w:left="840" w:hanging="420"/>
      </w:pPr>
      <w:rPr>
        <w:rFonts w:ascii="Arial" w:eastAsia="宋体" w:hAnsi="Arial" w:cs="Arial"/>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2D3684B"/>
    <w:multiLevelType w:val="multilevel"/>
    <w:tmpl w:val="12D3684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9AD2F2B"/>
    <w:multiLevelType w:val="multilevel"/>
    <w:tmpl w:val="49AD2F2B"/>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DD3D9EF"/>
    <w:multiLevelType w:val="singleLevel"/>
    <w:tmpl w:val="5DD3D9EF"/>
    <w:lvl w:ilvl="0">
      <w:start w:val="10"/>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424"/>
    <w:rsid w:val="00000B8D"/>
    <w:rsid w:val="00005D64"/>
    <w:rsid w:val="00011056"/>
    <w:rsid w:val="000115CA"/>
    <w:rsid w:val="000117F0"/>
    <w:rsid w:val="00020F09"/>
    <w:rsid w:val="000338D4"/>
    <w:rsid w:val="0004109A"/>
    <w:rsid w:val="00044338"/>
    <w:rsid w:val="00046CBD"/>
    <w:rsid w:val="00047146"/>
    <w:rsid w:val="00053D68"/>
    <w:rsid w:val="00053FBF"/>
    <w:rsid w:val="000548AE"/>
    <w:rsid w:val="00057112"/>
    <w:rsid w:val="00057553"/>
    <w:rsid w:val="00060692"/>
    <w:rsid w:val="000724BA"/>
    <w:rsid w:val="000731F3"/>
    <w:rsid w:val="000741BA"/>
    <w:rsid w:val="00074622"/>
    <w:rsid w:val="000875F4"/>
    <w:rsid w:val="00087E4B"/>
    <w:rsid w:val="00093CB5"/>
    <w:rsid w:val="00096B01"/>
    <w:rsid w:val="000A0EFF"/>
    <w:rsid w:val="000A11FF"/>
    <w:rsid w:val="000A2767"/>
    <w:rsid w:val="000A4588"/>
    <w:rsid w:val="000A7B36"/>
    <w:rsid w:val="000B0B3B"/>
    <w:rsid w:val="000B254C"/>
    <w:rsid w:val="000B4201"/>
    <w:rsid w:val="000B4303"/>
    <w:rsid w:val="000B4B77"/>
    <w:rsid w:val="000B5286"/>
    <w:rsid w:val="000B6064"/>
    <w:rsid w:val="000B68C3"/>
    <w:rsid w:val="000C1746"/>
    <w:rsid w:val="000C325E"/>
    <w:rsid w:val="000C434C"/>
    <w:rsid w:val="000D0311"/>
    <w:rsid w:val="000D2C66"/>
    <w:rsid w:val="000D4A23"/>
    <w:rsid w:val="000D4F52"/>
    <w:rsid w:val="000D6650"/>
    <w:rsid w:val="000D793D"/>
    <w:rsid w:val="000E16A9"/>
    <w:rsid w:val="000E36C5"/>
    <w:rsid w:val="000E5920"/>
    <w:rsid w:val="000E6E1A"/>
    <w:rsid w:val="000F632F"/>
    <w:rsid w:val="000F71F2"/>
    <w:rsid w:val="00100CDF"/>
    <w:rsid w:val="00101286"/>
    <w:rsid w:val="001032A4"/>
    <w:rsid w:val="00103377"/>
    <w:rsid w:val="00103E00"/>
    <w:rsid w:val="0010518C"/>
    <w:rsid w:val="001057F6"/>
    <w:rsid w:val="001126B1"/>
    <w:rsid w:val="00112DC8"/>
    <w:rsid w:val="0011386C"/>
    <w:rsid w:val="00113DE7"/>
    <w:rsid w:val="00114342"/>
    <w:rsid w:val="00117DFA"/>
    <w:rsid w:val="00121578"/>
    <w:rsid w:val="00123A72"/>
    <w:rsid w:val="0012645D"/>
    <w:rsid w:val="00126EE2"/>
    <w:rsid w:val="0012780C"/>
    <w:rsid w:val="00127EE2"/>
    <w:rsid w:val="0013393B"/>
    <w:rsid w:val="00142BA0"/>
    <w:rsid w:val="0014536B"/>
    <w:rsid w:val="00145A34"/>
    <w:rsid w:val="00151F36"/>
    <w:rsid w:val="00153E61"/>
    <w:rsid w:val="00154B8F"/>
    <w:rsid w:val="00154C23"/>
    <w:rsid w:val="0016118A"/>
    <w:rsid w:val="001645B5"/>
    <w:rsid w:val="00164CE9"/>
    <w:rsid w:val="00167778"/>
    <w:rsid w:val="00167BC3"/>
    <w:rsid w:val="00170E25"/>
    <w:rsid w:val="00175BB1"/>
    <w:rsid w:val="00176B13"/>
    <w:rsid w:val="001801B8"/>
    <w:rsid w:val="0018021E"/>
    <w:rsid w:val="001826CB"/>
    <w:rsid w:val="00193C08"/>
    <w:rsid w:val="00194339"/>
    <w:rsid w:val="00195789"/>
    <w:rsid w:val="00195A1A"/>
    <w:rsid w:val="001A00C5"/>
    <w:rsid w:val="001A0A17"/>
    <w:rsid w:val="001A0E91"/>
    <w:rsid w:val="001A2748"/>
    <w:rsid w:val="001A6080"/>
    <w:rsid w:val="001B03B8"/>
    <w:rsid w:val="001B330B"/>
    <w:rsid w:val="001B3A04"/>
    <w:rsid w:val="001B5784"/>
    <w:rsid w:val="001B6B15"/>
    <w:rsid w:val="001C2A07"/>
    <w:rsid w:val="001C3342"/>
    <w:rsid w:val="001C3DAA"/>
    <w:rsid w:val="001C4AC8"/>
    <w:rsid w:val="001D1FD1"/>
    <w:rsid w:val="001D49B6"/>
    <w:rsid w:val="001D5976"/>
    <w:rsid w:val="001D622D"/>
    <w:rsid w:val="001E2A89"/>
    <w:rsid w:val="001E3B25"/>
    <w:rsid w:val="001E69DB"/>
    <w:rsid w:val="001F0457"/>
    <w:rsid w:val="001F16CC"/>
    <w:rsid w:val="001F19C5"/>
    <w:rsid w:val="001F6433"/>
    <w:rsid w:val="001F7788"/>
    <w:rsid w:val="0020076C"/>
    <w:rsid w:val="002063C8"/>
    <w:rsid w:val="00207BAE"/>
    <w:rsid w:val="002113F2"/>
    <w:rsid w:val="00211433"/>
    <w:rsid w:val="00211A16"/>
    <w:rsid w:val="00212743"/>
    <w:rsid w:val="00214944"/>
    <w:rsid w:val="00215689"/>
    <w:rsid w:val="00217E7F"/>
    <w:rsid w:val="00221975"/>
    <w:rsid w:val="00222EA5"/>
    <w:rsid w:val="00227049"/>
    <w:rsid w:val="002309EA"/>
    <w:rsid w:val="0023154C"/>
    <w:rsid w:val="00231A7D"/>
    <w:rsid w:val="0023441E"/>
    <w:rsid w:val="002356AD"/>
    <w:rsid w:val="002364CC"/>
    <w:rsid w:val="002369BA"/>
    <w:rsid w:val="00236ED7"/>
    <w:rsid w:val="002428EE"/>
    <w:rsid w:val="00243682"/>
    <w:rsid w:val="002436FA"/>
    <w:rsid w:val="00243C4B"/>
    <w:rsid w:val="00246C00"/>
    <w:rsid w:val="00252330"/>
    <w:rsid w:val="00252881"/>
    <w:rsid w:val="00254790"/>
    <w:rsid w:val="00256448"/>
    <w:rsid w:val="00257D01"/>
    <w:rsid w:val="00261AEE"/>
    <w:rsid w:val="0026503B"/>
    <w:rsid w:val="002651CC"/>
    <w:rsid w:val="0026730D"/>
    <w:rsid w:val="00267F9D"/>
    <w:rsid w:val="00271F16"/>
    <w:rsid w:val="0027340F"/>
    <w:rsid w:val="00273B28"/>
    <w:rsid w:val="00274086"/>
    <w:rsid w:val="00276865"/>
    <w:rsid w:val="002833F7"/>
    <w:rsid w:val="00287E49"/>
    <w:rsid w:val="0029188D"/>
    <w:rsid w:val="002951C2"/>
    <w:rsid w:val="0029653B"/>
    <w:rsid w:val="002A095B"/>
    <w:rsid w:val="002A53FB"/>
    <w:rsid w:val="002B197A"/>
    <w:rsid w:val="002B3164"/>
    <w:rsid w:val="002B3C6D"/>
    <w:rsid w:val="002B48F4"/>
    <w:rsid w:val="002B5F34"/>
    <w:rsid w:val="002B63BD"/>
    <w:rsid w:val="002C1770"/>
    <w:rsid w:val="002C7A07"/>
    <w:rsid w:val="002D4CA7"/>
    <w:rsid w:val="002D6172"/>
    <w:rsid w:val="002E0ABC"/>
    <w:rsid w:val="002F1448"/>
    <w:rsid w:val="002F3000"/>
    <w:rsid w:val="002F5228"/>
    <w:rsid w:val="002F73C4"/>
    <w:rsid w:val="0030174D"/>
    <w:rsid w:val="003026F5"/>
    <w:rsid w:val="0030411D"/>
    <w:rsid w:val="00306208"/>
    <w:rsid w:val="00306A31"/>
    <w:rsid w:val="00311510"/>
    <w:rsid w:val="00316C9B"/>
    <w:rsid w:val="003239B1"/>
    <w:rsid w:val="003247DC"/>
    <w:rsid w:val="00324972"/>
    <w:rsid w:val="00324CDD"/>
    <w:rsid w:val="00334B75"/>
    <w:rsid w:val="00342F80"/>
    <w:rsid w:val="00343A4E"/>
    <w:rsid w:val="00345AA7"/>
    <w:rsid w:val="00345C19"/>
    <w:rsid w:val="00353F4D"/>
    <w:rsid w:val="00354950"/>
    <w:rsid w:val="0036010C"/>
    <w:rsid w:val="00361E54"/>
    <w:rsid w:val="003644CF"/>
    <w:rsid w:val="00372578"/>
    <w:rsid w:val="003748C7"/>
    <w:rsid w:val="00377ECF"/>
    <w:rsid w:val="0038058D"/>
    <w:rsid w:val="003812A4"/>
    <w:rsid w:val="00382723"/>
    <w:rsid w:val="003843B4"/>
    <w:rsid w:val="00390181"/>
    <w:rsid w:val="0039147D"/>
    <w:rsid w:val="0039339E"/>
    <w:rsid w:val="0039605F"/>
    <w:rsid w:val="00396C31"/>
    <w:rsid w:val="00397B4A"/>
    <w:rsid w:val="003A6A61"/>
    <w:rsid w:val="003B3D88"/>
    <w:rsid w:val="003B3FE5"/>
    <w:rsid w:val="003C7A2F"/>
    <w:rsid w:val="003D1C4E"/>
    <w:rsid w:val="003D1F51"/>
    <w:rsid w:val="003D333B"/>
    <w:rsid w:val="003D5294"/>
    <w:rsid w:val="003D6B02"/>
    <w:rsid w:val="003E3FE5"/>
    <w:rsid w:val="003E4182"/>
    <w:rsid w:val="003E5961"/>
    <w:rsid w:val="003F11DE"/>
    <w:rsid w:val="003F7AF2"/>
    <w:rsid w:val="004008A1"/>
    <w:rsid w:val="00405DA6"/>
    <w:rsid w:val="00406B6C"/>
    <w:rsid w:val="00407816"/>
    <w:rsid w:val="00411668"/>
    <w:rsid w:val="00411E97"/>
    <w:rsid w:val="004133BF"/>
    <w:rsid w:val="004149C5"/>
    <w:rsid w:val="00420772"/>
    <w:rsid w:val="0042082D"/>
    <w:rsid w:val="00420ED7"/>
    <w:rsid w:val="00422CD9"/>
    <w:rsid w:val="00422FAA"/>
    <w:rsid w:val="004351AE"/>
    <w:rsid w:val="004357E6"/>
    <w:rsid w:val="00436513"/>
    <w:rsid w:val="004370D6"/>
    <w:rsid w:val="004406D9"/>
    <w:rsid w:val="004443CE"/>
    <w:rsid w:val="00446DD5"/>
    <w:rsid w:val="00450985"/>
    <w:rsid w:val="00452109"/>
    <w:rsid w:val="00452AD2"/>
    <w:rsid w:val="00454DB3"/>
    <w:rsid w:val="00454E5A"/>
    <w:rsid w:val="00457C11"/>
    <w:rsid w:val="00461F61"/>
    <w:rsid w:val="00465CDB"/>
    <w:rsid w:val="004729E9"/>
    <w:rsid w:val="00472E09"/>
    <w:rsid w:val="00473365"/>
    <w:rsid w:val="00473E30"/>
    <w:rsid w:val="004778CA"/>
    <w:rsid w:val="004817C3"/>
    <w:rsid w:val="00483AE2"/>
    <w:rsid w:val="0048585B"/>
    <w:rsid w:val="00485FF7"/>
    <w:rsid w:val="0049180F"/>
    <w:rsid w:val="004A6B8D"/>
    <w:rsid w:val="004A72A4"/>
    <w:rsid w:val="004C0AA7"/>
    <w:rsid w:val="004C0B31"/>
    <w:rsid w:val="004C1EF1"/>
    <w:rsid w:val="004C2614"/>
    <w:rsid w:val="004C3273"/>
    <w:rsid w:val="004C34D9"/>
    <w:rsid w:val="004C7A31"/>
    <w:rsid w:val="004D108C"/>
    <w:rsid w:val="004D113F"/>
    <w:rsid w:val="004D1BB1"/>
    <w:rsid w:val="004D2274"/>
    <w:rsid w:val="004D245F"/>
    <w:rsid w:val="004D62B9"/>
    <w:rsid w:val="004D6E94"/>
    <w:rsid w:val="004D74AA"/>
    <w:rsid w:val="004E15A5"/>
    <w:rsid w:val="004E6B6F"/>
    <w:rsid w:val="004F22E0"/>
    <w:rsid w:val="004F4489"/>
    <w:rsid w:val="004F56AC"/>
    <w:rsid w:val="00500D94"/>
    <w:rsid w:val="00504CCE"/>
    <w:rsid w:val="00507998"/>
    <w:rsid w:val="00507C66"/>
    <w:rsid w:val="00510E2C"/>
    <w:rsid w:val="005114B7"/>
    <w:rsid w:val="00511EE3"/>
    <w:rsid w:val="00514F06"/>
    <w:rsid w:val="00514FF3"/>
    <w:rsid w:val="00515206"/>
    <w:rsid w:val="005214D3"/>
    <w:rsid w:val="00522AC0"/>
    <w:rsid w:val="00524F22"/>
    <w:rsid w:val="00525DC4"/>
    <w:rsid w:val="00526DC1"/>
    <w:rsid w:val="00527357"/>
    <w:rsid w:val="005340CA"/>
    <w:rsid w:val="005351AF"/>
    <w:rsid w:val="00540CC5"/>
    <w:rsid w:val="00542953"/>
    <w:rsid w:val="00544D61"/>
    <w:rsid w:val="005521F1"/>
    <w:rsid w:val="00555506"/>
    <w:rsid w:val="00555540"/>
    <w:rsid w:val="00561780"/>
    <w:rsid w:val="00562833"/>
    <w:rsid w:val="00565AB8"/>
    <w:rsid w:val="00566EE4"/>
    <w:rsid w:val="005704F2"/>
    <w:rsid w:val="00570ED6"/>
    <w:rsid w:val="005723CF"/>
    <w:rsid w:val="00572565"/>
    <w:rsid w:val="00573597"/>
    <w:rsid w:val="0057376A"/>
    <w:rsid w:val="00575A4F"/>
    <w:rsid w:val="00576F6C"/>
    <w:rsid w:val="005822E4"/>
    <w:rsid w:val="00584A91"/>
    <w:rsid w:val="005878E7"/>
    <w:rsid w:val="005878F8"/>
    <w:rsid w:val="005941F7"/>
    <w:rsid w:val="00594876"/>
    <w:rsid w:val="00594CDE"/>
    <w:rsid w:val="005962F4"/>
    <w:rsid w:val="005A0FED"/>
    <w:rsid w:val="005A125D"/>
    <w:rsid w:val="005A2F8E"/>
    <w:rsid w:val="005A35D6"/>
    <w:rsid w:val="005A41EC"/>
    <w:rsid w:val="005B03AC"/>
    <w:rsid w:val="005B03C0"/>
    <w:rsid w:val="005B25C7"/>
    <w:rsid w:val="005B3956"/>
    <w:rsid w:val="005C0618"/>
    <w:rsid w:val="005C3C62"/>
    <w:rsid w:val="005C3DD1"/>
    <w:rsid w:val="005D128F"/>
    <w:rsid w:val="005D2AE4"/>
    <w:rsid w:val="005D3220"/>
    <w:rsid w:val="005D4E2D"/>
    <w:rsid w:val="005D794F"/>
    <w:rsid w:val="005E5619"/>
    <w:rsid w:val="005E5746"/>
    <w:rsid w:val="005E67E4"/>
    <w:rsid w:val="005E6953"/>
    <w:rsid w:val="005F7359"/>
    <w:rsid w:val="005F756C"/>
    <w:rsid w:val="005F7FF1"/>
    <w:rsid w:val="0060173C"/>
    <w:rsid w:val="00611232"/>
    <w:rsid w:val="00611C24"/>
    <w:rsid w:val="00614AA2"/>
    <w:rsid w:val="00615BB3"/>
    <w:rsid w:val="00615C21"/>
    <w:rsid w:val="00616FEF"/>
    <w:rsid w:val="0062151B"/>
    <w:rsid w:val="00621710"/>
    <w:rsid w:val="00623396"/>
    <w:rsid w:val="006261DB"/>
    <w:rsid w:val="00627188"/>
    <w:rsid w:val="00627424"/>
    <w:rsid w:val="00627632"/>
    <w:rsid w:val="0063064E"/>
    <w:rsid w:val="0063769D"/>
    <w:rsid w:val="00656F16"/>
    <w:rsid w:val="00661C8B"/>
    <w:rsid w:val="00664C1F"/>
    <w:rsid w:val="00665231"/>
    <w:rsid w:val="00670405"/>
    <w:rsid w:val="00670A3E"/>
    <w:rsid w:val="00670A53"/>
    <w:rsid w:val="00671331"/>
    <w:rsid w:val="00672872"/>
    <w:rsid w:val="00673492"/>
    <w:rsid w:val="00676757"/>
    <w:rsid w:val="00686EC9"/>
    <w:rsid w:val="00694546"/>
    <w:rsid w:val="00694D6F"/>
    <w:rsid w:val="006950D4"/>
    <w:rsid w:val="006979DD"/>
    <w:rsid w:val="00697BF5"/>
    <w:rsid w:val="006B0D25"/>
    <w:rsid w:val="006B2A19"/>
    <w:rsid w:val="006B7B16"/>
    <w:rsid w:val="006C2855"/>
    <w:rsid w:val="006C7733"/>
    <w:rsid w:val="006D04D6"/>
    <w:rsid w:val="006D37FB"/>
    <w:rsid w:val="006D3BCB"/>
    <w:rsid w:val="006D4595"/>
    <w:rsid w:val="006D5C5B"/>
    <w:rsid w:val="006D73AF"/>
    <w:rsid w:val="006E2365"/>
    <w:rsid w:val="006E2B17"/>
    <w:rsid w:val="006E3F5E"/>
    <w:rsid w:val="006E69C3"/>
    <w:rsid w:val="006F7625"/>
    <w:rsid w:val="007033E7"/>
    <w:rsid w:val="00704895"/>
    <w:rsid w:val="00706F6D"/>
    <w:rsid w:val="00711332"/>
    <w:rsid w:val="007133CE"/>
    <w:rsid w:val="00730FE0"/>
    <w:rsid w:val="007331F7"/>
    <w:rsid w:val="007428D8"/>
    <w:rsid w:val="00743A6B"/>
    <w:rsid w:val="00743DC7"/>
    <w:rsid w:val="0074459F"/>
    <w:rsid w:val="00745893"/>
    <w:rsid w:val="00747E0F"/>
    <w:rsid w:val="00751110"/>
    <w:rsid w:val="007513BC"/>
    <w:rsid w:val="00751F55"/>
    <w:rsid w:val="00755C93"/>
    <w:rsid w:val="00762FAE"/>
    <w:rsid w:val="00763F63"/>
    <w:rsid w:val="00772F26"/>
    <w:rsid w:val="007733B3"/>
    <w:rsid w:val="00780EA9"/>
    <w:rsid w:val="00781655"/>
    <w:rsid w:val="00782F60"/>
    <w:rsid w:val="007857DA"/>
    <w:rsid w:val="007867D3"/>
    <w:rsid w:val="00786B70"/>
    <w:rsid w:val="007974C4"/>
    <w:rsid w:val="007A05C6"/>
    <w:rsid w:val="007A70C5"/>
    <w:rsid w:val="007B25A2"/>
    <w:rsid w:val="007B3115"/>
    <w:rsid w:val="007B3848"/>
    <w:rsid w:val="007B4D0A"/>
    <w:rsid w:val="007B55FA"/>
    <w:rsid w:val="007B586F"/>
    <w:rsid w:val="007B5D05"/>
    <w:rsid w:val="007B5E25"/>
    <w:rsid w:val="007B65A3"/>
    <w:rsid w:val="007C1033"/>
    <w:rsid w:val="007C2C6E"/>
    <w:rsid w:val="007D28DE"/>
    <w:rsid w:val="007D2BFD"/>
    <w:rsid w:val="007D5D5C"/>
    <w:rsid w:val="007E4EAE"/>
    <w:rsid w:val="007E7274"/>
    <w:rsid w:val="007F204C"/>
    <w:rsid w:val="007F704C"/>
    <w:rsid w:val="008004FF"/>
    <w:rsid w:val="0080148D"/>
    <w:rsid w:val="008021E7"/>
    <w:rsid w:val="00803D96"/>
    <w:rsid w:val="00803EC5"/>
    <w:rsid w:val="008106FA"/>
    <w:rsid w:val="00811CDA"/>
    <w:rsid w:val="00811E3A"/>
    <w:rsid w:val="008130C6"/>
    <w:rsid w:val="00813684"/>
    <w:rsid w:val="0081395C"/>
    <w:rsid w:val="00814C86"/>
    <w:rsid w:val="0081719C"/>
    <w:rsid w:val="00820D90"/>
    <w:rsid w:val="00824590"/>
    <w:rsid w:val="008276FE"/>
    <w:rsid w:val="00832EE5"/>
    <w:rsid w:val="008422F1"/>
    <w:rsid w:val="0084307F"/>
    <w:rsid w:val="008430A9"/>
    <w:rsid w:val="00844519"/>
    <w:rsid w:val="008466CD"/>
    <w:rsid w:val="00847004"/>
    <w:rsid w:val="00847623"/>
    <w:rsid w:val="00847DB3"/>
    <w:rsid w:val="00850AAE"/>
    <w:rsid w:val="00850B39"/>
    <w:rsid w:val="00851495"/>
    <w:rsid w:val="0085564F"/>
    <w:rsid w:val="008556EE"/>
    <w:rsid w:val="0085655D"/>
    <w:rsid w:val="0086011D"/>
    <w:rsid w:val="00865138"/>
    <w:rsid w:val="0086523C"/>
    <w:rsid w:val="008704D7"/>
    <w:rsid w:val="008734A5"/>
    <w:rsid w:val="00874F95"/>
    <w:rsid w:val="00875F7F"/>
    <w:rsid w:val="00877660"/>
    <w:rsid w:val="008841E5"/>
    <w:rsid w:val="0088442C"/>
    <w:rsid w:val="00884AA7"/>
    <w:rsid w:val="0088528E"/>
    <w:rsid w:val="0088551A"/>
    <w:rsid w:val="00890E34"/>
    <w:rsid w:val="00893861"/>
    <w:rsid w:val="00895E68"/>
    <w:rsid w:val="00896F12"/>
    <w:rsid w:val="0089724D"/>
    <w:rsid w:val="008A241B"/>
    <w:rsid w:val="008A4F9C"/>
    <w:rsid w:val="008A5FD9"/>
    <w:rsid w:val="008A68FA"/>
    <w:rsid w:val="008B2578"/>
    <w:rsid w:val="008B4342"/>
    <w:rsid w:val="008B6E14"/>
    <w:rsid w:val="008B7701"/>
    <w:rsid w:val="008C6216"/>
    <w:rsid w:val="008D3D77"/>
    <w:rsid w:val="008D4054"/>
    <w:rsid w:val="008D6EA8"/>
    <w:rsid w:val="008E21A4"/>
    <w:rsid w:val="008E4A90"/>
    <w:rsid w:val="008E7A9C"/>
    <w:rsid w:val="0090191C"/>
    <w:rsid w:val="0090326E"/>
    <w:rsid w:val="009033C0"/>
    <w:rsid w:val="00903FFA"/>
    <w:rsid w:val="009047DF"/>
    <w:rsid w:val="00906628"/>
    <w:rsid w:val="00911D7E"/>
    <w:rsid w:val="00917D34"/>
    <w:rsid w:val="009207F7"/>
    <w:rsid w:val="00920F80"/>
    <w:rsid w:val="00921B3E"/>
    <w:rsid w:val="009228EA"/>
    <w:rsid w:val="00925070"/>
    <w:rsid w:val="0092722B"/>
    <w:rsid w:val="00927410"/>
    <w:rsid w:val="00927A46"/>
    <w:rsid w:val="00930047"/>
    <w:rsid w:val="009313A7"/>
    <w:rsid w:val="00932FD2"/>
    <w:rsid w:val="0093416C"/>
    <w:rsid w:val="00934CB5"/>
    <w:rsid w:val="00936086"/>
    <w:rsid w:val="00936E19"/>
    <w:rsid w:val="00954D12"/>
    <w:rsid w:val="00957009"/>
    <w:rsid w:val="009578FD"/>
    <w:rsid w:val="00960FD2"/>
    <w:rsid w:val="00963C7E"/>
    <w:rsid w:val="00964B3F"/>
    <w:rsid w:val="00965B0E"/>
    <w:rsid w:val="00971056"/>
    <w:rsid w:val="00971B50"/>
    <w:rsid w:val="009803A2"/>
    <w:rsid w:val="0098318B"/>
    <w:rsid w:val="009858CE"/>
    <w:rsid w:val="00985DB4"/>
    <w:rsid w:val="0099537C"/>
    <w:rsid w:val="00997BF0"/>
    <w:rsid w:val="009A6E16"/>
    <w:rsid w:val="009B2BC2"/>
    <w:rsid w:val="009B2F81"/>
    <w:rsid w:val="009B36E9"/>
    <w:rsid w:val="009C3EE1"/>
    <w:rsid w:val="009C56FD"/>
    <w:rsid w:val="009C64BA"/>
    <w:rsid w:val="009C67B3"/>
    <w:rsid w:val="009C7C2D"/>
    <w:rsid w:val="009D19D5"/>
    <w:rsid w:val="009D1A74"/>
    <w:rsid w:val="009D1B82"/>
    <w:rsid w:val="009D46A3"/>
    <w:rsid w:val="009D7567"/>
    <w:rsid w:val="009D7EE0"/>
    <w:rsid w:val="009E0647"/>
    <w:rsid w:val="009E22A1"/>
    <w:rsid w:val="009E2B69"/>
    <w:rsid w:val="009E46D8"/>
    <w:rsid w:val="009E55B2"/>
    <w:rsid w:val="009F17EF"/>
    <w:rsid w:val="009F30CB"/>
    <w:rsid w:val="009F363B"/>
    <w:rsid w:val="009F3DAA"/>
    <w:rsid w:val="009F5FDC"/>
    <w:rsid w:val="009F6265"/>
    <w:rsid w:val="00A00CAC"/>
    <w:rsid w:val="00A05036"/>
    <w:rsid w:val="00A05BAB"/>
    <w:rsid w:val="00A05D14"/>
    <w:rsid w:val="00A1284F"/>
    <w:rsid w:val="00A132DE"/>
    <w:rsid w:val="00A14894"/>
    <w:rsid w:val="00A20F75"/>
    <w:rsid w:val="00A25C59"/>
    <w:rsid w:val="00A27F46"/>
    <w:rsid w:val="00A32ABD"/>
    <w:rsid w:val="00A3497E"/>
    <w:rsid w:val="00A3746E"/>
    <w:rsid w:val="00A41C79"/>
    <w:rsid w:val="00A43D63"/>
    <w:rsid w:val="00A5035F"/>
    <w:rsid w:val="00A50FF5"/>
    <w:rsid w:val="00A541A5"/>
    <w:rsid w:val="00A54512"/>
    <w:rsid w:val="00A572FC"/>
    <w:rsid w:val="00A63E57"/>
    <w:rsid w:val="00A64324"/>
    <w:rsid w:val="00A64C0C"/>
    <w:rsid w:val="00A66C90"/>
    <w:rsid w:val="00A676A1"/>
    <w:rsid w:val="00A714D4"/>
    <w:rsid w:val="00A7320B"/>
    <w:rsid w:val="00A76AE4"/>
    <w:rsid w:val="00A76CEF"/>
    <w:rsid w:val="00A7733F"/>
    <w:rsid w:val="00A8312D"/>
    <w:rsid w:val="00A840A8"/>
    <w:rsid w:val="00A844B4"/>
    <w:rsid w:val="00A91D63"/>
    <w:rsid w:val="00A92D53"/>
    <w:rsid w:val="00AA35CC"/>
    <w:rsid w:val="00AA38FE"/>
    <w:rsid w:val="00AA45FD"/>
    <w:rsid w:val="00AA77B6"/>
    <w:rsid w:val="00AB61DB"/>
    <w:rsid w:val="00AC0226"/>
    <w:rsid w:val="00AC0452"/>
    <w:rsid w:val="00AC2295"/>
    <w:rsid w:val="00AC3323"/>
    <w:rsid w:val="00AC544B"/>
    <w:rsid w:val="00AD5833"/>
    <w:rsid w:val="00AD5AA9"/>
    <w:rsid w:val="00AD68F4"/>
    <w:rsid w:val="00AD6FEA"/>
    <w:rsid w:val="00AE7B63"/>
    <w:rsid w:val="00AE7F86"/>
    <w:rsid w:val="00AF10EA"/>
    <w:rsid w:val="00AF4B3B"/>
    <w:rsid w:val="00AF56F2"/>
    <w:rsid w:val="00B044A6"/>
    <w:rsid w:val="00B10150"/>
    <w:rsid w:val="00B13614"/>
    <w:rsid w:val="00B153FA"/>
    <w:rsid w:val="00B206C3"/>
    <w:rsid w:val="00B25B38"/>
    <w:rsid w:val="00B3093A"/>
    <w:rsid w:val="00B31913"/>
    <w:rsid w:val="00B33AB6"/>
    <w:rsid w:val="00B37041"/>
    <w:rsid w:val="00B40355"/>
    <w:rsid w:val="00B42856"/>
    <w:rsid w:val="00B43694"/>
    <w:rsid w:val="00B43D77"/>
    <w:rsid w:val="00B46E71"/>
    <w:rsid w:val="00B52096"/>
    <w:rsid w:val="00B52FF9"/>
    <w:rsid w:val="00B55FC4"/>
    <w:rsid w:val="00B5697E"/>
    <w:rsid w:val="00B57943"/>
    <w:rsid w:val="00B63BFA"/>
    <w:rsid w:val="00B65AC6"/>
    <w:rsid w:val="00B65D5C"/>
    <w:rsid w:val="00B67223"/>
    <w:rsid w:val="00B73130"/>
    <w:rsid w:val="00B74653"/>
    <w:rsid w:val="00B74B9D"/>
    <w:rsid w:val="00B767EE"/>
    <w:rsid w:val="00B77D00"/>
    <w:rsid w:val="00B77F78"/>
    <w:rsid w:val="00B8029D"/>
    <w:rsid w:val="00B802CD"/>
    <w:rsid w:val="00B80B25"/>
    <w:rsid w:val="00B86047"/>
    <w:rsid w:val="00B9214B"/>
    <w:rsid w:val="00B93487"/>
    <w:rsid w:val="00B93F1D"/>
    <w:rsid w:val="00B94466"/>
    <w:rsid w:val="00B94523"/>
    <w:rsid w:val="00B94930"/>
    <w:rsid w:val="00B95413"/>
    <w:rsid w:val="00B97457"/>
    <w:rsid w:val="00BA02F1"/>
    <w:rsid w:val="00BA42D6"/>
    <w:rsid w:val="00BA4A17"/>
    <w:rsid w:val="00BA5D37"/>
    <w:rsid w:val="00BB07A9"/>
    <w:rsid w:val="00BB11CB"/>
    <w:rsid w:val="00BB18DE"/>
    <w:rsid w:val="00BB27C1"/>
    <w:rsid w:val="00BB4218"/>
    <w:rsid w:val="00BC1386"/>
    <w:rsid w:val="00BC2010"/>
    <w:rsid w:val="00BC2CE2"/>
    <w:rsid w:val="00BC623A"/>
    <w:rsid w:val="00BD50E8"/>
    <w:rsid w:val="00BD61CB"/>
    <w:rsid w:val="00BD6C30"/>
    <w:rsid w:val="00BD6CC8"/>
    <w:rsid w:val="00BE182E"/>
    <w:rsid w:val="00BE434B"/>
    <w:rsid w:val="00BF008C"/>
    <w:rsid w:val="00BF2A59"/>
    <w:rsid w:val="00BF30D6"/>
    <w:rsid w:val="00BF4281"/>
    <w:rsid w:val="00BF4C76"/>
    <w:rsid w:val="00BF5EC2"/>
    <w:rsid w:val="00C04A31"/>
    <w:rsid w:val="00C102FB"/>
    <w:rsid w:val="00C10542"/>
    <w:rsid w:val="00C139BF"/>
    <w:rsid w:val="00C13A91"/>
    <w:rsid w:val="00C1625D"/>
    <w:rsid w:val="00C17731"/>
    <w:rsid w:val="00C217FE"/>
    <w:rsid w:val="00C243FD"/>
    <w:rsid w:val="00C244EF"/>
    <w:rsid w:val="00C2645B"/>
    <w:rsid w:val="00C26755"/>
    <w:rsid w:val="00C30E72"/>
    <w:rsid w:val="00C33A9B"/>
    <w:rsid w:val="00C340F7"/>
    <w:rsid w:val="00C348E9"/>
    <w:rsid w:val="00C35225"/>
    <w:rsid w:val="00C37E0E"/>
    <w:rsid w:val="00C423F8"/>
    <w:rsid w:val="00C43EC6"/>
    <w:rsid w:val="00C4537E"/>
    <w:rsid w:val="00C4666D"/>
    <w:rsid w:val="00C536EA"/>
    <w:rsid w:val="00C53938"/>
    <w:rsid w:val="00C60280"/>
    <w:rsid w:val="00C616F6"/>
    <w:rsid w:val="00C62B02"/>
    <w:rsid w:val="00C6483F"/>
    <w:rsid w:val="00C67D80"/>
    <w:rsid w:val="00C713FE"/>
    <w:rsid w:val="00C72E3C"/>
    <w:rsid w:val="00C73663"/>
    <w:rsid w:val="00C739A7"/>
    <w:rsid w:val="00C830C9"/>
    <w:rsid w:val="00C84702"/>
    <w:rsid w:val="00C86A83"/>
    <w:rsid w:val="00C86FD7"/>
    <w:rsid w:val="00C91020"/>
    <w:rsid w:val="00C91A6F"/>
    <w:rsid w:val="00CA7F67"/>
    <w:rsid w:val="00CC2807"/>
    <w:rsid w:val="00CC3B18"/>
    <w:rsid w:val="00CC4128"/>
    <w:rsid w:val="00CC76C2"/>
    <w:rsid w:val="00CD015F"/>
    <w:rsid w:val="00CD1D8A"/>
    <w:rsid w:val="00CD62EB"/>
    <w:rsid w:val="00CE1D28"/>
    <w:rsid w:val="00CE5D58"/>
    <w:rsid w:val="00CE6E75"/>
    <w:rsid w:val="00CE6F73"/>
    <w:rsid w:val="00CF051B"/>
    <w:rsid w:val="00CF0602"/>
    <w:rsid w:val="00CF062E"/>
    <w:rsid w:val="00CF1C67"/>
    <w:rsid w:val="00CF207A"/>
    <w:rsid w:val="00CF331F"/>
    <w:rsid w:val="00CF3E9E"/>
    <w:rsid w:val="00CF4D7D"/>
    <w:rsid w:val="00CF5381"/>
    <w:rsid w:val="00D0044B"/>
    <w:rsid w:val="00D0409D"/>
    <w:rsid w:val="00D059FA"/>
    <w:rsid w:val="00D06D0E"/>
    <w:rsid w:val="00D075DA"/>
    <w:rsid w:val="00D13278"/>
    <w:rsid w:val="00D13458"/>
    <w:rsid w:val="00D14295"/>
    <w:rsid w:val="00D15E16"/>
    <w:rsid w:val="00D23FF8"/>
    <w:rsid w:val="00D253A5"/>
    <w:rsid w:val="00D25698"/>
    <w:rsid w:val="00D25965"/>
    <w:rsid w:val="00D30FA3"/>
    <w:rsid w:val="00D32178"/>
    <w:rsid w:val="00D324D0"/>
    <w:rsid w:val="00D35C1D"/>
    <w:rsid w:val="00D361CD"/>
    <w:rsid w:val="00D412D6"/>
    <w:rsid w:val="00D418EB"/>
    <w:rsid w:val="00D41A80"/>
    <w:rsid w:val="00D41F7C"/>
    <w:rsid w:val="00D42928"/>
    <w:rsid w:val="00D4609D"/>
    <w:rsid w:val="00D47C8E"/>
    <w:rsid w:val="00D52D66"/>
    <w:rsid w:val="00D54505"/>
    <w:rsid w:val="00D574B9"/>
    <w:rsid w:val="00D57EED"/>
    <w:rsid w:val="00D703CD"/>
    <w:rsid w:val="00D70CCD"/>
    <w:rsid w:val="00D734A2"/>
    <w:rsid w:val="00D820E3"/>
    <w:rsid w:val="00D86858"/>
    <w:rsid w:val="00D86AC8"/>
    <w:rsid w:val="00D90144"/>
    <w:rsid w:val="00D92EC5"/>
    <w:rsid w:val="00D93C47"/>
    <w:rsid w:val="00DA38F3"/>
    <w:rsid w:val="00DA4747"/>
    <w:rsid w:val="00DA7CD4"/>
    <w:rsid w:val="00DB0D4D"/>
    <w:rsid w:val="00DB43F8"/>
    <w:rsid w:val="00DB72BB"/>
    <w:rsid w:val="00DC26F4"/>
    <w:rsid w:val="00DC2AE0"/>
    <w:rsid w:val="00DC5E1E"/>
    <w:rsid w:val="00DC67FE"/>
    <w:rsid w:val="00DD0AD0"/>
    <w:rsid w:val="00DD1150"/>
    <w:rsid w:val="00DD1C54"/>
    <w:rsid w:val="00DD5525"/>
    <w:rsid w:val="00DD630A"/>
    <w:rsid w:val="00DD66E1"/>
    <w:rsid w:val="00DE042F"/>
    <w:rsid w:val="00DE0A77"/>
    <w:rsid w:val="00DE1530"/>
    <w:rsid w:val="00DF0D44"/>
    <w:rsid w:val="00DF3519"/>
    <w:rsid w:val="00E01F10"/>
    <w:rsid w:val="00E032AF"/>
    <w:rsid w:val="00E0396C"/>
    <w:rsid w:val="00E03FE1"/>
    <w:rsid w:val="00E04468"/>
    <w:rsid w:val="00E10112"/>
    <w:rsid w:val="00E1179F"/>
    <w:rsid w:val="00E144D1"/>
    <w:rsid w:val="00E16783"/>
    <w:rsid w:val="00E2160C"/>
    <w:rsid w:val="00E2397E"/>
    <w:rsid w:val="00E26442"/>
    <w:rsid w:val="00E31913"/>
    <w:rsid w:val="00E3193C"/>
    <w:rsid w:val="00E32D10"/>
    <w:rsid w:val="00E32E55"/>
    <w:rsid w:val="00E35073"/>
    <w:rsid w:val="00E358B7"/>
    <w:rsid w:val="00E36BC8"/>
    <w:rsid w:val="00E40187"/>
    <w:rsid w:val="00E4095F"/>
    <w:rsid w:val="00E42540"/>
    <w:rsid w:val="00E44CFB"/>
    <w:rsid w:val="00E475DD"/>
    <w:rsid w:val="00E509A9"/>
    <w:rsid w:val="00E52486"/>
    <w:rsid w:val="00E577F2"/>
    <w:rsid w:val="00E57B03"/>
    <w:rsid w:val="00E62C88"/>
    <w:rsid w:val="00E658CC"/>
    <w:rsid w:val="00E67839"/>
    <w:rsid w:val="00E747A8"/>
    <w:rsid w:val="00E81F2B"/>
    <w:rsid w:val="00E827B6"/>
    <w:rsid w:val="00E8504D"/>
    <w:rsid w:val="00E86C20"/>
    <w:rsid w:val="00E90EFA"/>
    <w:rsid w:val="00E92CFA"/>
    <w:rsid w:val="00E9390F"/>
    <w:rsid w:val="00E97CAF"/>
    <w:rsid w:val="00EA3666"/>
    <w:rsid w:val="00EA3DBA"/>
    <w:rsid w:val="00EB1915"/>
    <w:rsid w:val="00EB2A89"/>
    <w:rsid w:val="00EB2E05"/>
    <w:rsid w:val="00EB4BB7"/>
    <w:rsid w:val="00EB5B5D"/>
    <w:rsid w:val="00EC0AD7"/>
    <w:rsid w:val="00EC272C"/>
    <w:rsid w:val="00EC3DED"/>
    <w:rsid w:val="00EC6322"/>
    <w:rsid w:val="00EE196A"/>
    <w:rsid w:val="00EE7C1A"/>
    <w:rsid w:val="00EF4D42"/>
    <w:rsid w:val="00EF4F17"/>
    <w:rsid w:val="00EF4F50"/>
    <w:rsid w:val="00F02247"/>
    <w:rsid w:val="00F0571E"/>
    <w:rsid w:val="00F057A9"/>
    <w:rsid w:val="00F05F2B"/>
    <w:rsid w:val="00F0644E"/>
    <w:rsid w:val="00F111E5"/>
    <w:rsid w:val="00F112F1"/>
    <w:rsid w:val="00F15723"/>
    <w:rsid w:val="00F220E5"/>
    <w:rsid w:val="00F3100E"/>
    <w:rsid w:val="00F3324D"/>
    <w:rsid w:val="00F409F2"/>
    <w:rsid w:val="00F428C7"/>
    <w:rsid w:val="00F42AC7"/>
    <w:rsid w:val="00F42E3A"/>
    <w:rsid w:val="00F44FA6"/>
    <w:rsid w:val="00F45CBB"/>
    <w:rsid w:val="00F46DFA"/>
    <w:rsid w:val="00F50E41"/>
    <w:rsid w:val="00F551DD"/>
    <w:rsid w:val="00F5611C"/>
    <w:rsid w:val="00F5660B"/>
    <w:rsid w:val="00F722A8"/>
    <w:rsid w:val="00F75BAC"/>
    <w:rsid w:val="00F80774"/>
    <w:rsid w:val="00F82F9F"/>
    <w:rsid w:val="00F843D6"/>
    <w:rsid w:val="00F86DDC"/>
    <w:rsid w:val="00F90582"/>
    <w:rsid w:val="00F90766"/>
    <w:rsid w:val="00F92C11"/>
    <w:rsid w:val="00F96341"/>
    <w:rsid w:val="00F97CC1"/>
    <w:rsid w:val="00FA3162"/>
    <w:rsid w:val="00FB1D0B"/>
    <w:rsid w:val="00FB34BB"/>
    <w:rsid w:val="00FB3EE9"/>
    <w:rsid w:val="00FC209B"/>
    <w:rsid w:val="00FC64B6"/>
    <w:rsid w:val="00FD1758"/>
    <w:rsid w:val="00FD1FA0"/>
    <w:rsid w:val="00FD47E3"/>
    <w:rsid w:val="00FE20F0"/>
    <w:rsid w:val="00FE4D39"/>
    <w:rsid w:val="00FE5F24"/>
    <w:rsid w:val="00FE7B9F"/>
    <w:rsid w:val="00FF04E8"/>
    <w:rsid w:val="00FF26D0"/>
    <w:rsid w:val="00FF2915"/>
    <w:rsid w:val="00FF2C76"/>
    <w:rsid w:val="00FF4B65"/>
    <w:rsid w:val="01AB5C95"/>
    <w:rsid w:val="29912546"/>
    <w:rsid w:val="2D4D79B4"/>
    <w:rsid w:val="3F6F0EA7"/>
    <w:rsid w:val="45CA3868"/>
    <w:rsid w:val="49662174"/>
    <w:rsid w:val="5DB54768"/>
    <w:rsid w:val="5DD569C9"/>
    <w:rsid w:val="69F0007D"/>
    <w:rsid w:val="6C0A5F11"/>
    <w:rsid w:val="736C2FA1"/>
    <w:rsid w:val="7583677E"/>
    <w:rsid w:val="7B93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7">
    <w:name w:val="toc 7"/>
    <w:basedOn w:val="a"/>
    <w:next w:val="a"/>
    <w:semiHidden/>
    <w:qFormat/>
    <w:pPr>
      <w:ind w:left="1260"/>
      <w:jc w:val="left"/>
    </w:pPr>
    <w:rPr>
      <w:sz w:val="18"/>
      <w:szCs w:val="18"/>
    </w:rPr>
  </w:style>
  <w:style w:type="paragraph" w:styleId="a5">
    <w:name w:val="Body Text First Indent"/>
    <w:basedOn w:val="a6"/>
    <w:qFormat/>
    <w:pPr>
      <w:ind w:firstLineChars="100" w:firstLine="420"/>
    </w:pPr>
  </w:style>
  <w:style w:type="paragraph" w:styleId="a6">
    <w:name w:val="Body Text"/>
    <w:basedOn w:val="a"/>
    <w:qFormat/>
    <w:pPr>
      <w:spacing w:after="120"/>
    </w:pPr>
  </w:style>
  <w:style w:type="paragraph" w:styleId="a7">
    <w:name w:val="Normal Indent"/>
    <w:basedOn w:val="a"/>
    <w:qFormat/>
    <w:pPr>
      <w:ind w:firstLine="420"/>
    </w:pPr>
    <w:rPr>
      <w:szCs w:val="20"/>
    </w:rPr>
  </w:style>
  <w:style w:type="paragraph" w:styleId="a8">
    <w:name w:val="Document Map"/>
    <w:basedOn w:val="a"/>
    <w:semiHidden/>
    <w:qFormat/>
    <w:pPr>
      <w:shd w:val="clear" w:color="auto" w:fill="000080"/>
    </w:pPr>
  </w:style>
  <w:style w:type="paragraph" w:styleId="a9">
    <w:name w:val="Body Text Indent"/>
    <w:basedOn w:val="a"/>
    <w:qFormat/>
    <w:pPr>
      <w:spacing w:after="120"/>
      <w:ind w:leftChars="200" w:left="420"/>
    </w:p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8">
    <w:name w:val="toc 8"/>
    <w:basedOn w:val="a"/>
    <w:next w:val="a"/>
    <w:semiHidden/>
    <w:qFormat/>
    <w:pPr>
      <w:ind w:left="1470"/>
      <w:jc w:val="left"/>
    </w:pPr>
    <w:rPr>
      <w:sz w:val="18"/>
      <w:szCs w:val="18"/>
    </w:rPr>
  </w:style>
  <w:style w:type="paragraph" w:styleId="20">
    <w:name w:val="Body Text Indent 2"/>
    <w:basedOn w:val="a"/>
    <w:qFormat/>
    <w:pPr>
      <w:spacing w:after="120" w:line="480" w:lineRule="auto"/>
      <w:ind w:leftChars="200" w:left="420"/>
    </w:pPr>
  </w:style>
  <w:style w:type="paragraph" w:styleId="aa">
    <w:name w:val="Balloon Text"/>
    <w:basedOn w:val="a"/>
    <w:semiHidden/>
    <w:qFormat/>
    <w:rPr>
      <w:sz w:val="18"/>
      <w:szCs w:val="18"/>
    </w:rPr>
  </w:style>
  <w:style w:type="paragraph" w:styleId="ab">
    <w:name w:val="footer"/>
    <w:basedOn w:val="a"/>
    <w:link w:val="Char"/>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ad">
    <w:name w:val="footnote text"/>
    <w:basedOn w:val="a"/>
    <w:semiHidden/>
    <w:qFormat/>
    <w:pPr>
      <w:snapToGrid w:val="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qFormat/>
    <w:pPr>
      <w:ind w:firstLine="210"/>
    </w:pPr>
    <w:rPr>
      <w:bCs/>
    </w:rPr>
  </w:style>
  <w:style w:type="paragraph" w:styleId="21">
    <w:name w:val="toc 2"/>
    <w:basedOn w:val="a"/>
    <w:next w:val="a"/>
    <w:uiPriority w:val="39"/>
    <w:qFormat/>
    <w:pPr>
      <w:ind w:left="210"/>
      <w:jc w:val="left"/>
    </w:pPr>
    <w:rPr>
      <w:smallCaps/>
      <w:sz w:val="20"/>
      <w:szCs w:val="20"/>
    </w:rPr>
  </w:style>
  <w:style w:type="paragraph" w:styleId="9">
    <w:name w:val="toc 9"/>
    <w:basedOn w:val="a"/>
    <w:next w:val="a"/>
    <w:semiHidden/>
    <w:qFormat/>
    <w:pPr>
      <w:ind w:left="1680"/>
      <w:jc w:val="left"/>
    </w:pPr>
    <w:rPr>
      <w:sz w:val="18"/>
      <w:szCs w:val="18"/>
    </w:rPr>
  </w:style>
  <w:style w:type="character" w:styleId="ae">
    <w:name w:val="page number"/>
    <w:qFormat/>
    <w:rPr>
      <w:rFonts w:cs="Times New Roman"/>
    </w:rPr>
  </w:style>
  <w:style w:type="character" w:styleId="af">
    <w:name w:val="Hyperlink"/>
    <w:uiPriority w:val="99"/>
    <w:qFormat/>
    <w:rPr>
      <w:rFonts w:cs="Times New Roman"/>
      <w:color w:val="0000FF"/>
      <w:u w:val="single"/>
    </w:rPr>
  </w:style>
  <w:style w:type="character" w:styleId="af0">
    <w:name w:val="annotation reference"/>
    <w:semiHidden/>
    <w:qFormat/>
    <w:rPr>
      <w:rFonts w:cs="Times New Roman"/>
      <w:sz w:val="21"/>
      <w:szCs w:val="21"/>
    </w:rPr>
  </w:style>
  <w:style w:type="character" w:styleId="af1">
    <w:name w:val="footnote reference"/>
    <w:semiHidden/>
    <w:qFormat/>
    <w:rPr>
      <w:rFonts w:cs="Times New Roman"/>
      <w:vertAlign w:val="superscript"/>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qFormat/>
    <w:rPr>
      <w:rFonts w:cs="Times New Roman"/>
    </w:rPr>
  </w:style>
  <w:style w:type="paragraph" w:customStyle="1" w:styleId="af3">
    <w:name w:val="正文所"/>
    <w:basedOn w:val="a"/>
    <w:qFormat/>
    <w:pPr>
      <w:spacing w:line="360" w:lineRule="auto"/>
      <w:ind w:firstLineChars="200" w:firstLine="420"/>
    </w:pPr>
  </w:style>
  <w:style w:type="paragraph" w:customStyle="1" w:styleId="Char0">
    <w:name w:val="Char"/>
    <w:basedOn w:val="a"/>
    <w:qFormat/>
  </w:style>
  <w:style w:type="paragraph" w:customStyle="1" w:styleId="Char1">
    <w:name w:val="Char1"/>
    <w:basedOn w:val="a"/>
    <w:qFormat/>
  </w:style>
  <w:style w:type="paragraph" w:customStyle="1" w:styleId="11">
    <w:name w:val="列出段落1"/>
    <w:basedOn w:val="a"/>
    <w:qFormat/>
    <w:pPr>
      <w:ind w:firstLineChars="200" w:firstLine="420"/>
    </w:pPr>
    <w:rPr>
      <w:rFonts w:ascii="Calibri" w:hAnsi="Calibri"/>
      <w:szCs w:val="22"/>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eastAsia="方正仿宋简体"/>
      <w:sz w:val="32"/>
      <w:szCs w:val="20"/>
    </w:rPr>
  </w:style>
  <w:style w:type="paragraph" w:customStyle="1" w:styleId="22">
    <w:name w:val="列出段落2"/>
    <w:basedOn w:val="a"/>
    <w:uiPriority w:val="34"/>
    <w:qFormat/>
    <w:pPr>
      <w:ind w:firstLineChars="200" w:firstLine="420"/>
    </w:pPr>
    <w:rPr>
      <w:rFonts w:ascii="Calibri" w:hAnsi="Calibri"/>
      <w:szCs w:val="22"/>
    </w:rPr>
  </w:style>
  <w:style w:type="character" w:customStyle="1" w:styleId="2Char">
    <w:name w:val="标题 2 Char"/>
    <w:link w:val="2"/>
    <w:qFormat/>
    <w:rPr>
      <w:rFonts w:ascii="Arial" w:eastAsia="黑体" w:hAnsi="Arial"/>
      <w:b/>
      <w:bCs/>
      <w:kern w:val="2"/>
      <w:sz w:val="32"/>
      <w:szCs w:val="32"/>
    </w:rPr>
  </w:style>
  <w:style w:type="character" w:customStyle="1" w:styleId="Char">
    <w:name w:val="页脚 Char"/>
    <w:link w:val="ab"/>
    <w:uiPriority w:val="99"/>
    <w:qFormat/>
    <w:rPr>
      <w:kern w:val="2"/>
      <w:sz w:val="18"/>
      <w:szCs w:val="18"/>
    </w:rPr>
  </w:style>
  <w:style w:type="paragraph" w:customStyle="1" w:styleId="12">
    <w:name w:val="修订1"/>
    <w:hidden/>
    <w:uiPriority w:val="99"/>
    <w:semiHidden/>
    <w:qFormat/>
    <w:rPr>
      <w:kern w:val="2"/>
      <w:sz w:val="21"/>
      <w:szCs w:val="24"/>
    </w:rPr>
  </w:style>
  <w:style w:type="paragraph" w:customStyle="1" w:styleId="23">
    <w:name w:val="列出段落2"/>
    <w:basedOn w:val="a"/>
    <w:qFormat/>
    <w:pPr>
      <w:ind w:firstLineChars="200" w:firstLine="420"/>
    </w:pPr>
    <w:rPr>
      <w:rFonts w:ascii="Calibri" w:hAnsi="Calibri"/>
      <w:szCs w:val="22"/>
    </w:rPr>
  </w:style>
  <w:style w:type="paragraph" w:customStyle="1" w:styleId="CharCharCharCharCharChar1CharCharChar1">
    <w:name w:val="Char Char Char Char Char Char1 Char Char Char1"/>
    <w:basedOn w:val="a"/>
    <w:qFormat/>
    <w:pPr>
      <w:autoSpaceDE w:val="0"/>
      <w:autoSpaceDN w:val="0"/>
      <w:adjustRightInd w:val="0"/>
      <w:jc w:val="left"/>
      <w:textAlignment w:val="baseline"/>
    </w:pPr>
    <w:rPr>
      <w:rFonts w:eastAsia="方正仿宋简体"/>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7">
    <w:name w:val="toc 7"/>
    <w:basedOn w:val="a"/>
    <w:next w:val="a"/>
    <w:semiHidden/>
    <w:qFormat/>
    <w:pPr>
      <w:ind w:left="1260"/>
      <w:jc w:val="left"/>
    </w:pPr>
    <w:rPr>
      <w:sz w:val="18"/>
      <w:szCs w:val="18"/>
    </w:rPr>
  </w:style>
  <w:style w:type="paragraph" w:styleId="a5">
    <w:name w:val="Body Text First Indent"/>
    <w:basedOn w:val="a6"/>
    <w:qFormat/>
    <w:pPr>
      <w:ind w:firstLineChars="100" w:firstLine="420"/>
    </w:pPr>
  </w:style>
  <w:style w:type="paragraph" w:styleId="a6">
    <w:name w:val="Body Text"/>
    <w:basedOn w:val="a"/>
    <w:qFormat/>
    <w:pPr>
      <w:spacing w:after="120"/>
    </w:pPr>
  </w:style>
  <w:style w:type="paragraph" w:styleId="a7">
    <w:name w:val="Normal Indent"/>
    <w:basedOn w:val="a"/>
    <w:qFormat/>
    <w:pPr>
      <w:ind w:firstLine="420"/>
    </w:pPr>
    <w:rPr>
      <w:szCs w:val="20"/>
    </w:rPr>
  </w:style>
  <w:style w:type="paragraph" w:styleId="a8">
    <w:name w:val="Document Map"/>
    <w:basedOn w:val="a"/>
    <w:semiHidden/>
    <w:qFormat/>
    <w:pPr>
      <w:shd w:val="clear" w:color="auto" w:fill="000080"/>
    </w:pPr>
  </w:style>
  <w:style w:type="paragraph" w:styleId="a9">
    <w:name w:val="Body Text Indent"/>
    <w:basedOn w:val="a"/>
    <w:qFormat/>
    <w:pPr>
      <w:spacing w:after="120"/>
      <w:ind w:leftChars="200" w:left="420"/>
    </w:p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8">
    <w:name w:val="toc 8"/>
    <w:basedOn w:val="a"/>
    <w:next w:val="a"/>
    <w:semiHidden/>
    <w:qFormat/>
    <w:pPr>
      <w:ind w:left="1470"/>
      <w:jc w:val="left"/>
    </w:pPr>
    <w:rPr>
      <w:sz w:val="18"/>
      <w:szCs w:val="18"/>
    </w:rPr>
  </w:style>
  <w:style w:type="paragraph" w:styleId="20">
    <w:name w:val="Body Text Indent 2"/>
    <w:basedOn w:val="a"/>
    <w:qFormat/>
    <w:pPr>
      <w:spacing w:after="120" w:line="480" w:lineRule="auto"/>
      <w:ind w:leftChars="200" w:left="420"/>
    </w:pPr>
  </w:style>
  <w:style w:type="paragraph" w:styleId="aa">
    <w:name w:val="Balloon Text"/>
    <w:basedOn w:val="a"/>
    <w:semiHidden/>
    <w:qFormat/>
    <w:rPr>
      <w:sz w:val="18"/>
      <w:szCs w:val="18"/>
    </w:rPr>
  </w:style>
  <w:style w:type="paragraph" w:styleId="ab">
    <w:name w:val="footer"/>
    <w:basedOn w:val="a"/>
    <w:link w:val="Char"/>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ad">
    <w:name w:val="footnote text"/>
    <w:basedOn w:val="a"/>
    <w:semiHidden/>
    <w:qFormat/>
    <w:pPr>
      <w:snapToGrid w:val="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qFormat/>
    <w:pPr>
      <w:ind w:firstLine="210"/>
    </w:pPr>
    <w:rPr>
      <w:bCs/>
    </w:rPr>
  </w:style>
  <w:style w:type="paragraph" w:styleId="21">
    <w:name w:val="toc 2"/>
    <w:basedOn w:val="a"/>
    <w:next w:val="a"/>
    <w:uiPriority w:val="39"/>
    <w:qFormat/>
    <w:pPr>
      <w:ind w:left="210"/>
      <w:jc w:val="left"/>
    </w:pPr>
    <w:rPr>
      <w:smallCaps/>
      <w:sz w:val="20"/>
      <w:szCs w:val="20"/>
    </w:rPr>
  </w:style>
  <w:style w:type="paragraph" w:styleId="9">
    <w:name w:val="toc 9"/>
    <w:basedOn w:val="a"/>
    <w:next w:val="a"/>
    <w:semiHidden/>
    <w:qFormat/>
    <w:pPr>
      <w:ind w:left="1680"/>
      <w:jc w:val="left"/>
    </w:pPr>
    <w:rPr>
      <w:sz w:val="18"/>
      <w:szCs w:val="18"/>
    </w:rPr>
  </w:style>
  <w:style w:type="character" w:styleId="ae">
    <w:name w:val="page number"/>
    <w:qFormat/>
    <w:rPr>
      <w:rFonts w:cs="Times New Roman"/>
    </w:rPr>
  </w:style>
  <w:style w:type="character" w:styleId="af">
    <w:name w:val="Hyperlink"/>
    <w:uiPriority w:val="99"/>
    <w:qFormat/>
    <w:rPr>
      <w:rFonts w:cs="Times New Roman"/>
      <w:color w:val="0000FF"/>
      <w:u w:val="single"/>
    </w:rPr>
  </w:style>
  <w:style w:type="character" w:styleId="af0">
    <w:name w:val="annotation reference"/>
    <w:semiHidden/>
    <w:qFormat/>
    <w:rPr>
      <w:rFonts w:cs="Times New Roman"/>
      <w:sz w:val="21"/>
      <w:szCs w:val="21"/>
    </w:rPr>
  </w:style>
  <w:style w:type="character" w:styleId="af1">
    <w:name w:val="footnote reference"/>
    <w:semiHidden/>
    <w:qFormat/>
    <w:rPr>
      <w:rFonts w:cs="Times New Roman"/>
      <w:vertAlign w:val="superscript"/>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qFormat/>
    <w:rPr>
      <w:rFonts w:cs="Times New Roman"/>
    </w:rPr>
  </w:style>
  <w:style w:type="paragraph" w:customStyle="1" w:styleId="af3">
    <w:name w:val="正文所"/>
    <w:basedOn w:val="a"/>
    <w:qFormat/>
    <w:pPr>
      <w:spacing w:line="360" w:lineRule="auto"/>
      <w:ind w:firstLineChars="200" w:firstLine="420"/>
    </w:pPr>
  </w:style>
  <w:style w:type="paragraph" w:customStyle="1" w:styleId="Char0">
    <w:name w:val="Char"/>
    <w:basedOn w:val="a"/>
    <w:qFormat/>
  </w:style>
  <w:style w:type="paragraph" w:customStyle="1" w:styleId="Char1">
    <w:name w:val="Char1"/>
    <w:basedOn w:val="a"/>
    <w:qFormat/>
  </w:style>
  <w:style w:type="paragraph" w:customStyle="1" w:styleId="11">
    <w:name w:val="列出段落1"/>
    <w:basedOn w:val="a"/>
    <w:qFormat/>
    <w:pPr>
      <w:ind w:firstLineChars="200" w:firstLine="420"/>
    </w:pPr>
    <w:rPr>
      <w:rFonts w:ascii="Calibri" w:hAnsi="Calibri"/>
      <w:szCs w:val="22"/>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eastAsia="方正仿宋简体"/>
      <w:sz w:val="32"/>
      <w:szCs w:val="20"/>
    </w:rPr>
  </w:style>
  <w:style w:type="paragraph" w:customStyle="1" w:styleId="22">
    <w:name w:val="列出段落2"/>
    <w:basedOn w:val="a"/>
    <w:uiPriority w:val="34"/>
    <w:qFormat/>
    <w:pPr>
      <w:ind w:firstLineChars="200" w:firstLine="420"/>
    </w:pPr>
    <w:rPr>
      <w:rFonts w:ascii="Calibri" w:hAnsi="Calibri"/>
      <w:szCs w:val="22"/>
    </w:rPr>
  </w:style>
  <w:style w:type="character" w:customStyle="1" w:styleId="2Char">
    <w:name w:val="标题 2 Char"/>
    <w:link w:val="2"/>
    <w:qFormat/>
    <w:rPr>
      <w:rFonts w:ascii="Arial" w:eastAsia="黑体" w:hAnsi="Arial"/>
      <w:b/>
      <w:bCs/>
      <w:kern w:val="2"/>
      <w:sz w:val="32"/>
      <w:szCs w:val="32"/>
    </w:rPr>
  </w:style>
  <w:style w:type="character" w:customStyle="1" w:styleId="Char">
    <w:name w:val="页脚 Char"/>
    <w:link w:val="ab"/>
    <w:uiPriority w:val="99"/>
    <w:qFormat/>
    <w:rPr>
      <w:kern w:val="2"/>
      <w:sz w:val="18"/>
      <w:szCs w:val="18"/>
    </w:rPr>
  </w:style>
  <w:style w:type="paragraph" w:customStyle="1" w:styleId="12">
    <w:name w:val="修订1"/>
    <w:hidden/>
    <w:uiPriority w:val="99"/>
    <w:semiHidden/>
    <w:qFormat/>
    <w:rPr>
      <w:kern w:val="2"/>
      <w:sz w:val="21"/>
      <w:szCs w:val="24"/>
    </w:rPr>
  </w:style>
  <w:style w:type="paragraph" w:customStyle="1" w:styleId="23">
    <w:name w:val="列出段落2"/>
    <w:basedOn w:val="a"/>
    <w:qFormat/>
    <w:pPr>
      <w:ind w:firstLineChars="200" w:firstLine="420"/>
    </w:pPr>
    <w:rPr>
      <w:rFonts w:ascii="Calibri" w:hAnsi="Calibri"/>
      <w:szCs w:val="22"/>
    </w:rPr>
  </w:style>
  <w:style w:type="paragraph" w:customStyle="1" w:styleId="CharCharCharCharCharChar1CharCharChar1">
    <w:name w:val="Char Char Char Char Char Char1 Char Char Char1"/>
    <w:basedOn w:val="a"/>
    <w:qFormat/>
    <w:pPr>
      <w:autoSpaceDE w:val="0"/>
      <w:autoSpaceDN w:val="0"/>
      <w:adjustRightInd w:val="0"/>
      <w:jc w:val="left"/>
      <w:textAlignment w:val="baseline"/>
    </w:pPr>
    <w:rPr>
      <w:rFonts w:eastAsia="方正仿宋简体"/>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EB253-C9A5-4AF6-A6A5-62583834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9276</Words>
  <Characters>52879</Characters>
  <Application>Microsoft Office Word</Application>
  <DocSecurity>0</DocSecurity>
  <Lines>440</Lines>
  <Paragraphs>124</Paragraphs>
  <ScaleCrop>false</ScaleCrop>
  <Company/>
  <LinksUpToDate>false</LinksUpToDate>
  <CharactersWithSpaces>62031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友邦华泰盛世中国股票型证券投资基金基金合同</dc:title>
  <dc:creator>产品部</dc:creator>
  <cp:lastModifiedBy>符筱</cp:lastModifiedBy>
  <cp:revision>19</cp:revision>
  <cp:lastPrinted>2010-05-07T07:46:00Z</cp:lastPrinted>
  <dcterms:created xsi:type="dcterms:W3CDTF">2010-06-03T07:28:00Z</dcterms:created>
  <dcterms:modified xsi:type="dcterms:W3CDTF">2019-12-27T06:17:00Z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