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0FBEC5" w14:textId="77777777" w:rsidR="00F50C35" w:rsidRDefault="00F50C35">
      <w:pPr>
        <w:adjustRightInd w:val="0"/>
        <w:snapToGrid w:val="0"/>
        <w:spacing w:line="360" w:lineRule="auto"/>
        <w:jc w:val="center"/>
        <w:rPr>
          <w:rFonts w:ascii="Arial" w:eastAsia="黑体" w:hAnsi="Arial" w:cs="Arial"/>
          <w:b/>
          <w:sz w:val="44"/>
        </w:rPr>
      </w:pPr>
    </w:p>
    <w:p w14:paraId="78167A4F" w14:textId="77777777" w:rsidR="00F50C35" w:rsidRDefault="00F50C35">
      <w:pPr>
        <w:adjustRightInd w:val="0"/>
        <w:snapToGrid w:val="0"/>
        <w:spacing w:line="360" w:lineRule="auto"/>
        <w:jc w:val="center"/>
        <w:rPr>
          <w:rFonts w:ascii="Arial" w:eastAsia="黑体" w:hAnsi="Arial" w:cs="Arial"/>
          <w:b/>
          <w:sz w:val="44"/>
        </w:rPr>
      </w:pPr>
    </w:p>
    <w:p w14:paraId="115F1486" w14:textId="77777777" w:rsidR="00F50C35" w:rsidRDefault="00F50C35">
      <w:pPr>
        <w:adjustRightInd w:val="0"/>
        <w:snapToGrid w:val="0"/>
        <w:spacing w:line="360" w:lineRule="auto"/>
        <w:jc w:val="center"/>
        <w:rPr>
          <w:rFonts w:ascii="Arial" w:eastAsia="黑体" w:hAnsi="Arial" w:cs="Arial"/>
          <w:b/>
          <w:sz w:val="44"/>
        </w:rPr>
      </w:pPr>
    </w:p>
    <w:p w14:paraId="07A31AD8" w14:textId="77777777" w:rsidR="00F50C35" w:rsidRDefault="00FB66DA">
      <w:pPr>
        <w:adjustRightInd w:val="0"/>
        <w:snapToGrid w:val="0"/>
        <w:spacing w:line="360" w:lineRule="auto"/>
        <w:jc w:val="center"/>
        <w:rPr>
          <w:rFonts w:ascii="宋体" w:hAnsi="宋体" w:cs="Arial"/>
          <w:b/>
          <w:sz w:val="44"/>
          <w:szCs w:val="36"/>
        </w:rPr>
      </w:pPr>
      <w:r>
        <w:rPr>
          <w:rFonts w:ascii="宋体" w:hAnsi="宋体" w:cs="Arial"/>
          <w:b/>
          <w:sz w:val="44"/>
          <w:szCs w:val="36"/>
        </w:rPr>
        <w:t>博时抗通胀增强回报证券投资基金</w:t>
      </w:r>
    </w:p>
    <w:p w14:paraId="174992DC" w14:textId="77777777" w:rsidR="00F50C35" w:rsidRDefault="00FB66DA">
      <w:pPr>
        <w:adjustRightInd w:val="0"/>
        <w:snapToGrid w:val="0"/>
        <w:spacing w:line="360" w:lineRule="auto"/>
        <w:jc w:val="center"/>
        <w:rPr>
          <w:rFonts w:ascii="宋体" w:hAnsi="宋体" w:cs="Arial"/>
          <w:b/>
          <w:sz w:val="44"/>
          <w:szCs w:val="36"/>
        </w:rPr>
      </w:pPr>
      <w:r>
        <w:rPr>
          <w:rFonts w:ascii="宋体" w:hAnsi="宋体" w:cs="Arial"/>
          <w:b/>
          <w:sz w:val="44"/>
          <w:szCs w:val="36"/>
        </w:rPr>
        <w:t>基金合同</w:t>
      </w:r>
    </w:p>
    <w:p w14:paraId="7C93B2D9" w14:textId="77777777" w:rsidR="00F50C35" w:rsidRDefault="00F50C35">
      <w:pPr>
        <w:adjustRightInd w:val="0"/>
        <w:snapToGrid w:val="0"/>
        <w:spacing w:line="360" w:lineRule="auto"/>
        <w:jc w:val="center"/>
        <w:rPr>
          <w:rFonts w:ascii="宋体" w:hAnsi="宋体" w:cs="Arial"/>
          <w:b/>
          <w:sz w:val="40"/>
          <w:szCs w:val="32"/>
        </w:rPr>
      </w:pPr>
    </w:p>
    <w:p w14:paraId="49412020" w14:textId="77777777" w:rsidR="00F50C35" w:rsidRDefault="00F50C35">
      <w:pPr>
        <w:adjustRightInd w:val="0"/>
        <w:snapToGrid w:val="0"/>
        <w:spacing w:line="360" w:lineRule="auto"/>
        <w:jc w:val="center"/>
        <w:rPr>
          <w:rFonts w:ascii="Arial" w:eastAsia="黑体" w:hAnsi="Arial" w:cs="Arial"/>
          <w:b/>
          <w:sz w:val="44"/>
        </w:rPr>
      </w:pPr>
    </w:p>
    <w:p w14:paraId="627A37AD" w14:textId="77777777" w:rsidR="00F50C35" w:rsidRDefault="00F50C35">
      <w:pPr>
        <w:adjustRightInd w:val="0"/>
        <w:snapToGrid w:val="0"/>
        <w:spacing w:line="360" w:lineRule="auto"/>
        <w:jc w:val="center"/>
        <w:rPr>
          <w:rFonts w:ascii="Arial" w:eastAsia="黑体" w:hAnsi="Arial" w:cs="Arial"/>
          <w:b/>
          <w:sz w:val="44"/>
        </w:rPr>
      </w:pPr>
    </w:p>
    <w:p w14:paraId="05B6CFB4" w14:textId="77777777" w:rsidR="00F50C35" w:rsidRDefault="00F50C35">
      <w:pPr>
        <w:adjustRightInd w:val="0"/>
        <w:snapToGrid w:val="0"/>
        <w:spacing w:line="360" w:lineRule="auto"/>
        <w:jc w:val="center"/>
        <w:rPr>
          <w:rFonts w:ascii="Arial" w:eastAsia="黑体" w:hAnsi="Arial" w:cs="Arial"/>
          <w:b/>
          <w:sz w:val="44"/>
        </w:rPr>
      </w:pPr>
    </w:p>
    <w:p w14:paraId="514AD66D" w14:textId="77777777" w:rsidR="00F50C35" w:rsidRDefault="00F50C35">
      <w:pPr>
        <w:adjustRightInd w:val="0"/>
        <w:snapToGrid w:val="0"/>
        <w:spacing w:line="360" w:lineRule="auto"/>
        <w:jc w:val="center"/>
        <w:rPr>
          <w:rFonts w:ascii="Arial" w:eastAsia="黑体" w:hAnsi="Arial" w:cs="Arial"/>
          <w:b/>
          <w:sz w:val="44"/>
        </w:rPr>
      </w:pPr>
    </w:p>
    <w:p w14:paraId="3F10E99E" w14:textId="77777777" w:rsidR="00F50C35" w:rsidRDefault="00F50C35">
      <w:pPr>
        <w:adjustRightInd w:val="0"/>
        <w:snapToGrid w:val="0"/>
        <w:spacing w:line="360" w:lineRule="auto"/>
        <w:jc w:val="center"/>
        <w:rPr>
          <w:rFonts w:ascii="Arial" w:eastAsia="黑体" w:hAnsi="Arial" w:cs="Arial"/>
          <w:b/>
          <w:sz w:val="44"/>
        </w:rPr>
      </w:pPr>
    </w:p>
    <w:p w14:paraId="06DF19F5" w14:textId="77777777" w:rsidR="00F50C35" w:rsidRDefault="00F50C35">
      <w:pPr>
        <w:adjustRightInd w:val="0"/>
        <w:snapToGrid w:val="0"/>
        <w:spacing w:line="360" w:lineRule="auto"/>
        <w:jc w:val="center"/>
        <w:rPr>
          <w:rFonts w:ascii="Arial" w:eastAsia="黑体" w:hAnsi="Arial" w:cs="Arial"/>
          <w:b/>
          <w:sz w:val="28"/>
          <w:szCs w:val="28"/>
        </w:rPr>
      </w:pPr>
    </w:p>
    <w:p w14:paraId="37F39163" w14:textId="77777777" w:rsidR="00F50C35" w:rsidRDefault="00FB66DA">
      <w:pPr>
        <w:adjustRightInd w:val="0"/>
        <w:snapToGrid w:val="0"/>
        <w:spacing w:line="360" w:lineRule="auto"/>
        <w:ind w:leftChars="228" w:left="479" w:right="26" w:firstLineChars="400" w:firstLine="1121"/>
        <w:rPr>
          <w:rFonts w:ascii="Arial" w:hAnsi="Arial" w:cs="Arial"/>
          <w:b/>
          <w:sz w:val="28"/>
          <w:szCs w:val="28"/>
        </w:rPr>
      </w:pPr>
      <w:r>
        <w:rPr>
          <w:rFonts w:ascii="Arial" w:hAnsi="宋体" w:cs="Arial"/>
          <w:b/>
          <w:sz w:val="28"/>
          <w:szCs w:val="28"/>
        </w:rPr>
        <w:t>基金管理人：博时基金管理有限公司</w:t>
      </w:r>
    </w:p>
    <w:p w14:paraId="161D6473" w14:textId="77777777" w:rsidR="00F50C35" w:rsidRDefault="00FB66DA">
      <w:pPr>
        <w:adjustRightInd w:val="0"/>
        <w:snapToGrid w:val="0"/>
        <w:spacing w:line="360" w:lineRule="auto"/>
        <w:ind w:leftChars="228" w:left="479" w:right="26" w:firstLineChars="400" w:firstLine="1121"/>
        <w:rPr>
          <w:rFonts w:ascii="Arial" w:hAnsi="Arial" w:cs="Arial"/>
          <w:b/>
          <w:sz w:val="28"/>
          <w:szCs w:val="28"/>
        </w:rPr>
      </w:pPr>
      <w:r>
        <w:rPr>
          <w:rFonts w:ascii="Arial" w:hAnsi="宋体" w:cs="Arial"/>
          <w:b/>
          <w:sz w:val="28"/>
          <w:szCs w:val="28"/>
        </w:rPr>
        <w:t>基金托管人：中国银行股份有限公司</w:t>
      </w:r>
    </w:p>
    <w:p w14:paraId="00A34F52" w14:textId="77777777" w:rsidR="00F50C35" w:rsidRDefault="00F50C35">
      <w:pPr>
        <w:adjustRightInd w:val="0"/>
        <w:snapToGrid w:val="0"/>
        <w:spacing w:line="360" w:lineRule="auto"/>
        <w:rPr>
          <w:rFonts w:ascii="Arial" w:hAnsi="Arial" w:cs="Arial"/>
          <w:b/>
          <w:caps/>
          <w:sz w:val="24"/>
        </w:rPr>
      </w:pPr>
    </w:p>
    <w:p w14:paraId="1426B177" w14:textId="77777777" w:rsidR="00F50C35" w:rsidRDefault="00F50C35">
      <w:pPr>
        <w:adjustRightInd w:val="0"/>
        <w:snapToGrid w:val="0"/>
        <w:spacing w:line="360" w:lineRule="auto"/>
        <w:jc w:val="center"/>
        <w:rPr>
          <w:rFonts w:ascii="Arial" w:hAnsi="Arial" w:cs="Arial"/>
          <w:caps/>
          <w:sz w:val="28"/>
        </w:rPr>
        <w:sectPr w:rsidR="00F50C35">
          <w:footerReference w:type="even" r:id="rId10"/>
          <w:pgSz w:w="11906" w:h="16838"/>
          <w:pgMar w:top="1440" w:right="1800" w:bottom="1440" w:left="1800" w:header="851" w:footer="992" w:gutter="0"/>
          <w:pgNumType w:start="2"/>
          <w:cols w:space="425"/>
          <w:docGrid w:type="lines" w:linePitch="312"/>
        </w:sectPr>
      </w:pPr>
    </w:p>
    <w:p w14:paraId="2B72F04F" w14:textId="77777777" w:rsidR="00F50C35" w:rsidRDefault="00FB66DA">
      <w:pPr>
        <w:adjustRightInd w:val="0"/>
        <w:snapToGrid w:val="0"/>
        <w:spacing w:line="360" w:lineRule="auto"/>
        <w:jc w:val="center"/>
        <w:outlineLvl w:val="0"/>
        <w:rPr>
          <w:rFonts w:ascii="Arial" w:hAnsi="Arial" w:cs="Arial"/>
          <w:b/>
          <w:sz w:val="32"/>
        </w:rPr>
      </w:pPr>
      <w:bookmarkStart w:id="0" w:name="_Toc274814066"/>
      <w:bookmarkStart w:id="1" w:name="_Toc274813999"/>
      <w:r>
        <w:rPr>
          <w:rFonts w:ascii="Arial" w:hAnsi="宋体" w:cs="Arial"/>
          <w:b/>
          <w:sz w:val="32"/>
        </w:rPr>
        <w:lastRenderedPageBreak/>
        <w:t>目录</w:t>
      </w:r>
      <w:bookmarkEnd w:id="0"/>
      <w:bookmarkEnd w:id="1"/>
    </w:p>
    <w:p w14:paraId="7379D004" w14:textId="77777777" w:rsidR="00F50C35" w:rsidRDefault="00FB66DA">
      <w:pPr>
        <w:pStyle w:val="10"/>
        <w:tabs>
          <w:tab w:val="right" w:leader="dot" w:pos="8296"/>
        </w:tabs>
        <w:snapToGrid w:val="0"/>
        <w:spacing w:before="0" w:after="0" w:line="360" w:lineRule="auto"/>
        <w:rPr>
          <w:rFonts w:ascii="Arial" w:hAnsi="Arial" w:cs="Arial"/>
          <w:b w:val="0"/>
          <w:bCs w:val="0"/>
          <w:caps w:val="0"/>
          <w:sz w:val="21"/>
          <w:szCs w:val="22"/>
        </w:rPr>
      </w:pPr>
      <w:r>
        <w:rPr>
          <w:rFonts w:ascii="Arial" w:hAnsi="Arial" w:cs="Arial"/>
          <w:b w:val="0"/>
        </w:rPr>
        <w:fldChar w:fldCharType="begin"/>
      </w:r>
      <w:r>
        <w:rPr>
          <w:rFonts w:ascii="Arial" w:hAnsi="Arial" w:cs="Arial"/>
          <w:b w:val="0"/>
        </w:rPr>
        <w:instrText xml:space="preserve"> TOC \o "1-1" \h \z \u </w:instrText>
      </w:r>
      <w:r>
        <w:rPr>
          <w:rFonts w:ascii="Arial" w:hAnsi="Arial" w:cs="Arial"/>
          <w:b w:val="0"/>
        </w:rPr>
        <w:fldChar w:fldCharType="separate"/>
      </w:r>
      <w:hyperlink w:anchor="_Toc274814067" w:history="1">
        <w:r>
          <w:rPr>
            <w:rStyle w:val="af2"/>
            <w:rFonts w:ascii="Arial" w:hAnsi="宋体" w:cs="Arial"/>
            <w:b w:val="0"/>
          </w:rPr>
          <w:t>一、前言</w:t>
        </w:r>
        <w:r>
          <w:rPr>
            <w:rFonts w:ascii="Arial" w:hAnsi="Arial" w:cs="Arial"/>
            <w:b w:val="0"/>
          </w:rPr>
          <w:tab/>
        </w:r>
        <w:r>
          <w:rPr>
            <w:rFonts w:ascii="Arial" w:hAnsi="Arial" w:cs="Arial"/>
            <w:b w:val="0"/>
          </w:rPr>
          <w:fldChar w:fldCharType="begin"/>
        </w:r>
        <w:r>
          <w:rPr>
            <w:rFonts w:ascii="Arial" w:hAnsi="Arial" w:cs="Arial"/>
            <w:b w:val="0"/>
          </w:rPr>
          <w:instrText xml:space="preserve"> PAGEREF _Toc274814067 \h </w:instrText>
        </w:r>
        <w:r>
          <w:rPr>
            <w:rFonts w:ascii="Arial" w:hAnsi="Arial" w:cs="Arial"/>
            <w:b w:val="0"/>
          </w:rPr>
        </w:r>
        <w:r>
          <w:rPr>
            <w:rFonts w:ascii="Arial" w:hAnsi="Arial" w:cs="Arial"/>
            <w:b w:val="0"/>
          </w:rPr>
          <w:fldChar w:fldCharType="separate"/>
        </w:r>
        <w:r>
          <w:rPr>
            <w:rFonts w:ascii="Arial" w:hAnsi="Arial" w:cs="Arial"/>
            <w:b w:val="0"/>
          </w:rPr>
          <w:t>1</w:t>
        </w:r>
        <w:r>
          <w:rPr>
            <w:rFonts w:ascii="Arial" w:hAnsi="Arial" w:cs="Arial"/>
            <w:b w:val="0"/>
          </w:rPr>
          <w:fldChar w:fldCharType="end"/>
        </w:r>
      </w:hyperlink>
    </w:p>
    <w:p w14:paraId="232E0C53"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68" w:history="1">
        <w:r w:rsidR="00FB66DA">
          <w:rPr>
            <w:rStyle w:val="af2"/>
            <w:rFonts w:ascii="Arial" w:hAnsi="宋体" w:cs="Arial"/>
            <w:b w:val="0"/>
          </w:rPr>
          <w:t>二、释义</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_Toc274814068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3</w:t>
        </w:r>
        <w:r w:rsidR="00FB66DA">
          <w:rPr>
            <w:rFonts w:ascii="Arial" w:hAnsi="Arial" w:cs="Arial"/>
            <w:b w:val="0"/>
          </w:rPr>
          <w:fldChar w:fldCharType="end"/>
        </w:r>
      </w:hyperlink>
    </w:p>
    <w:p w14:paraId="389B865F"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69" w:history="1">
        <w:r w:rsidR="00FB66DA">
          <w:rPr>
            <w:rStyle w:val="af2"/>
            <w:rFonts w:ascii="Arial" w:hAnsi="宋体" w:cs="Arial"/>
            <w:b w:val="0"/>
          </w:rPr>
          <w:t>三、基金的基本情况</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_Toc274814069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6</w:t>
        </w:r>
        <w:r w:rsidR="00FB66DA">
          <w:rPr>
            <w:rFonts w:ascii="Arial" w:hAnsi="Arial" w:cs="Arial"/>
            <w:b w:val="0"/>
          </w:rPr>
          <w:fldChar w:fldCharType="end"/>
        </w:r>
      </w:hyperlink>
    </w:p>
    <w:p w14:paraId="417EC985"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0" w:history="1">
        <w:r w:rsidR="00FB66DA">
          <w:rPr>
            <w:rStyle w:val="af2"/>
            <w:rFonts w:ascii="Arial" w:hAnsi="宋体" w:cs="Arial"/>
            <w:b w:val="0"/>
          </w:rPr>
          <w:t>四、基金份额的发售</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_Toc274814070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7</w:t>
        </w:r>
        <w:r w:rsidR="00FB66DA">
          <w:rPr>
            <w:rFonts w:ascii="Arial" w:hAnsi="Arial" w:cs="Arial"/>
            <w:b w:val="0"/>
          </w:rPr>
          <w:fldChar w:fldCharType="end"/>
        </w:r>
      </w:hyperlink>
    </w:p>
    <w:p w14:paraId="3805D972"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1" w:history="1">
        <w:r w:rsidR="00FB66DA">
          <w:rPr>
            <w:rStyle w:val="af2"/>
            <w:rFonts w:ascii="Arial" w:hAnsi="宋体" w:cs="Arial"/>
            <w:b w:val="0"/>
          </w:rPr>
          <w:t>五、基金备案</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_Toc274814071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8</w:t>
        </w:r>
        <w:r w:rsidR="00FB66DA">
          <w:rPr>
            <w:rFonts w:ascii="Arial" w:hAnsi="Arial" w:cs="Arial"/>
            <w:b w:val="0"/>
          </w:rPr>
          <w:fldChar w:fldCharType="end"/>
        </w:r>
      </w:hyperlink>
    </w:p>
    <w:p w14:paraId="5373B3FE"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2" w:history="1">
        <w:r w:rsidR="00FB66DA">
          <w:rPr>
            <w:rStyle w:val="af2"/>
            <w:rFonts w:ascii="Arial" w:hAnsi="宋体" w:cs="Arial"/>
            <w:b w:val="0"/>
            <w:kern w:val="0"/>
          </w:rPr>
          <w:t>六、基金份额的申购与赎回</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_Toc274814072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9</w:t>
        </w:r>
        <w:r w:rsidR="00FB66DA">
          <w:rPr>
            <w:rFonts w:ascii="Arial" w:hAnsi="Arial" w:cs="Arial"/>
            <w:b w:val="0"/>
          </w:rPr>
          <w:fldChar w:fldCharType="end"/>
        </w:r>
      </w:hyperlink>
    </w:p>
    <w:p w14:paraId="18CCFF5A"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3" w:history="1">
        <w:r w:rsidR="00FB66DA">
          <w:rPr>
            <w:rStyle w:val="af2"/>
            <w:rFonts w:ascii="Arial" w:hAnsi="宋体" w:cs="Arial"/>
            <w:b w:val="0"/>
            <w:kern w:val="0"/>
          </w:rPr>
          <w:t>七、基金的非交易过户、转托管、冻结与质押</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_Toc274814073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14</w:t>
        </w:r>
        <w:r w:rsidR="00FB66DA">
          <w:rPr>
            <w:rFonts w:ascii="Arial" w:hAnsi="Arial" w:cs="Arial"/>
            <w:b w:val="0"/>
          </w:rPr>
          <w:fldChar w:fldCharType="end"/>
        </w:r>
      </w:hyperlink>
    </w:p>
    <w:p w14:paraId="0B6CDEA3"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4" w:history="1">
        <w:r w:rsidR="00FB66DA">
          <w:rPr>
            <w:rStyle w:val="af2"/>
            <w:rFonts w:ascii="Arial" w:hAnsi="宋体" w:cs="Arial"/>
            <w:b w:val="0"/>
            <w:kern w:val="0"/>
          </w:rPr>
          <w:t>八、基金合同当事人及其权利义务</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_Toc274814074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15</w:t>
        </w:r>
        <w:r w:rsidR="00FB66DA">
          <w:rPr>
            <w:rFonts w:ascii="Arial" w:hAnsi="Arial" w:cs="Arial"/>
            <w:b w:val="0"/>
          </w:rPr>
          <w:fldChar w:fldCharType="end"/>
        </w:r>
      </w:hyperlink>
    </w:p>
    <w:p w14:paraId="6AA5DCDE"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5" w:history="1">
        <w:r w:rsidR="00FB66DA">
          <w:rPr>
            <w:rStyle w:val="af2"/>
            <w:rFonts w:ascii="Arial" w:hAnsi="宋体" w:cs="Arial"/>
            <w:b w:val="0"/>
          </w:rPr>
          <w:t>九、基金份额持有人大会</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_Toc274814075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20</w:t>
        </w:r>
        <w:r w:rsidR="00FB66DA">
          <w:rPr>
            <w:rFonts w:ascii="Arial" w:hAnsi="Arial" w:cs="Arial"/>
            <w:b w:val="0"/>
          </w:rPr>
          <w:fldChar w:fldCharType="end"/>
        </w:r>
      </w:hyperlink>
    </w:p>
    <w:p w14:paraId="78171FB0"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6" w:history="1">
        <w:r w:rsidR="00FB66DA">
          <w:rPr>
            <w:rStyle w:val="af2"/>
            <w:rFonts w:ascii="Arial" w:hAnsi="宋体" w:cs="Arial"/>
            <w:b w:val="0"/>
          </w:rPr>
          <w:t>十、基金管理人、基金托管人的更换条件和程序</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_Toc274814076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25</w:t>
        </w:r>
        <w:r w:rsidR="00FB66DA">
          <w:rPr>
            <w:rFonts w:ascii="Arial" w:hAnsi="Arial" w:cs="Arial"/>
            <w:b w:val="0"/>
          </w:rPr>
          <w:fldChar w:fldCharType="end"/>
        </w:r>
      </w:hyperlink>
    </w:p>
    <w:p w14:paraId="2A27AA7C"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7" w:history="1">
        <w:r w:rsidR="00FB66DA">
          <w:rPr>
            <w:rStyle w:val="af2"/>
            <w:rFonts w:ascii="Arial" w:hAnsi="宋体" w:cs="Arial"/>
            <w:b w:val="0"/>
            <w:kern w:val="0"/>
          </w:rPr>
          <w:t>十一、基金的托管</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_Toc274814077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27</w:t>
        </w:r>
        <w:r w:rsidR="00FB66DA">
          <w:rPr>
            <w:rFonts w:ascii="Arial" w:hAnsi="Arial" w:cs="Arial"/>
            <w:b w:val="0"/>
          </w:rPr>
          <w:fldChar w:fldCharType="end"/>
        </w:r>
      </w:hyperlink>
    </w:p>
    <w:p w14:paraId="4EC42126"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8" w:history="1">
        <w:r w:rsidR="00FB66DA">
          <w:rPr>
            <w:rStyle w:val="af2"/>
            <w:rFonts w:ascii="Arial" w:hAnsi="宋体" w:cs="Arial"/>
            <w:b w:val="0"/>
            <w:kern w:val="0"/>
          </w:rPr>
          <w:t>十二、基金的销售</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_Toc274814078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28</w:t>
        </w:r>
        <w:r w:rsidR="00FB66DA">
          <w:rPr>
            <w:rFonts w:ascii="Arial" w:hAnsi="Arial" w:cs="Arial"/>
            <w:b w:val="0"/>
          </w:rPr>
          <w:fldChar w:fldCharType="end"/>
        </w:r>
      </w:hyperlink>
    </w:p>
    <w:p w14:paraId="5538A14B"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79" w:history="1">
        <w:r w:rsidR="00FB66DA">
          <w:rPr>
            <w:rStyle w:val="af2"/>
            <w:rFonts w:ascii="Arial" w:hAnsi="宋体" w:cs="Arial"/>
            <w:b w:val="0"/>
            <w:kern w:val="0"/>
          </w:rPr>
          <w:t>十三、基金份额的注册登记</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_Toc274814079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29</w:t>
        </w:r>
        <w:r w:rsidR="00FB66DA">
          <w:rPr>
            <w:rFonts w:ascii="Arial" w:hAnsi="Arial" w:cs="Arial"/>
            <w:b w:val="0"/>
          </w:rPr>
          <w:fldChar w:fldCharType="end"/>
        </w:r>
      </w:hyperlink>
    </w:p>
    <w:p w14:paraId="7890A910"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0" w:history="1">
        <w:r w:rsidR="00FB66DA">
          <w:rPr>
            <w:rStyle w:val="af2"/>
            <w:rFonts w:ascii="Arial" w:hAnsi="宋体" w:cs="Arial"/>
            <w:b w:val="0"/>
            <w:kern w:val="0"/>
          </w:rPr>
          <w:t>十四、</w:t>
        </w:r>
        <w:r w:rsidR="00FB66DA">
          <w:rPr>
            <w:rStyle w:val="af2"/>
            <w:rFonts w:ascii="Arial" w:hAnsi="宋体" w:cs="Arial"/>
            <w:b w:val="0"/>
          </w:rPr>
          <w:t>基金的投资</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_Toc274814080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30</w:t>
        </w:r>
        <w:r w:rsidR="00FB66DA">
          <w:rPr>
            <w:rFonts w:ascii="Arial" w:hAnsi="Arial" w:cs="Arial"/>
            <w:b w:val="0"/>
          </w:rPr>
          <w:fldChar w:fldCharType="end"/>
        </w:r>
      </w:hyperlink>
    </w:p>
    <w:p w14:paraId="60B2BD73"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1" w:history="1">
        <w:r w:rsidR="00FB66DA">
          <w:rPr>
            <w:rStyle w:val="af2"/>
            <w:rFonts w:ascii="Arial" w:hAnsi="宋体" w:cs="Arial"/>
            <w:b w:val="0"/>
            <w:kern w:val="0"/>
          </w:rPr>
          <w:t>十五、基金的融资、融券</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_Toc274814081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37</w:t>
        </w:r>
        <w:r w:rsidR="00FB66DA">
          <w:rPr>
            <w:rFonts w:ascii="Arial" w:hAnsi="Arial" w:cs="Arial"/>
            <w:b w:val="0"/>
          </w:rPr>
          <w:fldChar w:fldCharType="end"/>
        </w:r>
      </w:hyperlink>
    </w:p>
    <w:p w14:paraId="441AE1AF"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2" w:history="1">
        <w:r w:rsidR="00FB66DA">
          <w:rPr>
            <w:rStyle w:val="af2"/>
            <w:rFonts w:ascii="Arial" w:hAnsi="宋体" w:cs="Arial"/>
            <w:b w:val="0"/>
            <w:kern w:val="0"/>
          </w:rPr>
          <w:t>十六、基金的财产</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_Toc274814082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38</w:t>
        </w:r>
        <w:r w:rsidR="00FB66DA">
          <w:rPr>
            <w:rFonts w:ascii="Arial" w:hAnsi="Arial" w:cs="Arial"/>
            <w:b w:val="0"/>
          </w:rPr>
          <w:fldChar w:fldCharType="end"/>
        </w:r>
      </w:hyperlink>
    </w:p>
    <w:p w14:paraId="5650C88B"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3" w:history="1">
        <w:r w:rsidR="00FB66DA">
          <w:rPr>
            <w:rStyle w:val="af2"/>
            <w:rFonts w:ascii="Arial" w:hAnsi="宋体" w:cs="Arial"/>
            <w:b w:val="0"/>
            <w:kern w:val="0"/>
          </w:rPr>
          <w:t>十七、基金资产的估值</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_Toc274814083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39</w:t>
        </w:r>
        <w:r w:rsidR="00FB66DA">
          <w:rPr>
            <w:rFonts w:ascii="Arial" w:hAnsi="Arial" w:cs="Arial"/>
            <w:b w:val="0"/>
          </w:rPr>
          <w:fldChar w:fldCharType="end"/>
        </w:r>
      </w:hyperlink>
    </w:p>
    <w:p w14:paraId="742A71C2"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4" w:history="1">
        <w:r w:rsidR="00FB66DA">
          <w:rPr>
            <w:rStyle w:val="af2"/>
            <w:rFonts w:ascii="Arial" w:hAnsi="宋体" w:cs="Arial"/>
            <w:b w:val="0"/>
            <w:kern w:val="0"/>
          </w:rPr>
          <w:t>十八、基金的费用与税收</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_Toc274814084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42</w:t>
        </w:r>
        <w:r w:rsidR="00FB66DA">
          <w:rPr>
            <w:rFonts w:ascii="Arial" w:hAnsi="Arial" w:cs="Arial"/>
            <w:b w:val="0"/>
          </w:rPr>
          <w:fldChar w:fldCharType="end"/>
        </w:r>
      </w:hyperlink>
    </w:p>
    <w:p w14:paraId="1B5B0395"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5" w:history="1">
        <w:r w:rsidR="00FB66DA">
          <w:rPr>
            <w:rStyle w:val="af2"/>
            <w:rFonts w:ascii="Arial" w:hAnsi="宋体" w:cs="Arial"/>
            <w:b w:val="0"/>
            <w:kern w:val="0"/>
          </w:rPr>
          <w:t>十九、基金的收益与分配</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_Toc274814085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44</w:t>
        </w:r>
        <w:r w:rsidR="00FB66DA">
          <w:rPr>
            <w:rFonts w:ascii="Arial" w:hAnsi="Arial" w:cs="Arial"/>
            <w:b w:val="0"/>
          </w:rPr>
          <w:fldChar w:fldCharType="end"/>
        </w:r>
      </w:hyperlink>
    </w:p>
    <w:p w14:paraId="0DA53862"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6" w:history="1">
        <w:r w:rsidR="00FB66DA">
          <w:rPr>
            <w:rStyle w:val="af2"/>
            <w:rFonts w:ascii="Arial" w:hAnsi="宋体" w:cs="Arial"/>
            <w:b w:val="0"/>
            <w:kern w:val="0"/>
          </w:rPr>
          <w:t>二十、基金的会计与审计</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_Toc274814086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46</w:t>
        </w:r>
        <w:r w:rsidR="00FB66DA">
          <w:rPr>
            <w:rFonts w:ascii="Arial" w:hAnsi="Arial" w:cs="Arial"/>
            <w:b w:val="0"/>
          </w:rPr>
          <w:fldChar w:fldCharType="end"/>
        </w:r>
      </w:hyperlink>
    </w:p>
    <w:p w14:paraId="1670C57F"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7" w:history="1">
        <w:r w:rsidR="00FB66DA">
          <w:rPr>
            <w:rStyle w:val="af2"/>
            <w:rFonts w:ascii="Arial" w:hAnsi="宋体" w:cs="Arial"/>
            <w:b w:val="0"/>
            <w:kern w:val="0"/>
          </w:rPr>
          <w:t>二十一、基金的信息披露</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_Toc274814087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47</w:t>
        </w:r>
        <w:r w:rsidR="00FB66DA">
          <w:rPr>
            <w:rFonts w:ascii="Arial" w:hAnsi="Arial" w:cs="Arial"/>
            <w:b w:val="0"/>
          </w:rPr>
          <w:fldChar w:fldCharType="end"/>
        </w:r>
      </w:hyperlink>
    </w:p>
    <w:p w14:paraId="7F554DF5"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8" w:history="1">
        <w:r w:rsidR="00FB66DA">
          <w:rPr>
            <w:rStyle w:val="af2"/>
            <w:rFonts w:ascii="Arial" w:hAnsi="宋体" w:cs="Arial"/>
            <w:b w:val="0"/>
            <w:kern w:val="0"/>
          </w:rPr>
          <w:t>二十二、基金合同的变更、终止与基金财产的清算</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_Toc274814088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50</w:t>
        </w:r>
        <w:r w:rsidR="00FB66DA">
          <w:rPr>
            <w:rFonts w:ascii="Arial" w:hAnsi="Arial" w:cs="Arial"/>
            <w:b w:val="0"/>
          </w:rPr>
          <w:fldChar w:fldCharType="end"/>
        </w:r>
      </w:hyperlink>
    </w:p>
    <w:p w14:paraId="069CB262"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89" w:history="1">
        <w:r w:rsidR="00FB66DA">
          <w:rPr>
            <w:rStyle w:val="af2"/>
            <w:rFonts w:ascii="Arial" w:hAnsi="宋体" w:cs="Arial"/>
            <w:b w:val="0"/>
            <w:kern w:val="0"/>
          </w:rPr>
          <w:t>二十三、违约责任</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_Toc274814089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52</w:t>
        </w:r>
        <w:r w:rsidR="00FB66DA">
          <w:rPr>
            <w:rFonts w:ascii="Arial" w:hAnsi="Arial" w:cs="Arial"/>
            <w:b w:val="0"/>
          </w:rPr>
          <w:fldChar w:fldCharType="end"/>
        </w:r>
      </w:hyperlink>
    </w:p>
    <w:p w14:paraId="44740F2D"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90" w:history="1">
        <w:r w:rsidR="00FB66DA">
          <w:rPr>
            <w:rStyle w:val="af2"/>
            <w:rFonts w:ascii="Arial" w:hAnsi="宋体" w:cs="Arial"/>
            <w:b w:val="0"/>
            <w:kern w:val="0"/>
          </w:rPr>
          <w:t>二十四、争议的处理</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_Toc274814090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53</w:t>
        </w:r>
        <w:r w:rsidR="00FB66DA">
          <w:rPr>
            <w:rFonts w:ascii="Arial" w:hAnsi="Arial" w:cs="Arial"/>
            <w:b w:val="0"/>
          </w:rPr>
          <w:fldChar w:fldCharType="end"/>
        </w:r>
      </w:hyperlink>
    </w:p>
    <w:p w14:paraId="33770651"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91" w:history="1">
        <w:r w:rsidR="00FB66DA">
          <w:rPr>
            <w:rStyle w:val="af2"/>
            <w:rFonts w:ascii="Arial" w:hAnsi="宋体" w:cs="Arial"/>
            <w:b w:val="0"/>
            <w:kern w:val="0"/>
          </w:rPr>
          <w:t>二十五、基金合同的效力</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_Toc274814091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54</w:t>
        </w:r>
        <w:r w:rsidR="00FB66DA">
          <w:rPr>
            <w:rFonts w:ascii="Arial" w:hAnsi="Arial" w:cs="Arial"/>
            <w:b w:val="0"/>
          </w:rPr>
          <w:fldChar w:fldCharType="end"/>
        </w:r>
      </w:hyperlink>
    </w:p>
    <w:p w14:paraId="783A2A83" w14:textId="77777777" w:rsidR="00F50C35" w:rsidRDefault="00AD4969">
      <w:pPr>
        <w:pStyle w:val="10"/>
        <w:tabs>
          <w:tab w:val="right" w:leader="dot" w:pos="8296"/>
        </w:tabs>
        <w:snapToGrid w:val="0"/>
        <w:spacing w:before="0" w:after="0" w:line="360" w:lineRule="auto"/>
        <w:rPr>
          <w:rFonts w:ascii="Arial" w:hAnsi="Arial" w:cs="Arial"/>
          <w:b w:val="0"/>
          <w:bCs w:val="0"/>
          <w:caps w:val="0"/>
          <w:sz w:val="21"/>
          <w:szCs w:val="22"/>
        </w:rPr>
      </w:pPr>
      <w:hyperlink w:anchor="_Toc274814092" w:history="1">
        <w:r w:rsidR="00FB66DA">
          <w:rPr>
            <w:rStyle w:val="af2"/>
            <w:rFonts w:ascii="Arial" w:hAnsi="宋体" w:cs="Arial"/>
            <w:b w:val="0"/>
            <w:kern w:val="0"/>
          </w:rPr>
          <w:t>二十六、基金合同内容摘要</w:t>
        </w:r>
        <w:r w:rsidR="00FB66DA">
          <w:rPr>
            <w:rFonts w:ascii="Arial" w:hAnsi="Arial" w:cs="Arial"/>
            <w:b w:val="0"/>
          </w:rPr>
          <w:tab/>
        </w:r>
        <w:r w:rsidR="00FB66DA">
          <w:rPr>
            <w:rFonts w:ascii="Arial" w:hAnsi="Arial" w:cs="Arial"/>
            <w:b w:val="0"/>
          </w:rPr>
          <w:fldChar w:fldCharType="begin"/>
        </w:r>
        <w:r w:rsidR="00FB66DA">
          <w:rPr>
            <w:rFonts w:ascii="Arial" w:hAnsi="Arial" w:cs="Arial"/>
            <w:b w:val="0"/>
          </w:rPr>
          <w:instrText xml:space="preserve"> PAGEREF _Toc274814092 \h </w:instrText>
        </w:r>
        <w:r w:rsidR="00FB66DA">
          <w:rPr>
            <w:rFonts w:ascii="Arial" w:hAnsi="Arial" w:cs="Arial"/>
            <w:b w:val="0"/>
          </w:rPr>
        </w:r>
        <w:r w:rsidR="00FB66DA">
          <w:rPr>
            <w:rFonts w:ascii="Arial" w:hAnsi="Arial" w:cs="Arial"/>
            <w:b w:val="0"/>
          </w:rPr>
          <w:fldChar w:fldCharType="separate"/>
        </w:r>
        <w:r w:rsidR="00FB66DA">
          <w:rPr>
            <w:rFonts w:ascii="Arial" w:hAnsi="Arial" w:cs="Arial"/>
            <w:b w:val="0"/>
          </w:rPr>
          <w:t>55</w:t>
        </w:r>
        <w:r w:rsidR="00FB66DA">
          <w:rPr>
            <w:rFonts w:ascii="Arial" w:hAnsi="Arial" w:cs="Arial"/>
            <w:b w:val="0"/>
          </w:rPr>
          <w:fldChar w:fldCharType="end"/>
        </w:r>
      </w:hyperlink>
    </w:p>
    <w:p w14:paraId="6A7DE2AA" w14:textId="77777777" w:rsidR="00F50C35" w:rsidRDefault="00FB66DA">
      <w:pPr>
        <w:adjustRightInd w:val="0"/>
        <w:snapToGrid w:val="0"/>
        <w:spacing w:line="360" w:lineRule="auto"/>
        <w:rPr>
          <w:rFonts w:ascii="宋体" w:hAnsi="宋体" w:cs="Arial"/>
        </w:rPr>
      </w:pPr>
      <w:r>
        <w:rPr>
          <w:rFonts w:ascii="Arial" w:hAnsi="Arial" w:cs="Arial"/>
        </w:rPr>
        <w:fldChar w:fldCharType="end"/>
      </w:r>
    </w:p>
    <w:p w14:paraId="7A6D965B" w14:textId="77777777" w:rsidR="00F50C35" w:rsidRDefault="00F50C35">
      <w:pPr>
        <w:pStyle w:val="2"/>
        <w:adjustRightInd w:val="0"/>
        <w:snapToGrid w:val="0"/>
        <w:spacing w:before="0" w:after="0" w:line="360" w:lineRule="auto"/>
        <w:rPr>
          <w:rFonts w:eastAsia="宋体" w:cs="Arial"/>
          <w:sz w:val="21"/>
          <w:szCs w:val="24"/>
        </w:rPr>
        <w:sectPr w:rsidR="00F50C35">
          <w:headerReference w:type="default" r:id="rId11"/>
          <w:footerReference w:type="default" r:id="rId12"/>
          <w:pgSz w:w="11906" w:h="16838"/>
          <w:pgMar w:top="1440" w:right="1800" w:bottom="1440" w:left="1800" w:header="851" w:footer="992" w:gutter="0"/>
          <w:pgNumType w:start="2"/>
          <w:cols w:space="425"/>
          <w:docGrid w:type="lines" w:linePitch="312"/>
        </w:sectPr>
      </w:pPr>
      <w:bookmarkStart w:id="2" w:name="_Toc88037836"/>
    </w:p>
    <w:p w14:paraId="592E11E6" w14:textId="77777777" w:rsidR="00F50C35" w:rsidRDefault="00FB66DA">
      <w:pPr>
        <w:pStyle w:val="1"/>
        <w:snapToGrid w:val="0"/>
        <w:spacing w:before="0" w:after="0" w:line="360" w:lineRule="auto"/>
        <w:rPr>
          <w:rFonts w:ascii="Arial" w:hAnsi="Arial" w:cs="Arial"/>
          <w:szCs w:val="30"/>
        </w:rPr>
      </w:pPr>
      <w:bookmarkStart w:id="3" w:name="_Toc274814067"/>
      <w:bookmarkStart w:id="4" w:name="_Toc274814000"/>
      <w:r>
        <w:rPr>
          <w:rFonts w:ascii="Arial" w:cs="Arial"/>
          <w:szCs w:val="30"/>
        </w:rPr>
        <w:lastRenderedPageBreak/>
        <w:t>一、前言</w:t>
      </w:r>
      <w:bookmarkEnd w:id="2"/>
      <w:bookmarkEnd w:id="3"/>
      <w:bookmarkEnd w:id="4"/>
    </w:p>
    <w:p w14:paraId="577193AC"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（一）订立博时抗通胀增强回报证券投资基金基金合同（以下简称</w:t>
      </w:r>
      <w:r>
        <w:rPr>
          <w:rFonts w:ascii="Arial" w:hAnsi="Arial" w:cs="Arial" w:hint="eastAsia"/>
          <w:szCs w:val="21"/>
        </w:rPr>
        <w:t>“</w:t>
      </w:r>
      <w:r>
        <w:rPr>
          <w:rFonts w:ascii="Arial" w:hAnsi="宋体" w:cs="Arial"/>
          <w:szCs w:val="21"/>
        </w:rPr>
        <w:t>本基金合同</w:t>
      </w:r>
      <w:r>
        <w:rPr>
          <w:rFonts w:ascii="Arial" w:hAnsi="Arial" w:cs="Arial" w:hint="eastAsia"/>
          <w:szCs w:val="21"/>
        </w:rPr>
        <w:t>”</w:t>
      </w:r>
      <w:r>
        <w:rPr>
          <w:rFonts w:ascii="Arial" w:hAnsi="宋体" w:cs="Arial"/>
          <w:szCs w:val="21"/>
        </w:rPr>
        <w:t>）的目的、依据和原则。</w:t>
      </w:r>
    </w:p>
    <w:p w14:paraId="3B3B15A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、订立本基金合同的目的</w:t>
      </w:r>
    </w:p>
    <w:p w14:paraId="64B9D41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订立本基金合同的目的是明确本基金合同当事人的权利义务、规范</w:t>
      </w:r>
      <w:r>
        <w:rPr>
          <w:rFonts w:ascii="Arial" w:hAnsi="宋体" w:cs="Arial"/>
          <w:szCs w:val="21"/>
        </w:rPr>
        <w:t>博时抗通胀增强回报</w:t>
      </w:r>
      <w:r>
        <w:rPr>
          <w:rFonts w:ascii="Arial" w:hAnsi="宋体" w:cs="Arial"/>
          <w:kern w:val="0"/>
          <w:szCs w:val="21"/>
        </w:rPr>
        <w:t>证券投资基金（以下简称</w:t>
      </w:r>
      <w:r>
        <w:rPr>
          <w:rFonts w:ascii="Arial" w:hAnsi="Arial" w:cs="Arial" w:hint="eastAsia"/>
          <w:kern w:val="0"/>
          <w:szCs w:val="21"/>
        </w:rPr>
        <w:t>“</w:t>
      </w:r>
      <w:r>
        <w:rPr>
          <w:rFonts w:ascii="Arial" w:hAnsi="宋体" w:cs="Arial"/>
          <w:kern w:val="0"/>
          <w:szCs w:val="21"/>
        </w:rPr>
        <w:t>本基金</w:t>
      </w:r>
      <w:r>
        <w:rPr>
          <w:rFonts w:ascii="Arial" w:hAnsi="Arial" w:cs="Arial" w:hint="eastAsia"/>
          <w:kern w:val="0"/>
          <w:szCs w:val="21"/>
        </w:rPr>
        <w:t>”</w:t>
      </w:r>
      <w:r>
        <w:rPr>
          <w:rFonts w:ascii="Arial" w:hAnsi="宋体" w:cs="Arial"/>
          <w:kern w:val="0"/>
          <w:szCs w:val="21"/>
        </w:rPr>
        <w:t>）的运作，保护基金份额持有人的合法权益。</w:t>
      </w:r>
    </w:p>
    <w:p w14:paraId="480B952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、订立本基金合同的依据</w:t>
      </w:r>
    </w:p>
    <w:p w14:paraId="7F660EF2" w14:textId="0DB4C133"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订立本基金合同的依据是《中华人民共和国民法通则》、《中华人民共和国合同法》、《中华人民共和国信托法》、《中华人民共和国证券投资基金法》（以下简称《基金法》）、《证券投资基金运作管理办法》（以下简称《运作办法》）和《证券投资基金销售管理办法》（以下简称《销售办法》）、《公开募集证券投资基金信息披露管理办法》（以下简称《信息披露办法》）、</w:t>
      </w:r>
      <w:r>
        <w:rPr>
          <w:rFonts w:ascii="Arial" w:hAnsi="宋体" w:cs="Arial"/>
          <w:szCs w:val="21"/>
        </w:rPr>
        <w:t>《证券投资基金信息披露内容与格式准则第</w:t>
      </w:r>
      <w:r>
        <w:rPr>
          <w:rFonts w:ascii="Arial" w:hAnsi="Arial" w:cs="Arial"/>
          <w:szCs w:val="21"/>
        </w:rPr>
        <w:t>6</w:t>
      </w:r>
      <w:r>
        <w:rPr>
          <w:rFonts w:ascii="Arial" w:hAnsi="宋体" w:cs="Arial"/>
          <w:szCs w:val="21"/>
        </w:rPr>
        <w:t>号</w:t>
      </w:r>
      <w:r>
        <w:rPr>
          <w:rFonts w:ascii="Arial" w:hAnsi="Arial" w:cs="Arial"/>
          <w:szCs w:val="21"/>
        </w:rPr>
        <w:t>&lt;</w:t>
      </w:r>
      <w:r>
        <w:rPr>
          <w:rFonts w:ascii="Arial" w:hAnsi="宋体" w:cs="Arial"/>
          <w:szCs w:val="21"/>
        </w:rPr>
        <w:t>基金合同的内容与格式</w:t>
      </w:r>
      <w:r>
        <w:rPr>
          <w:rFonts w:ascii="Arial" w:hAnsi="Arial" w:cs="Arial"/>
          <w:szCs w:val="21"/>
        </w:rPr>
        <w:t>&gt;</w:t>
      </w:r>
      <w:r>
        <w:rPr>
          <w:rFonts w:ascii="Arial" w:hAnsi="宋体" w:cs="Arial"/>
          <w:szCs w:val="21"/>
        </w:rPr>
        <w:t>》、</w:t>
      </w:r>
      <w:r>
        <w:rPr>
          <w:rFonts w:ascii="Arial" w:hAnsi="宋体" w:cs="Arial"/>
          <w:kern w:val="0"/>
          <w:szCs w:val="21"/>
        </w:rPr>
        <w:t>《合格境内机构投资者境外证券投资管理试行办法》（以下简称《试行办法》）、《关于实施〈合格境内机构投资者境外证券投资管理试行办法〉有关问题的通知》</w:t>
      </w:r>
      <w:r>
        <w:rPr>
          <w:rFonts w:ascii="Arial" w:hAnsi="宋体" w:cs="Arial" w:hint="eastAsia"/>
          <w:kern w:val="0"/>
          <w:szCs w:val="21"/>
        </w:rPr>
        <w:t>、《公开募集开放式证券投资基金流动性风险管理规定》（以下简称“《流动性风险管理规定》”）</w:t>
      </w:r>
      <w:r>
        <w:rPr>
          <w:rFonts w:ascii="Arial" w:hAnsi="宋体" w:cs="Arial"/>
          <w:kern w:val="0"/>
          <w:szCs w:val="21"/>
        </w:rPr>
        <w:t>及其他有关规定。</w:t>
      </w:r>
    </w:p>
    <w:p w14:paraId="09585DF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、订立本基金合同的原则</w:t>
      </w:r>
    </w:p>
    <w:p w14:paraId="1E189C2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订立本基金合同的原则是平等自愿、诚实信用、充分保护基金份额持有人的合法权益。</w:t>
      </w:r>
    </w:p>
    <w:p w14:paraId="312A4C9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本基金由基金管理人依照《基金法》、本基金合同和其他有关规定募集，并经中国证监会批准。中国证监会对本基金募集的批准，并不表明其对本基金的价值和收益作出实质性判断或保证，也不表明投资于本基金没有风险。</w:t>
      </w:r>
    </w:p>
    <w:p w14:paraId="3EC93C4F"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kern w:val="0"/>
          <w:szCs w:val="21"/>
        </w:rPr>
        <w:t>基金管理人依照恪尽职守、诚实信用、谨慎勤勉的原则管理和运用基金财产，但由于证券投资具有一定的风险，因此不保证投资于本基金一定盈利，也不保证基金份额持有人的最低收益。</w:t>
      </w:r>
    </w:p>
    <w:p w14:paraId="491B7B6A" w14:textId="77777777" w:rsidR="00F50C35" w:rsidRDefault="00FB66DA">
      <w:pPr>
        <w:adjustRightInd w:val="0"/>
        <w:snapToGrid w:val="0"/>
        <w:spacing w:line="360" w:lineRule="auto"/>
        <w:ind w:firstLine="420"/>
        <w:rPr>
          <w:rFonts w:ascii="Arial" w:hAnsi="Arial" w:cs="Arial"/>
          <w:szCs w:val="21"/>
        </w:rPr>
      </w:pPr>
      <w:r>
        <w:rPr>
          <w:rFonts w:ascii="Arial" w:hAnsi="Arial" w:cs="Arial" w:hint="eastAsia"/>
          <w:szCs w:val="21"/>
        </w:rPr>
        <w:t>投资者应当认真阅读基金招募说明书、基金合同、基金产品资料概要等信息披露文件，自主判断基金的投资价值，自主做出投资决策，自行承担投资风险。</w:t>
      </w:r>
    </w:p>
    <w:p w14:paraId="3E5A6DB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本基金合同是约定本基金合同当事人之间基本权利义务的法律文件，其他与本基金相关的涉及本基金合同当事人之间权利义务关系的任何文件或表述，均以本基金合同为准。本基金合同的当事人包括基金管理人、基金托管人和基金份额持有人。投资者自依本基金合同取得本基金基金份额，即成为基金份额持有人和本基金合同的当事人，其持有基金份额的行为本身即表明其对本基金合同的承认和接受。基金份额持有人作为本基金合同当事人并不以在本基金合同上书面签章为必要条件。本基金合同的当事人应按照《基金法》、本基金合同及其他有关规定享有权利、承担义务。</w:t>
      </w:r>
    </w:p>
    <w:p w14:paraId="2E3102DE"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kern w:val="0"/>
          <w:szCs w:val="21"/>
        </w:rPr>
        <w:lastRenderedPageBreak/>
        <w:t>本基金合同应当适用《基金法》及相应法律法规之规定，若因法律法规的修改或更新导致本基金合同的内容与届时有效的法律法规的规定不一致，应当以届时有效的法律法规的规定为准，及时作出相应的变更和调整。</w:t>
      </w:r>
    </w:p>
    <w:p w14:paraId="2947C741"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kern w:val="0"/>
          <w:szCs w:val="21"/>
        </w:rPr>
        <w:t>（四）投资者认购、申购确认金额和赎回基金确认金额均以人民币元计算，在本基金存续期间，基金管理人不承担汇率变动风险。</w:t>
      </w:r>
    </w:p>
    <w:p w14:paraId="41B3E2D4" w14:textId="6A6482A3" w:rsidR="00F50C35" w:rsidRDefault="00FB66DA">
      <w:pPr>
        <w:adjustRightInd w:val="0"/>
        <w:snapToGrid w:val="0"/>
        <w:spacing w:line="360" w:lineRule="auto"/>
        <w:ind w:firstLine="420"/>
        <w:rPr>
          <w:rFonts w:ascii="Arial" w:hAnsi="宋体" w:cs="Arial"/>
          <w:kern w:val="0"/>
          <w:szCs w:val="21"/>
        </w:rPr>
      </w:pPr>
      <w:r>
        <w:rPr>
          <w:rFonts w:ascii="Arial" w:hAnsi="宋体" w:cs="Arial" w:hint="eastAsia"/>
          <w:kern w:val="0"/>
          <w:szCs w:val="21"/>
        </w:rPr>
        <w:t>（五）本基金合同约定的基金产品资料概要编制、披露与更新的要求，将不晚于</w:t>
      </w:r>
      <w:r>
        <w:rPr>
          <w:rFonts w:ascii="Arial" w:hAnsi="宋体" w:cs="Arial" w:hint="eastAsia"/>
          <w:kern w:val="0"/>
          <w:szCs w:val="21"/>
        </w:rPr>
        <w:t>2020</w:t>
      </w:r>
      <w:r>
        <w:rPr>
          <w:rFonts w:ascii="Arial" w:hAnsi="宋体" w:cs="Arial" w:hint="eastAsia"/>
          <w:kern w:val="0"/>
          <w:szCs w:val="21"/>
        </w:rPr>
        <w:t>年</w:t>
      </w:r>
      <w:r>
        <w:rPr>
          <w:rFonts w:ascii="Arial" w:hAnsi="宋体" w:cs="Arial" w:hint="eastAsia"/>
          <w:kern w:val="0"/>
          <w:szCs w:val="21"/>
        </w:rPr>
        <w:t>9</w:t>
      </w:r>
      <w:r>
        <w:rPr>
          <w:rFonts w:ascii="Arial" w:hAnsi="宋体" w:cs="Arial" w:hint="eastAsia"/>
          <w:kern w:val="0"/>
          <w:szCs w:val="21"/>
        </w:rPr>
        <w:t>月</w:t>
      </w:r>
      <w:r>
        <w:rPr>
          <w:rFonts w:ascii="Arial" w:hAnsi="宋体" w:cs="Arial" w:hint="eastAsia"/>
          <w:kern w:val="0"/>
          <w:szCs w:val="21"/>
        </w:rPr>
        <w:t>1</w:t>
      </w:r>
      <w:r>
        <w:rPr>
          <w:rFonts w:ascii="Arial" w:hAnsi="宋体" w:cs="Arial" w:hint="eastAsia"/>
          <w:kern w:val="0"/>
          <w:szCs w:val="21"/>
        </w:rPr>
        <w:t>日</w:t>
      </w:r>
      <w:r>
        <w:rPr>
          <w:rFonts w:ascii="Arial" w:hAnsi="宋体" w:cs="Arial" w:hint="eastAsia"/>
          <w:kern w:val="0"/>
          <w:szCs w:val="21"/>
        </w:rPr>
        <w:t xml:space="preserve"> </w:t>
      </w:r>
      <w:r>
        <w:rPr>
          <w:rFonts w:ascii="Arial" w:hAnsi="宋体" w:cs="Arial" w:hint="eastAsia"/>
          <w:kern w:val="0"/>
          <w:szCs w:val="21"/>
        </w:rPr>
        <w:t>起执行。</w:t>
      </w:r>
    </w:p>
    <w:p w14:paraId="2D11AD2B" w14:textId="77777777" w:rsidR="00F50C35" w:rsidRDefault="00F50C35">
      <w:pPr>
        <w:adjustRightInd w:val="0"/>
        <w:snapToGrid w:val="0"/>
        <w:spacing w:line="360" w:lineRule="auto"/>
        <w:ind w:firstLine="420"/>
        <w:rPr>
          <w:rFonts w:ascii="Arial" w:hAnsi="宋体" w:cs="Arial"/>
          <w:kern w:val="0"/>
          <w:szCs w:val="21"/>
        </w:rPr>
      </w:pPr>
    </w:p>
    <w:p w14:paraId="1A2D0F68" w14:textId="77777777" w:rsidR="00F50C35" w:rsidRDefault="00F50C35">
      <w:pPr>
        <w:pStyle w:val="1"/>
        <w:snapToGrid w:val="0"/>
        <w:spacing w:before="0" w:after="0" w:line="360" w:lineRule="auto"/>
        <w:rPr>
          <w:szCs w:val="30"/>
        </w:rPr>
        <w:sectPr w:rsidR="00F50C35">
          <w:headerReference w:type="default" r:id="rId13"/>
          <w:footerReference w:type="default" r:id="rId14"/>
          <w:pgSz w:w="11906" w:h="16838"/>
          <w:pgMar w:top="1440" w:right="1800" w:bottom="1440" w:left="1800" w:header="851" w:footer="992" w:gutter="0"/>
          <w:pgNumType w:start="1"/>
          <w:cols w:space="425"/>
          <w:docGrid w:type="lines" w:linePitch="312"/>
        </w:sectPr>
      </w:pPr>
      <w:bookmarkStart w:id="5" w:name="_Toc88037837"/>
    </w:p>
    <w:p w14:paraId="4DB4D8E1" w14:textId="77777777" w:rsidR="00F50C35" w:rsidRDefault="00FB66DA">
      <w:pPr>
        <w:pStyle w:val="1"/>
        <w:snapToGrid w:val="0"/>
        <w:spacing w:before="0" w:after="0" w:line="360" w:lineRule="auto"/>
        <w:rPr>
          <w:rFonts w:hAnsi="Arial"/>
          <w:szCs w:val="30"/>
        </w:rPr>
      </w:pPr>
      <w:bookmarkStart w:id="6" w:name="_Toc274814001"/>
      <w:bookmarkStart w:id="7" w:name="_Toc274814068"/>
      <w:r>
        <w:rPr>
          <w:szCs w:val="30"/>
        </w:rPr>
        <w:lastRenderedPageBreak/>
        <w:t>二、释义</w:t>
      </w:r>
      <w:bookmarkEnd w:id="5"/>
      <w:bookmarkEnd w:id="6"/>
      <w:bookmarkEnd w:id="7"/>
    </w:p>
    <w:p w14:paraId="2DF1103F"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本基金合同中，除非文意另有所指，下列词语或简称具有如下含义：</w:t>
      </w:r>
    </w:p>
    <w:tbl>
      <w:tblPr>
        <w:tblW w:w="8414" w:type="dxa"/>
        <w:tblInd w:w="108" w:type="dxa"/>
        <w:tblLayout w:type="fixed"/>
        <w:tblLook w:val="04A0" w:firstRow="1" w:lastRow="0" w:firstColumn="1" w:lastColumn="0" w:noHBand="0" w:noVBand="1"/>
      </w:tblPr>
      <w:tblGrid>
        <w:gridCol w:w="2700"/>
        <w:gridCol w:w="5714"/>
      </w:tblGrid>
      <w:tr w:rsidR="00F50C35" w14:paraId="05E1ED8A" w14:textId="77777777">
        <w:tc>
          <w:tcPr>
            <w:tcW w:w="2700" w:type="dxa"/>
          </w:tcPr>
          <w:p w14:paraId="140918E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基金或本基金：</w:t>
            </w:r>
          </w:p>
        </w:tc>
        <w:tc>
          <w:tcPr>
            <w:tcW w:w="5714" w:type="dxa"/>
          </w:tcPr>
          <w:p w14:paraId="3C0E2659"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指博时抗通胀增强回报证券投资基金；</w:t>
            </w:r>
          </w:p>
        </w:tc>
      </w:tr>
      <w:tr w:rsidR="00F50C35" w14:paraId="34400572" w14:textId="77777777">
        <w:tc>
          <w:tcPr>
            <w:tcW w:w="2700" w:type="dxa"/>
          </w:tcPr>
          <w:p w14:paraId="47628C5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基金合同或本基金合同：</w:t>
            </w:r>
          </w:p>
        </w:tc>
        <w:tc>
          <w:tcPr>
            <w:tcW w:w="5714" w:type="dxa"/>
          </w:tcPr>
          <w:p w14:paraId="2AAFC5B2"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指《博时抗通胀增强回报证券投资基金基金合同》及对本合同的任何有效修订和补充；</w:t>
            </w:r>
          </w:p>
        </w:tc>
      </w:tr>
      <w:tr w:rsidR="00F50C35" w14:paraId="3E45F841" w14:textId="77777777">
        <w:tc>
          <w:tcPr>
            <w:tcW w:w="2700" w:type="dxa"/>
          </w:tcPr>
          <w:p w14:paraId="171DC0B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招募说明书：</w:t>
            </w:r>
          </w:p>
        </w:tc>
        <w:tc>
          <w:tcPr>
            <w:tcW w:w="5714" w:type="dxa"/>
          </w:tcPr>
          <w:p w14:paraId="6B768E82" w14:textId="3FE46FC3"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指《博时抗通胀增强回报证券投资基金招募说明书》及其更新；</w:t>
            </w:r>
          </w:p>
        </w:tc>
      </w:tr>
      <w:tr w:rsidR="00F50C35" w14:paraId="6AF0A882" w14:textId="77777777">
        <w:tc>
          <w:tcPr>
            <w:tcW w:w="2700" w:type="dxa"/>
          </w:tcPr>
          <w:p w14:paraId="1D51A62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托管协议：</w:t>
            </w:r>
          </w:p>
        </w:tc>
        <w:tc>
          <w:tcPr>
            <w:tcW w:w="5714" w:type="dxa"/>
          </w:tcPr>
          <w:p w14:paraId="606056D9"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指《博时抗通胀增强回报证券投资基金托管协议》及其任何有效修订和补充；</w:t>
            </w:r>
          </w:p>
        </w:tc>
      </w:tr>
      <w:tr w:rsidR="00F50C35" w14:paraId="22242B00" w14:textId="77777777">
        <w:tc>
          <w:tcPr>
            <w:tcW w:w="2700" w:type="dxa"/>
          </w:tcPr>
          <w:p w14:paraId="2D7D6FB9"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发售公告：</w:t>
            </w:r>
          </w:p>
        </w:tc>
        <w:tc>
          <w:tcPr>
            <w:tcW w:w="5714" w:type="dxa"/>
          </w:tcPr>
          <w:p w14:paraId="4033E6A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指《博时抗通胀增强回报证券投资基金</w:t>
            </w:r>
            <w:r>
              <w:rPr>
                <w:rFonts w:ascii="Arial" w:hAnsi="宋体" w:cs="Arial" w:hint="eastAsia"/>
                <w:kern w:val="0"/>
                <w:szCs w:val="21"/>
              </w:rPr>
              <w:t>份额</w:t>
            </w:r>
            <w:r>
              <w:rPr>
                <w:rFonts w:ascii="Arial" w:hAnsi="宋体" w:cs="Arial"/>
                <w:kern w:val="0"/>
                <w:szCs w:val="21"/>
              </w:rPr>
              <w:t>发售公告》；</w:t>
            </w:r>
          </w:p>
        </w:tc>
      </w:tr>
      <w:tr w:rsidR="00F50C35" w14:paraId="08C8AD73" w14:textId="77777777">
        <w:trPr>
          <w:trHeight w:val="645"/>
        </w:trPr>
        <w:tc>
          <w:tcPr>
            <w:tcW w:w="2700" w:type="dxa"/>
          </w:tcPr>
          <w:p w14:paraId="6092576B" w14:textId="77777777" w:rsidR="00F50C35" w:rsidRDefault="00FB66DA">
            <w:pPr>
              <w:adjustRightInd w:val="0"/>
              <w:snapToGrid w:val="0"/>
              <w:spacing w:line="360" w:lineRule="auto"/>
              <w:rPr>
                <w:rFonts w:ascii="Arial" w:hAnsi="宋体" w:cs="Arial"/>
                <w:kern w:val="0"/>
                <w:szCs w:val="21"/>
              </w:rPr>
            </w:pPr>
            <w:r>
              <w:rPr>
                <w:rFonts w:ascii="Arial" w:hAnsi="宋体" w:cs="Arial" w:hint="eastAsia"/>
                <w:kern w:val="0"/>
                <w:szCs w:val="21"/>
              </w:rPr>
              <w:t>基金产品资料概要：</w:t>
            </w:r>
          </w:p>
        </w:tc>
        <w:tc>
          <w:tcPr>
            <w:tcW w:w="5714" w:type="dxa"/>
          </w:tcPr>
          <w:p w14:paraId="69309B74" w14:textId="39A05186" w:rsidR="00F50C35" w:rsidRDefault="00FB66DA">
            <w:pPr>
              <w:adjustRightInd w:val="0"/>
              <w:snapToGrid w:val="0"/>
              <w:spacing w:line="360" w:lineRule="auto"/>
              <w:rPr>
                <w:rFonts w:ascii="Arial" w:hAnsi="宋体" w:cs="Arial"/>
                <w:kern w:val="0"/>
                <w:szCs w:val="21"/>
              </w:rPr>
            </w:pPr>
            <w:r>
              <w:rPr>
                <w:rFonts w:ascii="Arial" w:hAnsi="宋体" w:cs="Arial" w:hint="eastAsia"/>
                <w:kern w:val="0"/>
                <w:szCs w:val="21"/>
              </w:rPr>
              <w:t>指《</w:t>
            </w:r>
            <w:r>
              <w:rPr>
                <w:rFonts w:ascii="Arial" w:hAnsi="宋体" w:cs="Arial"/>
                <w:kern w:val="0"/>
                <w:szCs w:val="21"/>
              </w:rPr>
              <w:t>博时抗通胀增强回报证券投资基金</w:t>
            </w:r>
            <w:r>
              <w:rPr>
                <w:rFonts w:ascii="Arial" w:hAnsi="宋体" w:cs="Arial" w:hint="eastAsia"/>
                <w:kern w:val="0"/>
                <w:szCs w:val="21"/>
              </w:rPr>
              <w:t>基金产品资料概要》及其更新；</w:t>
            </w:r>
          </w:p>
        </w:tc>
      </w:tr>
      <w:tr w:rsidR="00F50C35" w14:paraId="49DBC05B" w14:textId="77777777">
        <w:trPr>
          <w:trHeight w:val="645"/>
        </w:trPr>
        <w:tc>
          <w:tcPr>
            <w:tcW w:w="2700" w:type="dxa"/>
          </w:tcPr>
          <w:p w14:paraId="15B2D55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中国</w:t>
            </w:r>
            <w:r>
              <w:rPr>
                <w:rFonts w:ascii="Arial" w:hAnsi="Arial" w:cs="Arial"/>
                <w:kern w:val="0"/>
                <w:szCs w:val="21"/>
              </w:rPr>
              <w:t xml:space="preserve"> </w:t>
            </w:r>
          </w:p>
          <w:p w14:paraId="08B040A8" w14:textId="77777777" w:rsidR="00F50C35" w:rsidRDefault="00F50C35">
            <w:pPr>
              <w:adjustRightInd w:val="0"/>
              <w:snapToGrid w:val="0"/>
              <w:spacing w:line="360" w:lineRule="auto"/>
              <w:rPr>
                <w:rFonts w:ascii="Arial" w:hAnsi="Arial" w:cs="Arial"/>
                <w:kern w:val="0"/>
                <w:szCs w:val="21"/>
              </w:rPr>
            </w:pPr>
          </w:p>
        </w:tc>
        <w:tc>
          <w:tcPr>
            <w:tcW w:w="5714" w:type="dxa"/>
          </w:tcPr>
          <w:p w14:paraId="6CAD27C6"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指中华人民共和国（仅为本基金合同目的，不包括中国香港特别行政区、澳门特别行政区及台湾地区）；</w:t>
            </w:r>
          </w:p>
        </w:tc>
      </w:tr>
      <w:tr w:rsidR="00F50C35" w14:paraId="74382B83" w14:textId="77777777">
        <w:tc>
          <w:tcPr>
            <w:tcW w:w="2700" w:type="dxa"/>
          </w:tcPr>
          <w:p w14:paraId="0E6F2C6B"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中国证监会：</w:t>
            </w:r>
          </w:p>
        </w:tc>
        <w:tc>
          <w:tcPr>
            <w:tcW w:w="5714" w:type="dxa"/>
          </w:tcPr>
          <w:p w14:paraId="5A07B1AD"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指中国证券监督管理委员会；</w:t>
            </w:r>
          </w:p>
        </w:tc>
      </w:tr>
      <w:tr w:rsidR="00F50C35" w14:paraId="7D82BE84" w14:textId="77777777">
        <w:tc>
          <w:tcPr>
            <w:tcW w:w="2700" w:type="dxa"/>
          </w:tcPr>
          <w:p w14:paraId="29EA2F7C"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中国银监会：</w:t>
            </w:r>
          </w:p>
        </w:tc>
        <w:tc>
          <w:tcPr>
            <w:tcW w:w="5714" w:type="dxa"/>
          </w:tcPr>
          <w:p w14:paraId="182C7B4C"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指中国银行业监督管理委员会；</w:t>
            </w:r>
          </w:p>
        </w:tc>
      </w:tr>
      <w:tr w:rsidR="00F50C35" w14:paraId="7385856B" w14:textId="77777777">
        <w:tc>
          <w:tcPr>
            <w:tcW w:w="2700" w:type="dxa"/>
          </w:tcPr>
          <w:p w14:paraId="1BD3B8B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外管局：</w:t>
            </w:r>
          </w:p>
        </w:tc>
        <w:tc>
          <w:tcPr>
            <w:tcW w:w="5714" w:type="dxa"/>
          </w:tcPr>
          <w:p w14:paraId="24628B44"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指国家外汇管理局及其派出机构；</w:t>
            </w:r>
          </w:p>
        </w:tc>
      </w:tr>
      <w:tr w:rsidR="00F50C35" w14:paraId="176C2809" w14:textId="77777777">
        <w:tc>
          <w:tcPr>
            <w:tcW w:w="2700" w:type="dxa"/>
          </w:tcPr>
          <w:p w14:paraId="645C5247"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《证券法》：</w:t>
            </w:r>
          </w:p>
        </w:tc>
        <w:tc>
          <w:tcPr>
            <w:tcW w:w="5714" w:type="dxa"/>
          </w:tcPr>
          <w:p w14:paraId="44CD6A19"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指《中华人民共和国证券法》；</w:t>
            </w:r>
          </w:p>
        </w:tc>
      </w:tr>
      <w:tr w:rsidR="00F50C35" w14:paraId="4200F5B2" w14:textId="77777777">
        <w:tc>
          <w:tcPr>
            <w:tcW w:w="2700" w:type="dxa"/>
          </w:tcPr>
          <w:p w14:paraId="2B48AAC7"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《合同法》：</w:t>
            </w:r>
          </w:p>
        </w:tc>
        <w:tc>
          <w:tcPr>
            <w:tcW w:w="5714" w:type="dxa"/>
          </w:tcPr>
          <w:p w14:paraId="1DCC4F0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指《中华人民共和国合同法》；</w:t>
            </w:r>
          </w:p>
        </w:tc>
      </w:tr>
      <w:tr w:rsidR="00F50C35" w14:paraId="774BE98A" w14:textId="77777777">
        <w:tc>
          <w:tcPr>
            <w:tcW w:w="2700" w:type="dxa"/>
          </w:tcPr>
          <w:p w14:paraId="39DE76F2" w14:textId="77777777" w:rsidR="00F50C35" w:rsidRDefault="00FB66DA">
            <w:pPr>
              <w:adjustRightInd w:val="0"/>
              <w:snapToGrid w:val="0"/>
              <w:spacing w:line="360" w:lineRule="auto"/>
              <w:rPr>
                <w:rFonts w:ascii="Arial" w:hAnsi="宋体" w:cs="Arial"/>
                <w:kern w:val="0"/>
                <w:szCs w:val="21"/>
              </w:rPr>
            </w:pPr>
            <w:r>
              <w:rPr>
                <w:rFonts w:ascii="Arial" w:hAnsi="宋体" w:cs="Arial"/>
                <w:kern w:val="0"/>
                <w:szCs w:val="21"/>
              </w:rPr>
              <w:t>《基金法》：</w:t>
            </w:r>
          </w:p>
          <w:p w14:paraId="2685EE1E" w14:textId="77777777" w:rsidR="00F50C35" w:rsidRDefault="00FB66DA">
            <w:pPr>
              <w:adjustRightInd w:val="0"/>
              <w:snapToGrid w:val="0"/>
              <w:spacing w:line="360" w:lineRule="auto"/>
              <w:rPr>
                <w:rFonts w:ascii="Arial" w:hAnsi="Arial" w:cs="Arial"/>
                <w:kern w:val="0"/>
                <w:szCs w:val="21"/>
              </w:rPr>
            </w:pPr>
            <w:r>
              <w:rPr>
                <w:rFonts w:ascii="Arial" w:hAnsi="Arial" w:cs="Arial" w:hint="eastAsia"/>
                <w:kern w:val="0"/>
                <w:szCs w:val="21"/>
              </w:rPr>
              <w:t>《流动性风险管理规定》：</w:t>
            </w:r>
          </w:p>
        </w:tc>
        <w:tc>
          <w:tcPr>
            <w:tcW w:w="5714" w:type="dxa"/>
          </w:tcPr>
          <w:p w14:paraId="7B0CC452" w14:textId="77777777" w:rsidR="00F50C35" w:rsidRDefault="00FB66DA">
            <w:pPr>
              <w:adjustRightInd w:val="0"/>
              <w:snapToGrid w:val="0"/>
              <w:spacing w:line="360" w:lineRule="auto"/>
              <w:rPr>
                <w:rFonts w:ascii="Arial" w:hAnsi="宋体" w:cs="Arial"/>
                <w:kern w:val="0"/>
                <w:szCs w:val="21"/>
              </w:rPr>
            </w:pPr>
            <w:r>
              <w:rPr>
                <w:rFonts w:ascii="Arial" w:hAnsi="宋体" w:cs="Arial"/>
                <w:kern w:val="0"/>
                <w:szCs w:val="21"/>
              </w:rPr>
              <w:t>指《中华人民共和国证券投资基金法》；</w:t>
            </w:r>
          </w:p>
          <w:p w14:paraId="33D46C4F" w14:textId="77777777" w:rsidR="00F50C35" w:rsidRDefault="00FB66DA">
            <w:pPr>
              <w:adjustRightInd w:val="0"/>
              <w:snapToGrid w:val="0"/>
              <w:spacing w:line="360" w:lineRule="auto"/>
              <w:rPr>
                <w:rFonts w:ascii="Arial" w:hAnsi="Arial" w:cs="Arial"/>
                <w:kern w:val="0"/>
                <w:szCs w:val="21"/>
              </w:rPr>
            </w:pPr>
            <w:r>
              <w:rPr>
                <w:rFonts w:ascii="Arial" w:hAnsi="Arial" w:cs="Arial" w:hint="eastAsia"/>
                <w:kern w:val="0"/>
                <w:szCs w:val="21"/>
              </w:rPr>
              <w:t>指中国证监会</w:t>
            </w:r>
            <w:r>
              <w:rPr>
                <w:rFonts w:ascii="Arial" w:hAnsi="Arial" w:cs="Arial" w:hint="eastAsia"/>
                <w:kern w:val="0"/>
                <w:szCs w:val="21"/>
              </w:rPr>
              <w:t>2017</w:t>
            </w:r>
            <w:r>
              <w:rPr>
                <w:rFonts w:ascii="Arial" w:hAnsi="Arial" w:cs="Arial" w:hint="eastAsia"/>
                <w:kern w:val="0"/>
                <w:szCs w:val="21"/>
              </w:rPr>
              <w:t>年</w:t>
            </w:r>
            <w:r>
              <w:rPr>
                <w:rFonts w:ascii="Arial" w:hAnsi="Arial" w:cs="Arial" w:hint="eastAsia"/>
                <w:kern w:val="0"/>
                <w:szCs w:val="21"/>
              </w:rPr>
              <w:t>8</w:t>
            </w:r>
            <w:r>
              <w:rPr>
                <w:rFonts w:ascii="Arial" w:hAnsi="Arial" w:cs="Arial" w:hint="eastAsia"/>
                <w:kern w:val="0"/>
                <w:szCs w:val="21"/>
              </w:rPr>
              <w:t>月</w:t>
            </w:r>
            <w:r>
              <w:rPr>
                <w:rFonts w:ascii="Arial" w:hAnsi="Arial" w:cs="Arial" w:hint="eastAsia"/>
                <w:kern w:val="0"/>
                <w:szCs w:val="21"/>
              </w:rPr>
              <w:t>31</w:t>
            </w:r>
            <w:r>
              <w:rPr>
                <w:rFonts w:ascii="Arial" w:hAnsi="Arial" w:cs="Arial" w:hint="eastAsia"/>
                <w:kern w:val="0"/>
                <w:szCs w:val="21"/>
              </w:rPr>
              <w:t>日颁布、同年</w:t>
            </w:r>
            <w:r>
              <w:rPr>
                <w:rFonts w:ascii="Arial" w:hAnsi="Arial" w:cs="Arial" w:hint="eastAsia"/>
                <w:kern w:val="0"/>
                <w:szCs w:val="21"/>
              </w:rPr>
              <w:t>10</w:t>
            </w:r>
            <w:r>
              <w:rPr>
                <w:rFonts w:ascii="Arial" w:hAnsi="Arial" w:cs="Arial" w:hint="eastAsia"/>
                <w:kern w:val="0"/>
                <w:szCs w:val="21"/>
              </w:rPr>
              <w:t>月</w:t>
            </w:r>
            <w:r>
              <w:rPr>
                <w:rFonts w:ascii="Arial" w:hAnsi="Arial" w:cs="Arial" w:hint="eastAsia"/>
                <w:kern w:val="0"/>
                <w:szCs w:val="21"/>
              </w:rPr>
              <w:t>1</w:t>
            </w:r>
            <w:r>
              <w:rPr>
                <w:rFonts w:ascii="Arial" w:hAnsi="Arial" w:cs="Arial" w:hint="eastAsia"/>
                <w:kern w:val="0"/>
                <w:szCs w:val="21"/>
              </w:rPr>
              <w:t>日实施的《公开募集开放式证券投资基金流动性风险管理规定》及颁布机关对其不时做出的修订；</w:t>
            </w:r>
          </w:p>
        </w:tc>
      </w:tr>
      <w:tr w:rsidR="00F50C35" w14:paraId="654BE1ED" w14:textId="77777777">
        <w:tc>
          <w:tcPr>
            <w:tcW w:w="2700" w:type="dxa"/>
          </w:tcPr>
          <w:p w14:paraId="364B40FB" w14:textId="77777777" w:rsidR="00F50C35" w:rsidRDefault="00FB66DA">
            <w:pPr>
              <w:adjustRightInd w:val="0"/>
              <w:snapToGrid w:val="0"/>
              <w:spacing w:line="360" w:lineRule="auto"/>
              <w:rPr>
                <w:rFonts w:ascii="Arial" w:hAnsi="宋体" w:cs="Arial"/>
                <w:kern w:val="0"/>
                <w:szCs w:val="21"/>
              </w:rPr>
            </w:pPr>
            <w:r>
              <w:rPr>
                <w:rFonts w:ascii="Arial" w:hAnsi="宋体" w:cs="Arial" w:hint="eastAsia"/>
                <w:kern w:val="0"/>
                <w:szCs w:val="21"/>
              </w:rPr>
              <w:t>《信息披露办法》：</w:t>
            </w:r>
          </w:p>
        </w:tc>
        <w:tc>
          <w:tcPr>
            <w:tcW w:w="5714" w:type="dxa"/>
          </w:tcPr>
          <w:p w14:paraId="00089BC1" w14:textId="77777777" w:rsidR="00F50C35" w:rsidRDefault="00FB66DA">
            <w:pPr>
              <w:adjustRightInd w:val="0"/>
              <w:snapToGrid w:val="0"/>
              <w:spacing w:line="360" w:lineRule="auto"/>
              <w:rPr>
                <w:rFonts w:ascii="Arial" w:hAnsi="宋体" w:cs="Arial"/>
                <w:kern w:val="0"/>
                <w:szCs w:val="21"/>
              </w:rPr>
            </w:pPr>
            <w:r>
              <w:rPr>
                <w:bCs/>
                <w:szCs w:val="21"/>
              </w:rPr>
              <w:t>指中国证监会</w:t>
            </w:r>
            <w:r>
              <w:rPr>
                <w:bCs/>
                <w:szCs w:val="21"/>
              </w:rPr>
              <w:t>2019</w:t>
            </w:r>
            <w:r>
              <w:rPr>
                <w:bCs/>
                <w:szCs w:val="21"/>
              </w:rPr>
              <w:t>年</w:t>
            </w:r>
            <w:r>
              <w:rPr>
                <w:bCs/>
                <w:szCs w:val="21"/>
              </w:rPr>
              <w:t>7</w:t>
            </w:r>
            <w:r>
              <w:rPr>
                <w:bCs/>
                <w:szCs w:val="21"/>
              </w:rPr>
              <w:t>月</w:t>
            </w:r>
            <w:r>
              <w:rPr>
                <w:bCs/>
                <w:szCs w:val="21"/>
              </w:rPr>
              <w:t>26</w:t>
            </w:r>
            <w:r>
              <w:rPr>
                <w:bCs/>
                <w:szCs w:val="21"/>
              </w:rPr>
              <w:t>日颁布、同年</w:t>
            </w:r>
            <w:r>
              <w:rPr>
                <w:bCs/>
                <w:szCs w:val="21"/>
              </w:rPr>
              <w:t>9</w:t>
            </w:r>
            <w:r>
              <w:rPr>
                <w:bCs/>
                <w:szCs w:val="21"/>
              </w:rPr>
              <w:t>月</w:t>
            </w:r>
            <w:r>
              <w:rPr>
                <w:bCs/>
                <w:szCs w:val="21"/>
              </w:rPr>
              <w:t>1</w:t>
            </w:r>
            <w:r>
              <w:rPr>
                <w:bCs/>
                <w:szCs w:val="21"/>
              </w:rPr>
              <w:t>日实施的《</w:t>
            </w:r>
            <w:r>
              <w:rPr>
                <w:rFonts w:hint="eastAsia"/>
                <w:bCs/>
                <w:szCs w:val="21"/>
              </w:rPr>
              <w:t>公开募集</w:t>
            </w:r>
            <w:r>
              <w:rPr>
                <w:bCs/>
                <w:szCs w:val="21"/>
              </w:rPr>
              <w:t>证券投资基金信息披露管理办法》及颁布机关对其不时做出的修订</w:t>
            </w:r>
            <w:r>
              <w:rPr>
                <w:rFonts w:hint="eastAsia"/>
                <w:bCs/>
                <w:szCs w:val="21"/>
              </w:rPr>
              <w:t>；</w:t>
            </w:r>
          </w:p>
        </w:tc>
      </w:tr>
      <w:tr w:rsidR="00F50C35" w14:paraId="322E12BF" w14:textId="77777777">
        <w:tc>
          <w:tcPr>
            <w:tcW w:w="2700" w:type="dxa"/>
          </w:tcPr>
          <w:p w14:paraId="2B271E63"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元：</w:t>
            </w:r>
          </w:p>
        </w:tc>
        <w:tc>
          <w:tcPr>
            <w:tcW w:w="5714" w:type="dxa"/>
          </w:tcPr>
          <w:p w14:paraId="16C5828D"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如无特指，指人民币；</w:t>
            </w:r>
          </w:p>
        </w:tc>
      </w:tr>
      <w:tr w:rsidR="00F50C35" w14:paraId="0031480D" w14:textId="77777777">
        <w:tc>
          <w:tcPr>
            <w:tcW w:w="2700" w:type="dxa"/>
          </w:tcPr>
          <w:p w14:paraId="2C91F3B8"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基金合同当事人：</w:t>
            </w:r>
          </w:p>
        </w:tc>
        <w:tc>
          <w:tcPr>
            <w:tcW w:w="5714" w:type="dxa"/>
          </w:tcPr>
          <w:p w14:paraId="763F9482"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指受本《基金合同》约束，根据本《基金合同》享受权利并承担义务的法律主体，包括基金管理人、基金托管人和基金份额持有人；</w:t>
            </w:r>
          </w:p>
        </w:tc>
      </w:tr>
      <w:tr w:rsidR="00F50C35" w14:paraId="1830523D" w14:textId="77777777">
        <w:tc>
          <w:tcPr>
            <w:tcW w:w="2700" w:type="dxa"/>
          </w:tcPr>
          <w:p w14:paraId="7DA5C1E8"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基金管理人：</w:t>
            </w:r>
          </w:p>
        </w:tc>
        <w:tc>
          <w:tcPr>
            <w:tcW w:w="5714" w:type="dxa"/>
          </w:tcPr>
          <w:p w14:paraId="5B0CE169"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指博时基金管理有限公司；</w:t>
            </w:r>
          </w:p>
        </w:tc>
      </w:tr>
      <w:tr w:rsidR="00F50C35" w14:paraId="24AC987F" w14:textId="77777777">
        <w:tc>
          <w:tcPr>
            <w:tcW w:w="2700" w:type="dxa"/>
          </w:tcPr>
          <w:p w14:paraId="10CFA084"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基金托管人：</w:t>
            </w:r>
          </w:p>
        </w:tc>
        <w:tc>
          <w:tcPr>
            <w:tcW w:w="5714" w:type="dxa"/>
          </w:tcPr>
          <w:p w14:paraId="084D9DD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指中国银行股份有限公司；</w:t>
            </w:r>
          </w:p>
        </w:tc>
      </w:tr>
      <w:tr w:rsidR="00F50C35" w14:paraId="6A14614F" w14:textId="77777777">
        <w:tc>
          <w:tcPr>
            <w:tcW w:w="2700" w:type="dxa"/>
          </w:tcPr>
          <w:p w14:paraId="0C6308BF"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境外托管人：</w:t>
            </w:r>
          </w:p>
        </w:tc>
        <w:tc>
          <w:tcPr>
            <w:tcW w:w="5714" w:type="dxa"/>
          </w:tcPr>
          <w:p w14:paraId="4E533B3D"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指基金托管人委托的、负责基金</w:t>
            </w:r>
            <w:r>
              <w:rPr>
                <w:rFonts w:ascii="Arial" w:hAnsi="宋体" w:cs="Arial"/>
                <w:color w:val="000000"/>
                <w:kern w:val="0"/>
                <w:szCs w:val="21"/>
              </w:rPr>
              <w:t>境外</w:t>
            </w:r>
            <w:r>
              <w:rPr>
                <w:rFonts w:ascii="Arial" w:hAnsi="宋体" w:cs="Arial"/>
                <w:kern w:val="0"/>
                <w:szCs w:val="21"/>
              </w:rPr>
              <w:t>财产的保管、存管、清</w:t>
            </w:r>
            <w:r>
              <w:rPr>
                <w:rFonts w:ascii="Arial" w:hAnsi="宋体" w:cs="Arial"/>
                <w:kern w:val="0"/>
                <w:szCs w:val="21"/>
              </w:rPr>
              <w:lastRenderedPageBreak/>
              <w:t>算等业务的金融机构；</w:t>
            </w:r>
          </w:p>
        </w:tc>
      </w:tr>
      <w:tr w:rsidR="00F50C35" w14:paraId="323A7CF8" w14:textId="77777777">
        <w:tc>
          <w:tcPr>
            <w:tcW w:w="2700" w:type="dxa"/>
          </w:tcPr>
          <w:p w14:paraId="2AE5FED9"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lastRenderedPageBreak/>
              <w:t>注册登记业务：</w:t>
            </w:r>
          </w:p>
        </w:tc>
        <w:tc>
          <w:tcPr>
            <w:tcW w:w="5714" w:type="dxa"/>
          </w:tcPr>
          <w:p w14:paraId="546E9AE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指本基金登记、存管、清算和交收业务，具体内容包括投资者基金账户管理、基金份额注册登记、清算及基金交易确认、发放红利、建立并保管基金份额持有人名册等；</w:t>
            </w:r>
          </w:p>
        </w:tc>
      </w:tr>
      <w:tr w:rsidR="00F50C35" w14:paraId="40BC9527" w14:textId="77777777">
        <w:tc>
          <w:tcPr>
            <w:tcW w:w="2700" w:type="dxa"/>
          </w:tcPr>
          <w:p w14:paraId="08D90E23"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注册登记机构：</w:t>
            </w:r>
          </w:p>
        </w:tc>
        <w:tc>
          <w:tcPr>
            <w:tcW w:w="5714" w:type="dxa"/>
          </w:tcPr>
          <w:p w14:paraId="0A00189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指办理本基金注册登记业务的机构。本基金的注册登记机构为博时基金管理有限公司；</w:t>
            </w:r>
          </w:p>
        </w:tc>
      </w:tr>
      <w:tr w:rsidR="00F50C35" w14:paraId="2FDEF383" w14:textId="77777777">
        <w:tc>
          <w:tcPr>
            <w:tcW w:w="2700" w:type="dxa"/>
          </w:tcPr>
          <w:p w14:paraId="1DB2BE67"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投资者：</w:t>
            </w:r>
          </w:p>
        </w:tc>
        <w:tc>
          <w:tcPr>
            <w:tcW w:w="5714" w:type="dxa"/>
          </w:tcPr>
          <w:p w14:paraId="6D3F48F6"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指个人投资者、机构投资者和法律法规或中国证监会允许购买证券投资基金的其他投资者；</w:t>
            </w:r>
          </w:p>
        </w:tc>
      </w:tr>
      <w:tr w:rsidR="00F50C35" w14:paraId="32EDBA5E" w14:textId="77777777">
        <w:tc>
          <w:tcPr>
            <w:tcW w:w="2700" w:type="dxa"/>
          </w:tcPr>
          <w:p w14:paraId="1730C308"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个人投资者：</w:t>
            </w:r>
          </w:p>
        </w:tc>
        <w:tc>
          <w:tcPr>
            <w:tcW w:w="5714" w:type="dxa"/>
          </w:tcPr>
          <w:p w14:paraId="44B6C699"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指依据中华人民共和国有关法律法规可以投资于证券投资基金的自然人；</w:t>
            </w:r>
          </w:p>
        </w:tc>
      </w:tr>
      <w:tr w:rsidR="00F50C35" w14:paraId="7C3ED417" w14:textId="77777777">
        <w:tc>
          <w:tcPr>
            <w:tcW w:w="2700" w:type="dxa"/>
          </w:tcPr>
          <w:p w14:paraId="6513795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机构投资者：</w:t>
            </w:r>
          </w:p>
        </w:tc>
        <w:tc>
          <w:tcPr>
            <w:tcW w:w="5714" w:type="dxa"/>
          </w:tcPr>
          <w:p w14:paraId="3724077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指在中国境内合法注册登记或经有权政府部门批准设立和有效存续并依法可以投资于证券投资基金的企业法人、事业法人、社会团体或其他组织；</w:t>
            </w:r>
          </w:p>
        </w:tc>
      </w:tr>
      <w:tr w:rsidR="00F50C35" w14:paraId="54E9E9DB" w14:textId="77777777">
        <w:tc>
          <w:tcPr>
            <w:tcW w:w="2700" w:type="dxa"/>
          </w:tcPr>
          <w:p w14:paraId="115B663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基金份额持有人：</w:t>
            </w:r>
          </w:p>
        </w:tc>
        <w:tc>
          <w:tcPr>
            <w:tcW w:w="5714" w:type="dxa"/>
          </w:tcPr>
          <w:p w14:paraId="7A6D79E3"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指依招募说明书和基金合同合法取得本基金基金份额的投资者；</w:t>
            </w:r>
          </w:p>
        </w:tc>
      </w:tr>
      <w:tr w:rsidR="00F50C35" w14:paraId="5DD79928" w14:textId="77777777">
        <w:tc>
          <w:tcPr>
            <w:tcW w:w="2700" w:type="dxa"/>
          </w:tcPr>
          <w:p w14:paraId="2CBD621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基金募集期：</w:t>
            </w:r>
          </w:p>
        </w:tc>
        <w:tc>
          <w:tcPr>
            <w:tcW w:w="5714" w:type="dxa"/>
          </w:tcPr>
          <w:p w14:paraId="78688C34"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指基金合同和招募说明书中载明，并经中国证监会核准的基金份额募集期限，自基金份额发售之日起最长不超过三个月；</w:t>
            </w:r>
          </w:p>
        </w:tc>
      </w:tr>
      <w:tr w:rsidR="00F50C35" w14:paraId="078A6340" w14:textId="77777777">
        <w:tc>
          <w:tcPr>
            <w:tcW w:w="2700" w:type="dxa"/>
          </w:tcPr>
          <w:p w14:paraId="331B6D8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基金合同生效日：</w:t>
            </w:r>
          </w:p>
        </w:tc>
        <w:tc>
          <w:tcPr>
            <w:tcW w:w="5714" w:type="dxa"/>
          </w:tcPr>
          <w:p w14:paraId="3E4566ED"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基金募集达到法律规定及基金合同约定的条件，基金管理人聘请法定机构验资并办理完毕基金合同备案手续</w:t>
            </w:r>
            <w:r>
              <w:rPr>
                <w:rFonts w:ascii="Arial" w:hAnsi="Arial" w:cs="Arial"/>
                <w:kern w:val="0"/>
                <w:szCs w:val="21"/>
              </w:rPr>
              <w:t>,</w:t>
            </w:r>
            <w:r>
              <w:rPr>
                <w:rFonts w:ascii="Arial" w:hAnsi="宋体" w:cs="Arial"/>
                <w:kern w:val="0"/>
                <w:szCs w:val="21"/>
              </w:rPr>
              <w:t>获得中国证监会书面确认之日；</w:t>
            </w:r>
          </w:p>
        </w:tc>
      </w:tr>
      <w:tr w:rsidR="00F50C35" w14:paraId="58707FC4" w14:textId="77777777">
        <w:tc>
          <w:tcPr>
            <w:tcW w:w="2700" w:type="dxa"/>
          </w:tcPr>
          <w:p w14:paraId="630E36DC"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存续期：</w:t>
            </w:r>
          </w:p>
        </w:tc>
        <w:tc>
          <w:tcPr>
            <w:tcW w:w="5714" w:type="dxa"/>
          </w:tcPr>
          <w:p w14:paraId="335B80FF"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指本基金合同生效至终止之间的不定期期限；</w:t>
            </w:r>
          </w:p>
        </w:tc>
      </w:tr>
      <w:tr w:rsidR="00F50C35" w14:paraId="6E5380EA" w14:textId="77777777">
        <w:tc>
          <w:tcPr>
            <w:tcW w:w="2700" w:type="dxa"/>
          </w:tcPr>
          <w:p w14:paraId="6EE266D4" w14:textId="77777777" w:rsidR="00F50C35" w:rsidRDefault="00FB66DA">
            <w:pPr>
              <w:adjustRightInd w:val="0"/>
              <w:snapToGrid w:val="0"/>
              <w:spacing w:line="360" w:lineRule="auto"/>
              <w:rPr>
                <w:rFonts w:ascii="Arial" w:hAnsi="Arial" w:cs="Arial"/>
                <w:kern w:val="0"/>
                <w:szCs w:val="21"/>
              </w:rPr>
            </w:pPr>
            <w:r>
              <w:rPr>
                <w:rFonts w:ascii="Arial" w:hAnsi="宋体" w:cs="Arial"/>
              </w:rPr>
              <w:t>日</w:t>
            </w:r>
            <w:r>
              <w:rPr>
                <w:rFonts w:ascii="Arial" w:hAnsi="Arial" w:cs="Arial"/>
              </w:rPr>
              <w:t>/</w:t>
            </w:r>
            <w:r>
              <w:rPr>
                <w:rFonts w:ascii="Arial" w:hAnsi="宋体" w:cs="Arial"/>
              </w:rPr>
              <w:t>天</w:t>
            </w:r>
            <w:r>
              <w:rPr>
                <w:rFonts w:ascii="Arial" w:hAnsi="宋体" w:cs="Arial" w:hint="eastAsia"/>
              </w:rPr>
              <w:t>：</w:t>
            </w:r>
          </w:p>
        </w:tc>
        <w:tc>
          <w:tcPr>
            <w:tcW w:w="5714" w:type="dxa"/>
          </w:tcPr>
          <w:p w14:paraId="7E8FD10B" w14:textId="77777777" w:rsidR="00F50C35" w:rsidRDefault="00FB66DA">
            <w:pPr>
              <w:adjustRightInd w:val="0"/>
              <w:snapToGrid w:val="0"/>
              <w:spacing w:line="360" w:lineRule="auto"/>
              <w:rPr>
                <w:rFonts w:ascii="Arial" w:hAnsi="Arial" w:cs="Arial"/>
                <w:kern w:val="0"/>
                <w:szCs w:val="21"/>
              </w:rPr>
            </w:pPr>
            <w:r>
              <w:rPr>
                <w:rFonts w:ascii="Arial" w:hAnsi="宋体" w:cs="Arial"/>
              </w:rPr>
              <w:t>指公历日</w:t>
            </w:r>
            <w:r>
              <w:rPr>
                <w:rFonts w:ascii="Arial" w:hAnsi="宋体" w:cs="Arial" w:hint="eastAsia"/>
              </w:rPr>
              <w:t>；</w:t>
            </w:r>
          </w:p>
        </w:tc>
      </w:tr>
      <w:tr w:rsidR="00F50C35" w14:paraId="4964CBE2" w14:textId="77777777">
        <w:tc>
          <w:tcPr>
            <w:tcW w:w="2700" w:type="dxa"/>
          </w:tcPr>
          <w:p w14:paraId="14857CD5" w14:textId="77777777" w:rsidR="00F50C35" w:rsidRDefault="00FB66DA">
            <w:pPr>
              <w:adjustRightInd w:val="0"/>
              <w:snapToGrid w:val="0"/>
              <w:spacing w:line="360" w:lineRule="auto"/>
              <w:rPr>
                <w:rFonts w:ascii="Arial" w:hAnsi="Arial" w:cs="Arial"/>
                <w:kern w:val="0"/>
                <w:szCs w:val="21"/>
              </w:rPr>
            </w:pPr>
            <w:r>
              <w:rPr>
                <w:rFonts w:ascii="Arial" w:hAnsi="宋体" w:cs="Arial"/>
              </w:rPr>
              <w:t>月</w:t>
            </w:r>
            <w:r>
              <w:rPr>
                <w:rFonts w:ascii="Arial" w:hAnsi="宋体" w:cs="Arial" w:hint="eastAsia"/>
              </w:rPr>
              <w:t>：</w:t>
            </w:r>
          </w:p>
        </w:tc>
        <w:tc>
          <w:tcPr>
            <w:tcW w:w="5714" w:type="dxa"/>
          </w:tcPr>
          <w:p w14:paraId="6012B98A" w14:textId="77777777" w:rsidR="00F50C35" w:rsidRDefault="00FB66DA">
            <w:pPr>
              <w:adjustRightInd w:val="0"/>
              <w:snapToGrid w:val="0"/>
              <w:spacing w:line="360" w:lineRule="auto"/>
              <w:rPr>
                <w:rFonts w:ascii="Arial" w:hAnsi="Arial" w:cs="Arial"/>
                <w:kern w:val="0"/>
                <w:szCs w:val="21"/>
              </w:rPr>
            </w:pPr>
            <w:r>
              <w:rPr>
                <w:rFonts w:ascii="Arial" w:hAnsi="宋体" w:cs="Arial"/>
              </w:rPr>
              <w:t>指公历月</w:t>
            </w:r>
            <w:r>
              <w:rPr>
                <w:rFonts w:ascii="Arial" w:hAnsi="宋体" w:cs="Arial" w:hint="eastAsia"/>
              </w:rPr>
              <w:t>；</w:t>
            </w:r>
          </w:p>
        </w:tc>
      </w:tr>
      <w:tr w:rsidR="00F50C35" w14:paraId="7654CCD0" w14:textId="77777777">
        <w:tc>
          <w:tcPr>
            <w:tcW w:w="2700" w:type="dxa"/>
          </w:tcPr>
          <w:p w14:paraId="3AEE746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工作日：</w:t>
            </w:r>
          </w:p>
        </w:tc>
        <w:tc>
          <w:tcPr>
            <w:tcW w:w="5714" w:type="dxa"/>
          </w:tcPr>
          <w:p w14:paraId="68F4119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指上海证券交易所和深圳证券交易所</w:t>
            </w:r>
            <w:r>
              <w:rPr>
                <w:rFonts w:ascii="Arial" w:hAnsi="宋体" w:cs="Arial"/>
                <w:color w:val="000000"/>
                <w:szCs w:val="21"/>
              </w:rPr>
              <w:t>的正常交易日</w:t>
            </w:r>
            <w:r>
              <w:rPr>
                <w:rFonts w:ascii="Arial" w:hAnsi="宋体" w:cs="Arial"/>
                <w:kern w:val="0"/>
                <w:szCs w:val="21"/>
              </w:rPr>
              <w:t>；</w:t>
            </w:r>
          </w:p>
        </w:tc>
      </w:tr>
      <w:tr w:rsidR="00F50C35" w14:paraId="76B7EB0A" w14:textId="77777777">
        <w:tc>
          <w:tcPr>
            <w:tcW w:w="2700" w:type="dxa"/>
          </w:tcPr>
          <w:p w14:paraId="2E422F6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开放日：</w:t>
            </w:r>
          </w:p>
        </w:tc>
        <w:tc>
          <w:tcPr>
            <w:tcW w:w="5714" w:type="dxa"/>
          </w:tcPr>
          <w:p w14:paraId="3C21C60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指基金管理人指为投资者办理基金申购、赎回等业务的工作日；</w:t>
            </w:r>
          </w:p>
        </w:tc>
      </w:tr>
      <w:tr w:rsidR="00F50C35" w14:paraId="0C15F37A" w14:textId="77777777">
        <w:tc>
          <w:tcPr>
            <w:tcW w:w="2700" w:type="dxa"/>
          </w:tcPr>
          <w:p w14:paraId="08C0C450"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认购：</w:t>
            </w:r>
          </w:p>
        </w:tc>
        <w:tc>
          <w:tcPr>
            <w:tcW w:w="5714" w:type="dxa"/>
          </w:tcPr>
          <w:p w14:paraId="6637F74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指在基金募集期内，投资者按照本基金合同的规定申请购买本基金基金份额的行为；</w:t>
            </w:r>
          </w:p>
        </w:tc>
      </w:tr>
      <w:tr w:rsidR="00F50C35" w14:paraId="503BBB9C" w14:textId="77777777">
        <w:tc>
          <w:tcPr>
            <w:tcW w:w="2700" w:type="dxa"/>
          </w:tcPr>
          <w:p w14:paraId="412A47E4"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申购：</w:t>
            </w:r>
          </w:p>
        </w:tc>
        <w:tc>
          <w:tcPr>
            <w:tcW w:w="5714" w:type="dxa"/>
          </w:tcPr>
          <w:p w14:paraId="0E14D4F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指在本基金合同生效后的存续期间，投资者申请购买本基金基金份额的行为；</w:t>
            </w:r>
          </w:p>
        </w:tc>
      </w:tr>
      <w:tr w:rsidR="00F50C35" w14:paraId="285B6181" w14:textId="77777777">
        <w:tc>
          <w:tcPr>
            <w:tcW w:w="2700" w:type="dxa"/>
          </w:tcPr>
          <w:p w14:paraId="1E993760"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赎回：</w:t>
            </w:r>
          </w:p>
        </w:tc>
        <w:tc>
          <w:tcPr>
            <w:tcW w:w="5714" w:type="dxa"/>
          </w:tcPr>
          <w:p w14:paraId="76EE205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指在本基金合同生效后的存续期间，基金份额持有人</w:t>
            </w:r>
            <w:r>
              <w:rPr>
                <w:rFonts w:ascii="Arial" w:hAnsi="宋体" w:cs="Arial"/>
                <w:color w:val="000000"/>
                <w:szCs w:val="21"/>
              </w:rPr>
              <w:t>按基金合同规定的条件要求基金管理人购回</w:t>
            </w:r>
            <w:r>
              <w:rPr>
                <w:rFonts w:ascii="Arial" w:hAnsi="宋体" w:cs="Arial"/>
                <w:kern w:val="0"/>
                <w:szCs w:val="21"/>
              </w:rPr>
              <w:t>本基金基金份额的行为；</w:t>
            </w:r>
          </w:p>
        </w:tc>
      </w:tr>
      <w:tr w:rsidR="00F50C35" w14:paraId="5420C4C1" w14:textId="77777777">
        <w:tc>
          <w:tcPr>
            <w:tcW w:w="2700" w:type="dxa"/>
          </w:tcPr>
          <w:p w14:paraId="54B858D2"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基金转换：</w:t>
            </w:r>
          </w:p>
        </w:tc>
        <w:tc>
          <w:tcPr>
            <w:tcW w:w="5714" w:type="dxa"/>
          </w:tcPr>
          <w:p w14:paraId="3F344AA7"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指基金份额持有人按基金管理人规定的条件，申请将其持有</w:t>
            </w:r>
            <w:r>
              <w:rPr>
                <w:rFonts w:ascii="Arial" w:hAnsi="宋体" w:cs="Arial"/>
                <w:kern w:val="0"/>
                <w:szCs w:val="21"/>
              </w:rPr>
              <w:lastRenderedPageBreak/>
              <w:t>的基金管理人管理的某一基金的基金份额转换为基金管理人管理的</w:t>
            </w:r>
            <w:r>
              <w:rPr>
                <w:rFonts w:ascii="Arial" w:hAnsi="Arial" w:cs="Arial"/>
                <w:kern w:val="0"/>
                <w:szCs w:val="21"/>
              </w:rPr>
              <w:t>、且在同一基金注册登记机构办理注册登记的</w:t>
            </w:r>
            <w:r>
              <w:rPr>
                <w:rFonts w:ascii="Arial" w:hAnsi="宋体" w:cs="Arial"/>
                <w:kern w:val="0"/>
                <w:szCs w:val="21"/>
              </w:rPr>
              <w:t>其他基金的基金份额的行为；</w:t>
            </w:r>
          </w:p>
        </w:tc>
      </w:tr>
      <w:tr w:rsidR="00F50C35" w14:paraId="5EDDFE38" w14:textId="77777777">
        <w:tc>
          <w:tcPr>
            <w:tcW w:w="2700" w:type="dxa"/>
          </w:tcPr>
          <w:p w14:paraId="08290306"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lastRenderedPageBreak/>
              <w:t>转托管：</w:t>
            </w:r>
          </w:p>
        </w:tc>
        <w:tc>
          <w:tcPr>
            <w:tcW w:w="5714" w:type="dxa"/>
          </w:tcPr>
          <w:p w14:paraId="2865A7A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基金份额持有人将其基金账户内的某一基金的基金份额从一个销售机构托管到另一销售机构的行为；</w:t>
            </w:r>
          </w:p>
        </w:tc>
      </w:tr>
      <w:tr w:rsidR="00F50C35" w14:paraId="13082B94" w14:textId="77777777">
        <w:tc>
          <w:tcPr>
            <w:tcW w:w="2700" w:type="dxa"/>
          </w:tcPr>
          <w:p w14:paraId="056EA5E8"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投资指令：</w:t>
            </w:r>
          </w:p>
        </w:tc>
        <w:tc>
          <w:tcPr>
            <w:tcW w:w="5714" w:type="dxa"/>
          </w:tcPr>
          <w:p w14:paraId="00DF568E"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指基金管理人或其委托的第三方机构在运用基金财产进行投资时，向基金托管人发出的资金划拨及实物券调拨等指令；</w:t>
            </w:r>
          </w:p>
        </w:tc>
      </w:tr>
      <w:tr w:rsidR="00F50C35" w14:paraId="1A2BB09A" w14:textId="77777777">
        <w:tc>
          <w:tcPr>
            <w:tcW w:w="2700" w:type="dxa"/>
          </w:tcPr>
          <w:p w14:paraId="3B7C83C4"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代销机构：</w:t>
            </w:r>
          </w:p>
        </w:tc>
        <w:tc>
          <w:tcPr>
            <w:tcW w:w="5714" w:type="dxa"/>
          </w:tcPr>
          <w:p w14:paraId="32D7C19F"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w:t>
            </w:r>
            <w:r>
              <w:rPr>
                <w:rFonts w:ascii="Arial" w:hAnsi="宋体" w:cs="Arial"/>
                <w:szCs w:val="21"/>
              </w:rPr>
              <w:t>符合《销售办法》和中国证监会规定的其他条件，取得基金代销业务资格，并</w:t>
            </w:r>
            <w:r>
              <w:rPr>
                <w:rFonts w:ascii="Arial" w:hAnsi="宋体" w:cs="Arial"/>
                <w:kern w:val="0"/>
                <w:szCs w:val="21"/>
              </w:rPr>
              <w:t>接受基金管理人委托代为办理本基金认购、申购、赎回和其他基金业务的机构；</w:t>
            </w:r>
          </w:p>
        </w:tc>
      </w:tr>
      <w:tr w:rsidR="00F50C35" w14:paraId="4BCDCA3F" w14:textId="77777777">
        <w:tc>
          <w:tcPr>
            <w:tcW w:w="2700" w:type="dxa"/>
          </w:tcPr>
          <w:p w14:paraId="1922D47F"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销售机构：</w:t>
            </w:r>
          </w:p>
        </w:tc>
        <w:tc>
          <w:tcPr>
            <w:tcW w:w="5714" w:type="dxa"/>
          </w:tcPr>
          <w:p w14:paraId="683EC9B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指基金管理人及本基金代销机构；</w:t>
            </w:r>
          </w:p>
        </w:tc>
      </w:tr>
      <w:tr w:rsidR="00F50C35" w14:paraId="73987BAF" w14:textId="77777777">
        <w:tc>
          <w:tcPr>
            <w:tcW w:w="2700" w:type="dxa"/>
          </w:tcPr>
          <w:p w14:paraId="30D4BF62"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基金销售网点：</w:t>
            </w:r>
          </w:p>
        </w:tc>
        <w:tc>
          <w:tcPr>
            <w:tcW w:w="5714" w:type="dxa"/>
          </w:tcPr>
          <w:p w14:paraId="6CBEED0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指基金管理人的直销中心及基金代销机构的代销网点；</w:t>
            </w:r>
          </w:p>
        </w:tc>
      </w:tr>
      <w:tr w:rsidR="00F50C35" w14:paraId="298B3C8F" w14:textId="77777777">
        <w:tc>
          <w:tcPr>
            <w:tcW w:w="2700" w:type="dxa"/>
          </w:tcPr>
          <w:p w14:paraId="3BCDEDDF" w14:textId="566458AC"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指定媒介：</w:t>
            </w:r>
          </w:p>
        </w:tc>
        <w:tc>
          <w:tcPr>
            <w:tcW w:w="5714" w:type="dxa"/>
          </w:tcPr>
          <w:p w14:paraId="662B633E" w14:textId="44F8E174" w:rsidR="00F50C35" w:rsidRDefault="00FB66DA">
            <w:pPr>
              <w:adjustRightInd w:val="0"/>
              <w:snapToGrid w:val="0"/>
              <w:spacing w:line="360" w:lineRule="auto"/>
              <w:rPr>
                <w:rFonts w:ascii="Arial" w:hAnsi="Arial" w:cs="Arial"/>
                <w:kern w:val="0"/>
                <w:szCs w:val="21"/>
              </w:rPr>
            </w:pPr>
            <w:r>
              <w:rPr>
                <w:rFonts w:ascii="Arial" w:hAnsi="宋体" w:cs="Arial" w:hint="eastAsia"/>
                <w:kern w:val="0"/>
                <w:szCs w:val="21"/>
              </w:rPr>
              <w:t>指中国证监会指定的用以进行信息披露的全国性报刊及指定互联网网站（包括基金管理人网站、基金托管人网站、中国证监会基金电子披露网站）等媒介</w:t>
            </w:r>
            <w:r>
              <w:rPr>
                <w:rFonts w:ascii="Arial" w:hAnsi="宋体" w:cs="Arial"/>
                <w:kern w:val="0"/>
                <w:szCs w:val="21"/>
              </w:rPr>
              <w:t>；</w:t>
            </w:r>
          </w:p>
        </w:tc>
      </w:tr>
      <w:tr w:rsidR="00F50C35" w14:paraId="71FB363D" w14:textId="77777777">
        <w:tc>
          <w:tcPr>
            <w:tcW w:w="2700" w:type="dxa"/>
          </w:tcPr>
          <w:p w14:paraId="5D9EF72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基金账户：</w:t>
            </w:r>
          </w:p>
        </w:tc>
        <w:tc>
          <w:tcPr>
            <w:tcW w:w="5714" w:type="dxa"/>
          </w:tcPr>
          <w:p w14:paraId="367CEF75"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指注册登记机构为投资者开立的记录其持有的由该注册登记机构办理注册登记的基金份额余额及其变动情况的账户；</w:t>
            </w:r>
          </w:p>
        </w:tc>
      </w:tr>
      <w:tr w:rsidR="00F50C35" w14:paraId="10E3887F" w14:textId="77777777">
        <w:tc>
          <w:tcPr>
            <w:tcW w:w="2700" w:type="dxa"/>
          </w:tcPr>
          <w:p w14:paraId="4D5CC117"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交易账户：</w:t>
            </w:r>
          </w:p>
        </w:tc>
        <w:tc>
          <w:tcPr>
            <w:tcW w:w="5714" w:type="dxa"/>
          </w:tcPr>
          <w:p w14:paraId="7A685DCD"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指销售机构为投资者开立的记录投资者通过该销售机构办理认购、申购、赎回、转换及转托管等业务而引起的基金份额的变动及结余情况的账户；</w:t>
            </w:r>
          </w:p>
        </w:tc>
      </w:tr>
      <w:tr w:rsidR="00F50C35" w14:paraId="6E324236" w14:textId="77777777">
        <w:tc>
          <w:tcPr>
            <w:tcW w:w="2700" w:type="dxa"/>
          </w:tcPr>
          <w:p w14:paraId="03F82FE8" w14:textId="77777777" w:rsidR="00F50C35" w:rsidRDefault="00FB66DA">
            <w:pPr>
              <w:adjustRightInd w:val="0"/>
              <w:snapToGrid w:val="0"/>
              <w:spacing w:line="360" w:lineRule="auto"/>
              <w:rPr>
                <w:rFonts w:ascii="Arial" w:hAnsi="Arial" w:cs="Arial"/>
                <w:kern w:val="0"/>
                <w:szCs w:val="21"/>
              </w:rPr>
            </w:pPr>
            <w:r>
              <w:rPr>
                <w:rFonts w:ascii="Arial" w:hAnsi="Arial" w:cs="Arial"/>
                <w:kern w:val="0"/>
                <w:szCs w:val="21"/>
              </w:rPr>
              <w:t xml:space="preserve">T </w:t>
            </w:r>
            <w:r>
              <w:rPr>
                <w:rFonts w:ascii="Arial" w:hAnsi="宋体" w:cs="Arial"/>
                <w:kern w:val="0"/>
                <w:szCs w:val="21"/>
              </w:rPr>
              <w:t>日：</w:t>
            </w:r>
          </w:p>
        </w:tc>
        <w:tc>
          <w:tcPr>
            <w:tcW w:w="5714" w:type="dxa"/>
          </w:tcPr>
          <w:p w14:paraId="63527A7F"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指销售机构受理投资者申购、赎回或其他业务申请的开放日；</w:t>
            </w:r>
          </w:p>
        </w:tc>
      </w:tr>
      <w:tr w:rsidR="00F50C35" w14:paraId="37751602" w14:textId="77777777">
        <w:tc>
          <w:tcPr>
            <w:tcW w:w="2700" w:type="dxa"/>
          </w:tcPr>
          <w:p w14:paraId="1922F6EC" w14:textId="77777777" w:rsidR="00F50C35" w:rsidRDefault="00FB66DA">
            <w:pPr>
              <w:adjustRightInd w:val="0"/>
              <w:snapToGrid w:val="0"/>
              <w:spacing w:line="360" w:lineRule="auto"/>
              <w:rPr>
                <w:rFonts w:ascii="Arial" w:hAnsi="Arial" w:cs="Arial"/>
                <w:kern w:val="0"/>
                <w:szCs w:val="21"/>
              </w:rPr>
            </w:pPr>
            <w:r>
              <w:rPr>
                <w:rFonts w:ascii="Arial" w:hAnsi="Arial" w:cs="Arial"/>
                <w:kern w:val="0"/>
                <w:szCs w:val="21"/>
              </w:rPr>
              <w:t>T+n</w:t>
            </w:r>
            <w:r>
              <w:rPr>
                <w:rFonts w:ascii="Arial" w:hAnsi="宋体" w:cs="Arial"/>
                <w:kern w:val="0"/>
                <w:szCs w:val="21"/>
              </w:rPr>
              <w:t>日：</w:t>
            </w:r>
          </w:p>
        </w:tc>
        <w:tc>
          <w:tcPr>
            <w:tcW w:w="5714" w:type="dxa"/>
          </w:tcPr>
          <w:p w14:paraId="6D678563"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指自</w:t>
            </w:r>
            <w:r>
              <w:rPr>
                <w:rFonts w:ascii="Arial" w:hAnsi="Arial" w:cs="Arial"/>
                <w:kern w:val="0"/>
                <w:szCs w:val="21"/>
              </w:rPr>
              <w:t>T</w:t>
            </w:r>
            <w:r>
              <w:rPr>
                <w:rFonts w:ascii="Arial" w:hAnsi="宋体" w:cs="Arial"/>
                <w:kern w:val="0"/>
                <w:szCs w:val="21"/>
              </w:rPr>
              <w:t>日起第</w:t>
            </w:r>
            <w:r>
              <w:rPr>
                <w:rFonts w:ascii="Arial" w:hAnsi="Arial" w:cs="Arial"/>
                <w:kern w:val="0"/>
                <w:szCs w:val="21"/>
              </w:rPr>
              <w:t>n</w:t>
            </w:r>
            <w:r>
              <w:rPr>
                <w:rFonts w:ascii="Arial" w:hAnsi="宋体" w:cs="Arial"/>
                <w:kern w:val="0"/>
                <w:szCs w:val="21"/>
              </w:rPr>
              <w:t>个工作日（不包括</w:t>
            </w:r>
            <w:r>
              <w:rPr>
                <w:rFonts w:ascii="Arial" w:hAnsi="Arial" w:cs="Arial"/>
                <w:kern w:val="0"/>
                <w:szCs w:val="21"/>
              </w:rPr>
              <w:t>T</w:t>
            </w:r>
            <w:r>
              <w:rPr>
                <w:rFonts w:ascii="Arial" w:hAnsi="宋体" w:cs="Arial"/>
                <w:kern w:val="0"/>
                <w:szCs w:val="21"/>
              </w:rPr>
              <w:t>日）；</w:t>
            </w:r>
          </w:p>
        </w:tc>
      </w:tr>
      <w:tr w:rsidR="00F50C35" w14:paraId="27CAACCA" w14:textId="77777777">
        <w:tc>
          <w:tcPr>
            <w:tcW w:w="2700" w:type="dxa"/>
          </w:tcPr>
          <w:p w14:paraId="21DA2C10"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基金利润：</w:t>
            </w:r>
          </w:p>
        </w:tc>
        <w:tc>
          <w:tcPr>
            <w:tcW w:w="5714" w:type="dxa"/>
          </w:tcPr>
          <w:p w14:paraId="49D9136A"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w:t>
            </w:r>
            <w:r>
              <w:rPr>
                <w:rFonts w:ascii="Arial" w:hAnsi="Arial" w:cs="Arial"/>
                <w:szCs w:val="21"/>
              </w:rPr>
              <w:t>基金利息收入、投资收益、公允价值变动收益和其他收入扣除相关费用后的余额；基金已实现收益指基金利润减去公允价值变动收益后的余额</w:t>
            </w:r>
            <w:r>
              <w:rPr>
                <w:rFonts w:ascii="Arial" w:hAnsi="Arial" w:cs="Arial" w:hint="eastAsia"/>
                <w:szCs w:val="21"/>
              </w:rPr>
              <w:t>；</w:t>
            </w:r>
          </w:p>
        </w:tc>
      </w:tr>
      <w:tr w:rsidR="00F50C35" w14:paraId="5AAA6DE3" w14:textId="77777777">
        <w:tc>
          <w:tcPr>
            <w:tcW w:w="2700" w:type="dxa"/>
          </w:tcPr>
          <w:p w14:paraId="25538EB6"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kern w:val="0"/>
                <w:szCs w:val="21"/>
              </w:rPr>
              <w:t>基金资产总值：</w:t>
            </w:r>
          </w:p>
        </w:tc>
        <w:tc>
          <w:tcPr>
            <w:tcW w:w="5714" w:type="dxa"/>
          </w:tcPr>
          <w:p w14:paraId="1196A0FB"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kern w:val="0"/>
                <w:szCs w:val="21"/>
              </w:rPr>
              <w:t>指基金拥有的各类证券、银行存款本息、应收申购款以及其他资产等形式存在的基金财产的价值总和；</w:t>
            </w:r>
          </w:p>
        </w:tc>
      </w:tr>
      <w:tr w:rsidR="00F50C35" w14:paraId="10C8DF67" w14:textId="77777777">
        <w:tc>
          <w:tcPr>
            <w:tcW w:w="2700" w:type="dxa"/>
          </w:tcPr>
          <w:p w14:paraId="574679DA"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kern w:val="0"/>
                <w:szCs w:val="21"/>
              </w:rPr>
              <w:t>基金资产净值：</w:t>
            </w:r>
          </w:p>
        </w:tc>
        <w:tc>
          <w:tcPr>
            <w:tcW w:w="5714" w:type="dxa"/>
          </w:tcPr>
          <w:p w14:paraId="45BD789C"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kern w:val="0"/>
                <w:szCs w:val="21"/>
              </w:rPr>
              <w:t>指基金资产总值减去基金负债后的价值；</w:t>
            </w:r>
          </w:p>
        </w:tc>
      </w:tr>
      <w:tr w:rsidR="00F50C35" w14:paraId="6BCE9308" w14:textId="77777777">
        <w:tc>
          <w:tcPr>
            <w:tcW w:w="2700" w:type="dxa"/>
          </w:tcPr>
          <w:p w14:paraId="052F2706"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kern w:val="0"/>
                <w:szCs w:val="21"/>
              </w:rPr>
              <w:t>基金</w:t>
            </w:r>
            <w:r>
              <w:rPr>
                <w:rFonts w:ascii="Arial" w:hAnsi="宋体" w:cs="Arial"/>
                <w:color w:val="000000"/>
                <w:szCs w:val="21"/>
              </w:rPr>
              <w:t>份额净值</w:t>
            </w:r>
          </w:p>
        </w:tc>
        <w:tc>
          <w:tcPr>
            <w:tcW w:w="5714" w:type="dxa"/>
          </w:tcPr>
          <w:p w14:paraId="7CF8B1EC"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szCs w:val="21"/>
              </w:rPr>
              <w:t>指以计算日基金</w:t>
            </w:r>
            <w:r>
              <w:rPr>
                <w:rFonts w:ascii="Arial" w:hAnsi="宋体" w:cs="Arial"/>
                <w:szCs w:val="21"/>
              </w:rPr>
              <w:t>资产</w:t>
            </w:r>
            <w:r>
              <w:rPr>
                <w:rFonts w:ascii="Arial" w:hAnsi="宋体" w:cs="Arial"/>
                <w:color w:val="000000"/>
                <w:szCs w:val="21"/>
              </w:rPr>
              <w:t>净值除以计算日基金份额总额后得出的基金份额财产净值；</w:t>
            </w:r>
          </w:p>
        </w:tc>
      </w:tr>
      <w:tr w:rsidR="00F50C35" w14:paraId="6E7D018C" w14:textId="77777777">
        <w:tc>
          <w:tcPr>
            <w:tcW w:w="2700" w:type="dxa"/>
          </w:tcPr>
          <w:p w14:paraId="6EEB941D"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kern w:val="0"/>
                <w:szCs w:val="21"/>
              </w:rPr>
              <w:t>基金</w:t>
            </w:r>
            <w:r>
              <w:rPr>
                <w:rFonts w:ascii="Arial" w:hAnsi="宋体" w:cs="Arial"/>
                <w:szCs w:val="21"/>
              </w:rPr>
              <w:t>资产</w:t>
            </w:r>
            <w:r>
              <w:rPr>
                <w:rFonts w:ascii="Arial" w:hAnsi="宋体" w:cs="Arial"/>
                <w:color w:val="000000"/>
                <w:kern w:val="0"/>
                <w:szCs w:val="21"/>
              </w:rPr>
              <w:t>估值：</w:t>
            </w:r>
          </w:p>
        </w:tc>
        <w:tc>
          <w:tcPr>
            <w:tcW w:w="5714" w:type="dxa"/>
          </w:tcPr>
          <w:p w14:paraId="5E9E0043" w14:textId="77777777" w:rsidR="00F50C35" w:rsidRDefault="00FB66DA">
            <w:pPr>
              <w:adjustRightInd w:val="0"/>
              <w:snapToGrid w:val="0"/>
              <w:spacing w:line="360" w:lineRule="auto"/>
              <w:rPr>
                <w:rFonts w:ascii="Arial" w:hAnsi="Arial" w:cs="Arial"/>
                <w:color w:val="000000"/>
                <w:kern w:val="0"/>
                <w:szCs w:val="21"/>
              </w:rPr>
            </w:pPr>
            <w:r>
              <w:rPr>
                <w:rFonts w:ascii="Arial" w:hAnsi="宋体" w:cs="Arial"/>
                <w:color w:val="000000"/>
                <w:kern w:val="0"/>
                <w:szCs w:val="21"/>
              </w:rPr>
              <w:t>指计算评估基金财产和负债的价值，以确定基金资产净值和基金份额净值的过程；</w:t>
            </w:r>
          </w:p>
        </w:tc>
      </w:tr>
      <w:tr w:rsidR="00F50C35" w14:paraId="57AC2FB9" w14:textId="77777777">
        <w:tc>
          <w:tcPr>
            <w:tcW w:w="2700" w:type="dxa"/>
          </w:tcPr>
          <w:p w14:paraId="4CB157B0"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法律法规：</w:t>
            </w:r>
          </w:p>
        </w:tc>
        <w:tc>
          <w:tcPr>
            <w:tcW w:w="5714" w:type="dxa"/>
          </w:tcPr>
          <w:p w14:paraId="4A7DD048" w14:textId="77777777" w:rsidR="00F50C35" w:rsidRDefault="00FB66DA">
            <w:pPr>
              <w:adjustRightInd w:val="0"/>
              <w:snapToGrid w:val="0"/>
              <w:spacing w:line="360" w:lineRule="auto"/>
              <w:rPr>
                <w:rFonts w:ascii="Arial" w:hAnsi="Arial" w:cs="Arial"/>
                <w:kern w:val="0"/>
                <w:szCs w:val="21"/>
              </w:rPr>
            </w:pPr>
            <w:r>
              <w:rPr>
                <w:rFonts w:ascii="Arial" w:hAnsi="宋体" w:cs="Arial"/>
                <w:kern w:val="0"/>
                <w:szCs w:val="21"/>
              </w:rPr>
              <w:t>指中华人民共和国现行有效的法律、行政法规、司法解释、地方法规、地方规章、部门规章及其他规范性文件以及对于</w:t>
            </w:r>
            <w:r>
              <w:rPr>
                <w:rFonts w:ascii="Arial" w:hAnsi="宋体" w:cs="Arial"/>
                <w:kern w:val="0"/>
                <w:szCs w:val="21"/>
              </w:rPr>
              <w:lastRenderedPageBreak/>
              <w:t>该等法律法规的不时修改和补充；</w:t>
            </w:r>
          </w:p>
        </w:tc>
      </w:tr>
      <w:tr w:rsidR="00F50C35" w14:paraId="28589C06" w14:textId="77777777">
        <w:tc>
          <w:tcPr>
            <w:tcW w:w="2700" w:type="dxa"/>
          </w:tcPr>
          <w:p w14:paraId="03AFB6AF" w14:textId="77777777" w:rsidR="00F50C35" w:rsidRDefault="00FB66DA">
            <w:pPr>
              <w:adjustRightInd w:val="0"/>
              <w:snapToGrid w:val="0"/>
              <w:spacing w:line="360" w:lineRule="auto"/>
              <w:rPr>
                <w:rFonts w:ascii="Arial" w:hAnsi="Arial" w:cs="Arial"/>
                <w:kern w:val="0"/>
                <w:szCs w:val="21"/>
              </w:rPr>
            </w:pPr>
            <w:r>
              <w:rPr>
                <w:rFonts w:ascii="Arial" w:hAnsi="宋体" w:cs="Arial"/>
              </w:rPr>
              <w:lastRenderedPageBreak/>
              <w:t>基金中基金</w:t>
            </w:r>
            <w:r>
              <w:rPr>
                <w:rFonts w:ascii="Arial" w:hAnsi="宋体" w:cs="Arial" w:hint="eastAsia"/>
              </w:rPr>
              <w:t>：</w:t>
            </w:r>
          </w:p>
        </w:tc>
        <w:tc>
          <w:tcPr>
            <w:tcW w:w="5714" w:type="dxa"/>
          </w:tcPr>
          <w:p w14:paraId="07000F53" w14:textId="77777777" w:rsidR="00F50C35" w:rsidRDefault="00FB66DA">
            <w:pPr>
              <w:adjustRightInd w:val="0"/>
              <w:snapToGrid w:val="0"/>
              <w:spacing w:line="360" w:lineRule="auto"/>
              <w:rPr>
                <w:rFonts w:ascii="Arial" w:hAnsi="Arial" w:cs="Arial"/>
                <w:kern w:val="0"/>
                <w:szCs w:val="21"/>
              </w:rPr>
            </w:pPr>
            <w:r>
              <w:rPr>
                <w:rFonts w:ascii="Arial" w:hAnsi="宋体" w:cs="Arial"/>
              </w:rPr>
              <w:t>指投资对象为证券投资基金的基金，其投资组合主要由各种基金组成</w:t>
            </w:r>
            <w:r>
              <w:rPr>
                <w:rFonts w:ascii="Arial" w:hAnsi="宋体" w:cs="Arial" w:hint="eastAsia"/>
              </w:rPr>
              <w:t>；</w:t>
            </w:r>
          </w:p>
        </w:tc>
      </w:tr>
      <w:tr w:rsidR="00F50C35" w14:paraId="55633138" w14:textId="77777777">
        <w:tc>
          <w:tcPr>
            <w:tcW w:w="2700" w:type="dxa"/>
          </w:tcPr>
          <w:p w14:paraId="6A6666D9" w14:textId="77777777" w:rsidR="00F50C35" w:rsidRDefault="00FB66DA">
            <w:pPr>
              <w:adjustRightInd w:val="0"/>
              <w:snapToGrid w:val="0"/>
              <w:spacing w:line="360" w:lineRule="auto"/>
              <w:rPr>
                <w:rFonts w:ascii="Arial" w:hAnsi="宋体" w:cs="Arial"/>
                <w:kern w:val="0"/>
                <w:szCs w:val="21"/>
              </w:rPr>
            </w:pPr>
            <w:r>
              <w:rPr>
                <w:rFonts w:ascii="Arial" w:hAnsi="宋体" w:cs="Arial"/>
                <w:kern w:val="0"/>
                <w:szCs w:val="21"/>
              </w:rPr>
              <w:t>不可抗力：</w:t>
            </w:r>
          </w:p>
          <w:p w14:paraId="75847669" w14:textId="77777777" w:rsidR="00F50C35" w:rsidRDefault="00F50C35">
            <w:pPr>
              <w:adjustRightInd w:val="0"/>
              <w:snapToGrid w:val="0"/>
              <w:spacing w:line="360" w:lineRule="auto"/>
              <w:rPr>
                <w:rFonts w:ascii="Arial" w:hAnsi="宋体" w:cs="Arial"/>
                <w:kern w:val="0"/>
                <w:szCs w:val="21"/>
              </w:rPr>
            </w:pPr>
          </w:p>
          <w:p w14:paraId="75BF8357" w14:textId="77777777" w:rsidR="00F50C35" w:rsidRDefault="00F50C35">
            <w:pPr>
              <w:adjustRightInd w:val="0"/>
              <w:snapToGrid w:val="0"/>
              <w:spacing w:line="360" w:lineRule="auto"/>
              <w:rPr>
                <w:rFonts w:ascii="Arial" w:hAnsi="宋体" w:cs="Arial"/>
                <w:kern w:val="0"/>
                <w:szCs w:val="21"/>
              </w:rPr>
            </w:pPr>
          </w:p>
          <w:p w14:paraId="4F1EA1B5" w14:textId="77777777" w:rsidR="00F50C35" w:rsidRDefault="00F50C35">
            <w:pPr>
              <w:adjustRightInd w:val="0"/>
              <w:snapToGrid w:val="0"/>
              <w:spacing w:line="360" w:lineRule="auto"/>
              <w:rPr>
                <w:rFonts w:ascii="Arial" w:hAnsi="宋体" w:cs="Arial"/>
                <w:kern w:val="0"/>
                <w:szCs w:val="21"/>
              </w:rPr>
            </w:pPr>
          </w:p>
          <w:p w14:paraId="652E7564" w14:textId="77777777" w:rsidR="00F50C35" w:rsidRDefault="00F50C35">
            <w:pPr>
              <w:adjustRightInd w:val="0"/>
              <w:snapToGrid w:val="0"/>
              <w:spacing w:line="360" w:lineRule="auto"/>
              <w:rPr>
                <w:rFonts w:ascii="Arial" w:hAnsi="宋体" w:cs="Arial"/>
                <w:kern w:val="0"/>
                <w:szCs w:val="21"/>
              </w:rPr>
            </w:pPr>
          </w:p>
          <w:p w14:paraId="425A78F6" w14:textId="77777777" w:rsidR="00F50C35" w:rsidRDefault="00FB66DA">
            <w:pPr>
              <w:adjustRightInd w:val="0"/>
              <w:snapToGrid w:val="0"/>
              <w:spacing w:line="360" w:lineRule="auto"/>
              <w:rPr>
                <w:rFonts w:ascii="Arial" w:hAnsi="Arial" w:cs="Arial"/>
                <w:kern w:val="0"/>
                <w:szCs w:val="21"/>
              </w:rPr>
            </w:pPr>
            <w:r>
              <w:rPr>
                <w:rFonts w:ascii="Arial" w:hAnsi="Arial" w:cs="Arial" w:hint="eastAsia"/>
                <w:kern w:val="0"/>
                <w:szCs w:val="21"/>
              </w:rPr>
              <w:t>流动性受限资产：</w:t>
            </w:r>
          </w:p>
        </w:tc>
        <w:tc>
          <w:tcPr>
            <w:tcW w:w="5714" w:type="dxa"/>
          </w:tcPr>
          <w:p w14:paraId="23DF43F8" w14:textId="77777777" w:rsidR="00F50C35" w:rsidRDefault="00FB66DA">
            <w:pPr>
              <w:adjustRightInd w:val="0"/>
              <w:snapToGrid w:val="0"/>
              <w:spacing w:line="360" w:lineRule="auto"/>
              <w:rPr>
                <w:rFonts w:ascii="Arial" w:hAnsi="宋体" w:cs="Arial"/>
                <w:kern w:val="0"/>
                <w:szCs w:val="21"/>
              </w:rPr>
            </w:pPr>
            <w:r>
              <w:rPr>
                <w:rFonts w:ascii="Arial" w:hAnsi="宋体" w:cs="Arial"/>
                <w:kern w:val="0"/>
                <w:szCs w:val="21"/>
              </w:rPr>
              <w:t>指任何不能预见、不能避免、不能克服的客观情况，包括但不限于《基金法》及其他有关法律法规及重大政策调整、台风、洪水、地震、</w:t>
            </w:r>
            <w:r>
              <w:rPr>
                <w:rFonts w:ascii="Arial" w:hAnsi="宋体" w:cs="Arial"/>
                <w:szCs w:val="21"/>
              </w:rPr>
              <w:t>流行病</w:t>
            </w:r>
            <w:r>
              <w:rPr>
                <w:rFonts w:ascii="Arial" w:hAnsi="宋体" w:cs="Arial"/>
                <w:kern w:val="0"/>
                <w:szCs w:val="21"/>
              </w:rPr>
              <w:t>及其他自然灾害，战争、骚乱、火灾、政府征用、戒严、没收、恐怖主义行为、突发停电或其他突发事件、证券交易场所非正常暂停或停止交易等事件</w:t>
            </w:r>
            <w:r>
              <w:rPr>
                <w:rFonts w:ascii="Arial" w:hAnsi="宋体" w:cs="Arial" w:hint="eastAsia"/>
                <w:kern w:val="0"/>
                <w:szCs w:val="21"/>
              </w:rPr>
              <w:t>；</w:t>
            </w:r>
          </w:p>
          <w:p w14:paraId="473F4953" w14:textId="77777777" w:rsidR="00F50C35" w:rsidRDefault="00FB66DA">
            <w:pPr>
              <w:adjustRightInd w:val="0"/>
              <w:snapToGrid w:val="0"/>
              <w:spacing w:line="360" w:lineRule="auto"/>
              <w:rPr>
                <w:rFonts w:ascii="Arial" w:hAnsi="Arial" w:cs="Arial"/>
                <w:kern w:val="0"/>
                <w:szCs w:val="21"/>
              </w:rPr>
            </w:pPr>
            <w:r>
              <w:rPr>
                <w:rFonts w:ascii="Arial" w:hAnsi="Arial" w:cs="Arial" w:hint="eastAsia"/>
                <w:kern w:val="0"/>
                <w:szCs w:val="21"/>
              </w:rPr>
              <w:t>指由于法律法规、监管、合同或操作障碍等原因无法以合理价格予以变现的资产，包括但不限于到期日在</w:t>
            </w:r>
            <w:r>
              <w:rPr>
                <w:rFonts w:ascii="Arial" w:hAnsi="Arial" w:cs="Arial" w:hint="eastAsia"/>
                <w:kern w:val="0"/>
                <w:szCs w:val="21"/>
              </w:rPr>
              <w:t>10</w:t>
            </w:r>
            <w:r>
              <w:rPr>
                <w:rFonts w:ascii="Arial" w:hAnsi="Arial" w:cs="Arial" w:hint="eastAsia"/>
                <w:kern w:val="0"/>
                <w:szCs w:val="21"/>
              </w:rPr>
              <w:t>个交易日以上的逆回购与银行定期存款（含协议约定有条件提前支取的银行存款）、停牌股票、流通受限的新股及非公开发行股票、资产支持证券、因发行人债务违约无法进行转让或交易的债券等。</w:t>
            </w:r>
          </w:p>
          <w:p w14:paraId="61ECD2E3" w14:textId="77777777" w:rsidR="00F50C35" w:rsidRDefault="00F50C35">
            <w:pPr>
              <w:adjustRightInd w:val="0"/>
              <w:snapToGrid w:val="0"/>
              <w:spacing w:line="360" w:lineRule="auto"/>
              <w:rPr>
                <w:rFonts w:ascii="Arial" w:hAnsi="Arial" w:cs="Arial"/>
                <w:kern w:val="0"/>
                <w:szCs w:val="21"/>
              </w:rPr>
            </w:pPr>
          </w:p>
        </w:tc>
      </w:tr>
    </w:tbl>
    <w:p w14:paraId="59641A9E" w14:textId="77777777" w:rsidR="00F50C35" w:rsidRDefault="00FB66DA">
      <w:pPr>
        <w:pStyle w:val="1"/>
        <w:snapToGrid w:val="0"/>
        <w:spacing w:before="0" w:after="0" w:line="360" w:lineRule="auto"/>
        <w:rPr>
          <w:rFonts w:hAnsi="Arial"/>
        </w:rPr>
      </w:pPr>
      <w:bookmarkStart w:id="8" w:name="_Toc274814002"/>
      <w:bookmarkStart w:id="9" w:name="_Toc88037838"/>
      <w:bookmarkStart w:id="10" w:name="_Toc274814069"/>
      <w:r>
        <w:t>三、基金的基本情况</w:t>
      </w:r>
      <w:bookmarkEnd w:id="8"/>
      <w:bookmarkEnd w:id="9"/>
      <w:bookmarkEnd w:id="10"/>
    </w:p>
    <w:p w14:paraId="705E011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（一）基金名称</w:t>
      </w:r>
    </w:p>
    <w:p w14:paraId="615D3D4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博时抗通胀增强回报证券投资基金</w:t>
      </w:r>
    </w:p>
    <w:p w14:paraId="5103B55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（二）基金的类别</w:t>
      </w:r>
    </w:p>
    <w:p w14:paraId="165186F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基金中基金</w:t>
      </w:r>
    </w:p>
    <w:p w14:paraId="50B3142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（三）基金的运作方式</w:t>
      </w:r>
    </w:p>
    <w:p w14:paraId="01183FD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契约型开放式</w:t>
      </w:r>
    </w:p>
    <w:p w14:paraId="1A5696C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（四）基金的投资目标</w:t>
      </w:r>
    </w:p>
    <w:p w14:paraId="06E3A23F"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kern w:val="0"/>
          <w:szCs w:val="21"/>
        </w:rPr>
        <w:t>本基金通过进行全球大类资产配置，投资于通胀（通缩）相关的各类资产，在有效控制风险的前提下，力争为投资者资产提供通胀（通缩）保护，同时</w:t>
      </w:r>
      <w:r>
        <w:rPr>
          <w:rFonts w:ascii="Arial" w:hAnsi="宋体" w:cs="Arial" w:hint="eastAsia"/>
          <w:kern w:val="0"/>
          <w:szCs w:val="21"/>
        </w:rPr>
        <w:t>力</w:t>
      </w:r>
      <w:r>
        <w:rPr>
          <w:rFonts w:ascii="Arial" w:hAnsi="宋体" w:cs="Arial"/>
          <w:kern w:val="0"/>
          <w:szCs w:val="21"/>
        </w:rPr>
        <w:t>争获取</w:t>
      </w:r>
      <w:r>
        <w:rPr>
          <w:rFonts w:ascii="Arial" w:hAnsi="宋体" w:cs="Arial" w:hint="eastAsia"/>
          <w:kern w:val="0"/>
          <w:szCs w:val="21"/>
        </w:rPr>
        <w:t>较高</w:t>
      </w:r>
      <w:r>
        <w:rPr>
          <w:rFonts w:ascii="Arial" w:hAnsi="宋体" w:cs="Arial"/>
          <w:kern w:val="0"/>
          <w:szCs w:val="21"/>
        </w:rPr>
        <w:t>的超额收益。</w:t>
      </w:r>
    </w:p>
    <w:p w14:paraId="65D4083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（五）基金的最低募集份额总额</w:t>
      </w:r>
    </w:p>
    <w:p w14:paraId="124C067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本基金的最低募集份额总额为</w:t>
      </w:r>
      <w:r>
        <w:rPr>
          <w:rFonts w:ascii="Arial" w:hAnsi="Arial" w:cs="Arial"/>
          <w:kern w:val="0"/>
          <w:szCs w:val="21"/>
        </w:rPr>
        <w:t>2</w:t>
      </w:r>
      <w:r>
        <w:rPr>
          <w:rFonts w:ascii="Arial" w:hAnsi="宋体" w:cs="Arial"/>
          <w:kern w:val="0"/>
          <w:szCs w:val="21"/>
        </w:rPr>
        <w:t>亿份。</w:t>
      </w:r>
    </w:p>
    <w:p w14:paraId="09A0517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（六）基金份额</w:t>
      </w:r>
      <w:r>
        <w:rPr>
          <w:rFonts w:ascii="Arial" w:hAnsi="宋体" w:cs="Arial" w:hint="eastAsia"/>
          <w:kern w:val="0"/>
          <w:szCs w:val="21"/>
        </w:rPr>
        <w:t>初始</w:t>
      </w:r>
      <w:r>
        <w:rPr>
          <w:rFonts w:ascii="Arial" w:hAnsi="宋体" w:cs="Arial"/>
          <w:kern w:val="0"/>
          <w:szCs w:val="21"/>
        </w:rPr>
        <w:t>面值和认购费用</w:t>
      </w:r>
    </w:p>
    <w:p w14:paraId="66629E2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每份基金份额初始面值为人民币</w:t>
      </w:r>
      <w:r>
        <w:rPr>
          <w:rFonts w:ascii="Arial" w:hAnsi="Arial" w:cs="Arial"/>
          <w:kern w:val="0"/>
          <w:szCs w:val="21"/>
        </w:rPr>
        <w:t>1.00</w:t>
      </w:r>
      <w:r>
        <w:rPr>
          <w:rFonts w:ascii="Arial" w:hAnsi="宋体" w:cs="Arial"/>
          <w:kern w:val="0"/>
          <w:szCs w:val="21"/>
        </w:rPr>
        <w:t>元。</w:t>
      </w:r>
    </w:p>
    <w:p w14:paraId="7059CFB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rPr>
        <w:t>本基金认购费率按《招募说明书》的规定执行。</w:t>
      </w:r>
    </w:p>
    <w:p w14:paraId="4081F33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（七）基金存续期限</w:t>
      </w:r>
    </w:p>
    <w:p w14:paraId="545BB80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不定期</w:t>
      </w:r>
    </w:p>
    <w:p w14:paraId="5DAFCFD7" w14:textId="77777777" w:rsidR="00F50C35" w:rsidRDefault="00F50C35">
      <w:pPr>
        <w:pStyle w:val="1"/>
        <w:snapToGrid w:val="0"/>
        <w:spacing w:before="0" w:after="0" w:line="360" w:lineRule="auto"/>
        <w:sectPr w:rsidR="00F50C35">
          <w:pgSz w:w="11906" w:h="16838"/>
          <w:pgMar w:top="1440" w:right="1800" w:bottom="1440" w:left="1800" w:header="851" w:footer="992" w:gutter="0"/>
          <w:cols w:space="425"/>
          <w:docGrid w:type="lines" w:linePitch="312"/>
        </w:sectPr>
      </w:pPr>
      <w:bookmarkStart w:id="11" w:name="_Toc88037839"/>
    </w:p>
    <w:p w14:paraId="3CC54924" w14:textId="77777777" w:rsidR="00F50C35" w:rsidRDefault="00FB66DA">
      <w:pPr>
        <w:pStyle w:val="1"/>
        <w:snapToGrid w:val="0"/>
        <w:spacing w:before="0" w:after="0" w:line="360" w:lineRule="auto"/>
        <w:rPr>
          <w:rFonts w:hAnsi="Arial"/>
        </w:rPr>
      </w:pPr>
      <w:bookmarkStart w:id="12" w:name="_Toc274814070"/>
      <w:bookmarkStart w:id="13" w:name="_Toc274814003"/>
      <w:r>
        <w:lastRenderedPageBreak/>
        <w:t>四、基金份额的发售</w:t>
      </w:r>
      <w:bookmarkEnd w:id="11"/>
      <w:bookmarkEnd w:id="12"/>
      <w:bookmarkEnd w:id="13"/>
    </w:p>
    <w:p w14:paraId="7793C25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（一）发售时间</w:t>
      </w:r>
    </w:p>
    <w:p w14:paraId="7A9382C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本基金募集期限自基金份额发售之日起不超过三个月，具体发售时间由基金管理人根据相关法律法规以及本基金合同的规定，在基金份额发售公告中披露。</w:t>
      </w:r>
    </w:p>
    <w:p w14:paraId="080C2FC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（二）发售方式</w:t>
      </w:r>
    </w:p>
    <w:p w14:paraId="5690F2E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本基金通过各销售机构的基金销售网点向投资者公开发售。</w:t>
      </w:r>
    </w:p>
    <w:p w14:paraId="11C26D9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（三）发售对象</w:t>
      </w:r>
    </w:p>
    <w:p w14:paraId="6AF2269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本基金的发售对象为个人投资者、机构投资者和法律法规或中国证监会允许购买证券投资基金的其他投资者。</w:t>
      </w:r>
    </w:p>
    <w:p w14:paraId="66C07E8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（四）基金认购费用</w:t>
      </w:r>
    </w:p>
    <w:p w14:paraId="01C2AFB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rPr>
        <w:t>本基金在认购时收取认购费用。</w:t>
      </w:r>
      <w:r>
        <w:rPr>
          <w:rFonts w:ascii="Arial" w:hAnsi="宋体" w:cs="Arial"/>
          <w:kern w:val="0"/>
          <w:szCs w:val="21"/>
        </w:rPr>
        <w:t>本基金的认购费不超过</w:t>
      </w:r>
      <w:r>
        <w:rPr>
          <w:rFonts w:ascii="Arial" w:hAnsi="Arial" w:cs="Arial"/>
          <w:kern w:val="0"/>
          <w:szCs w:val="21"/>
        </w:rPr>
        <w:t>5%</w:t>
      </w:r>
      <w:r>
        <w:rPr>
          <w:rFonts w:ascii="Arial" w:hAnsi="宋体" w:cs="Arial"/>
          <w:kern w:val="0"/>
          <w:szCs w:val="21"/>
        </w:rPr>
        <w:t>，</w:t>
      </w:r>
      <w:r>
        <w:rPr>
          <w:rFonts w:ascii="Arial" w:hAnsi="Arial" w:cs="Arial"/>
        </w:rPr>
        <w:t>具体认购费率在《招募说明书》中</w:t>
      </w:r>
      <w:r>
        <w:rPr>
          <w:rFonts w:ascii="Arial" w:hAnsi="Arial" w:cs="Arial"/>
          <w:kern w:val="0"/>
          <w:szCs w:val="21"/>
        </w:rPr>
        <w:t>载明</w:t>
      </w:r>
      <w:r>
        <w:rPr>
          <w:rFonts w:ascii="Arial" w:hAnsi="宋体" w:cs="Arial"/>
          <w:kern w:val="0"/>
          <w:szCs w:val="21"/>
        </w:rPr>
        <w:t>。</w:t>
      </w:r>
      <w:r>
        <w:rPr>
          <w:rFonts w:ascii="Arial" w:hAnsi="Arial" w:cs="Arial"/>
          <w:kern w:val="0"/>
          <w:szCs w:val="21"/>
        </w:rPr>
        <w:t>认购费用用于本基金的市场推广、销售、注册登记等募集期间发生的各项费用，不列入基金财产。</w:t>
      </w:r>
    </w:p>
    <w:p w14:paraId="24DC2C4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（五）发售规模</w:t>
      </w:r>
    </w:p>
    <w:p w14:paraId="2D9B014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本基金可根据中国证监会、外管局核准的境外投资额度，对基金发售规模进行限制。具体规模限制在招募说明书或基金份额发售公告中约定。</w:t>
      </w:r>
    </w:p>
    <w:p w14:paraId="2E8DB43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（六）基金认购的具体规定</w:t>
      </w:r>
    </w:p>
    <w:p w14:paraId="0D47D2F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投资者认购原则、认购限额、认购份额的计算公式、认购时间安排、投资者认购应提交的文件和办理的手续等事项，由基金管理人根据相关法律法规以及本基金合同的规定，在招募说明书和基金份额发售公告中确定并披露。</w:t>
      </w:r>
    </w:p>
    <w:p w14:paraId="1775028F" w14:textId="77777777" w:rsidR="00F50C35" w:rsidRDefault="00FB66DA">
      <w:pPr>
        <w:adjustRightInd w:val="0"/>
        <w:snapToGrid w:val="0"/>
        <w:spacing w:line="360" w:lineRule="auto"/>
        <w:ind w:firstLine="420"/>
        <w:rPr>
          <w:rFonts w:ascii="Arial" w:hAnsi="Arial" w:cs="Arial"/>
          <w:kern w:val="0"/>
          <w:szCs w:val="21"/>
        </w:rPr>
      </w:pPr>
      <w:r>
        <w:rPr>
          <w:rFonts w:ascii="Arial" w:cs="Arial"/>
        </w:rPr>
        <w:t>基金销售机构认购申请的受理并不代表该申请一定成功，而仅代表销售机构确实接收到认购申请。认购的确认以注册登记机构或基金管理公司的确认结果为准。</w:t>
      </w:r>
    </w:p>
    <w:p w14:paraId="7EEFDD98" w14:textId="77777777" w:rsidR="00F50C35" w:rsidRDefault="00FB66DA">
      <w:pPr>
        <w:pStyle w:val="1"/>
        <w:snapToGrid w:val="0"/>
        <w:spacing w:before="0" w:after="0" w:line="360" w:lineRule="auto"/>
        <w:rPr>
          <w:rFonts w:hAnsi="Arial"/>
        </w:rPr>
      </w:pPr>
      <w:bookmarkStart w:id="14" w:name="_Toc88037840"/>
      <w:r>
        <w:rPr>
          <w:rFonts w:hAnsi="Arial"/>
        </w:rPr>
        <w:br w:type="page"/>
      </w:r>
      <w:bookmarkStart w:id="15" w:name="_Toc274814071"/>
      <w:bookmarkStart w:id="16" w:name="_Toc274814004"/>
      <w:r>
        <w:lastRenderedPageBreak/>
        <w:t>五、基金备案</w:t>
      </w:r>
      <w:bookmarkEnd w:id="14"/>
      <w:bookmarkEnd w:id="15"/>
      <w:bookmarkEnd w:id="16"/>
    </w:p>
    <w:p w14:paraId="5315128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（一）基金备案的条件</w:t>
      </w:r>
    </w:p>
    <w:p w14:paraId="6A744D5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本基金募集期限届满，具备下列条件的，基金管理人应当按照规定办理验资和基金备案手续：</w:t>
      </w:r>
    </w:p>
    <w:p w14:paraId="0AC8A27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、基金募集份额总额不少于</w:t>
      </w:r>
      <w:r>
        <w:rPr>
          <w:rFonts w:ascii="Arial" w:hAnsi="Arial" w:cs="Arial"/>
          <w:kern w:val="0"/>
          <w:szCs w:val="21"/>
        </w:rPr>
        <w:t>2</w:t>
      </w:r>
      <w:r>
        <w:rPr>
          <w:rFonts w:ascii="Arial" w:hAnsi="宋体" w:cs="Arial"/>
          <w:kern w:val="0"/>
          <w:szCs w:val="21"/>
        </w:rPr>
        <w:t>亿份，基金募集金额不少于</w:t>
      </w:r>
      <w:r>
        <w:rPr>
          <w:rFonts w:ascii="Arial" w:hAnsi="Arial" w:cs="Arial"/>
          <w:kern w:val="0"/>
          <w:szCs w:val="21"/>
        </w:rPr>
        <w:t>2</w:t>
      </w:r>
      <w:r>
        <w:rPr>
          <w:rFonts w:ascii="Arial" w:hAnsi="宋体" w:cs="Arial"/>
          <w:kern w:val="0"/>
          <w:szCs w:val="21"/>
        </w:rPr>
        <w:t>亿元人民币；</w:t>
      </w:r>
    </w:p>
    <w:p w14:paraId="4E0E1D4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、基金份额持有人的人数不少于</w:t>
      </w:r>
      <w:r>
        <w:rPr>
          <w:rFonts w:ascii="Arial" w:hAnsi="Arial" w:cs="Arial"/>
          <w:kern w:val="0"/>
          <w:szCs w:val="21"/>
        </w:rPr>
        <w:t>200</w:t>
      </w:r>
      <w:r>
        <w:rPr>
          <w:rFonts w:ascii="Arial" w:hAnsi="宋体" w:cs="Arial"/>
          <w:kern w:val="0"/>
          <w:szCs w:val="21"/>
        </w:rPr>
        <w:t>人。</w:t>
      </w:r>
    </w:p>
    <w:p w14:paraId="0E86096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（二）基金的备案</w:t>
      </w:r>
    </w:p>
    <w:p w14:paraId="4723A1BD"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基金募集期限届满，具备上述基金备案条件的，基金管理人应当自募集期限届满之日起十日内聘请法定验资机构验资，自收到验资报告之日起十日内，向中国证监会提交验资报告，办理基金备案手续。</w:t>
      </w:r>
    </w:p>
    <w:p w14:paraId="3D00AA0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（三）基金合同的生效</w:t>
      </w:r>
    </w:p>
    <w:p w14:paraId="5D87844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、自中国证监会书面确认之日起，基金备案手续办理完毕且基金合同生效；</w:t>
      </w:r>
    </w:p>
    <w:p w14:paraId="32EA079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、基金管理人应当在收到中国证监会确认文件的次日对基金合同生效事宜予以公告；</w:t>
      </w:r>
    </w:p>
    <w:p w14:paraId="5732BC85"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3</w:t>
      </w:r>
      <w:r>
        <w:rPr>
          <w:rFonts w:ascii="Arial" w:hAnsi="宋体" w:cs="Arial"/>
          <w:color w:val="000000"/>
          <w:kern w:val="0"/>
          <w:szCs w:val="21"/>
        </w:rPr>
        <w:t>、在基金合同生效前，基金募集期间募集的资金应当存入专门账户，在基金募集结束前任何人不得动用。</w:t>
      </w:r>
    </w:p>
    <w:p w14:paraId="507713C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（四）基金募集失败的处理方式</w:t>
      </w:r>
    </w:p>
    <w:p w14:paraId="033EB4D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基金募集期限届满，不能满足基金备案的条件的，则基金募集失败。基金管理人应当：</w:t>
      </w:r>
    </w:p>
    <w:p w14:paraId="17ACD6D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、以其固有财产承担因募集行为而产生的债务和费用；</w:t>
      </w:r>
    </w:p>
    <w:p w14:paraId="5CBA4F5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、在基金募集期限届满后三十日内返还投资者已缴纳的认购款项，并加计银行同期存款利息。</w:t>
      </w:r>
    </w:p>
    <w:p w14:paraId="7283BD8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（五）基金存续期内的基金份额持有人数量和资产规模</w:t>
      </w:r>
    </w:p>
    <w:p w14:paraId="430A27C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本基金基金合同生效后的存续期间，基金份额持有人数量不满</w:t>
      </w:r>
      <w:r>
        <w:rPr>
          <w:rFonts w:ascii="Arial" w:hAnsi="宋体" w:cs="Arial" w:hint="eastAsia"/>
          <w:kern w:val="0"/>
          <w:szCs w:val="21"/>
        </w:rPr>
        <w:t>200</w:t>
      </w:r>
      <w:r>
        <w:rPr>
          <w:rFonts w:ascii="Arial" w:hAnsi="宋体" w:cs="Arial"/>
          <w:kern w:val="0"/>
          <w:szCs w:val="21"/>
        </w:rPr>
        <w:t>人或者基金资产净值低于</w:t>
      </w:r>
      <w:r>
        <w:rPr>
          <w:rFonts w:ascii="Arial" w:hAnsi="宋体" w:cs="Arial" w:hint="eastAsia"/>
          <w:kern w:val="0"/>
          <w:szCs w:val="21"/>
        </w:rPr>
        <w:t>5000</w:t>
      </w:r>
      <w:r>
        <w:rPr>
          <w:rFonts w:ascii="Arial" w:hAnsi="宋体" w:cs="Arial" w:hint="eastAsia"/>
          <w:kern w:val="0"/>
          <w:szCs w:val="21"/>
        </w:rPr>
        <w:t>万</w:t>
      </w:r>
      <w:r>
        <w:rPr>
          <w:rFonts w:ascii="Arial" w:hAnsi="宋体" w:cs="Arial"/>
          <w:kern w:val="0"/>
          <w:szCs w:val="21"/>
        </w:rPr>
        <w:t>元的，基金管理人应当及时报告中国证监会；连续二十个工作日基金份额持有人数量不满两百人或者基金资产净值低于</w:t>
      </w:r>
      <w:r>
        <w:rPr>
          <w:rFonts w:ascii="Arial" w:hAnsi="Arial" w:cs="Arial"/>
          <w:kern w:val="0"/>
          <w:szCs w:val="21"/>
        </w:rPr>
        <w:t>5000</w:t>
      </w:r>
      <w:r>
        <w:rPr>
          <w:rFonts w:ascii="Arial" w:hAnsi="宋体" w:cs="Arial"/>
          <w:kern w:val="0"/>
          <w:szCs w:val="21"/>
        </w:rPr>
        <w:t>万元的，基金管理人应当向中国证监会说明原因及报送</w:t>
      </w:r>
      <w:bookmarkStart w:id="17" w:name="_Hlt133652031"/>
      <w:bookmarkEnd w:id="17"/>
      <w:r>
        <w:rPr>
          <w:rFonts w:ascii="Arial" w:hAnsi="宋体" w:cs="Arial"/>
          <w:kern w:val="0"/>
          <w:szCs w:val="21"/>
        </w:rPr>
        <w:t>解决方案。</w:t>
      </w:r>
    </w:p>
    <w:p w14:paraId="77A5BBC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法律法规或监管部门另有规定的，按其规定办理。</w:t>
      </w:r>
    </w:p>
    <w:p w14:paraId="2C22FA53" w14:textId="77777777" w:rsidR="00F50C35" w:rsidRDefault="00F50C35">
      <w:pPr>
        <w:pStyle w:val="2"/>
        <w:adjustRightInd w:val="0"/>
        <w:snapToGrid w:val="0"/>
        <w:spacing w:before="0" w:after="0" w:line="360" w:lineRule="auto"/>
        <w:rPr>
          <w:rFonts w:eastAsia="宋体" w:hAnsi="宋体" w:cs="Arial"/>
          <w:kern w:val="0"/>
          <w:sz w:val="21"/>
          <w:szCs w:val="21"/>
        </w:rPr>
        <w:sectPr w:rsidR="00F50C35">
          <w:pgSz w:w="11906" w:h="16838"/>
          <w:pgMar w:top="1440" w:right="1800" w:bottom="1440" w:left="1800" w:header="851" w:footer="992" w:gutter="0"/>
          <w:cols w:space="425"/>
          <w:docGrid w:type="lines" w:linePitch="312"/>
        </w:sectPr>
      </w:pPr>
      <w:bookmarkStart w:id="18" w:name="_Toc88037841"/>
    </w:p>
    <w:p w14:paraId="54E9FB06" w14:textId="77777777" w:rsidR="00F50C35" w:rsidRDefault="00FB66DA">
      <w:pPr>
        <w:pStyle w:val="1"/>
        <w:snapToGrid w:val="0"/>
        <w:spacing w:before="0" w:after="0" w:line="360" w:lineRule="auto"/>
        <w:rPr>
          <w:rFonts w:hAnsi="Arial"/>
          <w:kern w:val="0"/>
        </w:rPr>
      </w:pPr>
      <w:bookmarkStart w:id="19" w:name="_Toc274814072"/>
      <w:bookmarkStart w:id="20" w:name="_Toc274814005"/>
      <w:r>
        <w:rPr>
          <w:kern w:val="0"/>
        </w:rPr>
        <w:lastRenderedPageBreak/>
        <w:t>六、基金份额的申购与赎回</w:t>
      </w:r>
      <w:bookmarkEnd w:id="18"/>
      <w:bookmarkEnd w:id="19"/>
      <w:bookmarkEnd w:id="20"/>
    </w:p>
    <w:p w14:paraId="2F4FE9D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（一）申购与赎回办理的场所</w:t>
      </w:r>
    </w:p>
    <w:p w14:paraId="27CB0D6A" w14:textId="38559142"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本基金的销售机构包括基金管理人和基金管理人委托的代销机构。具体的销售机构将由基金管理人在招募说明书、基金份额发售公告或其他公告中列明。基金管理人可根据情况变更或增减销售机构，并在</w:t>
      </w:r>
      <w:r>
        <w:rPr>
          <w:rFonts w:ascii="Arial" w:hAnsi="宋体" w:cs="Arial" w:hint="eastAsia"/>
          <w:kern w:val="0"/>
          <w:szCs w:val="21"/>
        </w:rPr>
        <w:t>基金</w:t>
      </w:r>
      <w:r>
        <w:rPr>
          <w:rFonts w:ascii="Arial" w:hAnsi="宋体" w:cs="Arial"/>
          <w:kern w:val="0"/>
          <w:szCs w:val="21"/>
        </w:rPr>
        <w:t>管理人网站公示</w:t>
      </w:r>
      <w:r>
        <w:rPr>
          <w:rFonts w:ascii="Arial" w:hAnsi="宋体" w:cs="Arial"/>
          <w:color w:val="000000"/>
          <w:kern w:val="0"/>
          <w:szCs w:val="21"/>
        </w:rPr>
        <w:t>。</w:t>
      </w:r>
      <w:r>
        <w:rPr>
          <w:rFonts w:ascii="Arial" w:hAnsi="宋体" w:cs="Arial"/>
          <w:kern w:val="0"/>
          <w:szCs w:val="21"/>
        </w:rPr>
        <w:t>投资者可以在销售机构办理基金销售业务的营业场所或按销售机构提供的其他方式办理基金的申购与赎回。</w:t>
      </w:r>
    </w:p>
    <w:p w14:paraId="33CE5E5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（二）申购与赎回办理的开放日及时间</w:t>
      </w:r>
    </w:p>
    <w:p w14:paraId="0F0630B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、开放日及开放时间</w:t>
      </w:r>
    </w:p>
    <w:p w14:paraId="7B87685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一般情况下，本基金的申购和赎回的开放日为上海证券交易所和深圳证券交易所交易日，但本基金投资的主要市场因节假日而休市的除外（本基金投资的主要市场休市的界定及修改等约定事项详见招募说明书）。开放日具体业务办理时间以各销售机构的规定为准。</w:t>
      </w:r>
    </w:p>
    <w:p w14:paraId="14B9E01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若出现新的证券交易市场或其他特殊情况，基金管理人将视情况对前述开放日及开放时间进行相应的调整并公告。</w:t>
      </w:r>
    </w:p>
    <w:p w14:paraId="39D6A52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投资人在基金合同约定之外的日期和时间提出申购、赎回或转换申请的，视为下一个开放日的申请，其基金份额申购、赎回价格为下次办理基金份额申购、赎回时间所在开放日的价格。</w:t>
      </w:r>
    </w:p>
    <w:p w14:paraId="7A8A97F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、申购与赎回的开始时间</w:t>
      </w:r>
    </w:p>
    <w:p w14:paraId="31F5C86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本基金的申购自基金合同生效日后不超过三个月开始办理。具体业务办理时间由基金管理人另行公告。</w:t>
      </w:r>
    </w:p>
    <w:p w14:paraId="3D16359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本基金的赎回自基金合同生效日后不超过三个月开始办理。具体开放时间由基金管理人另行公告。</w:t>
      </w:r>
    </w:p>
    <w:p w14:paraId="1812CCB5" w14:textId="6900825D"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在确定申购开始时间与赎回开始时间后，由基金管理人于开始申购或赎回的</w:t>
      </w:r>
      <w:r>
        <w:rPr>
          <w:rFonts w:ascii="Arial" w:hAnsi="Arial" w:cs="Arial"/>
          <w:kern w:val="0"/>
          <w:szCs w:val="21"/>
        </w:rPr>
        <w:t>2</w:t>
      </w:r>
      <w:r>
        <w:rPr>
          <w:rFonts w:ascii="Arial" w:hAnsi="宋体" w:cs="Arial"/>
          <w:kern w:val="0"/>
          <w:szCs w:val="21"/>
        </w:rPr>
        <w:t>日前在指定媒介公告。</w:t>
      </w:r>
    </w:p>
    <w:p w14:paraId="2443EFF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（三）申购与赎回的原则</w:t>
      </w:r>
    </w:p>
    <w:p w14:paraId="5D5A3AD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w:t>
      </w:r>
      <w:r>
        <w:rPr>
          <w:rFonts w:ascii="Arial" w:hAnsi="Arial" w:cs="Arial" w:hint="eastAsia"/>
          <w:kern w:val="0"/>
          <w:szCs w:val="21"/>
        </w:rPr>
        <w:t>“</w:t>
      </w:r>
      <w:r>
        <w:rPr>
          <w:rFonts w:ascii="Arial" w:hAnsi="宋体" w:cs="Arial"/>
          <w:kern w:val="0"/>
          <w:szCs w:val="21"/>
        </w:rPr>
        <w:t>未知价</w:t>
      </w:r>
      <w:r>
        <w:rPr>
          <w:rFonts w:ascii="Arial" w:hAnsi="Arial" w:cs="Arial" w:hint="eastAsia"/>
          <w:kern w:val="0"/>
          <w:szCs w:val="21"/>
        </w:rPr>
        <w:t>”</w:t>
      </w:r>
      <w:r>
        <w:rPr>
          <w:rFonts w:ascii="Arial" w:hAnsi="宋体" w:cs="Arial"/>
          <w:kern w:val="0"/>
          <w:szCs w:val="21"/>
        </w:rPr>
        <w:t>原则，即基金的申购与赎回价格以受理申请当日的基金份额净值为基准进行计算；</w:t>
      </w:r>
    </w:p>
    <w:p w14:paraId="698F141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、基金采用金额申购和份额赎回的方式，即申购以金额申请，赎回以份额申请；</w:t>
      </w:r>
    </w:p>
    <w:p w14:paraId="310321C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份额持有人在赎回基金份额时，基金管理人按先进先出的原则，即对该基金份额持有人在该销售机构托管的基金份额进行处理，申购确认日期在先的基金份额先赎回，申购确认日期在后的基金份额后赎回，以确定所适用的赎回费率；</w:t>
      </w:r>
    </w:p>
    <w:p w14:paraId="6033C48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、当日的申购与赎回申请可以在当日业务办理时间结束前撤销，在当日业务办理时间结束后不得撤销；</w:t>
      </w:r>
    </w:p>
    <w:p w14:paraId="3D085FB1" w14:textId="3ED36EC0"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、基金管理人在不损害基金份额持有人权益的情况下可更改上述原则，但最迟应在新</w:t>
      </w:r>
      <w:r>
        <w:rPr>
          <w:rFonts w:ascii="Arial" w:hAnsi="宋体" w:cs="Arial"/>
          <w:kern w:val="0"/>
          <w:szCs w:val="21"/>
        </w:rPr>
        <w:lastRenderedPageBreak/>
        <w:t>的原则实施</w:t>
      </w:r>
      <w:r>
        <w:rPr>
          <w:rFonts w:ascii="Arial" w:hAnsi="Arial" w:cs="Arial"/>
          <w:kern w:val="0"/>
          <w:szCs w:val="21"/>
        </w:rPr>
        <w:t>2</w:t>
      </w:r>
      <w:r>
        <w:rPr>
          <w:rFonts w:ascii="Arial" w:hAnsi="宋体" w:cs="Arial"/>
          <w:kern w:val="0"/>
          <w:szCs w:val="21"/>
        </w:rPr>
        <w:t>日前</w:t>
      </w:r>
      <w:r>
        <w:rPr>
          <w:rFonts w:ascii="Arial" w:hAnsi="宋体" w:cs="Arial"/>
          <w:color w:val="000000"/>
          <w:kern w:val="0"/>
          <w:szCs w:val="21"/>
        </w:rPr>
        <w:t>在指定媒介公告。</w:t>
      </w:r>
    </w:p>
    <w:p w14:paraId="054BD68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（四）申购与赎回的程序</w:t>
      </w:r>
    </w:p>
    <w:p w14:paraId="4972C37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、申购与赎回申请的提出</w:t>
      </w:r>
    </w:p>
    <w:p w14:paraId="52C1FA8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投资者须按销售机构规定的手续，在开放日的业务办理时间提出申购或赎回的申请。</w:t>
      </w:r>
    </w:p>
    <w:p w14:paraId="76B4293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投资者申购本基金，须按销售机构规定的方式</w:t>
      </w:r>
      <w:r>
        <w:rPr>
          <w:rFonts w:ascii="Arial" w:hAnsi="宋体" w:cs="Arial"/>
          <w:color w:val="000000"/>
          <w:kern w:val="0"/>
          <w:szCs w:val="21"/>
        </w:rPr>
        <w:t>全额交付</w:t>
      </w:r>
      <w:r>
        <w:rPr>
          <w:rFonts w:ascii="Arial" w:hAnsi="宋体" w:cs="Arial"/>
          <w:kern w:val="0"/>
          <w:szCs w:val="21"/>
        </w:rPr>
        <w:t>申购款项。</w:t>
      </w:r>
    </w:p>
    <w:p w14:paraId="789EE51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投资者提交赎回申请时，其在销售机构（网点）必须有足够的基金份额余额。</w:t>
      </w:r>
    </w:p>
    <w:p w14:paraId="02C7C52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、申购与赎回申请的确认</w:t>
      </w:r>
    </w:p>
    <w:p w14:paraId="44E23CC2"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T</w:t>
      </w:r>
      <w:r>
        <w:rPr>
          <w:rFonts w:ascii="Arial" w:hAnsi="宋体" w:cs="Arial"/>
          <w:kern w:val="0"/>
          <w:szCs w:val="21"/>
        </w:rPr>
        <w:t>日规定时间受理的申请，正常情况下，本基金注册登记人在</w:t>
      </w:r>
      <w:r>
        <w:rPr>
          <w:rFonts w:ascii="Arial" w:hAnsi="Arial" w:cs="Arial"/>
          <w:kern w:val="0"/>
          <w:szCs w:val="21"/>
        </w:rPr>
        <w:t>T+2</w:t>
      </w:r>
      <w:r>
        <w:rPr>
          <w:rFonts w:ascii="Arial" w:hAnsi="宋体" w:cs="Arial"/>
          <w:kern w:val="0"/>
          <w:szCs w:val="21"/>
        </w:rPr>
        <w:t>日内为投资者对该交易的有效性进行确认。投资者应在</w:t>
      </w:r>
      <w:r>
        <w:rPr>
          <w:rFonts w:ascii="Arial" w:hAnsi="Arial" w:cs="Arial"/>
          <w:kern w:val="0"/>
          <w:szCs w:val="21"/>
        </w:rPr>
        <w:t>T+3</w:t>
      </w:r>
      <w:r>
        <w:rPr>
          <w:rFonts w:ascii="Arial" w:hAnsi="宋体" w:cs="Arial"/>
          <w:kern w:val="0"/>
          <w:szCs w:val="21"/>
        </w:rPr>
        <w:t>日（包括该日）后及时到销售网点柜台或以销售机构规定的其他方式查询申请的确认情况。</w:t>
      </w:r>
      <w:r>
        <w:rPr>
          <w:rFonts w:ascii="Arial" w:hAnsi="宋体" w:cs="Arial"/>
          <w:color w:val="000000"/>
          <w:kern w:val="0"/>
          <w:szCs w:val="21"/>
        </w:rPr>
        <w:t>因投资者未及时进行该查询而造成的后果由其自行承担。</w:t>
      </w:r>
    </w:p>
    <w:p w14:paraId="3641BA0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、申购与赎回申请的款项支付</w:t>
      </w:r>
    </w:p>
    <w:p w14:paraId="128B012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申购采用销售机构规定的方式全额交款，申购不成功或无效，申购款项将退回投资者账户。</w:t>
      </w:r>
    </w:p>
    <w:p w14:paraId="79B70D4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投资者赎回申请成交后，基金管理人应通过注册登记机构按规定向投资者支付赎回款项，赎回款项在自受理投资者有效赎回申请之日起不超过十个工作日的时间内划往投资者银行账户，</w:t>
      </w:r>
      <w:r>
        <w:rPr>
          <w:rFonts w:ascii="Arial" w:hAnsi="Arial" w:cs="Arial"/>
          <w:color w:val="000000"/>
        </w:rPr>
        <w:t>但中国证监会另有规定除外</w:t>
      </w:r>
      <w:r>
        <w:rPr>
          <w:rFonts w:ascii="Arial" w:hAnsi="宋体" w:cs="Arial"/>
          <w:kern w:val="0"/>
          <w:szCs w:val="21"/>
        </w:rPr>
        <w:t>。在发生巨额赎回时，赎回款项的支付办法按本基金合同有关规定处理。</w:t>
      </w:r>
    </w:p>
    <w:p w14:paraId="7E844E4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（五）申购与赎回的数额限制</w:t>
      </w:r>
    </w:p>
    <w:p w14:paraId="34BBE7B7" w14:textId="77777777" w:rsidR="00F50C35" w:rsidRDefault="00FB66DA">
      <w:pPr>
        <w:adjustRightInd w:val="0"/>
        <w:snapToGrid w:val="0"/>
        <w:spacing w:line="360" w:lineRule="auto"/>
        <w:ind w:firstLine="420"/>
        <w:rPr>
          <w:rFonts w:ascii="Arial" w:hAnsi="宋体" w:cs="Arial"/>
          <w:kern w:val="0"/>
          <w:szCs w:val="21"/>
        </w:rPr>
      </w:pPr>
      <w:r>
        <w:rPr>
          <w:rFonts w:ascii="Arial" w:hAnsi="Arial" w:cs="Arial"/>
          <w:kern w:val="0"/>
          <w:szCs w:val="21"/>
        </w:rPr>
        <w:t>1</w:t>
      </w:r>
      <w:r>
        <w:rPr>
          <w:rFonts w:ascii="Arial" w:hAnsi="宋体" w:cs="Arial"/>
          <w:kern w:val="0"/>
          <w:szCs w:val="21"/>
        </w:rPr>
        <w:t>、本基金申购和赎回的数额限制、每个基金交易账户的最低基金份额余额等由基金管理人确定并在招募说明书中列示</w:t>
      </w:r>
      <w:r>
        <w:rPr>
          <w:rFonts w:ascii="Arial" w:hAnsi="宋体" w:cs="Arial" w:hint="eastAsia"/>
          <w:kern w:val="0"/>
          <w:szCs w:val="21"/>
        </w:rPr>
        <w:t>；</w:t>
      </w:r>
    </w:p>
    <w:p w14:paraId="27B51CF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2</w:t>
      </w:r>
      <w:r>
        <w:rPr>
          <w:rFonts w:ascii="Arial" w:hAnsi="Arial" w:cs="Arial" w:hint="eastAsia"/>
          <w:kern w:val="0"/>
          <w:szCs w:val="21"/>
        </w:rPr>
        <w:t>、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招募说明书或相关公告。</w:t>
      </w:r>
    </w:p>
    <w:p w14:paraId="6A240BA3" w14:textId="2704DD28"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3</w:t>
      </w:r>
      <w:r>
        <w:rPr>
          <w:rFonts w:ascii="Arial" w:hAnsi="宋体" w:cs="Arial"/>
          <w:kern w:val="0"/>
          <w:szCs w:val="21"/>
        </w:rPr>
        <w:t>、基金管理人可根据市场情况，调整上述限制，基金管理人必须在</w:t>
      </w:r>
      <w:r>
        <w:rPr>
          <w:rFonts w:ascii="Arial" w:hAnsi="Arial" w:cs="Arial"/>
          <w:kern w:val="0"/>
          <w:szCs w:val="21"/>
        </w:rPr>
        <w:t>2</w:t>
      </w:r>
      <w:r>
        <w:rPr>
          <w:rFonts w:ascii="Arial" w:hAnsi="宋体" w:cs="Arial"/>
          <w:kern w:val="0"/>
          <w:szCs w:val="21"/>
        </w:rPr>
        <w:t>日之前在指定媒介上刊登调整公告。</w:t>
      </w:r>
    </w:p>
    <w:p w14:paraId="03DF4E0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（六）申购、赎回的处理方式</w:t>
      </w:r>
    </w:p>
    <w:p w14:paraId="28C00B0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申购份额、余额的处理方式：申购的有效份额为按实际确认的申购金额在扣除相应的费用后，以申请当日基金份额净值为基准计算，各计算结果均以四舍五入方法保留至小数点后两位，舍去部分所代表的资产计入基金财产。本基金申购份额的计算详见《招募说明书》</w:t>
      </w:r>
      <w:r>
        <w:rPr>
          <w:rFonts w:ascii="Arial" w:hAnsi="宋体" w:cs="Arial" w:hint="eastAsia"/>
          <w:kern w:val="0"/>
          <w:szCs w:val="21"/>
        </w:rPr>
        <w:t>；</w:t>
      </w:r>
    </w:p>
    <w:p w14:paraId="6A74BC4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赎回金额的处理方式：赎回金额为按实际确认的有效赎回份额乘以申请当日基金份额净值的金额，赎回净额为赎回金额扣除相应的费用的金额，各计算结果均以四舍五入方法保留至小数点后两位，舍去部分所代表的资产计入基金财产。本基金赎回金额的计算详见《招</w:t>
      </w:r>
      <w:r>
        <w:rPr>
          <w:rFonts w:ascii="Arial" w:hAnsi="宋体" w:cs="Arial"/>
          <w:kern w:val="0"/>
          <w:szCs w:val="21"/>
        </w:rPr>
        <w:lastRenderedPageBreak/>
        <w:t>募说明书》。</w:t>
      </w:r>
    </w:p>
    <w:p w14:paraId="1B67BF5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（七）申购和赎回的费用及其用途</w:t>
      </w:r>
    </w:p>
    <w:p w14:paraId="76254F3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、本基金申购费率最高不超过申购金额的</w:t>
      </w:r>
      <w:r>
        <w:rPr>
          <w:rFonts w:ascii="Arial" w:hAnsi="Arial" w:cs="Arial"/>
          <w:kern w:val="0"/>
          <w:szCs w:val="21"/>
        </w:rPr>
        <w:t>5</w:t>
      </w:r>
      <w:r>
        <w:rPr>
          <w:rFonts w:ascii="Arial" w:hAnsi="宋体" w:cs="Arial"/>
          <w:kern w:val="0"/>
          <w:szCs w:val="21"/>
        </w:rPr>
        <w:t>%</w:t>
      </w:r>
      <w:r>
        <w:rPr>
          <w:rFonts w:ascii="Arial" w:hAnsi="宋体" w:cs="Arial"/>
          <w:kern w:val="0"/>
          <w:szCs w:val="21"/>
        </w:rPr>
        <w:t>，赎回费率最高不超过赎回金额的</w:t>
      </w:r>
      <w:r>
        <w:rPr>
          <w:rFonts w:ascii="Arial" w:hAnsi="Arial" w:cs="Arial"/>
          <w:kern w:val="0"/>
          <w:szCs w:val="21"/>
        </w:rPr>
        <w:t>5</w:t>
      </w:r>
      <w:r>
        <w:rPr>
          <w:rFonts w:ascii="Arial" w:hAnsi="宋体" w:cs="Arial"/>
          <w:kern w:val="0"/>
          <w:szCs w:val="21"/>
        </w:rPr>
        <w:t>%</w:t>
      </w:r>
      <w:r>
        <w:rPr>
          <w:rFonts w:ascii="Arial" w:hAnsi="宋体" w:cs="Arial" w:hint="eastAsia"/>
          <w:kern w:val="0"/>
          <w:szCs w:val="21"/>
        </w:rPr>
        <w:t>；</w:t>
      </w:r>
    </w:p>
    <w:p w14:paraId="105DCC0D"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2</w:t>
      </w:r>
      <w:r>
        <w:rPr>
          <w:rFonts w:ascii="Arial" w:hAnsi="宋体" w:cs="Arial"/>
          <w:kern w:val="0"/>
          <w:szCs w:val="21"/>
        </w:rPr>
        <w:t>、本基金申购费率按照申购金额递减，即申购金额越大，所适用的申购费率越低。实际执行的申购费率在招募说明书中载明。</w:t>
      </w:r>
      <w:r>
        <w:rPr>
          <w:rFonts w:ascii="Arial" w:hAnsi="宋体" w:cs="Arial"/>
          <w:color w:val="000000"/>
          <w:kern w:val="0"/>
          <w:szCs w:val="21"/>
        </w:rPr>
        <w:t>投资者在一天之内如有多笔申购，适用费率按单笔分别计算</w:t>
      </w:r>
      <w:r>
        <w:rPr>
          <w:rFonts w:ascii="Arial" w:hAnsi="宋体" w:cs="Arial" w:hint="eastAsia"/>
          <w:color w:val="000000"/>
          <w:kern w:val="0"/>
          <w:szCs w:val="21"/>
        </w:rPr>
        <w:t>；</w:t>
      </w:r>
    </w:p>
    <w:p w14:paraId="7969CFF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、本基金的赎回费率按照持有时间递减，即相关基金份额持有时间越长，所适用的赎回费率越低，赎回费用等于赎回金额乘以所适用的赎回费率。实际执行的赎回费率在招募说明书中载明</w:t>
      </w:r>
      <w:r>
        <w:rPr>
          <w:rFonts w:ascii="Arial" w:hAnsi="宋体" w:cs="Arial" w:hint="eastAsia"/>
          <w:kern w:val="0"/>
          <w:szCs w:val="21"/>
        </w:rPr>
        <w:t>；</w:t>
      </w:r>
    </w:p>
    <w:p w14:paraId="6B5CD86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、本基金的申购费用由申购人承担，主要用于本基金的市场推广、销售、注册登记等各项费用，不列入基金财产</w:t>
      </w:r>
      <w:r>
        <w:rPr>
          <w:rFonts w:ascii="Arial" w:hAnsi="宋体" w:cs="Arial" w:hint="eastAsia"/>
          <w:kern w:val="0"/>
          <w:szCs w:val="21"/>
        </w:rPr>
        <w:t>。</w:t>
      </w:r>
    </w:p>
    <w:p w14:paraId="63E6C9F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本基金的赎回费用由基金份额持有人承担，</w:t>
      </w:r>
      <w:r>
        <w:rPr>
          <w:rFonts w:ascii="Arial" w:hAnsi="宋体" w:cs="Arial" w:hint="eastAsia"/>
          <w:kern w:val="0"/>
          <w:szCs w:val="21"/>
        </w:rPr>
        <w:t>其中，对持续持有期少于</w:t>
      </w:r>
      <w:r>
        <w:rPr>
          <w:rFonts w:ascii="Arial" w:hAnsi="宋体" w:cs="Arial" w:hint="eastAsia"/>
          <w:kern w:val="0"/>
          <w:szCs w:val="21"/>
        </w:rPr>
        <w:t>7</w:t>
      </w:r>
      <w:r>
        <w:rPr>
          <w:rFonts w:ascii="Arial" w:hAnsi="宋体" w:cs="Arial" w:hint="eastAsia"/>
          <w:kern w:val="0"/>
          <w:szCs w:val="21"/>
        </w:rPr>
        <w:t>日的投资者收取不低于</w:t>
      </w:r>
      <w:r>
        <w:rPr>
          <w:rFonts w:ascii="Arial" w:hAnsi="宋体" w:cs="Arial" w:hint="eastAsia"/>
          <w:kern w:val="0"/>
          <w:szCs w:val="21"/>
        </w:rPr>
        <w:t>1.5%</w:t>
      </w:r>
      <w:r>
        <w:rPr>
          <w:rFonts w:ascii="Arial" w:hAnsi="宋体" w:cs="Arial" w:hint="eastAsia"/>
          <w:kern w:val="0"/>
          <w:szCs w:val="21"/>
        </w:rPr>
        <w:t>的赎回费，并将上述赎回费全额计入基金财产；</w:t>
      </w:r>
      <w:r>
        <w:rPr>
          <w:rFonts w:ascii="Arial" w:hAnsi="宋体" w:cs="Arial"/>
          <w:kern w:val="0"/>
          <w:szCs w:val="21"/>
        </w:rPr>
        <w:t>基金管理人将</w:t>
      </w:r>
      <w:r>
        <w:rPr>
          <w:rFonts w:ascii="Arial" w:hAnsi="宋体" w:cs="Arial" w:hint="eastAsia"/>
          <w:kern w:val="0"/>
          <w:szCs w:val="21"/>
        </w:rPr>
        <w:t>对</w:t>
      </w:r>
      <w:r>
        <w:rPr>
          <w:rFonts w:ascii="Arial" w:hAnsi="宋体" w:cs="Arial"/>
          <w:kern w:val="0"/>
          <w:szCs w:val="21"/>
        </w:rPr>
        <w:t>其他投资者</w:t>
      </w:r>
      <w:r>
        <w:rPr>
          <w:rFonts w:ascii="Arial" w:hAnsi="宋体" w:cs="Arial" w:hint="eastAsia"/>
          <w:kern w:val="0"/>
          <w:szCs w:val="21"/>
        </w:rPr>
        <w:t>收取的赎回费按</w:t>
      </w:r>
      <w:r>
        <w:rPr>
          <w:rFonts w:ascii="Arial" w:hAnsi="宋体" w:cs="Arial"/>
          <w:color w:val="000000"/>
          <w:kern w:val="0"/>
          <w:szCs w:val="21"/>
        </w:rPr>
        <w:t>不低于其总额的</w:t>
      </w:r>
      <w:r>
        <w:rPr>
          <w:rFonts w:ascii="Arial" w:hAnsi="Arial" w:cs="Arial"/>
          <w:color w:val="000000"/>
          <w:kern w:val="0"/>
          <w:szCs w:val="21"/>
        </w:rPr>
        <w:t>25%</w:t>
      </w:r>
      <w:r>
        <w:rPr>
          <w:rFonts w:ascii="Arial" w:hAnsi="宋体" w:cs="Arial"/>
          <w:color w:val="000000"/>
          <w:kern w:val="0"/>
          <w:szCs w:val="21"/>
        </w:rPr>
        <w:t>归入基金财产，</w:t>
      </w:r>
      <w:r>
        <w:rPr>
          <w:rFonts w:ascii="Arial" w:hAnsi="宋体" w:cs="Arial"/>
          <w:kern w:val="0"/>
          <w:szCs w:val="21"/>
        </w:rPr>
        <w:t>其余部分用于支付注册登记费等相关手续费</w:t>
      </w:r>
      <w:r>
        <w:rPr>
          <w:rFonts w:ascii="Arial" w:hAnsi="宋体" w:cs="Arial" w:hint="eastAsia"/>
          <w:kern w:val="0"/>
          <w:szCs w:val="21"/>
        </w:rPr>
        <w:t>；</w:t>
      </w:r>
      <w:r>
        <w:rPr>
          <w:rFonts w:ascii="Arial" w:hAnsi="宋体" w:cs="Arial" w:hint="eastAsia"/>
          <w:kern w:val="0"/>
          <w:szCs w:val="21"/>
        </w:rPr>
        <w:t xml:space="preserve"> </w:t>
      </w:r>
    </w:p>
    <w:p w14:paraId="27DE43B9" w14:textId="00A50A85"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、基金管理人可以在法律法规和本基金合同规定范围内调整申购费率和赎回费率和收费方式。费率如发生变更，基金管理人应在调整实施</w:t>
      </w:r>
      <w:r>
        <w:rPr>
          <w:rFonts w:ascii="Arial" w:hAnsi="Arial" w:cs="Arial"/>
          <w:kern w:val="0"/>
          <w:szCs w:val="21"/>
        </w:rPr>
        <w:t>2</w:t>
      </w:r>
      <w:r>
        <w:rPr>
          <w:rFonts w:ascii="Arial" w:hAnsi="宋体" w:cs="Arial"/>
          <w:kern w:val="0"/>
          <w:szCs w:val="21"/>
        </w:rPr>
        <w:t>日前在指定媒介上刊登公告</w:t>
      </w:r>
      <w:r>
        <w:rPr>
          <w:rFonts w:ascii="Arial" w:hAnsi="宋体" w:cs="Arial" w:hint="eastAsia"/>
          <w:kern w:val="0"/>
          <w:szCs w:val="21"/>
        </w:rPr>
        <w:t>；</w:t>
      </w:r>
    </w:p>
    <w:p w14:paraId="14D8DEE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基金管理人可以在不违反法律法规规定及基金合同约定的情况下根据市场情况制定基金促销计划，经代销机构同意后，针对投资者定期和不定期地开展基金促销活动。在基金促销活动期间，基金管理人可以按中国证监会要求履行必要手续后，对投资者适当调整基金申购费率、赎回费率等相关费率。</w:t>
      </w:r>
    </w:p>
    <w:p w14:paraId="5EEB534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（八）申购与赎回的注册登记</w:t>
      </w:r>
    </w:p>
    <w:p w14:paraId="04E78A9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w:t>
      </w:r>
      <w:r>
        <w:rPr>
          <w:rFonts w:ascii="Arial" w:hAnsi="宋体" w:cs="Arial"/>
          <w:color w:val="000000"/>
          <w:kern w:val="0"/>
          <w:szCs w:val="21"/>
        </w:rPr>
        <w:t>经基金销售机构同意，投资者提出的申购和赎回申请，在基金管理人规定的时间之前可以撤销</w:t>
      </w:r>
      <w:r>
        <w:rPr>
          <w:rFonts w:ascii="Arial" w:hAnsi="宋体" w:cs="Arial" w:hint="eastAsia"/>
          <w:color w:val="000000"/>
          <w:kern w:val="0"/>
          <w:szCs w:val="21"/>
        </w:rPr>
        <w:t>；</w:t>
      </w:r>
    </w:p>
    <w:p w14:paraId="41BC7F9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、投资者申购基金成功后，基金注册登记机构在</w:t>
      </w:r>
      <w:r>
        <w:rPr>
          <w:rFonts w:ascii="Arial" w:hAnsi="Arial" w:cs="Arial"/>
          <w:kern w:val="0"/>
          <w:szCs w:val="21"/>
        </w:rPr>
        <w:t>T</w:t>
      </w:r>
      <w:r>
        <w:rPr>
          <w:rFonts w:ascii="Arial" w:hAnsi="宋体" w:cs="Arial"/>
          <w:kern w:val="0"/>
          <w:szCs w:val="21"/>
        </w:rPr>
        <w:t>＋</w:t>
      </w:r>
      <w:r>
        <w:rPr>
          <w:rFonts w:ascii="Arial" w:hAnsi="Arial" w:cs="Arial"/>
          <w:kern w:val="0"/>
          <w:szCs w:val="21"/>
        </w:rPr>
        <w:t>2</w:t>
      </w:r>
      <w:r>
        <w:rPr>
          <w:rFonts w:ascii="Arial" w:hAnsi="宋体" w:cs="Arial"/>
          <w:kern w:val="0"/>
          <w:szCs w:val="21"/>
        </w:rPr>
        <w:t>日为投资者增加权益并办理注册登记手续，投资者自</w:t>
      </w:r>
      <w:r>
        <w:rPr>
          <w:rFonts w:ascii="Arial" w:hAnsi="Arial" w:cs="Arial"/>
          <w:kern w:val="0"/>
          <w:szCs w:val="21"/>
        </w:rPr>
        <w:t>T</w:t>
      </w:r>
      <w:r>
        <w:rPr>
          <w:rFonts w:ascii="Arial" w:hAnsi="宋体" w:cs="Arial"/>
          <w:kern w:val="0"/>
          <w:szCs w:val="21"/>
        </w:rPr>
        <w:t>＋</w:t>
      </w:r>
      <w:r>
        <w:rPr>
          <w:rFonts w:ascii="Arial" w:hAnsi="Arial" w:cs="Arial"/>
          <w:kern w:val="0"/>
          <w:szCs w:val="21"/>
        </w:rPr>
        <w:t>3</w:t>
      </w:r>
      <w:r>
        <w:rPr>
          <w:rFonts w:ascii="Arial" w:hAnsi="宋体" w:cs="Arial"/>
          <w:kern w:val="0"/>
          <w:szCs w:val="21"/>
        </w:rPr>
        <w:t>日起有权赎回该部分基金份额</w:t>
      </w:r>
      <w:r>
        <w:rPr>
          <w:rFonts w:ascii="Arial" w:hAnsi="宋体" w:cs="Arial" w:hint="eastAsia"/>
          <w:kern w:val="0"/>
          <w:szCs w:val="21"/>
        </w:rPr>
        <w:t>；</w:t>
      </w:r>
    </w:p>
    <w:p w14:paraId="7778DC8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、投资者赎回基金成功后，基金注册登记机构在</w:t>
      </w:r>
      <w:r>
        <w:rPr>
          <w:rFonts w:ascii="Arial" w:hAnsi="Arial" w:cs="Arial"/>
          <w:kern w:val="0"/>
          <w:szCs w:val="21"/>
        </w:rPr>
        <w:t>T</w:t>
      </w:r>
      <w:r>
        <w:rPr>
          <w:rFonts w:ascii="Arial" w:hAnsi="宋体" w:cs="Arial"/>
          <w:kern w:val="0"/>
          <w:szCs w:val="21"/>
        </w:rPr>
        <w:t>＋</w:t>
      </w:r>
      <w:r>
        <w:rPr>
          <w:rFonts w:ascii="Arial" w:hAnsi="Arial" w:cs="Arial"/>
          <w:kern w:val="0"/>
          <w:szCs w:val="21"/>
        </w:rPr>
        <w:t>2</w:t>
      </w:r>
      <w:r>
        <w:rPr>
          <w:rFonts w:ascii="Arial" w:hAnsi="宋体" w:cs="Arial"/>
          <w:kern w:val="0"/>
          <w:szCs w:val="21"/>
        </w:rPr>
        <w:t>日为投资者扣除权益并办理相应的注册登记手续</w:t>
      </w:r>
      <w:r>
        <w:rPr>
          <w:rFonts w:ascii="Arial" w:hAnsi="宋体" w:cs="Arial" w:hint="eastAsia"/>
          <w:kern w:val="0"/>
          <w:szCs w:val="21"/>
        </w:rPr>
        <w:t>；</w:t>
      </w:r>
    </w:p>
    <w:p w14:paraId="72B0810D" w14:textId="569152A0"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、基金管理人可在法律法规允许的范围内，对上述注册登记办理时间进行调整，并最迟于开始实施</w:t>
      </w:r>
      <w:r>
        <w:rPr>
          <w:rFonts w:ascii="Arial" w:hAnsi="Arial" w:cs="Arial"/>
          <w:kern w:val="0"/>
          <w:szCs w:val="21"/>
        </w:rPr>
        <w:t>2</w:t>
      </w:r>
      <w:r>
        <w:rPr>
          <w:rFonts w:ascii="Arial" w:hAnsi="宋体" w:cs="Arial"/>
          <w:kern w:val="0"/>
          <w:szCs w:val="21"/>
        </w:rPr>
        <w:t>日前</w:t>
      </w:r>
      <w:r>
        <w:rPr>
          <w:rFonts w:ascii="Arial" w:hAnsi="宋体" w:cs="Arial"/>
          <w:color w:val="000000"/>
          <w:kern w:val="0"/>
          <w:szCs w:val="21"/>
        </w:rPr>
        <w:t>在指定媒介上</w:t>
      </w:r>
      <w:r>
        <w:rPr>
          <w:rFonts w:ascii="Arial" w:hAnsi="宋体" w:cs="Arial"/>
          <w:kern w:val="0"/>
          <w:szCs w:val="21"/>
        </w:rPr>
        <w:t>公告</w:t>
      </w:r>
      <w:r>
        <w:rPr>
          <w:rFonts w:ascii="Arial" w:hAnsi="宋体" w:cs="Arial" w:hint="eastAsia"/>
          <w:kern w:val="0"/>
          <w:szCs w:val="21"/>
        </w:rPr>
        <w:t>；</w:t>
      </w:r>
    </w:p>
    <w:p w14:paraId="7853CC7A" w14:textId="77777777" w:rsidR="00F50C35" w:rsidRDefault="00FB66DA">
      <w:pPr>
        <w:adjustRightInd w:val="0"/>
        <w:snapToGrid w:val="0"/>
        <w:spacing w:line="360" w:lineRule="auto"/>
        <w:ind w:firstLineChars="100" w:firstLine="210"/>
        <w:rPr>
          <w:rFonts w:ascii="Arial" w:hAnsi="Arial" w:cs="Arial"/>
          <w:kern w:val="0"/>
          <w:szCs w:val="21"/>
        </w:rPr>
      </w:pPr>
      <w:r>
        <w:rPr>
          <w:rFonts w:ascii="Arial" w:hAnsi="宋体" w:cs="Arial"/>
          <w:kern w:val="0"/>
          <w:szCs w:val="21"/>
        </w:rPr>
        <w:t>（九）巨额赎回的认定及处理方式</w:t>
      </w:r>
    </w:p>
    <w:p w14:paraId="41D84EC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、巨额赎回的认定</w:t>
      </w:r>
    </w:p>
    <w:p w14:paraId="22539FE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szCs w:val="21"/>
        </w:rPr>
        <w:t>单个开放日中，本基金的基金份额净赎回申请（赎回申请总份额</w:t>
      </w:r>
      <w:r>
        <w:rPr>
          <w:rFonts w:ascii="Arial" w:hAnsi="Arial" w:cs="Arial"/>
        </w:rPr>
        <w:t>加上基金转换中转出申请份额总数后</w:t>
      </w:r>
      <w:r>
        <w:rPr>
          <w:rFonts w:ascii="Arial" w:hAnsi="宋体" w:cs="Arial"/>
          <w:color w:val="000000"/>
          <w:szCs w:val="21"/>
        </w:rPr>
        <w:t>扣除申购申请总份额</w:t>
      </w:r>
      <w:r>
        <w:rPr>
          <w:rFonts w:ascii="Arial" w:hAnsi="Arial" w:cs="Arial"/>
        </w:rPr>
        <w:t>及基金转换中转入申请份额总数</w:t>
      </w:r>
      <w:r>
        <w:rPr>
          <w:rFonts w:ascii="Arial" w:hAnsi="宋体" w:cs="Arial"/>
          <w:color w:val="000000"/>
          <w:szCs w:val="21"/>
        </w:rPr>
        <w:t>后的余额）超过上一日基</w:t>
      </w:r>
      <w:r>
        <w:rPr>
          <w:rFonts w:ascii="Arial" w:hAnsi="宋体" w:cs="Arial"/>
          <w:color w:val="000000"/>
          <w:szCs w:val="21"/>
        </w:rPr>
        <w:lastRenderedPageBreak/>
        <w:t>金总份额的</w:t>
      </w:r>
      <w:r>
        <w:rPr>
          <w:rFonts w:ascii="Arial" w:hAnsi="Arial" w:cs="Arial"/>
          <w:color w:val="000000"/>
          <w:szCs w:val="21"/>
        </w:rPr>
        <w:t>10%</w:t>
      </w:r>
      <w:r>
        <w:rPr>
          <w:rFonts w:ascii="Arial" w:hAnsi="宋体" w:cs="Arial"/>
          <w:color w:val="000000"/>
          <w:szCs w:val="21"/>
        </w:rPr>
        <w:t>，为巨额赎回。</w:t>
      </w:r>
    </w:p>
    <w:p w14:paraId="7D2B53A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、巨额赎回的处理方式</w:t>
      </w:r>
    </w:p>
    <w:p w14:paraId="0235714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出现巨额赎回时，基金管理人可以根据本基金当时的资产组合状况决定接受全额赎回或部分延期赎回。</w:t>
      </w:r>
    </w:p>
    <w:p w14:paraId="5748A15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）接受全额赎回：当基金管理人认为有能力兑付投资者的全部赎回申请时，按正常赎回程序执行</w:t>
      </w:r>
      <w:r>
        <w:rPr>
          <w:rFonts w:ascii="Arial" w:hAnsi="宋体" w:cs="Arial" w:hint="eastAsia"/>
          <w:kern w:val="0"/>
          <w:szCs w:val="21"/>
        </w:rPr>
        <w:t>；</w:t>
      </w:r>
    </w:p>
    <w:p w14:paraId="18635970"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）部分延期赎回：当基金管理人认为兑付投资者的赎回申请有困难，或认为兑付投资者的赎回申请进行的资产变现可能使</w:t>
      </w:r>
      <w:r>
        <w:rPr>
          <w:rFonts w:ascii="Arial" w:hAnsi="宋体" w:cs="Arial"/>
          <w:color w:val="000000"/>
          <w:kern w:val="0"/>
          <w:szCs w:val="21"/>
        </w:rPr>
        <w:t>基金资产</w:t>
      </w:r>
      <w:r>
        <w:rPr>
          <w:rFonts w:ascii="Arial" w:hAnsi="宋体" w:cs="Arial"/>
          <w:kern w:val="0"/>
          <w:szCs w:val="21"/>
        </w:rPr>
        <w:t>净值发生较大波动时，基金管理人在当日接受赎回比例不低于上一日基金总份额</w:t>
      </w:r>
      <w:r>
        <w:rPr>
          <w:rFonts w:ascii="Arial" w:hAnsi="Arial" w:cs="Arial"/>
          <w:kern w:val="0"/>
          <w:szCs w:val="21"/>
        </w:rPr>
        <w:t>10</w:t>
      </w:r>
      <w:r>
        <w:rPr>
          <w:rFonts w:ascii="Arial" w:hAnsi="宋体" w:cs="Arial"/>
          <w:kern w:val="0"/>
          <w:szCs w:val="21"/>
        </w:rPr>
        <w:t>%</w:t>
      </w:r>
      <w:r>
        <w:rPr>
          <w:rFonts w:ascii="Arial" w:hAnsi="宋体" w:cs="Arial"/>
          <w:kern w:val="0"/>
          <w:szCs w:val="21"/>
        </w:rPr>
        <w:t>的前提下，对其余赎回申请延期办理。对于当日的赎回申请，应当按单个基金份额持有人申请赎回份额占当日申请赎回总份额的比例，确定该单个基金份额持有人当日办理的赎回份额；未受理部分除投资者在提交赎回申请时选择将当日未获受理部分予以撤销者外，延迟至下一开放日办理，赎回价格为下一个开放日的价格。转入下一开放日的赎回申请不享有赎回优先权，以此类推，直到全部赎回为止</w:t>
      </w:r>
      <w:r>
        <w:rPr>
          <w:rFonts w:ascii="Arial" w:hAnsi="宋体" w:cs="Arial" w:hint="eastAsia"/>
          <w:kern w:val="0"/>
          <w:szCs w:val="21"/>
        </w:rPr>
        <w:t>；</w:t>
      </w:r>
    </w:p>
    <w:p w14:paraId="366AD057" w14:textId="77777777" w:rsidR="00F50C35" w:rsidRDefault="00FB66DA">
      <w:pPr>
        <w:spacing w:before="50" w:line="360" w:lineRule="auto"/>
        <w:ind w:firstLineChars="200" w:firstLine="420"/>
        <w:rPr>
          <w:color w:val="000000"/>
        </w:rPr>
      </w:pPr>
      <w:r>
        <w:rPr>
          <w:rFonts w:hint="eastAsia"/>
          <w:color w:val="000000"/>
        </w:rPr>
        <w:t>（</w:t>
      </w:r>
      <w:r>
        <w:rPr>
          <w:rFonts w:hint="eastAsia"/>
          <w:color w:val="000000"/>
        </w:rPr>
        <w:t>3</w:t>
      </w:r>
      <w:r>
        <w:rPr>
          <w:rFonts w:hint="eastAsia"/>
          <w:color w:val="000000"/>
        </w:rPr>
        <w:t>）本基金发生巨额赎回时，对于单个基金份额持有人当日赎回申请超过上一开放日基金总份额</w:t>
      </w:r>
      <w:r>
        <w:rPr>
          <w:rFonts w:hint="eastAsia"/>
          <w:color w:val="000000"/>
        </w:rPr>
        <w:t>10%</w:t>
      </w:r>
      <w:r>
        <w:rPr>
          <w:rFonts w:hint="eastAsia"/>
          <w:color w:val="000000"/>
        </w:rPr>
        <w:t>以上的部分，基金管理人有权对其进行延期办理（被延期赎回的赎回申请，将自动转入下一个开放日继续赎回，延期的赎回申请与下一开放日赎回申请一并处理，无优先权并以下一开放日的基金份额净值为基础计算赎回金额，以此类推，直到全部赎回为止）；对于该基金份额持有人申请赎回的份额中未超过上一开放日基金总份额</w:t>
      </w:r>
      <w:r>
        <w:rPr>
          <w:rFonts w:hint="eastAsia"/>
          <w:color w:val="000000"/>
        </w:rPr>
        <w:t>10</w:t>
      </w:r>
      <w:r>
        <w:rPr>
          <w:rFonts w:hint="eastAsia"/>
          <w:color w:val="000000"/>
        </w:rPr>
        <w:t>％的部分，基金管理人根据前段“（</w:t>
      </w:r>
      <w:r>
        <w:rPr>
          <w:rFonts w:hint="eastAsia"/>
          <w:color w:val="000000"/>
        </w:rPr>
        <w:t>1</w:t>
      </w:r>
      <w:r>
        <w:rPr>
          <w:rFonts w:hint="eastAsia"/>
          <w:color w:val="000000"/>
        </w:rPr>
        <w:t>）接受全额赎回”或“（</w:t>
      </w:r>
      <w:r>
        <w:rPr>
          <w:rFonts w:hint="eastAsia"/>
          <w:color w:val="000000"/>
        </w:rPr>
        <w:t>2</w:t>
      </w:r>
      <w:r>
        <w:rPr>
          <w:rFonts w:hint="eastAsia"/>
          <w:color w:val="000000"/>
        </w:rPr>
        <w:t>）部分延期赎回”的约定方式与其他基金份额持有人的赎回申请一并办理。但是，如该持有人在提交赎回申请时选择取消赎回，则其当日未获受理的部分赎回申请将被撤销。</w:t>
      </w:r>
    </w:p>
    <w:p w14:paraId="3AC76B5A" w14:textId="7708FAEC"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）当发生巨额赎回并延期办理时，基金管理人应当通过邮寄、传真或招募说明书规定的其他方式，在三个工作日内通知基金份额持有人，说明有关处理方法，</w:t>
      </w:r>
      <w:r>
        <w:rPr>
          <w:rFonts w:ascii="Arial" w:hAnsi="宋体" w:cs="Arial" w:hint="eastAsia"/>
          <w:kern w:val="0"/>
          <w:szCs w:val="21"/>
        </w:rPr>
        <w:t>并在</w:t>
      </w:r>
      <w:r>
        <w:rPr>
          <w:rFonts w:ascii="Arial" w:hAnsi="宋体" w:cs="Arial" w:hint="eastAsia"/>
          <w:kern w:val="0"/>
          <w:szCs w:val="21"/>
        </w:rPr>
        <w:t>2</w:t>
      </w:r>
      <w:r>
        <w:rPr>
          <w:rFonts w:ascii="Arial" w:hAnsi="宋体" w:cs="Arial" w:hint="eastAsia"/>
          <w:kern w:val="0"/>
          <w:szCs w:val="21"/>
        </w:rPr>
        <w:t>日内</w:t>
      </w:r>
      <w:r>
        <w:rPr>
          <w:rFonts w:ascii="Arial" w:hAnsi="宋体" w:cs="Arial"/>
          <w:kern w:val="0"/>
          <w:szCs w:val="21"/>
        </w:rPr>
        <w:t>在指定</w:t>
      </w:r>
      <w:r>
        <w:rPr>
          <w:rFonts w:ascii="Arial" w:hAnsi="宋体" w:cs="Arial" w:hint="eastAsia"/>
          <w:kern w:val="0"/>
          <w:szCs w:val="21"/>
        </w:rPr>
        <w:t>媒介</w:t>
      </w:r>
      <w:r>
        <w:rPr>
          <w:rFonts w:ascii="Arial" w:hAnsi="宋体" w:cs="Arial"/>
          <w:kern w:val="0"/>
          <w:szCs w:val="21"/>
        </w:rPr>
        <w:t>予以公告</w:t>
      </w:r>
      <w:r>
        <w:rPr>
          <w:rFonts w:ascii="Arial" w:hAnsi="宋体" w:cs="Arial" w:hint="eastAsia"/>
          <w:kern w:val="0"/>
          <w:szCs w:val="21"/>
        </w:rPr>
        <w:t>；</w:t>
      </w:r>
    </w:p>
    <w:p w14:paraId="0F6E3C0E" w14:textId="4BC1ACD9"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暂停接受和延缓支付：本基金连续两个或两个以上开放日发生巨额赎回，如基金管理人认为有必要，可暂停接受赎回申请；已经接受的赎回申请可以延缓支付赎回款项，但延缓期限不得超过二十个工作日，并应当在指定媒介公告。</w:t>
      </w:r>
    </w:p>
    <w:p w14:paraId="1302AF3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（十）拒绝或暂停申购、暂停赎回的情形及处理</w:t>
      </w:r>
    </w:p>
    <w:p w14:paraId="6907B6E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、在如下情况下，基金管理人可以拒绝或暂停接受投资者的申购申请：</w:t>
      </w:r>
    </w:p>
    <w:p w14:paraId="680190E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）因不可抗力导致基金管理人无法接受投资者的申购申请；</w:t>
      </w:r>
    </w:p>
    <w:p w14:paraId="1F2153A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）本基金主要投资市场的交易所交易时间临时停市；</w:t>
      </w:r>
    </w:p>
    <w:p w14:paraId="5C92DDB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）发生本基金合同规定的暂停基金</w:t>
      </w:r>
      <w:r>
        <w:rPr>
          <w:rFonts w:ascii="Arial" w:hAnsi="宋体" w:cs="Arial"/>
          <w:szCs w:val="21"/>
        </w:rPr>
        <w:t>资产</w:t>
      </w:r>
      <w:r>
        <w:rPr>
          <w:rFonts w:ascii="Arial" w:hAnsi="宋体" w:cs="Arial"/>
          <w:kern w:val="0"/>
          <w:szCs w:val="21"/>
        </w:rPr>
        <w:t>估值情况；</w:t>
      </w:r>
    </w:p>
    <w:p w14:paraId="094FE01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）基金财产规模过大，使基金管理人无法找到合适的投资品种；</w:t>
      </w:r>
    </w:p>
    <w:p w14:paraId="58539CF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w:t>
      </w:r>
      <w:r>
        <w:rPr>
          <w:rFonts w:ascii="Arial" w:hAnsi="Arial" w:cs="Arial"/>
          <w:kern w:val="0"/>
          <w:szCs w:val="21"/>
        </w:rPr>
        <w:t>5</w:t>
      </w:r>
      <w:r>
        <w:rPr>
          <w:rFonts w:ascii="Arial" w:hAnsi="宋体" w:cs="Arial"/>
          <w:kern w:val="0"/>
          <w:szCs w:val="21"/>
        </w:rPr>
        <w:t>）其他可能对基金业绩产生负面影响，从而损害现有基金份额持有人的利益的情形；</w:t>
      </w:r>
    </w:p>
    <w:p w14:paraId="1AB9200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w:t>
      </w:r>
      <w:r>
        <w:rPr>
          <w:rFonts w:ascii="Arial" w:hAnsi="Arial" w:cs="Arial"/>
        </w:rPr>
        <w:t>基金资产规模或者份额数量达到了基金管理人规定的上限（基金管理人可根据外管局的审批及市场情况进行调整）</w:t>
      </w:r>
      <w:r>
        <w:rPr>
          <w:rFonts w:ascii="Arial" w:hAnsi="宋体" w:cs="Arial"/>
          <w:kern w:val="0"/>
          <w:szCs w:val="21"/>
        </w:rPr>
        <w:t>；</w:t>
      </w:r>
    </w:p>
    <w:p w14:paraId="4B0D4DE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w:t>
      </w:r>
      <w:r>
        <w:rPr>
          <w:rFonts w:ascii="Arial" w:hAnsi="Arial" w:cs="Arial"/>
          <w:kern w:val="0"/>
          <w:szCs w:val="21"/>
        </w:rPr>
        <w:t>基金管理人认为接受某笔或某些申购申请可能会影响或损害现有基金份额持有人利益</w:t>
      </w:r>
      <w:r>
        <w:rPr>
          <w:rFonts w:ascii="Arial" w:hAnsi="Arial" w:cs="Arial" w:hint="eastAsia"/>
          <w:kern w:val="0"/>
          <w:szCs w:val="21"/>
        </w:rPr>
        <w:t>或对存量基金份额持有人利益构成潜在重大不利影响</w:t>
      </w:r>
      <w:r>
        <w:rPr>
          <w:rFonts w:ascii="Arial" w:hAnsi="Arial" w:cs="Arial"/>
          <w:kern w:val="0"/>
          <w:szCs w:val="21"/>
        </w:rPr>
        <w:t>的；</w:t>
      </w:r>
    </w:p>
    <w:p w14:paraId="58738A9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hint="eastAsia"/>
          <w:kern w:val="0"/>
          <w:szCs w:val="21"/>
        </w:rPr>
        <w:t>8</w:t>
      </w:r>
      <w:r>
        <w:rPr>
          <w:rFonts w:ascii="Arial" w:hAnsi="宋体" w:cs="Arial"/>
          <w:kern w:val="0"/>
          <w:szCs w:val="21"/>
        </w:rPr>
        <w:t>）</w:t>
      </w:r>
      <w:r>
        <w:rPr>
          <w:rFonts w:ascii="Arial" w:hAnsi="Arial" w:cs="Arial" w:hint="eastAsia"/>
          <w:kern w:val="0"/>
          <w:szCs w:val="21"/>
        </w:rPr>
        <w:t>当前一估值日基金资产净值</w:t>
      </w:r>
      <w:r>
        <w:rPr>
          <w:rFonts w:ascii="Arial" w:hAnsi="Arial" w:cs="Arial" w:hint="eastAsia"/>
          <w:kern w:val="0"/>
          <w:szCs w:val="21"/>
        </w:rPr>
        <w:t>50%</w:t>
      </w:r>
      <w:r>
        <w:rPr>
          <w:rFonts w:ascii="Arial" w:hAnsi="Arial" w:cs="Arial" w:hint="eastAsia"/>
          <w:kern w:val="0"/>
          <w:szCs w:val="21"/>
        </w:rPr>
        <w:t>以上的资产出现无可参考的活跃市场价格且采用估值技术仍导致公允价值存在重大不确定性时，经与基金托管人协商确认后，基金管理人应当暂停接受基金申购申请；</w:t>
      </w:r>
    </w:p>
    <w:p w14:paraId="63978DC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hint="eastAsia"/>
          <w:kern w:val="0"/>
          <w:szCs w:val="21"/>
        </w:rPr>
        <w:t>9</w:t>
      </w:r>
      <w:r>
        <w:rPr>
          <w:rFonts w:ascii="Arial" w:hAnsi="Arial" w:cs="Arial" w:hint="eastAsia"/>
          <w:kern w:val="0"/>
          <w:szCs w:val="21"/>
        </w:rPr>
        <w:t>）基金管理人接受某笔或者某些申购申请有可能导致单一投资者持有基金份额的比例达到或者超过</w:t>
      </w:r>
      <w:r>
        <w:rPr>
          <w:rFonts w:ascii="Arial" w:hAnsi="Arial" w:cs="Arial" w:hint="eastAsia"/>
          <w:kern w:val="0"/>
          <w:szCs w:val="21"/>
        </w:rPr>
        <w:t>50%</w:t>
      </w:r>
      <w:r>
        <w:rPr>
          <w:rFonts w:ascii="Arial" w:hAnsi="Arial" w:cs="Arial" w:hint="eastAsia"/>
          <w:kern w:val="0"/>
          <w:szCs w:val="21"/>
        </w:rPr>
        <w:t>，或者变相规避</w:t>
      </w:r>
      <w:r>
        <w:rPr>
          <w:rFonts w:ascii="Arial" w:hAnsi="Arial" w:cs="Arial" w:hint="eastAsia"/>
          <w:kern w:val="0"/>
          <w:szCs w:val="21"/>
        </w:rPr>
        <w:t>50%</w:t>
      </w:r>
      <w:r>
        <w:rPr>
          <w:rFonts w:ascii="Arial" w:hAnsi="Arial" w:cs="Arial" w:hint="eastAsia"/>
          <w:kern w:val="0"/>
          <w:szCs w:val="21"/>
        </w:rPr>
        <w:t>集中度的情形时；</w:t>
      </w:r>
    </w:p>
    <w:p w14:paraId="4825FDF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w:t>
      </w:r>
      <w:r>
        <w:rPr>
          <w:rFonts w:ascii="Arial" w:hAnsi="Arial" w:cs="Arial" w:hint="eastAsia"/>
          <w:kern w:val="0"/>
          <w:szCs w:val="21"/>
        </w:rPr>
        <w:t>10</w:t>
      </w:r>
      <w:r>
        <w:rPr>
          <w:rFonts w:ascii="Arial" w:hAnsi="Arial" w:cs="Arial"/>
          <w:kern w:val="0"/>
          <w:szCs w:val="21"/>
        </w:rPr>
        <w:t>）</w:t>
      </w:r>
      <w:r>
        <w:rPr>
          <w:rFonts w:ascii="Arial" w:hAnsi="宋体" w:cs="Arial"/>
          <w:kern w:val="0"/>
          <w:szCs w:val="21"/>
        </w:rPr>
        <w:t>法律、法规规定或经中国证监会认定的其他情形。</w:t>
      </w:r>
    </w:p>
    <w:p w14:paraId="748D49F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基金管理人决定拒绝或暂停接受某些投资者的申购申请时，申购款项将退回投资者账户。</w:t>
      </w:r>
      <w:r>
        <w:rPr>
          <w:rFonts w:ascii="Arial" w:hAnsi="Arial" w:cs="Arial"/>
          <w:kern w:val="0"/>
          <w:szCs w:val="21"/>
        </w:rPr>
        <w:t>当发生上述</w:t>
      </w:r>
      <w:r>
        <w:rPr>
          <w:rFonts w:ascii="Arial" w:hAnsi="Arial" w:cs="Arial"/>
        </w:rPr>
        <w:t>（</w:t>
      </w:r>
      <w:r>
        <w:rPr>
          <w:rFonts w:ascii="Arial" w:hAnsi="Arial" w:cs="Arial"/>
        </w:rPr>
        <w:t>1</w:t>
      </w:r>
      <w:r>
        <w:rPr>
          <w:rFonts w:ascii="Arial" w:hAnsi="Arial" w:cs="Arial"/>
        </w:rPr>
        <w:t>）、（</w:t>
      </w:r>
      <w:r>
        <w:rPr>
          <w:rFonts w:ascii="Arial" w:hAnsi="Arial" w:cs="Arial"/>
        </w:rPr>
        <w:t>2</w:t>
      </w:r>
      <w:r>
        <w:rPr>
          <w:rFonts w:ascii="Arial" w:hAnsi="Arial" w:cs="Arial"/>
        </w:rPr>
        <w:t>）、（</w:t>
      </w:r>
      <w:r>
        <w:rPr>
          <w:rFonts w:ascii="Arial" w:hAnsi="Arial" w:cs="Arial"/>
        </w:rPr>
        <w:t>3</w:t>
      </w:r>
      <w:r>
        <w:rPr>
          <w:rFonts w:ascii="Arial" w:hAnsi="Arial" w:cs="Arial"/>
        </w:rPr>
        <w:t>）、（</w:t>
      </w:r>
      <w:r>
        <w:rPr>
          <w:rFonts w:ascii="Arial" w:hAnsi="Arial" w:cs="Arial"/>
        </w:rPr>
        <w:t>4</w:t>
      </w:r>
      <w:r>
        <w:rPr>
          <w:rFonts w:ascii="Arial" w:hAnsi="Arial" w:cs="Arial"/>
        </w:rPr>
        <w:t>）、（</w:t>
      </w:r>
      <w:r>
        <w:rPr>
          <w:rFonts w:ascii="Arial" w:hAnsi="Arial" w:cs="Arial"/>
        </w:rPr>
        <w:t>6</w:t>
      </w:r>
      <w:r>
        <w:rPr>
          <w:rFonts w:ascii="Arial" w:hAnsi="Arial" w:cs="Arial"/>
        </w:rPr>
        <w:t>）、（</w:t>
      </w:r>
      <w:r>
        <w:rPr>
          <w:rFonts w:ascii="Arial" w:hAnsi="Arial" w:cs="Arial" w:hint="eastAsia"/>
        </w:rPr>
        <w:t>8</w:t>
      </w:r>
      <w:r>
        <w:rPr>
          <w:rFonts w:ascii="Arial" w:hAnsi="Arial" w:cs="Arial"/>
        </w:rPr>
        <w:t>）</w:t>
      </w:r>
      <w:r>
        <w:rPr>
          <w:rFonts w:ascii="Arial" w:hAnsi="Arial" w:cs="Arial" w:hint="eastAsia"/>
        </w:rPr>
        <w:t>、</w:t>
      </w:r>
      <w:r>
        <w:rPr>
          <w:rFonts w:ascii="Arial" w:hAnsi="Arial" w:cs="Arial"/>
        </w:rPr>
        <w:t>（</w:t>
      </w:r>
      <w:r>
        <w:rPr>
          <w:rFonts w:ascii="Arial" w:hAnsi="Arial" w:cs="Arial" w:hint="eastAsia"/>
        </w:rPr>
        <w:t>10</w:t>
      </w:r>
      <w:r>
        <w:rPr>
          <w:rFonts w:ascii="Arial" w:hAnsi="Arial" w:cs="Arial"/>
        </w:rPr>
        <w:t>）</w:t>
      </w:r>
      <w:r>
        <w:rPr>
          <w:rFonts w:ascii="Arial" w:hAnsi="Arial" w:cs="Arial"/>
          <w:kern w:val="0"/>
          <w:szCs w:val="21"/>
        </w:rPr>
        <w:t>项</w:t>
      </w:r>
      <w:r>
        <w:rPr>
          <w:rFonts w:ascii="Arial" w:hAnsi="宋体" w:cs="Arial"/>
          <w:kern w:val="0"/>
          <w:szCs w:val="21"/>
        </w:rPr>
        <w:t>暂停申购情况时，基金管理人应当依法公告。在暂停申购的情形消除时，基金管理人应及时恢复申购业务的办理。</w:t>
      </w:r>
    </w:p>
    <w:p w14:paraId="6B5C7DD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、在如下情况下，基金管理人可以暂停赎回或者延缓支付赎回款项：</w:t>
      </w:r>
    </w:p>
    <w:p w14:paraId="5655C3BB"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）因不可抗力导致基金管理人不能支付赎回款项；</w:t>
      </w:r>
    </w:p>
    <w:p w14:paraId="3342B02E"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w:t>
      </w:r>
      <w:r>
        <w:rPr>
          <w:rFonts w:ascii="Arial" w:hAnsi="宋体" w:cs="Arial"/>
        </w:rPr>
        <w:t>本基金进行交易的主要证券交易市场或外汇市场交易时间非正常停市或遇公众节假日，可能影响本基金投资，或导致基金管理人无法计算当日基金资产净值</w:t>
      </w:r>
      <w:r>
        <w:rPr>
          <w:rFonts w:ascii="Arial" w:hAnsi="宋体" w:cs="Arial"/>
          <w:kern w:val="0"/>
          <w:szCs w:val="21"/>
        </w:rPr>
        <w:t>；</w:t>
      </w:r>
    </w:p>
    <w:p w14:paraId="206DA6F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）发生连续巨额赎回，根据本基金合同规定，可以暂停接受赎回申请的情况；</w:t>
      </w:r>
    </w:p>
    <w:p w14:paraId="29ABD5F5" w14:textId="77777777" w:rsidR="00F50C35" w:rsidRDefault="00FB66DA">
      <w:pPr>
        <w:adjustRightInd w:val="0"/>
        <w:snapToGrid w:val="0"/>
        <w:spacing w:line="360" w:lineRule="auto"/>
        <w:ind w:firstLine="420"/>
        <w:rPr>
          <w:rFonts w:ascii="Arial" w:hAnsi="Arial" w:cs="Arial"/>
        </w:rPr>
      </w:pPr>
      <w:r>
        <w:rPr>
          <w:rFonts w:ascii="Arial" w:hAnsi="宋体" w:cs="Arial"/>
          <w:kern w:val="0"/>
          <w:szCs w:val="21"/>
        </w:rPr>
        <w:t>（</w:t>
      </w:r>
      <w:r>
        <w:rPr>
          <w:rFonts w:ascii="Arial" w:hAnsi="Arial" w:cs="Arial"/>
          <w:kern w:val="0"/>
          <w:szCs w:val="21"/>
        </w:rPr>
        <w:t>4</w:t>
      </w:r>
      <w:r>
        <w:rPr>
          <w:rFonts w:ascii="Arial" w:hAnsi="宋体" w:cs="Arial"/>
          <w:kern w:val="0"/>
          <w:szCs w:val="21"/>
        </w:rPr>
        <w:t>）</w:t>
      </w:r>
      <w:r>
        <w:rPr>
          <w:rFonts w:ascii="Arial" w:hAnsi="宋体" w:cs="Arial"/>
        </w:rPr>
        <w:t>本基金的资产组合中的重要部分发生暂停交易或其他重大事件，继续接受赎回可能会影响或损害其他基金份额持有人利益时；</w:t>
      </w:r>
    </w:p>
    <w:p w14:paraId="403BEBA0" w14:textId="77777777" w:rsidR="00F50C35" w:rsidRDefault="00FB66DA">
      <w:pPr>
        <w:adjustRightInd w:val="0"/>
        <w:snapToGrid w:val="0"/>
        <w:spacing w:line="360" w:lineRule="auto"/>
        <w:ind w:firstLine="420"/>
        <w:rPr>
          <w:rFonts w:ascii="Arial" w:hAnsi="Arial" w:cs="Arial"/>
        </w:rPr>
      </w:pPr>
      <w:r>
        <w:rPr>
          <w:rFonts w:ascii="Arial" w:hAnsi="宋体" w:cs="Arial"/>
        </w:rPr>
        <w:t>（</w:t>
      </w:r>
      <w:r>
        <w:rPr>
          <w:rFonts w:ascii="Arial" w:hAnsi="Arial" w:cs="Arial"/>
        </w:rPr>
        <w:t>5</w:t>
      </w:r>
      <w:r>
        <w:rPr>
          <w:rFonts w:ascii="Arial" w:hAnsi="宋体" w:cs="Arial"/>
        </w:rPr>
        <w:t>）基金管理人、基金托管人、基金销售机构或注册登记机构因技术保障或人员伤亡导致基金销售系统或基金注册登记系统或基金会计系统无法正常运行时；</w:t>
      </w:r>
    </w:p>
    <w:p w14:paraId="55CB27E0"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rPr>
        <w:t>（</w:t>
      </w:r>
      <w:r>
        <w:rPr>
          <w:rFonts w:ascii="Arial" w:hAnsi="Arial" w:cs="Arial"/>
        </w:rPr>
        <w:t>6</w:t>
      </w:r>
      <w:r>
        <w:rPr>
          <w:rFonts w:ascii="Arial" w:hAnsi="宋体" w:cs="Arial"/>
        </w:rPr>
        <w:t>）</w:t>
      </w:r>
      <w:r>
        <w:rPr>
          <w:rFonts w:ascii="Arial" w:hAnsi="宋体" w:cs="Arial"/>
          <w:kern w:val="0"/>
          <w:szCs w:val="21"/>
        </w:rPr>
        <w:t>发生本基金合同规定的暂停基金</w:t>
      </w:r>
      <w:r>
        <w:rPr>
          <w:rFonts w:ascii="Arial" w:hAnsi="宋体" w:cs="Arial"/>
          <w:szCs w:val="21"/>
        </w:rPr>
        <w:t>资产</w:t>
      </w:r>
      <w:r>
        <w:rPr>
          <w:rFonts w:ascii="Arial" w:hAnsi="宋体" w:cs="Arial"/>
          <w:kern w:val="0"/>
          <w:szCs w:val="21"/>
        </w:rPr>
        <w:t>估值情况；</w:t>
      </w:r>
    </w:p>
    <w:p w14:paraId="6DC5928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rPr>
        <w:t>（</w:t>
      </w:r>
      <w:r>
        <w:rPr>
          <w:rFonts w:ascii="Arial" w:hAnsi="Arial" w:cs="Arial" w:hint="eastAsia"/>
        </w:rPr>
        <w:t>7</w:t>
      </w:r>
      <w:r>
        <w:rPr>
          <w:rFonts w:ascii="Arial" w:hAnsi="宋体" w:cs="Arial"/>
        </w:rPr>
        <w:t>）</w:t>
      </w:r>
      <w:r>
        <w:rPr>
          <w:rFonts w:ascii="Arial" w:hAnsi="Arial" w:cs="Arial" w:hint="eastAsia"/>
          <w:kern w:val="0"/>
          <w:szCs w:val="21"/>
        </w:rPr>
        <w:t>当前一估值日基金资产净值</w:t>
      </w:r>
      <w:r>
        <w:rPr>
          <w:rFonts w:ascii="Arial" w:hAnsi="Arial" w:cs="Arial" w:hint="eastAsia"/>
          <w:kern w:val="0"/>
          <w:szCs w:val="21"/>
        </w:rPr>
        <w:t>50%</w:t>
      </w:r>
      <w:r>
        <w:rPr>
          <w:rFonts w:ascii="Arial" w:hAnsi="Arial" w:cs="Arial" w:hint="eastAsia"/>
          <w:kern w:val="0"/>
          <w:szCs w:val="21"/>
        </w:rPr>
        <w:t>以上的资产出现无可参考的活跃市场价格且采用估值技术仍导致公允价值存在重大不确定性时，经与基金托管人协商确认后，基金管理人应当延缓支付赎回款项或暂停接受赎回申请；</w:t>
      </w:r>
    </w:p>
    <w:p w14:paraId="4F93B3F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hint="eastAsia"/>
          <w:kern w:val="0"/>
          <w:szCs w:val="21"/>
        </w:rPr>
        <w:t>8</w:t>
      </w:r>
      <w:r>
        <w:rPr>
          <w:rFonts w:ascii="Arial" w:hAnsi="宋体" w:cs="Arial"/>
          <w:kern w:val="0"/>
          <w:szCs w:val="21"/>
        </w:rPr>
        <w:t>）法律、法规规定或经中国证监会认定的其他情形。</w:t>
      </w:r>
    </w:p>
    <w:p w14:paraId="706CD47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发生上述情形之一的，已经确认的赎回申请，基金管理人应当足额支付；如暂时不能足额支付，应当按单个赎回申请人已被接受的赎回申请量占已接受的赎回申请总量的比例分配给赎回申请人，其余部分在后续开放日予以支付。</w:t>
      </w:r>
    </w:p>
    <w:p w14:paraId="1A20A89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在暂停赎回的情况消除时，基金管理人应及时恢复赎回业务的办理。</w:t>
      </w:r>
    </w:p>
    <w:p w14:paraId="71F14368" w14:textId="11227E33"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、暂停基金的申购、赎回，基金管理人应按规定公告。</w:t>
      </w:r>
    </w:p>
    <w:p w14:paraId="4FB3EBB6" w14:textId="4DE624E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4</w:t>
      </w:r>
      <w:r>
        <w:rPr>
          <w:rFonts w:ascii="Arial" w:hAnsi="宋体" w:cs="Arial"/>
          <w:kern w:val="0"/>
          <w:szCs w:val="21"/>
        </w:rPr>
        <w:t>、暂停期间结束，基金重新开放时，基金管理人应按规定公告。</w:t>
      </w:r>
    </w:p>
    <w:p w14:paraId="44667391" w14:textId="6317A3FB"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w:t>
      </w:r>
      <w:r>
        <w:rPr>
          <w:rFonts w:ascii="Arial" w:hAnsi="Arial" w:cs="Arial"/>
          <w:kern w:val="0"/>
          <w:szCs w:val="21"/>
        </w:rPr>
        <w:t>1</w:t>
      </w:r>
      <w:r>
        <w:rPr>
          <w:rFonts w:ascii="Arial" w:hAnsi="宋体" w:cs="Arial"/>
          <w:kern w:val="0"/>
          <w:szCs w:val="21"/>
        </w:rPr>
        <w:t>）如果发生暂停的时间为一个开放日，基金管理人将</w:t>
      </w:r>
      <w:r>
        <w:rPr>
          <w:rFonts w:ascii="Arial" w:hAnsi="宋体" w:cs="Arial" w:hint="eastAsia"/>
          <w:kern w:val="0"/>
          <w:szCs w:val="21"/>
        </w:rPr>
        <w:t>按规定</w:t>
      </w:r>
      <w:r>
        <w:rPr>
          <w:rFonts w:ascii="Arial" w:hAnsi="宋体" w:cs="Arial"/>
          <w:kern w:val="0"/>
          <w:szCs w:val="21"/>
        </w:rPr>
        <w:t>在指定媒介刊登基金重新开放申购或赎回的公告，并公告最近一个开放日的基金份额净值</w:t>
      </w:r>
      <w:r>
        <w:rPr>
          <w:rFonts w:ascii="Arial" w:hAnsi="宋体" w:cs="Arial" w:hint="eastAsia"/>
          <w:kern w:val="0"/>
          <w:szCs w:val="21"/>
        </w:rPr>
        <w:t>；</w:t>
      </w:r>
    </w:p>
    <w:p w14:paraId="296C6256" w14:textId="5D4B304A"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）如果发生暂停的时间超过一个</w:t>
      </w:r>
      <w:proofErr w:type="gramStart"/>
      <w:r>
        <w:rPr>
          <w:rFonts w:ascii="Arial" w:hAnsi="宋体" w:cs="Arial"/>
          <w:kern w:val="0"/>
          <w:szCs w:val="21"/>
        </w:rPr>
        <w:t>开放日但少于</w:t>
      </w:r>
      <w:proofErr w:type="gramEnd"/>
      <w:r>
        <w:rPr>
          <w:rFonts w:ascii="Arial" w:hAnsi="宋体" w:cs="Arial"/>
          <w:kern w:val="0"/>
          <w:szCs w:val="21"/>
        </w:rPr>
        <w:t>十个开放日，暂停结束，基金重新开放申购或赎回时，基金管理人应</w:t>
      </w:r>
      <w:r>
        <w:rPr>
          <w:rFonts w:ascii="Arial" w:hAnsi="宋体" w:cs="Arial" w:hint="eastAsia"/>
          <w:kern w:val="0"/>
          <w:szCs w:val="21"/>
        </w:rPr>
        <w:t>按规定</w:t>
      </w:r>
      <w:r>
        <w:rPr>
          <w:rFonts w:ascii="Arial" w:hAnsi="宋体" w:cs="Arial"/>
          <w:kern w:val="0"/>
          <w:szCs w:val="21"/>
        </w:rPr>
        <w:t>在指定媒介刊登基金重新开放申购或赎回的公告，并在重新开放申购或赎回日公告最近一个开放日的基金份额净值</w:t>
      </w:r>
      <w:r>
        <w:rPr>
          <w:rFonts w:ascii="Arial" w:hAnsi="宋体" w:cs="Arial" w:hint="eastAsia"/>
          <w:kern w:val="0"/>
          <w:szCs w:val="21"/>
        </w:rPr>
        <w:t>；</w:t>
      </w:r>
    </w:p>
    <w:p w14:paraId="3E053CDB" w14:textId="2888818B"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）如果发生暂停的时间超过十个开放日，暂停期间，基金管理人应每十个开放日至少重复刊登暂停公告一次；当连续暂停时间超过</w:t>
      </w:r>
      <w:r>
        <w:rPr>
          <w:rFonts w:ascii="Arial" w:hAnsi="Arial" w:cs="Arial"/>
          <w:kern w:val="0"/>
          <w:szCs w:val="21"/>
        </w:rPr>
        <w:t>20</w:t>
      </w:r>
      <w:r>
        <w:rPr>
          <w:rFonts w:ascii="Arial" w:hAnsi="宋体" w:cs="Arial"/>
          <w:kern w:val="0"/>
          <w:szCs w:val="21"/>
        </w:rPr>
        <w:t>个开放日时，可对重复刊登暂停公告的频率进行调整。暂停结束，基金重新开放申购或赎回时，基金管理人应提前</w:t>
      </w:r>
      <w:r>
        <w:rPr>
          <w:rFonts w:ascii="Arial" w:hAnsi="Arial" w:cs="Arial"/>
          <w:kern w:val="0"/>
          <w:szCs w:val="21"/>
        </w:rPr>
        <w:t>2</w:t>
      </w:r>
      <w:r>
        <w:rPr>
          <w:rFonts w:ascii="Arial" w:hAnsi="宋体" w:cs="Arial"/>
          <w:kern w:val="0"/>
          <w:szCs w:val="21"/>
        </w:rPr>
        <w:t>日在指定媒介连续刊登基金重新开放申购或赎回的公告，并在重新开放申购或赎回日公告最近一个开放日的基金份额净值。</w:t>
      </w:r>
    </w:p>
    <w:p w14:paraId="69FC7F9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（十一）基金转换</w:t>
      </w:r>
    </w:p>
    <w:p w14:paraId="16B6A7A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管理人可以根据相关法律法规以及本基金合同的规定，在条件成熟的情况下提供本基金与基金管理人管理的其他基金之间的转换服务。基金转换可以收取一定的转换费。基金转换的程序及相关规则由基金管理人届时根据相关法律法规及本基金合同的规定制定并公告。</w:t>
      </w:r>
      <w:bookmarkStart w:id="21" w:name="_Toc88037842"/>
    </w:p>
    <w:p w14:paraId="7849B00A" w14:textId="77777777" w:rsidR="00F50C35" w:rsidRDefault="00F50C35">
      <w:pPr>
        <w:adjustRightInd w:val="0"/>
        <w:snapToGrid w:val="0"/>
        <w:spacing w:line="360" w:lineRule="auto"/>
        <w:rPr>
          <w:rFonts w:ascii="Arial" w:hAnsi="Arial" w:cs="Arial"/>
          <w:szCs w:val="21"/>
        </w:rPr>
      </w:pPr>
    </w:p>
    <w:p w14:paraId="3DF366B2" w14:textId="77777777" w:rsidR="00F50C35" w:rsidRDefault="00F50C35">
      <w:pPr>
        <w:pStyle w:val="2"/>
        <w:adjustRightInd w:val="0"/>
        <w:snapToGrid w:val="0"/>
        <w:spacing w:before="0" w:after="0" w:line="360" w:lineRule="auto"/>
        <w:rPr>
          <w:rFonts w:eastAsia="宋体" w:hAnsi="宋体" w:cs="Arial"/>
          <w:kern w:val="0"/>
          <w:sz w:val="21"/>
          <w:szCs w:val="21"/>
        </w:rPr>
        <w:sectPr w:rsidR="00F50C35">
          <w:pgSz w:w="11906" w:h="16838"/>
          <w:pgMar w:top="1440" w:right="1800" w:bottom="1440" w:left="1800" w:header="851" w:footer="992" w:gutter="0"/>
          <w:cols w:space="425"/>
          <w:docGrid w:type="lines" w:linePitch="312"/>
        </w:sectPr>
      </w:pPr>
      <w:bookmarkStart w:id="22" w:name="_Toc133209024"/>
    </w:p>
    <w:p w14:paraId="3DB78644" w14:textId="77777777" w:rsidR="00F50C35" w:rsidRDefault="00FB66DA">
      <w:pPr>
        <w:pStyle w:val="1"/>
        <w:snapToGrid w:val="0"/>
        <w:spacing w:before="0" w:after="0" w:line="360" w:lineRule="auto"/>
        <w:rPr>
          <w:rFonts w:hAnsi="Arial"/>
          <w:kern w:val="0"/>
        </w:rPr>
      </w:pPr>
      <w:bookmarkStart w:id="23" w:name="_Toc274814073"/>
      <w:bookmarkStart w:id="24" w:name="_Toc274814006"/>
      <w:r>
        <w:rPr>
          <w:kern w:val="0"/>
        </w:rPr>
        <w:lastRenderedPageBreak/>
        <w:t>七、基金的非交易过户、转托管、冻结与质押</w:t>
      </w:r>
      <w:bookmarkEnd w:id="22"/>
      <w:bookmarkEnd w:id="23"/>
      <w:bookmarkEnd w:id="24"/>
    </w:p>
    <w:p w14:paraId="44A6C31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非交易过户是指不采用申购、赎回等基金交易方式，将一定数量的基金份额按照一定规则从某一投资者基金账户转移到另一投资者基金账户的行为，包括继承、捐赠、司法强制执行及基金注册登记机构认可的其他行为。无论在上述何种情况下，接受划转的主体必须是合格的个人投资者或机构投资者。其中：</w:t>
      </w:r>
    </w:p>
    <w:p w14:paraId="4C97CBE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w:t>
      </w:r>
      <w:r>
        <w:rPr>
          <w:rFonts w:ascii="Arial" w:hAnsi="Arial" w:cs="Arial" w:hint="eastAsia"/>
          <w:kern w:val="0"/>
          <w:szCs w:val="21"/>
        </w:rPr>
        <w:t>“</w:t>
      </w:r>
      <w:r>
        <w:rPr>
          <w:rFonts w:ascii="Arial" w:hAnsi="宋体" w:cs="Arial"/>
          <w:kern w:val="0"/>
          <w:szCs w:val="21"/>
        </w:rPr>
        <w:t>继承</w:t>
      </w:r>
      <w:r>
        <w:rPr>
          <w:rFonts w:ascii="Arial" w:hAnsi="Arial" w:cs="Arial" w:hint="eastAsia"/>
          <w:kern w:val="0"/>
          <w:szCs w:val="21"/>
        </w:rPr>
        <w:t>”</w:t>
      </w:r>
      <w:r>
        <w:rPr>
          <w:rFonts w:ascii="Arial" w:hAnsi="宋体" w:cs="Arial"/>
          <w:kern w:val="0"/>
          <w:szCs w:val="21"/>
        </w:rPr>
        <w:t>是指基金份额持有人死亡，其持有的基金份额由其合法的继承人继承；</w:t>
      </w:r>
    </w:p>
    <w:p w14:paraId="7677639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w:t>
      </w:r>
      <w:r>
        <w:rPr>
          <w:rFonts w:ascii="Arial" w:hAnsi="Arial" w:cs="Arial" w:hint="eastAsia"/>
          <w:kern w:val="0"/>
          <w:szCs w:val="21"/>
        </w:rPr>
        <w:t>“</w:t>
      </w:r>
      <w:r>
        <w:rPr>
          <w:rFonts w:ascii="Arial" w:hAnsi="宋体" w:cs="Arial"/>
          <w:kern w:val="0"/>
          <w:szCs w:val="21"/>
        </w:rPr>
        <w:t>捐赠</w:t>
      </w:r>
      <w:r>
        <w:rPr>
          <w:rFonts w:ascii="Arial" w:hAnsi="Arial" w:cs="Arial" w:hint="eastAsia"/>
          <w:kern w:val="0"/>
          <w:szCs w:val="21"/>
        </w:rPr>
        <w:t>”</w:t>
      </w:r>
      <w:r>
        <w:rPr>
          <w:rFonts w:ascii="Arial" w:hAnsi="宋体" w:cs="Arial"/>
          <w:kern w:val="0"/>
          <w:szCs w:val="21"/>
        </w:rPr>
        <w:t>仅指基金份额持有人将其合法持有的基金份额捐赠给福利性质的基金会或其他具有社会公益性质的社会团体；</w:t>
      </w:r>
      <w:bookmarkStart w:id="25" w:name="_Hlt133652327"/>
      <w:bookmarkEnd w:id="25"/>
    </w:p>
    <w:p w14:paraId="5D349AE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w:t>
      </w:r>
      <w:r>
        <w:rPr>
          <w:rFonts w:ascii="Arial" w:hAnsi="Arial" w:cs="Arial" w:hint="eastAsia"/>
          <w:kern w:val="0"/>
          <w:szCs w:val="21"/>
        </w:rPr>
        <w:t>“</w:t>
      </w:r>
      <w:r>
        <w:rPr>
          <w:rFonts w:ascii="Arial" w:hAnsi="宋体" w:cs="Arial"/>
          <w:kern w:val="0"/>
          <w:szCs w:val="21"/>
        </w:rPr>
        <w:t>司法强制执行</w:t>
      </w:r>
      <w:r>
        <w:rPr>
          <w:rFonts w:ascii="Arial" w:hAnsi="Arial" w:cs="Arial" w:hint="eastAsia"/>
          <w:kern w:val="0"/>
          <w:szCs w:val="21"/>
        </w:rPr>
        <w:t>”</w:t>
      </w:r>
      <w:r>
        <w:rPr>
          <w:rFonts w:ascii="Arial" w:hAnsi="宋体" w:cs="Arial"/>
          <w:kern w:val="0"/>
          <w:szCs w:val="21"/>
        </w:rPr>
        <w:t>是指国家有权机关依据生效的法律文书将基金份额持有人持有的基金份额强制执行划转给其他自然人、法人、社会团体或其他组织。</w:t>
      </w:r>
    </w:p>
    <w:p w14:paraId="4627844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（二）办理非交易过户业务必须提供基金注册登记机构要求提供的相关资料，并向基金注册登记机构申请办理。</w:t>
      </w:r>
    </w:p>
    <w:p w14:paraId="750A9B5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（三）符合条件的非交易过户申请自申请受理日起二个月内办理；申请人按基金注册登记机构规定的标准缴纳过户费用。</w:t>
      </w:r>
    </w:p>
    <w:p w14:paraId="32F73D7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（四）基金份额持有人可办理已持有基金份额在不同销售机构之间的转托管，基金销售机构可以按照规定的标准收取转托管费。</w:t>
      </w:r>
    </w:p>
    <w:p w14:paraId="51FEC43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如果出现基金管理人、注册登记机构、办理转托管的销售机构因技术系统性能限制或其它合理原因，可以暂停该业务或者拒绝基金份额持有人的转托管申请。</w:t>
      </w:r>
    </w:p>
    <w:p w14:paraId="35BB649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（五）基金注册登记机构只受理国家有权机关依法要求的基金账户或基金份额的冻结与解冻。基金账户或基金份额被冻结的，被冻结部分产生的权益</w:t>
      </w:r>
      <w:bookmarkStart w:id="26" w:name="_Hlt133199705"/>
      <w:bookmarkEnd w:id="26"/>
      <w:r>
        <w:rPr>
          <w:rFonts w:ascii="Arial" w:hAnsi="宋体" w:cs="Arial"/>
          <w:kern w:val="0"/>
          <w:szCs w:val="21"/>
        </w:rPr>
        <w:t>一律转为基金份额并冻结。</w:t>
      </w:r>
    </w:p>
    <w:p w14:paraId="710E4460" w14:textId="77777777" w:rsidR="00F50C35" w:rsidRDefault="00FB66DA">
      <w:pPr>
        <w:adjustRightInd w:val="0"/>
        <w:snapToGrid w:val="0"/>
        <w:spacing w:line="360" w:lineRule="auto"/>
        <w:ind w:firstLine="420"/>
        <w:rPr>
          <w:rFonts w:ascii="Arial" w:hAnsi="Arial" w:cs="Arial"/>
          <w:color w:val="000000"/>
          <w:szCs w:val="21"/>
        </w:rPr>
      </w:pPr>
      <w:r>
        <w:rPr>
          <w:rFonts w:ascii="Arial" w:hAnsi="宋体" w:cs="Arial"/>
          <w:kern w:val="0"/>
          <w:szCs w:val="21"/>
        </w:rPr>
        <w:t>（六）根据相关法律法规的规定，基金管理人将可以办理基金份额的质押业务或其他基金业务，并制定和实施相应的业务规则</w:t>
      </w:r>
      <w:r>
        <w:rPr>
          <w:rFonts w:ascii="Arial" w:hAnsi="宋体" w:cs="Arial"/>
          <w:color w:val="000000"/>
          <w:szCs w:val="21"/>
        </w:rPr>
        <w:t>。</w:t>
      </w:r>
    </w:p>
    <w:p w14:paraId="4B620312" w14:textId="77777777" w:rsidR="00F50C35" w:rsidRDefault="00FB66DA">
      <w:pPr>
        <w:pStyle w:val="1"/>
        <w:snapToGrid w:val="0"/>
        <w:spacing w:before="0" w:after="0" w:line="360" w:lineRule="auto"/>
        <w:rPr>
          <w:rFonts w:hAnsi="Arial"/>
          <w:kern w:val="0"/>
        </w:rPr>
      </w:pPr>
      <w:r>
        <w:rPr>
          <w:rFonts w:hAnsi="Arial"/>
          <w:kern w:val="0"/>
        </w:rPr>
        <w:br w:type="page"/>
      </w:r>
      <w:bookmarkStart w:id="27" w:name="_Toc274814074"/>
      <w:bookmarkStart w:id="28" w:name="_Toc274814007"/>
      <w:r>
        <w:rPr>
          <w:kern w:val="0"/>
        </w:rPr>
        <w:lastRenderedPageBreak/>
        <w:t>八、基金合同当事人及其权利义务</w:t>
      </w:r>
      <w:bookmarkEnd w:id="21"/>
      <w:bookmarkEnd w:id="27"/>
      <w:bookmarkEnd w:id="28"/>
    </w:p>
    <w:p w14:paraId="0A1CAE7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（一）基金管理人</w:t>
      </w:r>
    </w:p>
    <w:p w14:paraId="095DFEC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、基金管理人基本情况</w:t>
      </w:r>
    </w:p>
    <w:p w14:paraId="7603A8D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名称：博时基金管理有限公司</w:t>
      </w:r>
    </w:p>
    <w:p w14:paraId="05719282" w14:textId="2059D54C"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住所：</w:t>
      </w:r>
      <w:r w:rsidR="000161D9" w:rsidRPr="000161D9">
        <w:rPr>
          <w:rFonts w:ascii="Arial" w:hAnsi="Arial" w:cs="Arial" w:hint="eastAsia"/>
          <w:szCs w:val="21"/>
        </w:rPr>
        <w:t>深圳市福田区莲花街道福新社区益田路</w:t>
      </w:r>
      <w:r w:rsidR="000161D9" w:rsidRPr="000161D9">
        <w:rPr>
          <w:rFonts w:ascii="Arial" w:hAnsi="Arial" w:cs="Arial" w:hint="eastAsia"/>
          <w:szCs w:val="21"/>
        </w:rPr>
        <w:t>5999</w:t>
      </w:r>
      <w:r w:rsidR="000161D9" w:rsidRPr="000161D9">
        <w:rPr>
          <w:rFonts w:ascii="Arial" w:hAnsi="Arial" w:cs="Arial" w:hint="eastAsia"/>
          <w:szCs w:val="21"/>
        </w:rPr>
        <w:t>号基金大厦</w:t>
      </w:r>
      <w:r w:rsidR="000161D9" w:rsidRPr="000161D9">
        <w:rPr>
          <w:rFonts w:ascii="Arial" w:hAnsi="Arial" w:cs="Arial" w:hint="eastAsia"/>
          <w:szCs w:val="21"/>
        </w:rPr>
        <w:t>21</w:t>
      </w:r>
      <w:r w:rsidR="000161D9" w:rsidRPr="000161D9">
        <w:rPr>
          <w:rFonts w:ascii="Arial" w:hAnsi="Arial" w:cs="Arial" w:hint="eastAsia"/>
          <w:szCs w:val="21"/>
        </w:rPr>
        <w:t>层</w:t>
      </w:r>
    </w:p>
    <w:p w14:paraId="710E3A7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法定代表人：</w:t>
      </w:r>
      <w:r>
        <w:rPr>
          <w:rFonts w:ascii="Arial" w:hAnsi="Arial" w:cs="Arial" w:hint="eastAsia"/>
          <w:szCs w:val="21"/>
        </w:rPr>
        <w:t>张光华</w:t>
      </w:r>
    </w:p>
    <w:p w14:paraId="49E71FF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成立日期：</w:t>
      </w:r>
      <w:r>
        <w:rPr>
          <w:rFonts w:ascii="Arial" w:hAnsi="Arial" w:cs="Arial"/>
          <w:szCs w:val="21"/>
        </w:rPr>
        <w:t>1998</w:t>
      </w:r>
      <w:r>
        <w:rPr>
          <w:rFonts w:ascii="Arial" w:hAnsi="Arial" w:cs="Arial"/>
          <w:szCs w:val="21"/>
        </w:rPr>
        <w:t>年</w:t>
      </w:r>
      <w:r>
        <w:rPr>
          <w:rFonts w:ascii="Arial" w:hAnsi="Arial" w:cs="Arial"/>
          <w:szCs w:val="21"/>
        </w:rPr>
        <w:t>7</w:t>
      </w:r>
      <w:r>
        <w:rPr>
          <w:rFonts w:ascii="Arial" w:hAnsi="Arial" w:cs="Arial"/>
          <w:szCs w:val="21"/>
        </w:rPr>
        <w:t>月</w:t>
      </w:r>
      <w:r>
        <w:rPr>
          <w:rFonts w:ascii="Arial" w:hAnsi="Arial" w:cs="Arial"/>
          <w:szCs w:val="21"/>
        </w:rPr>
        <w:t>13</w:t>
      </w:r>
      <w:r>
        <w:rPr>
          <w:rFonts w:ascii="Arial" w:hAnsi="Arial" w:cs="Arial"/>
          <w:szCs w:val="21"/>
        </w:rPr>
        <w:t>日</w:t>
      </w:r>
    </w:p>
    <w:p w14:paraId="42C1E3B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批准设立机关：中国证券监督管理委员会</w:t>
      </w:r>
    </w:p>
    <w:p w14:paraId="234A3BB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批准设立文号：中国证监会证监基字</w:t>
      </w:r>
      <w:r>
        <w:rPr>
          <w:rFonts w:ascii="Arial" w:hAnsi="Arial" w:cs="Arial"/>
          <w:szCs w:val="21"/>
        </w:rPr>
        <w:t>[1998]26</w:t>
      </w:r>
      <w:r>
        <w:rPr>
          <w:rFonts w:ascii="Arial" w:hAnsi="宋体" w:cs="Arial"/>
          <w:kern w:val="0"/>
          <w:szCs w:val="21"/>
        </w:rPr>
        <w:t>号</w:t>
      </w:r>
    </w:p>
    <w:p w14:paraId="71E20A4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经营范围：基金募集；基金销售；资产管理；中国证券监督委员会许可的其他业务</w:t>
      </w:r>
    </w:p>
    <w:p w14:paraId="07B189C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组织形式：</w:t>
      </w:r>
      <w:r>
        <w:rPr>
          <w:rFonts w:ascii="Arial" w:hAnsi="Arial" w:cs="Arial"/>
          <w:szCs w:val="21"/>
        </w:rPr>
        <w:t>有限责任公司</w:t>
      </w:r>
    </w:p>
    <w:p w14:paraId="4100844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注册资本：</w:t>
      </w:r>
      <w:r>
        <w:rPr>
          <w:rFonts w:ascii="Arial" w:hAnsi="Arial" w:cs="Arial" w:hint="eastAsia"/>
          <w:szCs w:val="21"/>
        </w:rPr>
        <w:t>2.5</w:t>
      </w:r>
      <w:r>
        <w:rPr>
          <w:rFonts w:ascii="Arial" w:hAnsi="Arial" w:cs="Arial"/>
          <w:szCs w:val="21"/>
        </w:rPr>
        <w:t>亿元</w:t>
      </w:r>
    </w:p>
    <w:p w14:paraId="4BDF1C2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存续期间：</w:t>
      </w:r>
      <w:r>
        <w:rPr>
          <w:rFonts w:ascii="Arial" w:hAnsi="Arial" w:cs="Arial"/>
          <w:szCs w:val="21"/>
        </w:rPr>
        <w:t>持续经营</w:t>
      </w:r>
    </w:p>
    <w:p w14:paraId="4947591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、基金管理人的权利</w:t>
      </w:r>
    </w:p>
    <w:p w14:paraId="513169D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）依法</w:t>
      </w:r>
      <w:r>
        <w:rPr>
          <w:rFonts w:ascii="Arial" w:hAnsi="宋体" w:cs="Arial"/>
          <w:color w:val="000000"/>
          <w:kern w:val="0"/>
          <w:szCs w:val="21"/>
        </w:rPr>
        <w:t>募</w:t>
      </w:r>
      <w:r>
        <w:rPr>
          <w:rFonts w:ascii="Arial" w:hAnsi="宋体" w:cs="Arial"/>
          <w:kern w:val="0"/>
          <w:szCs w:val="21"/>
        </w:rPr>
        <w:t>集基金；</w:t>
      </w:r>
    </w:p>
    <w:p w14:paraId="6FB58C6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）依照法律法规和基金合同运用基金财产；</w:t>
      </w:r>
    </w:p>
    <w:p w14:paraId="22D859E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）自基金合同生效之日起，基金管理人依照法律法规和基金合同独立管理基金财产；</w:t>
      </w:r>
    </w:p>
    <w:p w14:paraId="60FEEBE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）根据法律法规和基金合同的规定决定本基金的相关费率结构和收费方式，获得基金管理人报酬，收取认购费、申购费、基金赎回手续费及其他事先批准或公告的合理费用以及法律法规规定的其他费用；</w:t>
      </w:r>
    </w:p>
    <w:p w14:paraId="2EAC109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）根据法律法规和基金合同之规定销售基金份额；</w:t>
      </w:r>
    </w:p>
    <w:p w14:paraId="1A04983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w:t>
      </w:r>
      <w:r>
        <w:rPr>
          <w:rFonts w:ascii="Arial" w:hAnsi="宋体" w:cs="Arial"/>
          <w:szCs w:val="21"/>
        </w:rPr>
        <w:t>在本合同的有效期内，在不违反公平、合理原则以及不妨碍基金托管人遵守相关法律法规及其行业监管要求的基础上，基金管理人有权对基金托管人履行本合同的情况进行必要的监督</w:t>
      </w:r>
      <w:r>
        <w:rPr>
          <w:rFonts w:ascii="Arial" w:hAnsi="宋体" w:cs="Arial"/>
          <w:kern w:val="0"/>
          <w:szCs w:val="21"/>
        </w:rPr>
        <w:t>。如认为基金托管人违反了法律法规或基金合同规定对基金财产、其他基金合同当事人的利益造成重大损失的，应及时呈报中国证监会和中国银监会，以及采取其他必要措施以保护本基金及相关基金合同当事人的利益；</w:t>
      </w:r>
    </w:p>
    <w:p w14:paraId="3D50546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）根据基金合同的规定选择适当的基金代销机构并有权依照代销协议对基金代销机构行为进行必要的监督和检查；</w:t>
      </w:r>
    </w:p>
    <w:p w14:paraId="4DC2551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8</w:t>
      </w:r>
      <w:r>
        <w:rPr>
          <w:rFonts w:ascii="Arial" w:hAnsi="宋体" w:cs="Arial"/>
          <w:kern w:val="0"/>
          <w:szCs w:val="21"/>
        </w:rPr>
        <w:t>）自行担任基金注册登记机构或选择、更换基金注册登记代理机构，办理基金注册登记业务，并按照基金合同规定对基金注册登记代理机构进行必要的监督和检查；</w:t>
      </w:r>
    </w:p>
    <w:p w14:paraId="33467E1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9</w:t>
      </w:r>
      <w:r>
        <w:rPr>
          <w:rFonts w:ascii="Arial" w:hAnsi="宋体" w:cs="Arial"/>
          <w:kern w:val="0"/>
          <w:szCs w:val="21"/>
        </w:rPr>
        <w:t>）在基金合同约定的范围内，拒绝或暂停受理申购和赎回的申请；</w:t>
      </w:r>
    </w:p>
    <w:p w14:paraId="325FF71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10</w:t>
      </w:r>
      <w:r>
        <w:rPr>
          <w:rFonts w:ascii="Arial" w:hAnsi="宋体" w:cs="Arial"/>
          <w:kern w:val="0"/>
          <w:szCs w:val="21"/>
        </w:rPr>
        <w:t>）在法律法规允许的前提下，为基金份额持有人的利益依法为基金进行融资；</w:t>
      </w:r>
    </w:p>
    <w:p w14:paraId="269648A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11</w:t>
      </w:r>
      <w:r>
        <w:rPr>
          <w:rFonts w:ascii="Arial" w:hAnsi="宋体" w:cs="Arial"/>
          <w:kern w:val="0"/>
          <w:szCs w:val="21"/>
        </w:rPr>
        <w:t>）依据法律法规和基金合同的规定，制订基金收益的分配方案；</w:t>
      </w:r>
    </w:p>
    <w:p w14:paraId="6E6E03B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w:t>
      </w:r>
      <w:r>
        <w:rPr>
          <w:rFonts w:ascii="Arial" w:hAnsi="Arial" w:cs="Arial"/>
          <w:kern w:val="0"/>
          <w:szCs w:val="21"/>
        </w:rPr>
        <w:t>12</w:t>
      </w:r>
      <w:r>
        <w:rPr>
          <w:rFonts w:ascii="Arial" w:hAnsi="宋体" w:cs="Arial"/>
          <w:kern w:val="0"/>
          <w:szCs w:val="21"/>
        </w:rPr>
        <w:t>）按照法律法规，代表基金对被投资企业行使股东权利，代表基金行使因投资于其他证券所产生的权利；</w:t>
      </w:r>
    </w:p>
    <w:p w14:paraId="0D913D2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13</w:t>
      </w:r>
      <w:r>
        <w:rPr>
          <w:rFonts w:ascii="Arial" w:hAnsi="宋体" w:cs="Arial"/>
          <w:kern w:val="0"/>
          <w:szCs w:val="21"/>
        </w:rPr>
        <w:t>）在基金托管人职责终止时，提名新的基金托管人；</w:t>
      </w:r>
    </w:p>
    <w:p w14:paraId="17E4BC1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14</w:t>
      </w:r>
      <w:r>
        <w:rPr>
          <w:rFonts w:ascii="Arial" w:hAnsi="宋体" w:cs="Arial"/>
          <w:kern w:val="0"/>
          <w:szCs w:val="21"/>
        </w:rPr>
        <w:t>）依据法律法规和基金合同的规定，召集基金份额持有人大会；</w:t>
      </w:r>
    </w:p>
    <w:p w14:paraId="3D10A8E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15</w:t>
      </w:r>
      <w:r>
        <w:rPr>
          <w:rFonts w:ascii="Arial" w:hAnsi="宋体" w:cs="Arial"/>
          <w:kern w:val="0"/>
          <w:szCs w:val="21"/>
        </w:rPr>
        <w:t>）依照有关规定行使因基金财产投资于证券所产生的权利；</w:t>
      </w:r>
    </w:p>
    <w:p w14:paraId="432C8AFF"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t>（</w:t>
      </w:r>
      <w:r>
        <w:rPr>
          <w:rFonts w:ascii="Arial" w:hAnsi="Arial" w:cs="Arial"/>
          <w:color w:val="000000"/>
          <w:kern w:val="0"/>
          <w:szCs w:val="21"/>
        </w:rPr>
        <w:t>16</w:t>
      </w:r>
      <w:r>
        <w:rPr>
          <w:rFonts w:ascii="Arial" w:hAnsi="宋体" w:cs="Arial"/>
          <w:color w:val="000000"/>
          <w:kern w:val="0"/>
          <w:szCs w:val="21"/>
        </w:rPr>
        <w:t>）选择、更换律师、审计师、证券经纪商或其他为基金提供服务的外部机构并确定有关费率；</w:t>
      </w:r>
    </w:p>
    <w:p w14:paraId="1EDD33C0"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w:t>
      </w:r>
      <w:r>
        <w:rPr>
          <w:rFonts w:ascii="Arial" w:hAnsi="Arial" w:cs="Arial"/>
          <w:color w:val="000000"/>
          <w:kern w:val="0"/>
          <w:szCs w:val="21"/>
        </w:rPr>
        <w:t>17</w:t>
      </w:r>
      <w:r>
        <w:rPr>
          <w:rFonts w:ascii="Arial" w:hAnsi="宋体" w:cs="Arial"/>
          <w:color w:val="000000"/>
          <w:kern w:val="0"/>
          <w:szCs w:val="21"/>
        </w:rPr>
        <w:t>）根据法律法规和基金合同的规定，制订、修改并公布有关基金募集、认购、申购、赎回、转托管、基金转换、非交易过户、冻结、收益分配等方面的业务规则；</w:t>
      </w:r>
    </w:p>
    <w:p w14:paraId="271721CC"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w:t>
      </w:r>
      <w:r>
        <w:rPr>
          <w:rFonts w:ascii="Arial" w:hAnsi="Arial" w:cs="Arial"/>
          <w:color w:val="000000"/>
          <w:kern w:val="0"/>
          <w:szCs w:val="21"/>
        </w:rPr>
        <w:t>18</w:t>
      </w:r>
      <w:r>
        <w:rPr>
          <w:rFonts w:ascii="Arial" w:hAnsi="宋体" w:cs="Arial"/>
          <w:color w:val="000000"/>
          <w:kern w:val="0"/>
          <w:szCs w:val="21"/>
        </w:rPr>
        <w:t>）选择、更换基金投资顾问；</w:t>
      </w:r>
    </w:p>
    <w:p w14:paraId="3D7848CE"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w:t>
      </w:r>
      <w:r>
        <w:rPr>
          <w:rFonts w:ascii="Arial" w:hAnsi="Arial" w:cs="Arial"/>
          <w:color w:val="000000"/>
          <w:kern w:val="0"/>
          <w:szCs w:val="21"/>
        </w:rPr>
        <w:t>19</w:t>
      </w:r>
      <w:r>
        <w:rPr>
          <w:rFonts w:ascii="Arial" w:hAnsi="宋体" w:cs="Arial"/>
          <w:color w:val="000000"/>
          <w:kern w:val="0"/>
          <w:szCs w:val="21"/>
        </w:rPr>
        <w:t>）委托第三方机构办理本基金的交易、清算、估值、结算等业务；</w:t>
      </w:r>
    </w:p>
    <w:p w14:paraId="4A8DDB6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kern w:val="0"/>
          <w:szCs w:val="21"/>
        </w:rPr>
        <w:t>（</w:t>
      </w:r>
      <w:r>
        <w:rPr>
          <w:rFonts w:ascii="Arial" w:hAnsi="Arial" w:cs="Arial"/>
          <w:color w:val="000000"/>
          <w:kern w:val="0"/>
          <w:szCs w:val="21"/>
        </w:rPr>
        <w:t>20</w:t>
      </w:r>
      <w:r>
        <w:rPr>
          <w:rFonts w:ascii="Arial" w:hAnsi="宋体" w:cs="Arial"/>
          <w:color w:val="000000"/>
          <w:kern w:val="0"/>
          <w:szCs w:val="21"/>
        </w:rPr>
        <w:t>）法律法规、基金合同以及</w:t>
      </w:r>
      <w:r>
        <w:rPr>
          <w:rFonts w:ascii="Arial" w:hAnsi="宋体" w:cs="Arial"/>
          <w:kern w:val="0"/>
          <w:szCs w:val="21"/>
        </w:rPr>
        <w:t>依据基金合同制订的其他法律文件所规定的其他权利。</w:t>
      </w:r>
    </w:p>
    <w:p w14:paraId="3F27E79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、基金管理人的义务</w:t>
      </w:r>
    </w:p>
    <w:p w14:paraId="78EBB95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）依法募集基金，办理或者委托经中国证监会认定的其他机构代为办理基金份额的发售、申购、赎回和登记事宜；</w:t>
      </w:r>
      <w:bookmarkStart w:id="29" w:name="_Hlt133652364"/>
      <w:bookmarkEnd w:id="29"/>
    </w:p>
    <w:p w14:paraId="0632D8C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）自基金合同生效之日起，以诚实信用、勤勉尽责的原则管理和运用基金财产；</w:t>
      </w:r>
    </w:p>
    <w:p w14:paraId="67B3734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）办理基金备案手续；</w:t>
      </w:r>
    </w:p>
    <w:p w14:paraId="6A59757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）配备足够的具有专业资格的人员进行基金投资分析、决策，以专业化的经营方式管理和运作基金财产；</w:t>
      </w:r>
    </w:p>
    <w:p w14:paraId="04FBD21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）建立健全内部风险控制、监察与稽核、财务管理及人事管理等制度，保证所管理的基金财产和基金管理人的财产相互独立，对所管理的不同基金分别管理、分别记账，进行证券投资；</w:t>
      </w:r>
    </w:p>
    <w:p w14:paraId="4BB8566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）按基金合同的约定确定基金收益分配方案，及时向基金份额持有人分配基金收益；</w:t>
      </w:r>
    </w:p>
    <w:p w14:paraId="79D6E21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）除依据《基金法》、基金合同及其他有关规定外，不得为自己及任何第三人谋取利益，不得委托第三人运作基金财产；</w:t>
      </w:r>
      <w:r>
        <w:rPr>
          <w:rFonts w:ascii="Arial" w:hAnsi="Arial" w:cs="Arial"/>
          <w:kern w:val="0"/>
          <w:szCs w:val="21"/>
        </w:rPr>
        <w:t xml:space="preserve"> </w:t>
      </w:r>
    </w:p>
    <w:p w14:paraId="43AD5DA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8</w:t>
      </w:r>
      <w:r>
        <w:rPr>
          <w:rFonts w:ascii="Arial" w:hAnsi="宋体" w:cs="Arial"/>
          <w:kern w:val="0"/>
          <w:szCs w:val="21"/>
        </w:rPr>
        <w:t>）进行基金会计核算并编制基金的财务会计报告；</w:t>
      </w:r>
    </w:p>
    <w:p w14:paraId="6CEFD2D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9</w:t>
      </w:r>
      <w:r>
        <w:rPr>
          <w:rFonts w:ascii="Arial" w:hAnsi="宋体" w:cs="Arial"/>
          <w:kern w:val="0"/>
          <w:szCs w:val="21"/>
        </w:rPr>
        <w:t>）依法接受基金托管人的监督，并向基金托管人及时、全面提供有效的所投资市场相关法律法规等信息；</w:t>
      </w:r>
    </w:p>
    <w:p w14:paraId="4777B0BC" w14:textId="31588DF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10</w:t>
      </w:r>
      <w:r>
        <w:rPr>
          <w:rFonts w:ascii="Arial" w:hAnsi="宋体" w:cs="Arial"/>
          <w:kern w:val="0"/>
          <w:szCs w:val="21"/>
        </w:rPr>
        <w:t>）</w:t>
      </w:r>
      <w:r>
        <w:rPr>
          <w:rFonts w:ascii="Arial" w:hAnsi="宋体" w:cs="Arial" w:hint="eastAsia"/>
          <w:kern w:val="0"/>
          <w:szCs w:val="21"/>
        </w:rPr>
        <w:t>编制季度报告、中期报告和年度报告</w:t>
      </w:r>
      <w:r>
        <w:rPr>
          <w:rFonts w:ascii="Arial" w:hAnsi="宋体" w:cs="Arial"/>
          <w:kern w:val="0"/>
          <w:szCs w:val="21"/>
        </w:rPr>
        <w:t>；</w:t>
      </w:r>
    </w:p>
    <w:p w14:paraId="55C3EC3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11</w:t>
      </w:r>
      <w:r>
        <w:rPr>
          <w:rFonts w:ascii="Arial" w:hAnsi="宋体" w:cs="Arial"/>
          <w:kern w:val="0"/>
          <w:szCs w:val="21"/>
        </w:rPr>
        <w:t>）采取适当合理的措施使计算开放式基金份额认购、申购、赎回和</w:t>
      </w:r>
      <w:r>
        <w:rPr>
          <w:rFonts w:ascii="Arial" w:hAnsi="宋体" w:cs="Arial"/>
          <w:color w:val="000000"/>
          <w:kern w:val="0"/>
          <w:szCs w:val="21"/>
        </w:rPr>
        <w:t>注销</w:t>
      </w:r>
      <w:r>
        <w:rPr>
          <w:rFonts w:ascii="Arial" w:hAnsi="宋体" w:cs="Arial"/>
          <w:kern w:val="0"/>
          <w:szCs w:val="21"/>
        </w:rPr>
        <w:t>价格的方法符合基金合同等法律文件的规定；</w:t>
      </w:r>
      <w:r>
        <w:rPr>
          <w:rFonts w:ascii="Arial" w:hAnsi="Arial" w:cs="Arial"/>
          <w:kern w:val="0"/>
          <w:szCs w:val="21"/>
        </w:rPr>
        <w:t xml:space="preserve"> </w:t>
      </w:r>
    </w:p>
    <w:p w14:paraId="584AFF75" w14:textId="2D4B0FE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12</w:t>
      </w:r>
      <w:r>
        <w:rPr>
          <w:rFonts w:ascii="Arial" w:hAnsi="宋体" w:cs="Arial"/>
          <w:kern w:val="0"/>
          <w:szCs w:val="21"/>
        </w:rPr>
        <w:t>）计算并公告</w:t>
      </w:r>
      <w:r>
        <w:rPr>
          <w:rFonts w:ascii="Arial" w:hAnsi="宋体"/>
          <w:color w:val="000000"/>
          <w:kern w:val="0"/>
        </w:rPr>
        <w:t>基金</w:t>
      </w:r>
      <w:r>
        <w:rPr>
          <w:rFonts w:ascii="Arial" w:hAnsi="宋体" w:cs="Arial"/>
          <w:kern w:val="0"/>
          <w:szCs w:val="21"/>
        </w:rPr>
        <w:t>净值信息，确定基金份额申购、赎回价格；</w:t>
      </w:r>
    </w:p>
    <w:p w14:paraId="50370BC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13</w:t>
      </w:r>
      <w:r>
        <w:rPr>
          <w:rFonts w:ascii="Arial" w:hAnsi="宋体" w:cs="Arial"/>
          <w:kern w:val="0"/>
          <w:szCs w:val="21"/>
        </w:rPr>
        <w:t>）严格按照《基金法》、基金合同及其他有关规定，履行信息披露及报告义务；</w:t>
      </w:r>
    </w:p>
    <w:p w14:paraId="6ACC078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14</w:t>
      </w:r>
      <w:r>
        <w:rPr>
          <w:rFonts w:ascii="Arial" w:hAnsi="宋体" w:cs="Arial"/>
          <w:kern w:val="0"/>
          <w:szCs w:val="21"/>
        </w:rPr>
        <w:t>）保守基金商业秘密，不泄露基金投资计划、投资意向等。除基金法、基金合同</w:t>
      </w:r>
      <w:r>
        <w:rPr>
          <w:rFonts w:ascii="Arial" w:hAnsi="宋体" w:cs="Arial"/>
          <w:kern w:val="0"/>
          <w:szCs w:val="21"/>
        </w:rPr>
        <w:lastRenderedPageBreak/>
        <w:t>及其他有关规定另有规定外，在基金信息公开披露前应予以保密，不得向他人泄露；</w:t>
      </w:r>
    </w:p>
    <w:p w14:paraId="3049499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15</w:t>
      </w:r>
      <w:r>
        <w:rPr>
          <w:rFonts w:ascii="Arial" w:hAnsi="宋体" w:cs="Arial"/>
          <w:kern w:val="0"/>
          <w:szCs w:val="21"/>
        </w:rPr>
        <w:t>）按规定受理申购和赎回申请，及时、足额支付赎回款项；</w:t>
      </w:r>
    </w:p>
    <w:p w14:paraId="069807D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16</w:t>
      </w:r>
      <w:r>
        <w:rPr>
          <w:rFonts w:ascii="Arial" w:hAnsi="宋体" w:cs="Arial"/>
          <w:kern w:val="0"/>
          <w:szCs w:val="21"/>
        </w:rPr>
        <w:t>）保存基金财产管理业务活动的记录、账册、报表、代表基金签订的重大合同和其他相关资料；</w:t>
      </w:r>
    </w:p>
    <w:p w14:paraId="11714D2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17</w:t>
      </w:r>
      <w:r>
        <w:rPr>
          <w:rFonts w:ascii="Arial" w:hAnsi="宋体" w:cs="Arial"/>
          <w:kern w:val="0"/>
          <w:szCs w:val="21"/>
        </w:rPr>
        <w:t>）依据《基金法》、基金合同及其他有关规定召集基金份额持有人大会或配合基金托管人、基金份额持有人依法召集基金份额持有人大会；</w:t>
      </w:r>
    </w:p>
    <w:p w14:paraId="42A96B5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18</w:t>
      </w:r>
      <w:r>
        <w:rPr>
          <w:rFonts w:ascii="Arial" w:hAnsi="宋体" w:cs="Arial"/>
          <w:kern w:val="0"/>
          <w:szCs w:val="21"/>
        </w:rPr>
        <w:t>）以基金管理人名义，代表基金份额持有人利益行使诉讼权利或实施其他法律行为；</w:t>
      </w:r>
    </w:p>
    <w:p w14:paraId="7886EB5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19</w:t>
      </w:r>
      <w:r>
        <w:rPr>
          <w:rFonts w:ascii="Arial" w:hAnsi="宋体" w:cs="Arial"/>
          <w:kern w:val="0"/>
          <w:szCs w:val="21"/>
        </w:rPr>
        <w:t>）组织并参加基金财产清算组，参与基金财产的保管、清理、估价、变现和分配；</w:t>
      </w:r>
    </w:p>
    <w:p w14:paraId="6AFEB46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20</w:t>
      </w:r>
      <w:r>
        <w:rPr>
          <w:rFonts w:ascii="Arial" w:hAnsi="宋体" w:cs="Arial"/>
          <w:kern w:val="0"/>
          <w:szCs w:val="21"/>
        </w:rPr>
        <w:t>）因违反基金合同导致基金财产的损失或损害基金份额持有人的合法权益，应承担赔偿责任，其赔偿责任不因其退任而免除；</w:t>
      </w:r>
    </w:p>
    <w:p w14:paraId="485AD65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21</w:t>
      </w:r>
      <w:r>
        <w:rPr>
          <w:rFonts w:ascii="Arial" w:hAnsi="宋体" w:cs="Arial"/>
          <w:kern w:val="0"/>
          <w:szCs w:val="21"/>
        </w:rPr>
        <w:t>）基金托管人违反基金合同造成基金财产损失时，应为基金份额持有人利益向基金托管人追偿；</w:t>
      </w:r>
    </w:p>
    <w:p w14:paraId="5FDE81A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22</w:t>
      </w:r>
      <w:r>
        <w:rPr>
          <w:rFonts w:ascii="Arial" w:hAnsi="宋体" w:cs="Arial"/>
          <w:kern w:val="0"/>
          <w:szCs w:val="21"/>
        </w:rPr>
        <w:t>）基金管理人对其委托</w:t>
      </w:r>
      <w:r>
        <w:rPr>
          <w:rFonts w:ascii="Arial" w:hAnsi="宋体" w:cs="Arial"/>
          <w:color w:val="000000"/>
          <w:kern w:val="0"/>
          <w:szCs w:val="21"/>
        </w:rPr>
        <w:t>的投资顾问及其他第三方机构的行为</w:t>
      </w:r>
      <w:r>
        <w:rPr>
          <w:rFonts w:ascii="Arial" w:hAnsi="宋体" w:cs="Arial"/>
          <w:kern w:val="0"/>
          <w:szCs w:val="21"/>
        </w:rPr>
        <w:t>承担责任</w:t>
      </w:r>
      <w:r>
        <w:rPr>
          <w:rFonts w:ascii="Arial" w:hAnsi="宋体" w:cs="Arial" w:hint="eastAsia"/>
          <w:kern w:val="0"/>
          <w:szCs w:val="21"/>
        </w:rPr>
        <w:t>；</w:t>
      </w:r>
    </w:p>
    <w:p w14:paraId="761FE12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23</w:t>
      </w:r>
      <w:r>
        <w:rPr>
          <w:rFonts w:ascii="Arial" w:hAnsi="宋体" w:cs="Arial"/>
          <w:kern w:val="0"/>
          <w:szCs w:val="21"/>
        </w:rPr>
        <w:t>）中国证监会规定的其他职责。</w:t>
      </w:r>
    </w:p>
    <w:p w14:paraId="400D123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（二）基金托管人</w:t>
      </w:r>
    </w:p>
    <w:p w14:paraId="5081D19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、基金托管人基本情况</w:t>
      </w:r>
    </w:p>
    <w:p w14:paraId="1F51FAA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名称：中国银行股份有限公司</w:t>
      </w:r>
    </w:p>
    <w:p w14:paraId="270A858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住所：北京市复兴门内大街</w:t>
      </w:r>
      <w:r>
        <w:rPr>
          <w:rFonts w:ascii="Arial" w:hAnsi="Arial" w:cs="Arial"/>
          <w:kern w:val="0"/>
          <w:szCs w:val="21"/>
        </w:rPr>
        <w:t>1</w:t>
      </w:r>
      <w:r>
        <w:rPr>
          <w:rFonts w:ascii="Arial" w:hAnsi="宋体" w:cs="Arial"/>
          <w:kern w:val="0"/>
          <w:szCs w:val="21"/>
        </w:rPr>
        <w:t>号</w:t>
      </w:r>
    </w:p>
    <w:p w14:paraId="59B08AB7" w14:textId="33ADDC39"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法定代表人：</w:t>
      </w:r>
      <w:r>
        <w:rPr>
          <w:rFonts w:ascii="Arial" w:hAnsi="宋体" w:cs="Arial" w:hint="eastAsia"/>
          <w:kern w:val="0"/>
          <w:szCs w:val="21"/>
        </w:rPr>
        <w:t>刘连舸</w:t>
      </w:r>
    </w:p>
    <w:p w14:paraId="64C67B0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成立日期：</w:t>
      </w:r>
      <w:r>
        <w:rPr>
          <w:rFonts w:ascii="Arial" w:hAnsi="Arial" w:cs="Arial"/>
          <w:kern w:val="0"/>
          <w:szCs w:val="21"/>
        </w:rPr>
        <w:t>1983</w:t>
      </w:r>
      <w:r>
        <w:rPr>
          <w:rFonts w:ascii="Arial" w:hAnsi="宋体" w:cs="Arial"/>
          <w:kern w:val="0"/>
          <w:szCs w:val="21"/>
        </w:rPr>
        <w:t>年</w:t>
      </w:r>
      <w:r>
        <w:rPr>
          <w:rFonts w:ascii="Arial" w:hAnsi="Arial" w:cs="Arial"/>
          <w:kern w:val="0"/>
          <w:szCs w:val="21"/>
        </w:rPr>
        <w:t>10</w:t>
      </w:r>
      <w:r>
        <w:rPr>
          <w:rFonts w:ascii="Arial" w:hAnsi="宋体" w:cs="Arial"/>
          <w:kern w:val="0"/>
          <w:szCs w:val="21"/>
        </w:rPr>
        <w:t>月</w:t>
      </w:r>
      <w:r>
        <w:rPr>
          <w:rFonts w:ascii="Arial" w:hAnsi="Arial" w:cs="Arial"/>
          <w:kern w:val="0"/>
          <w:szCs w:val="21"/>
        </w:rPr>
        <w:t>31</w:t>
      </w:r>
      <w:r>
        <w:rPr>
          <w:rFonts w:ascii="Arial" w:hAnsi="宋体" w:cs="Arial"/>
          <w:kern w:val="0"/>
          <w:szCs w:val="21"/>
        </w:rPr>
        <w:t>日</w:t>
      </w:r>
    </w:p>
    <w:p w14:paraId="2D6B832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基金托管业务批准文号：中国证监会证监基字【</w:t>
      </w:r>
      <w:r>
        <w:rPr>
          <w:rFonts w:ascii="Arial" w:hAnsi="Arial" w:cs="Arial"/>
          <w:kern w:val="0"/>
          <w:szCs w:val="21"/>
        </w:rPr>
        <w:t>1998</w:t>
      </w:r>
      <w:r>
        <w:rPr>
          <w:rFonts w:ascii="Arial" w:hAnsi="宋体" w:cs="Arial"/>
          <w:kern w:val="0"/>
          <w:szCs w:val="21"/>
        </w:rPr>
        <w:t>】</w:t>
      </w:r>
      <w:r>
        <w:rPr>
          <w:rFonts w:ascii="Arial" w:hAnsi="Arial" w:cs="Arial"/>
          <w:kern w:val="0"/>
          <w:szCs w:val="21"/>
        </w:rPr>
        <w:t>24</w:t>
      </w:r>
      <w:r>
        <w:rPr>
          <w:rFonts w:ascii="Arial" w:hAnsi="宋体" w:cs="Arial"/>
          <w:kern w:val="0"/>
          <w:szCs w:val="21"/>
        </w:rPr>
        <w:t>号</w:t>
      </w:r>
    </w:p>
    <w:p w14:paraId="109267E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组织形式：股份有限公司</w:t>
      </w:r>
    </w:p>
    <w:p w14:paraId="5BA9A7E4" w14:textId="77777777" w:rsidR="00F50C35" w:rsidRDefault="00FB66DA">
      <w:pPr>
        <w:adjustRightInd w:val="0"/>
        <w:snapToGrid w:val="0"/>
        <w:spacing w:line="360" w:lineRule="auto"/>
        <w:ind w:left="1620" w:hanging="1260"/>
        <w:rPr>
          <w:rFonts w:ascii="Arial" w:hAnsi="Arial" w:cs="Arial"/>
          <w:kern w:val="0"/>
          <w:szCs w:val="21"/>
        </w:rPr>
      </w:pPr>
      <w:r>
        <w:rPr>
          <w:rFonts w:ascii="Arial" w:hAnsi="宋体" w:cs="Arial"/>
          <w:kern w:val="0"/>
          <w:szCs w:val="21"/>
        </w:rPr>
        <w:t>注册资本：</w:t>
      </w:r>
      <w:r>
        <w:rPr>
          <w:rFonts w:ascii="Arial" w:hAnsi="宋体" w:cs="Arial"/>
          <w:szCs w:val="21"/>
        </w:rPr>
        <w:t>人民币</w:t>
      </w:r>
      <w:r>
        <w:rPr>
          <w:rFonts w:ascii="Arial" w:hAnsi="宋体" w:cs="Arial" w:hint="eastAsia"/>
          <w:szCs w:val="21"/>
        </w:rPr>
        <w:t>29438779.124100</w:t>
      </w:r>
      <w:r>
        <w:rPr>
          <w:rFonts w:ascii="Arial" w:hAnsi="宋体" w:cs="Arial" w:hint="eastAsia"/>
          <w:szCs w:val="21"/>
        </w:rPr>
        <w:t>万</w:t>
      </w:r>
      <w:r>
        <w:rPr>
          <w:rFonts w:ascii="Arial" w:hAnsi="宋体" w:cs="Arial"/>
          <w:szCs w:val="21"/>
        </w:rPr>
        <w:t>元</w:t>
      </w:r>
    </w:p>
    <w:p w14:paraId="169AC9E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存续期间：持续经营</w:t>
      </w:r>
    </w:p>
    <w:p w14:paraId="4B401787" w14:textId="77777777" w:rsidR="00F50C35" w:rsidRDefault="00FB66DA">
      <w:pPr>
        <w:adjustRightInd w:val="0"/>
        <w:snapToGrid w:val="0"/>
        <w:spacing w:line="360" w:lineRule="auto"/>
        <w:ind w:left="1470" w:hanging="1050"/>
        <w:rPr>
          <w:rFonts w:ascii="Arial" w:hAnsi="Arial" w:cs="Arial"/>
          <w:szCs w:val="21"/>
        </w:rPr>
      </w:pPr>
      <w:r>
        <w:rPr>
          <w:rFonts w:ascii="Arial" w:hAnsi="宋体" w:cs="Arial"/>
          <w:szCs w:val="21"/>
        </w:rPr>
        <w:t>经营范围：吸收人民币存款；发放短期、中期和长期贷款；办理结算；办理票据贴现；发行金融债券；代理发行、代理兑付、承销政府债券；买卖政府债券；从事同业拆借；提供信用证服务及担保；代理收付款项及代理保险业务；提供保险箱服务；外汇存款；外汇贷款；外汇汇款；外币兑换；国际结算；同业外汇拆借；外汇票据的承兑和贴现；外汇借款；外汇担保；结汇、售汇；发行和代理发行股票以外的外币有价证券；买卖和代理买卖股票以外的外币有价证券；自营外汇买卖；代营外汇买卖；外汇信用卡的发行和代理国外信用卡的发行及付款；资信调查、咨询、见证业务；组织或参加银团贷款；国际贵金属买卖；海外分支机构经营与当地法律许可的一切银行业务；在港澳地区</w:t>
      </w:r>
      <w:r>
        <w:rPr>
          <w:rFonts w:ascii="Arial" w:hAnsi="宋体" w:cs="Arial"/>
          <w:szCs w:val="21"/>
        </w:rPr>
        <w:lastRenderedPageBreak/>
        <w:t>的分行依据当地法令可发行或参与代理发行当地货币；经中国人民银行批准的其他业务。</w:t>
      </w:r>
    </w:p>
    <w:p w14:paraId="74D37ED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、基金托管人的权利</w:t>
      </w:r>
    </w:p>
    <w:p w14:paraId="70B6E8E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）依据法律法规和基金合同的规定安全保管基金财产；</w:t>
      </w:r>
    </w:p>
    <w:p w14:paraId="3411F99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）依照基金合同的约定获得基金托管费；</w:t>
      </w:r>
    </w:p>
    <w:p w14:paraId="30A1636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）监督基金管理人对本基金的投资运作；</w:t>
      </w:r>
    </w:p>
    <w:p w14:paraId="3A6E89A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）在基金管理人职责终止时，提名新的基金管理人；</w:t>
      </w:r>
    </w:p>
    <w:p w14:paraId="3DA3D0D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）依据法律法规和基金合同的规定召集基金份额持有人大会；</w:t>
      </w:r>
    </w:p>
    <w:p w14:paraId="508EB32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）选择、更换境外托管人并与之签署有关协议；</w:t>
      </w:r>
    </w:p>
    <w:p w14:paraId="0D7B8EC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）法律法规、基金合同规定的其他权利。</w:t>
      </w:r>
    </w:p>
    <w:p w14:paraId="58201C5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、基金托管人的义务</w:t>
      </w:r>
    </w:p>
    <w:p w14:paraId="62EBFF1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）安全保管基金财产，</w:t>
      </w:r>
      <w:r>
        <w:rPr>
          <w:rFonts w:ascii="Arial" w:hAnsi="宋体" w:cs="Arial"/>
          <w:color w:val="000000"/>
          <w:szCs w:val="21"/>
        </w:rPr>
        <w:t>准时将公司行为信息通知基金管理人，确保基金及时收取所有应得收入</w:t>
      </w:r>
      <w:r>
        <w:rPr>
          <w:rFonts w:ascii="Arial" w:hAnsi="宋体" w:cs="Arial"/>
          <w:kern w:val="0"/>
          <w:szCs w:val="21"/>
        </w:rPr>
        <w:t>；</w:t>
      </w:r>
    </w:p>
    <w:p w14:paraId="12A6B64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）设立专门的基金托管部，具有符合要求的营业场所，配备足够的、合格的熟悉基金托管业务的专职人员，负责基金财产境内托管事宜；</w:t>
      </w:r>
    </w:p>
    <w:p w14:paraId="20ABAB3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）按规定开设基金财产的资金账户和证券账户；</w:t>
      </w:r>
    </w:p>
    <w:p w14:paraId="74D44C9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）除依据《基金法》、基金合同及其他有关规定外，不得为自己及任何第三人谋取利益；</w:t>
      </w:r>
    </w:p>
    <w:p w14:paraId="0F8C625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）对所托管的不同基金财产分别设置账户，确保基金财产的完整和独立；</w:t>
      </w:r>
    </w:p>
    <w:p w14:paraId="17A5000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）保管（或委托境外托管人）由基金管理人代表基金签订的与基金有关的重大合同及有关凭证；</w:t>
      </w:r>
    </w:p>
    <w:p w14:paraId="2FFE689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）保存基金托管业务活动的记录、账册、报表和其他相关资料；</w:t>
      </w:r>
    </w:p>
    <w:p w14:paraId="4DFEC86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8</w:t>
      </w:r>
      <w:r>
        <w:rPr>
          <w:rFonts w:ascii="Arial" w:hAnsi="宋体" w:cs="Arial"/>
          <w:kern w:val="0"/>
          <w:szCs w:val="21"/>
        </w:rPr>
        <w:t>）按照基金合同的约定，根据基金管理人的投资指令，及时办理清算、交割事宜；</w:t>
      </w:r>
      <w:r>
        <w:rPr>
          <w:rFonts w:ascii="Arial" w:hAnsi="Arial" w:cs="Arial"/>
          <w:kern w:val="0"/>
          <w:szCs w:val="21"/>
        </w:rPr>
        <w:t xml:space="preserve"> </w:t>
      </w:r>
    </w:p>
    <w:p w14:paraId="425B4B6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9</w:t>
      </w:r>
      <w:r>
        <w:rPr>
          <w:rFonts w:ascii="Arial" w:hAnsi="宋体" w:cs="Arial"/>
          <w:kern w:val="0"/>
          <w:szCs w:val="21"/>
        </w:rPr>
        <w:t>）保守基金商业秘密。除《基金法》、基金合同及其他有关规定另有规定外，在基金信息公开披露前应予以保密，不得向他人泄露；</w:t>
      </w:r>
    </w:p>
    <w:p w14:paraId="4368471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10</w:t>
      </w:r>
      <w:r>
        <w:rPr>
          <w:rFonts w:ascii="Arial" w:hAnsi="宋体" w:cs="Arial"/>
          <w:kern w:val="0"/>
          <w:szCs w:val="21"/>
        </w:rPr>
        <w:t>）办理与基金托管业务活动有关的信息披露事项；</w:t>
      </w:r>
    </w:p>
    <w:p w14:paraId="127B4E2A" w14:textId="2FE63F3D"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t>（</w:t>
      </w:r>
      <w:r>
        <w:rPr>
          <w:rFonts w:ascii="Arial" w:hAnsi="Arial" w:cs="Arial"/>
          <w:kern w:val="0"/>
          <w:szCs w:val="21"/>
        </w:rPr>
        <w:t>11</w:t>
      </w:r>
      <w:r>
        <w:rPr>
          <w:rFonts w:ascii="Arial" w:hAnsi="宋体" w:cs="Arial"/>
          <w:kern w:val="0"/>
          <w:szCs w:val="21"/>
        </w:rPr>
        <w:t>）</w:t>
      </w:r>
      <w:r>
        <w:rPr>
          <w:rFonts w:ascii="Arial" w:hAnsi="宋体" w:cs="Arial"/>
          <w:color w:val="000000"/>
          <w:kern w:val="0"/>
          <w:szCs w:val="21"/>
        </w:rPr>
        <w:t>对基金财务会计报告、</w:t>
      </w:r>
      <w:r>
        <w:rPr>
          <w:rFonts w:ascii="Arial" w:hAnsi="宋体" w:cs="Arial" w:hint="eastAsia"/>
          <w:color w:val="000000"/>
          <w:kern w:val="0"/>
          <w:szCs w:val="21"/>
        </w:rPr>
        <w:t>季度报告、中期报告和年度报告</w:t>
      </w:r>
      <w:r>
        <w:rPr>
          <w:rFonts w:ascii="Arial" w:hAnsi="宋体" w:cs="Arial"/>
          <w:color w:val="000000"/>
          <w:kern w:val="0"/>
          <w:szCs w:val="21"/>
        </w:rPr>
        <w:t>出具意见，说明基金管理人在各重要方面的运作是否严格按照基金合同的规定进行；如果基金管理人有未执行基金合同规定的行为，还应当说明基金托管人是否采取了适当的措施；</w:t>
      </w:r>
      <w:r>
        <w:rPr>
          <w:rFonts w:ascii="Arial" w:hAnsi="Arial" w:cs="Arial"/>
          <w:color w:val="000000"/>
          <w:kern w:val="0"/>
          <w:szCs w:val="21"/>
        </w:rPr>
        <w:t xml:space="preserve"> </w:t>
      </w:r>
    </w:p>
    <w:p w14:paraId="1F7265D2" w14:textId="77777777" w:rsidR="00F50C35" w:rsidRDefault="00FB66DA">
      <w:pPr>
        <w:adjustRightInd w:val="0"/>
        <w:snapToGrid w:val="0"/>
        <w:spacing w:line="360" w:lineRule="auto"/>
        <w:ind w:firstLine="420"/>
        <w:rPr>
          <w:rFonts w:ascii="Arial" w:hAnsi="Arial" w:cs="Arial"/>
          <w:color w:val="FF0000"/>
          <w:kern w:val="0"/>
          <w:szCs w:val="21"/>
        </w:rPr>
      </w:pPr>
      <w:r>
        <w:rPr>
          <w:rFonts w:ascii="Arial" w:hAnsi="宋体" w:cs="Arial"/>
          <w:color w:val="000000"/>
          <w:kern w:val="0"/>
          <w:szCs w:val="21"/>
        </w:rPr>
        <w:t>（</w:t>
      </w:r>
      <w:r>
        <w:rPr>
          <w:rFonts w:ascii="Arial" w:hAnsi="Arial" w:cs="Arial"/>
          <w:color w:val="000000"/>
          <w:kern w:val="0"/>
          <w:szCs w:val="21"/>
        </w:rPr>
        <w:t>12</w:t>
      </w:r>
      <w:r>
        <w:rPr>
          <w:rFonts w:ascii="Arial" w:hAnsi="宋体" w:cs="Arial"/>
          <w:color w:val="000000"/>
          <w:kern w:val="0"/>
          <w:szCs w:val="21"/>
        </w:rPr>
        <w:t>）建立并保存基金份额持有人名册；</w:t>
      </w:r>
      <w:r>
        <w:rPr>
          <w:rFonts w:ascii="Arial" w:hAnsi="Arial" w:cs="Arial"/>
          <w:color w:val="FF0000"/>
          <w:kern w:val="0"/>
          <w:szCs w:val="21"/>
        </w:rPr>
        <w:t xml:space="preserve"> </w:t>
      </w:r>
    </w:p>
    <w:p w14:paraId="02B8E47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13</w:t>
      </w:r>
      <w:r>
        <w:rPr>
          <w:rFonts w:ascii="Arial" w:hAnsi="宋体" w:cs="Arial"/>
          <w:kern w:val="0"/>
          <w:szCs w:val="21"/>
        </w:rPr>
        <w:t>）复核、审查基金管理人计算的</w:t>
      </w:r>
      <w:r>
        <w:rPr>
          <w:rFonts w:ascii="Arial" w:hAnsi="宋体"/>
          <w:color w:val="000000"/>
          <w:kern w:val="0"/>
        </w:rPr>
        <w:t>基金资产净</w:t>
      </w:r>
      <w:r>
        <w:rPr>
          <w:rFonts w:ascii="Arial" w:hAnsi="宋体" w:cs="Arial"/>
          <w:kern w:val="0"/>
          <w:szCs w:val="21"/>
        </w:rPr>
        <w:t>值、基金份额净值和基金份额申购、赎回价格；</w:t>
      </w:r>
    </w:p>
    <w:p w14:paraId="0A222F8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14</w:t>
      </w:r>
      <w:r>
        <w:rPr>
          <w:rFonts w:ascii="Arial" w:hAnsi="宋体" w:cs="Arial"/>
          <w:kern w:val="0"/>
          <w:szCs w:val="21"/>
        </w:rPr>
        <w:t>）按规定制作相关账册并与基金管理人核对；</w:t>
      </w:r>
    </w:p>
    <w:p w14:paraId="5C87318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15</w:t>
      </w:r>
      <w:r>
        <w:rPr>
          <w:rFonts w:ascii="Arial" w:hAnsi="宋体" w:cs="Arial"/>
          <w:kern w:val="0"/>
          <w:szCs w:val="21"/>
        </w:rPr>
        <w:t>）依据基金管理人的指令或有关规定向基金份额持有人支付基金收益和赎回款项；</w:t>
      </w:r>
    </w:p>
    <w:p w14:paraId="4983074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w:t>
      </w:r>
      <w:r>
        <w:rPr>
          <w:rFonts w:ascii="Arial" w:hAnsi="Arial" w:cs="Arial"/>
          <w:kern w:val="0"/>
          <w:szCs w:val="21"/>
        </w:rPr>
        <w:t>16</w:t>
      </w:r>
      <w:r>
        <w:rPr>
          <w:rFonts w:ascii="Arial" w:hAnsi="宋体" w:cs="Arial"/>
          <w:kern w:val="0"/>
          <w:szCs w:val="21"/>
        </w:rPr>
        <w:t>）按照规定召集基金份额持有人大会或配合基金份额持有人依法自行召集基金份额持有人大会；</w:t>
      </w:r>
    </w:p>
    <w:p w14:paraId="42BC2A0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17</w:t>
      </w:r>
      <w:r>
        <w:rPr>
          <w:rFonts w:ascii="Arial" w:hAnsi="宋体" w:cs="Arial"/>
          <w:kern w:val="0"/>
          <w:szCs w:val="21"/>
        </w:rPr>
        <w:t>）按照规定监督基金管理人的投资运作；</w:t>
      </w:r>
    </w:p>
    <w:p w14:paraId="47A44D11"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t>（</w:t>
      </w:r>
      <w:r>
        <w:rPr>
          <w:rFonts w:ascii="Arial" w:hAnsi="Arial" w:cs="Arial"/>
          <w:kern w:val="0"/>
          <w:szCs w:val="21"/>
        </w:rPr>
        <w:t>18</w:t>
      </w:r>
      <w:r>
        <w:rPr>
          <w:rFonts w:ascii="Arial" w:hAnsi="宋体" w:cs="Arial"/>
          <w:kern w:val="0"/>
          <w:szCs w:val="21"/>
        </w:rPr>
        <w:t>）</w:t>
      </w:r>
      <w:r>
        <w:rPr>
          <w:rFonts w:ascii="Arial" w:hAnsi="宋体" w:cs="Arial"/>
          <w:color w:val="000000"/>
          <w:kern w:val="0"/>
          <w:szCs w:val="21"/>
        </w:rPr>
        <w:t>因过错违反基金合同导致基金财产损失，应承担赔偿责任，其责任不因其退任而免除；除法律法规另有规定外，基金托管人不承担连带责任；</w:t>
      </w:r>
    </w:p>
    <w:p w14:paraId="052D63D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19</w:t>
      </w:r>
      <w:r>
        <w:rPr>
          <w:rFonts w:ascii="Arial" w:hAnsi="宋体" w:cs="Arial"/>
          <w:kern w:val="0"/>
          <w:szCs w:val="21"/>
        </w:rPr>
        <w:t>）基金管理人因违反基金合同造成基金财产损失时，应为基金向基金管理人追偿；</w:t>
      </w:r>
    </w:p>
    <w:p w14:paraId="395AE5D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20</w:t>
      </w:r>
      <w:r>
        <w:rPr>
          <w:rFonts w:ascii="Arial" w:hAnsi="宋体" w:cs="Arial"/>
          <w:kern w:val="0"/>
          <w:szCs w:val="21"/>
        </w:rPr>
        <w:t>）对其委托第三方机构相关事项的法律后果承担责任。</w:t>
      </w:r>
      <w:r>
        <w:rPr>
          <w:rFonts w:ascii="Arial" w:hAnsi="宋体" w:cs="Arial"/>
          <w:szCs w:val="21"/>
        </w:rPr>
        <w:t>基金托管人委托的第三方机构不包括相关司法管辖区域内的证券登记、清算机构、第三方数据和信息来源机构、根据当地市场惯例无法向该服务提供方追偿的其他机构</w:t>
      </w:r>
      <w:r>
        <w:rPr>
          <w:rFonts w:ascii="Arial" w:hAnsi="宋体" w:cs="Arial" w:hint="eastAsia"/>
          <w:szCs w:val="21"/>
        </w:rPr>
        <w:t>；</w:t>
      </w:r>
    </w:p>
    <w:p w14:paraId="6F30940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21</w:t>
      </w:r>
      <w:r>
        <w:rPr>
          <w:rFonts w:ascii="Arial" w:hAnsi="宋体" w:cs="Arial"/>
          <w:kern w:val="0"/>
          <w:szCs w:val="21"/>
        </w:rPr>
        <w:t>）国务院证券监督管理机构规定的其他职责。</w:t>
      </w:r>
    </w:p>
    <w:p w14:paraId="35AB43A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（三）基金份额持有人</w:t>
      </w:r>
    </w:p>
    <w:p w14:paraId="064F549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投资者购买本基金基金份额的行为即视为对基金合同的承认和接受，投资者自依据基金合同取得基金份额，即成为基金份额持有人和基金合同当事人。基金份额持有人作为当事人并不以在基金合同上书面签章为必要条件。每份基金份额具有同等的合法权益。</w:t>
      </w:r>
    </w:p>
    <w:p w14:paraId="2C6C95B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、基金份额持有人的权利</w:t>
      </w:r>
    </w:p>
    <w:p w14:paraId="5CB8998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）分享基金财产收益；</w:t>
      </w:r>
    </w:p>
    <w:p w14:paraId="30E66FD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）参与分配清算后的剩余基金财产；</w:t>
      </w:r>
    </w:p>
    <w:p w14:paraId="135C590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）依法转让或者申请赎回其持有的基金份额；</w:t>
      </w:r>
      <w:r>
        <w:rPr>
          <w:rFonts w:ascii="Arial" w:hAnsi="Arial" w:cs="Arial"/>
          <w:kern w:val="0"/>
          <w:szCs w:val="21"/>
        </w:rPr>
        <w:t xml:space="preserve"> </w:t>
      </w:r>
    </w:p>
    <w:p w14:paraId="58CF380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）按照规定要求召开基金份额持有人大会；</w:t>
      </w:r>
      <w:r>
        <w:rPr>
          <w:rFonts w:ascii="Arial" w:hAnsi="Arial" w:cs="Arial"/>
          <w:kern w:val="0"/>
          <w:szCs w:val="21"/>
        </w:rPr>
        <w:t xml:space="preserve"> </w:t>
      </w:r>
    </w:p>
    <w:p w14:paraId="20A64FD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）出席或者委派代表出席基金份额持有人大会</w:t>
      </w:r>
      <w:r>
        <w:rPr>
          <w:rFonts w:ascii="Arial" w:hAnsi="Arial" w:cs="Arial" w:hint="eastAsia"/>
          <w:kern w:val="0"/>
          <w:szCs w:val="21"/>
        </w:rPr>
        <w:t>，</w:t>
      </w:r>
      <w:r>
        <w:rPr>
          <w:rFonts w:ascii="Arial" w:hAnsi="宋体" w:cs="Arial"/>
          <w:kern w:val="0"/>
          <w:szCs w:val="21"/>
        </w:rPr>
        <w:t>对基金份额持有人大会审议事项行使表决权；</w:t>
      </w:r>
      <w:r>
        <w:rPr>
          <w:rFonts w:ascii="Arial" w:hAnsi="Arial" w:cs="Arial"/>
          <w:kern w:val="0"/>
          <w:szCs w:val="21"/>
        </w:rPr>
        <w:t xml:space="preserve"> </w:t>
      </w:r>
    </w:p>
    <w:p w14:paraId="2752EF3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）查阅或者复制公开披露的基金信息资料；</w:t>
      </w:r>
      <w:r>
        <w:rPr>
          <w:rFonts w:ascii="Arial" w:hAnsi="Arial" w:cs="Arial"/>
          <w:kern w:val="0"/>
          <w:szCs w:val="21"/>
        </w:rPr>
        <w:t xml:space="preserve"> </w:t>
      </w:r>
    </w:p>
    <w:p w14:paraId="33B0A6B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）监督基金管理人的投资运作；</w:t>
      </w:r>
    </w:p>
    <w:p w14:paraId="1AF9879D" w14:textId="77777777" w:rsidR="00F50C35" w:rsidRDefault="00FB66DA">
      <w:pPr>
        <w:pStyle w:val="20"/>
        <w:adjustRightInd w:val="0"/>
        <w:snapToGrid w:val="0"/>
        <w:spacing w:after="0" w:line="360" w:lineRule="auto"/>
        <w:rPr>
          <w:rFonts w:ascii="Arial" w:hAnsi="Arial" w:cs="Arial"/>
          <w:kern w:val="0"/>
          <w:szCs w:val="21"/>
        </w:rPr>
      </w:pPr>
      <w:r>
        <w:rPr>
          <w:rFonts w:ascii="Arial" w:hAnsi="宋体" w:cs="Arial"/>
          <w:kern w:val="0"/>
          <w:szCs w:val="21"/>
        </w:rPr>
        <w:t>（</w:t>
      </w:r>
      <w:r>
        <w:rPr>
          <w:rFonts w:ascii="Arial" w:hAnsi="Arial" w:cs="Arial"/>
          <w:kern w:val="0"/>
          <w:szCs w:val="21"/>
        </w:rPr>
        <w:t>8</w:t>
      </w:r>
      <w:r>
        <w:rPr>
          <w:rFonts w:ascii="Arial" w:hAnsi="宋体" w:cs="Arial"/>
          <w:kern w:val="0"/>
          <w:szCs w:val="21"/>
        </w:rPr>
        <w:t>）法律法规、基金合同规定的其他权利。</w:t>
      </w:r>
    </w:p>
    <w:p w14:paraId="71D45B8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、基金份额持有人的义务</w:t>
      </w:r>
    </w:p>
    <w:p w14:paraId="7AC89E3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）遵守法律法规、基金合同；</w:t>
      </w:r>
    </w:p>
    <w:p w14:paraId="7D6B739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）缴纳基金认购、申购款项及基金合同规定的费用；</w:t>
      </w:r>
    </w:p>
    <w:p w14:paraId="1E3E0AD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）在持有的基金份额范围内，承担基金亏损或者基金合同终止的有限责任；</w:t>
      </w:r>
    </w:p>
    <w:p w14:paraId="4D32FA1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）不从事任何有损基金及其他基金份额持有人合法利益的活动；</w:t>
      </w:r>
    </w:p>
    <w:p w14:paraId="37B0A38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）执行基金份额持有人大会的决议；</w:t>
      </w:r>
    </w:p>
    <w:p w14:paraId="0E7EA98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）返还在基金交易过程中因任何原因获得的不当得利；</w:t>
      </w:r>
    </w:p>
    <w:p w14:paraId="2C3B0D1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）基金份额持有人应遵守基金管理人及其代理销售机构和注册登记机构的相关交易及业务规则；</w:t>
      </w:r>
    </w:p>
    <w:p w14:paraId="707306A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8</w:t>
      </w:r>
      <w:r>
        <w:rPr>
          <w:rFonts w:ascii="Arial" w:hAnsi="宋体" w:cs="Arial"/>
          <w:kern w:val="0"/>
          <w:szCs w:val="21"/>
        </w:rPr>
        <w:t>）法律法规及基金合同规定的其他义务。</w:t>
      </w:r>
    </w:p>
    <w:p w14:paraId="07D2E47A" w14:textId="77777777" w:rsidR="00F50C35" w:rsidRDefault="00FB66DA">
      <w:pPr>
        <w:pStyle w:val="1"/>
        <w:snapToGrid w:val="0"/>
        <w:spacing w:before="0" w:after="0" w:line="360" w:lineRule="auto"/>
        <w:rPr>
          <w:rFonts w:hAnsi="Arial"/>
        </w:rPr>
      </w:pPr>
      <w:bookmarkStart w:id="30" w:name="_Toc88037843"/>
      <w:r>
        <w:rPr>
          <w:rFonts w:hAnsi="Arial"/>
        </w:rPr>
        <w:br w:type="page"/>
      </w:r>
      <w:bookmarkStart w:id="31" w:name="_Toc274814075"/>
      <w:bookmarkStart w:id="32" w:name="_Toc274814008"/>
      <w:r>
        <w:lastRenderedPageBreak/>
        <w:t>九、基金份额持有人大会</w:t>
      </w:r>
      <w:bookmarkEnd w:id="30"/>
      <w:bookmarkEnd w:id="31"/>
      <w:bookmarkEnd w:id="32"/>
    </w:p>
    <w:p w14:paraId="4093CB9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（一）本基金的基金份额持有人大会，由本基金的基金份额持有人组成。</w:t>
      </w:r>
    </w:p>
    <w:p w14:paraId="00F69E0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（二）有以下事由情形之一时，应召开基金份额持有人大会：</w:t>
      </w:r>
    </w:p>
    <w:p w14:paraId="1019262C" w14:textId="77777777" w:rsidR="00F50C35" w:rsidRDefault="00FB66DA">
      <w:pPr>
        <w:adjustRightInd w:val="0"/>
        <w:snapToGrid w:val="0"/>
        <w:spacing w:line="360" w:lineRule="auto"/>
        <w:ind w:firstLine="420"/>
        <w:rPr>
          <w:rFonts w:ascii="Arial" w:hAnsi="Arial" w:cs="Arial"/>
          <w:b/>
          <w:kern w:val="0"/>
          <w:szCs w:val="21"/>
        </w:rPr>
      </w:pPr>
      <w:r>
        <w:rPr>
          <w:rFonts w:ascii="Arial" w:hAnsi="Arial" w:cs="Arial"/>
          <w:kern w:val="0"/>
          <w:szCs w:val="21"/>
        </w:rPr>
        <w:t>1</w:t>
      </w:r>
      <w:r>
        <w:rPr>
          <w:rFonts w:ascii="Arial" w:hAnsi="宋体" w:cs="Arial"/>
          <w:kern w:val="0"/>
          <w:szCs w:val="21"/>
        </w:rPr>
        <w:t>、终止基金合同</w:t>
      </w:r>
      <w:r>
        <w:rPr>
          <w:rFonts w:ascii="Arial" w:hAnsi="宋体" w:cs="Arial"/>
          <w:color w:val="000000"/>
          <w:kern w:val="0"/>
          <w:szCs w:val="21"/>
        </w:rPr>
        <w:t>，但基金合同另有约定的除外；</w:t>
      </w:r>
    </w:p>
    <w:p w14:paraId="2FDA1F3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、转换基金运作方式；</w:t>
      </w:r>
    </w:p>
    <w:p w14:paraId="5DECF71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、提高基金管理人、基金托管人的报酬标准，但根据法律法规的要求提高该等报酬标准的除外；</w:t>
      </w:r>
    </w:p>
    <w:p w14:paraId="66CFBE4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kern w:val="0"/>
        </w:rPr>
        <w:t>、更换基金管理人、基金托管人；</w:t>
      </w:r>
    </w:p>
    <w:p w14:paraId="4AC288B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、变更基金类别；</w:t>
      </w:r>
    </w:p>
    <w:p w14:paraId="240300A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、变更基金投资目标、范围或策略（</w:t>
      </w:r>
      <w:r>
        <w:rPr>
          <w:rFonts w:ascii="Arial" w:hAnsi="宋体" w:cs="Arial"/>
          <w:szCs w:val="21"/>
        </w:rPr>
        <w:t>法律法规和中国证监会另有规定的除外</w:t>
      </w:r>
      <w:r>
        <w:rPr>
          <w:rFonts w:ascii="Arial" w:hAnsi="宋体" w:cs="Arial"/>
          <w:kern w:val="0"/>
          <w:szCs w:val="21"/>
        </w:rPr>
        <w:t>）；</w:t>
      </w:r>
    </w:p>
    <w:p w14:paraId="223C3D3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、变更基金份额持有人大会程序；</w:t>
      </w:r>
    </w:p>
    <w:p w14:paraId="7C0626B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、本基金与其他基金合并；</w:t>
      </w:r>
    </w:p>
    <w:p w14:paraId="13077D3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9</w:t>
      </w:r>
      <w:r>
        <w:rPr>
          <w:rFonts w:ascii="Arial" w:hAnsi="宋体" w:cs="Arial"/>
          <w:kern w:val="0"/>
          <w:szCs w:val="21"/>
        </w:rPr>
        <w:t>、对基金合同当事人权利、义务产生重大影响，需召开基金份额持有人大会的变更基金合同等其他事项；</w:t>
      </w:r>
    </w:p>
    <w:p w14:paraId="215A847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10</w:t>
      </w:r>
      <w:r>
        <w:rPr>
          <w:rFonts w:ascii="Arial" w:hAnsi="宋体" w:cs="Arial" w:hint="eastAsia"/>
          <w:kern w:val="0"/>
          <w:szCs w:val="21"/>
        </w:rPr>
        <w:t>、</w:t>
      </w:r>
      <w:r>
        <w:rPr>
          <w:rFonts w:ascii="Arial" w:hAnsi="宋体" w:cs="Arial"/>
          <w:kern w:val="0"/>
          <w:szCs w:val="21"/>
        </w:rPr>
        <w:t>法律法规或中国证监会规定的其他应当召开基金份额持有人大会的事项。</w:t>
      </w:r>
    </w:p>
    <w:p w14:paraId="28987D8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（三）以下情况不需召开基金份额持有人大会：</w:t>
      </w:r>
    </w:p>
    <w:p w14:paraId="7D149C0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、调低基金管理费、基金托管费；</w:t>
      </w:r>
    </w:p>
    <w:p w14:paraId="1AB1A4C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、在法律法规和基金合同规定的范围内变更本基金的申购费率、调低赎回费率或变更收费方式；</w:t>
      </w:r>
    </w:p>
    <w:p w14:paraId="2C0B855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、因相应的法律法规发生变动而应当对基金合同进行修改；</w:t>
      </w:r>
    </w:p>
    <w:p w14:paraId="5108328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、对基金合同的修改不涉及基金合同当事人权利义务关系发生变化；</w:t>
      </w:r>
    </w:p>
    <w:p w14:paraId="4287348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、对基金合同的修改对基金份额持有人利益无实质性不利影响；</w:t>
      </w:r>
    </w:p>
    <w:p w14:paraId="57F7879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、除法律法规或基金合同规定应当召开基金份额持有人大会以外的其他情形。</w:t>
      </w:r>
    </w:p>
    <w:p w14:paraId="4E1AB16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（四）召集方式：</w:t>
      </w:r>
    </w:p>
    <w:p w14:paraId="7114CA0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、除法律法规或基金合同另有约定外，基金份额持有人大会由基金管理人召集</w:t>
      </w:r>
      <w:r>
        <w:rPr>
          <w:rFonts w:ascii="Arial" w:hAnsi="宋体" w:cs="Arial" w:hint="eastAsia"/>
          <w:kern w:val="0"/>
          <w:szCs w:val="21"/>
        </w:rPr>
        <w:t>；</w:t>
      </w:r>
    </w:p>
    <w:p w14:paraId="45977A4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、基金托管人认为有必要召开基金份额持有人大会的，应当向基金管理人提出书面提议。基金管理人应当自收到书面提议之日起十日内决定是否召集，并书面告知基金托管人。</w:t>
      </w:r>
      <w:r>
        <w:rPr>
          <w:rFonts w:ascii="Arial" w:hAnsi="Arial" w:cs="Arial"/>
          <w:kern w:val="0"/>
          <w:szCs w:val="21"/>
        </w:rPr>
        <w:br/>
        <w:t xml:space="preserve">    </w:t>
      </w:r>
      <w:r>
        <w:rPr>
          <w:rFonts w:ascii="Arial" w:hAnsi="宋体" w:cs="Arial"/>
          <w:kern w:val="0"/>
          <w:szCs w:val="21"/>
        </w:rPr>
        <w:t>基金管理人决定召集的，应当自出具书面决定之日起六十日内召开；基金管理人决定不召集，基金托管人仍认为有必要召开的，应当自行召集</w:t>
      </w:r>
      <w:r>
        <w:rPr>
          <w:rFonts w:ascii="Arial" w:hAnsi="宋体" w:cs="Arial" w:hint="eastAsia"/>
          <w:kern w:val="0"/>
          <w:szCs w:val="21"/>
        </w:rPr>
        <w:t>；</w:t>
      </w:r>
    </w:p>
    <w:p w14:paraId="5F3B133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代表基金份额百分之十以上的基金份额持有人认为有必要召开基金份额持有人大会的，应当向基金管理人提出书面提议。基金管理人应当自收到书面提议之日起十日内决定是否召集，并书面告知提出提议的基金份额持有人代表和基金托管人。</w:t>
      </w:r>
      <w:r>
        <w:rPr>
          <w:rFonts w:ascii="Arial" w:hAnsi="Arial" w:cs="Arial"/>
          <w:kern w:val="0"/>
          <w:szCs w:val="21"/>
        </w:rPr>
        <w:br/>
        <w:t xml:space="preserve">    </w:t>
      </w:r>
      <w:r>
        <w:rPr>
          <w:rFonts w:ascii="Arial" w:hAnsi="宋体" w:cs="Arial"/>
          <w:kern w:val="0"/>
          <w:szCs w:val="21"/>
        </w:rPr>
        <w:t>基金管理人决定召集的，应当自出具书面决定之日起六十日内召开；基金管理人决定不</w:t>
      </w:r>
      <w:r>
        <w:rPr>
          <w:rFonts w:ascii="Arial" w:hAnsi="宋体" w:cs="Arial"/>
          <w:kern w:val="0"/>
          <w:szCs w:val="21"/>
        </w:rPr>
        <w:lastRenderedPageBreak/>
        <w:t>召集，代表基金份额百分之十以上的基金份额持有人仍认为有必要召开的，应当向基金托管人提出书面提议。</w:t>
      </w:r>
      <w:r>
        <w:rPr>
          <w:rFonts w:ascii="Arial" w:hAnsi="Arial" w:cs="Arial"/>
          <w:kern w:val="0"/>
          <w:szCs w:val="21"/>
        </w:rPr>
        <w:br/>
        <w:t xml:space="preserve">    </w:t>
      </w:r>
      <w:r>
        <w:rPr>
          <w:rFonts w:ascii="Arial" w:hAnsi="宋体" w:cs="Arial"/>
          <w:kern w:val="0"/>
          <w:szCs w:val="21"/>
        </w:rPr>
        <w:t>基金托管人应当自收到书面提议之日起十日内决定是否召集，并书面告知提出提议的基金份额持有人代表和基金管理人；基金托管人决定召集的，应当自出具书面决定之日起六十日内召开</w:t>
      </w:r>
      <w:r>
        <w:rPr>
          <w:rFonts w:ascii="Arial" w:hAnsi="宋体" w:cs="Arial" w:hint="eastAsia"/>
          <w:kern w:val="0"/>
          <w:szCs w:val="21"/>
        </w:rPr>
        <w:t>；</w:t>
      </w:r>
    </w:p>
    <w:p w14:paraId="785D16D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代表基金份额百分之十以上的基金份额持有人就同一事项书面要求召开基金份额持有人大会，而基金管理人、基金托管人都不召集的，代表基金份额百分之十以上的基金份额持有人有权自行召集，并至少提前三十日报中国证监会备案</w:t>
      </w:r>
      <w:r>
        <w:rPr>
          <w:rFonts w:ascii="Arial" w:hAnsi="宋体" w:cs="Arial" w:hint="eastAsia"/>
          <w:kern w:val="0"/>
          <w:szCs w:val="21"/>
        </w:rPr>
        <w:t>；</w:t>
      </w:r>
    </w:p>
    <w:p w14:paraId="2643467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、基金份额持有人依法自行召集基金份额持有人大会的，基金管理人、基金托管人应当配合，不得阻碍、干扰</w:t>
      </w:r>
      <w:r>
        <w:rPr>
          <w:rFonts w:ascii="Arial" w:hAnsi="宋体" w:cs="Arial" w:hint="eastAsia"/>
          <w:kern w:val="0"/>
          <w:szCs w:val="21"/>
        </w:rPr>
        <w:t>；</w:t>
      </w:r>
    </w:p>
    <w:p w14:paraId="7DF270B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、基金份额持有人大会的召集人负责选择确定开会时间、地点、方式和权益登记日。</w:t>
      </w:r>
    </w:p>
    <w:p w14:paraId="58DBB6A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（五）通知</w:t>
      </w:r>
    </w:p>
    <w:p w14:paraId="7FFB4DA1" w14:textId="4E0B9A0D"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召开基金份额持有人大会，召集人应当于会议召开前</w:t>
      </w:r>
      <w:r>
        <w:rPr>
          <w:rFonts w:ascii="Arial" w:hAnsi="Arial" w:cs="Arial"/>
          <w:kern w:val="0"/>
          <w:szCs w:val="21"/>
        </w:rPr>
        <w:t>30</w:t>
      </w:r>
      <w:r>
        <w:rPr>
          <w:rFonts w:ascii="Arial" w:hAnsi="宋体" w:cs="Arial"/>
          <w:kern w:val="0"/>
          <w:szCs w:val="21"/>
        </w:rPr>
        <w:t>天在指定媒介上公告。基金份额持有人大会不得就未经公告的事项进行表决。基金份额持有人大会通知将至少载明以下内容：</w:t>
      </w:r>
    </w:p>
    <w:p w14:paraId="66DE0A5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、会议召开的时间、地点、方式；</w:t>
      </w:r>
    </w:p>
    <w:p w14:paraId="6F3F27A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、会议拟审议的主要事项；</w:t>
      </w:r>
    </w:p>
    <w:p w14:paraId="64E05A0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、投票委托书送达时间和地点；</w:t>
      </w:r>
    </w:p>
    <w:p w14:paraId="0DE99E6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、会务常设联系人姓名、电话；</w:t>
      </w:r>
    </w:p>
    <w:p w14:paraId="566F68B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、权益登记日；</w:t>
      </w:r>
    </w:p>
    <w:p w14:paraId="0B10A89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、如采用通讯表决方式，则载明具体通讯方式、委托的公证机关及其联系方式和联系人、书面表达意见的寄交和收取方式、投票表决的截止日以及表决票的送达地址等内容。</w:t>
      </w:r>
    </w:p>
    <w:p w14:paraId="191FA11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（六）开会方式</w:t>
      </w:r>
    </w:p>
    <w:p w14:paraId="6D739DB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份额持有人大会的召开方式包括现场开会和通讯方式开会。现场开会由基金份额持有人本人出席或通过授权委派其代理人出席，现场开会时基金管理人和基金托管人的授权代表应当出席，基金管理人或基金托管人不派代表出席的，不影响表决效力；通讯方式开会指按照基金合同的相关规定以通讯的书面方式进行表决。会议的召开方式由召集人确定，但决定基金管理人更换或基金托管人的更换、转换基金运作方式和提前终止基金合同事宜必须以现场开会方式召开基金份额持有人大会。</w:t>
      </w:r>
    </w:p>
    <w:p w14:paraId="07771FD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现场开会同时符合以下条件时，可以进行基金份额持有人大会议程：</w:t>
      </w:r>
    </w:p>
    <w:p w14:paraId="000D86B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、亲自出席会议者持有基金份额的凭证和受托出席会议者出具的委托人持有基金份额的凭证和授权委托书等文件符合法律法规、本基金合同和会议通知的规定；</w:t>
      </w:r>
    </w:p>
    <w:p w14:paraId="21F543B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、经核对，汇总到会者出示的在权益登记日持有基金份额的凭证显示，全部有效凭证所代表的基金份额不少于权益登记日基金总份额的</w:t>
      </w:r>
      <w:r>
        <w:rPr>
          <w:rFonts w:ascii="Arial" w:hAnsi="Arial" w:cs="Arial"/>
          <w:kern w:val="0"/>
          <w:szCs w:val="21"/>
        </w:rPr>
        <w:t>50%</w:t>
      </w:r>
      <w:r>
        <w:rPr>
          <w:rFonts w:ascii="Arial" w:hAnsi="宋体" w:cs="Arial"/>
          <w:kern w:val="0"/>
          <w:szCs w:val="21"/>
        </w:rPr>
        <w:t>（含</w:t>
      </w:r>
      <w:r>
        <w:rPr>
          <w:rFonts w:ascii="Arial" w:hAnsi="Arial" w:cs="Arial"/>
          <w:kern w:val="0"/>
          <w:szCs w:val="21"/>
        </w:rPr>
        <w:t>50%</w:t>
      </w:r>
      <w:r>
        <w:rPr>
          <w:rFonts w:ascii="Arial" w:hAnsi="宋体" w:cs="Arial"/>
          <w:kern w:val="0"/>
          <w:szCs w:val="21"/>
        </w:rPr>
        <w:t>）。</w:t>
      </w:r>
    </w:p>
    <w:p w14:paraId="5933904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在</w:t>
      </w:r>
      <w:r>
        <w:rPr>
          <w:rFonts w:ascii="Arial" w:hAnsi="宋体" w:cs="Arial"/>
          <w:color w:val="000000"/>
          <w:kern w:val="0"/>
          <w:szCs w:val="21"/>
        </w:rPr>
        <w:t>同时</w:t>
      </w:r>
      <w:r>
        <w:rPr>
          <w:rFonts w:ascii="Arial" w:hAnsi="宋体" w:cs="Arial"/>
          <w:kern w:val="0"/>
          <w:szCs w:val="21"/>
        </w:rPr>
        <w:t>符合以下条件时，通讯开会的方式视为有效：</w:t>
      </w:r>
    </w:p>
    <w:p w14:paraId="2A33089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、召集人按基金合同规定公告会议通知后，在两个工作日内连续公布相关提示性公告；</w:t>
      </w:r>
    </w:p>
    <w:p w14:paraId="02DDCBB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、召集人按照会议通知规定的方式收取基金份额持有人的书面表决意见；</w:t>
      </w:r>
    </w:p>
    <w:p w14:paraId="11DE230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、本人直接出具书面意见或授权他人代表出具书面意见的基金份额持有人所代表的基金份额不少于权益登记日基金总份额的</w:t>
      </w:r>
      <w:r>
        <w:rPr>
          <w:rFonts w:ascii="Arial" w:hAnsi="Arial" w:cs="Arial"/>
          <w:kern w:val="0"/>
          <w:szCs w:val="21"/>
        </w:rPr>
        <w:t>50%</w:t>
      </w:r>
      <w:r>
        <w:rPr>
          <w:rFonts w:ascii="Arial" w:hAnsi="宋体" w:cs="Arial"/>
          <w:kern w:val="0"/>
          <w:szCs w:val="21"/>
        </w:rPr>
        <w:t>（含</w:t>
      </w:r>
      <w:r>
        <w:rPr>
          <w:rFonts w:ascii="Arial" w:hAnsi="Arial" w:cs="Arial"/>
          <w:kern w:val="0"/>
          <w:szCs w:val="21"/>
        </w:rPr>
        <w:t>50%</w:t>
      </w:r>
      <w:r>
        <w:rPr>
          <w:rFonts w:ascii="Arial" w:hAnsi="宋体" w:cs="Arial"/>
          <w:kern w:val="0"/>
          <w:szCs w:val="21"/>
        </w:rPr>
        <w:t>）；</w:t>
      </w:r>
    </w:p>
    <w:p w14:paraId="11F25F5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直接出具书面意见的基金份额持有人或受托代表他人出具书面意见的其他代表，同时提交的持有基金份额的凭证和受托出席会议者出具的委托人持有基金份额的凭证和授权委托书等文件符合法律法规、基金合同和会议通知的规定；</w:t>
      </w:r>
    </w:p>
    <w:p w14:paraId="1A408C5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、会议通知公布前已报中国证监会备案。</w:t>
      </w:r>
    </w:p>
    <w:p w14:paraId="395573A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如果开会条件达不到上述的条件，则召集人可另行确定并公告重新表决的时间</w:t>
      </w:r>
      <w:r>
        <w:rPr>
          <w:rFonts w:ascii="Arial" w:hAnsi="Arial" w:cs="Arial"/>
          <w:kern w:val="0"/>
          <w:szCs w:val="21"/>
        </w:rPr>
        <w:t>（</w:t>
      </w:r>
      <w:r>
        <w:rPr>
          <w:rFonts w:ascii="Arial" w:hAnsi="宋体" w:cs="Arial"/>
          <w:kern w:val="0"/>
          <w:szCs w:val="21"/>
        </w:rPr>
        <w:t>至少应在</w:t>
      </w:r>
      <w:r>
        <w:rPr>
          <w:rFonts w:ascii="Arial" w:hAnsi="Arial" w:cs="Arial"/>
          <w:kern w:val="0"/>
          <w:szCs w:val="21"/>
        </w:rPr>
        <w:t>25</w:t>
      </w:r>
      <w:r>
        <w:rPr>
          <w:rFonts w:ascii="Arial" w:hAnsi="宋体" w:cs="Arial"/>
          <w:kern w:val="0"/>
          <w:szCs w:val="21"/>
        </w:rPr>
        <w:t>个工作日后</w:t>
      </w:r>
      <w:r>
        <w:rPr>
          <w:rFonts w:ascii="Arial" w:hAnsi="Arial" w:cs="Arial"/>
          <w:kern w:val="0"/>
          <w:szCs w:val="21"/>
        </w:rPr>
        <w:t>）</w:t>
      </w:r>
      <w:r>
        <w:rPr>
          <w:rFonts w:ascii="Arial" w:hAnsi="宋体" w:cs="Arial"/>
          <w:kern w:val="0"/>
          <w:szCs w:val="21"/>
        </w:rPr>
        <w:t>，且确定有权出席会议的基金份额持有人资格的权益登记日不变。</w:t>
      </w:r>
    </w:p>
    <w:p w14:paraId="1E42730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（七）议事内容与程序</w:t>
      </w:r>
    </w:p>
    <w:p w14:paraId="7644D26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、议事内容及提案权</w:t>
      </w:r>
    </w:p>
    <w:p w14:paraId="4949807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）议事内容限为本条前述第（二）款规定的基金份额持有人大会召开事由范围内的事项</w:t>
      </w:r>
      <w:r>
        <w:rPr>
          <w:rFonts w:ascii="Arial" w:hAnsi="宋体" w:cs="Arial" w:hint="eastAsia"/>
          <w:kern w:val="0"/>
          <w:szCs w:val="21"/>
        </w:rPr>
        <w:t>；</w:t>
      </w:r>
    </w:p>
    <w:p w14:paraId="23D2C34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）基金管理人、基金托管人、代表基金份额</w:t>
      </w:r>
      <w:r>
        <w:rPr>
          <w:rFonts w:ascii="Arial" w:hAnsi="Arial" w:cs="Arial"/>
          <w:kern w:val="0"/>
          <w:szCs w:val="21"/>
        </w:rPr>
        <w:t>10%</w:t>
      </w:r>
      <w:r>
        <w:rPr>
          <w:rFonts w:ascii="Arial" w:hAnsi="宋体" w:cs="Arial"/>
          <w:kern w:val="0"/>
          <w:szCs w:val="21"/>
        </w:rPr>
        <w:t>以上的基金份额持有人可以在大会召集人发出会议通知前向大会召集人提交需由基金份额持有人大会审议表决的提案</w:t>
      </w:r>
      <w:r>
        <w:rPr>
          <w:rFonts w:ascii="Arial" w:hAnsi="宋体" w:cs="Arial" w:hint="eastAsia"/>
          <w:kern w:val="0"/>
          <w:szCs w:val="21"/>
        </w:rPr>
        <w:t>；</w:t>
      </w:r>
    </w:p>
    <w:p w14:paraId="679A576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）对于基金份额持有人提交的提案，大会召集人应当按照以下原则对提案进行审核：</w:t>
      </w:r>
    </w:p>
    <w:p w14:paraId="2717F7B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1</w:t>
      </w:r>
      <w:r>
        <w:rPr>
          <w:rFonts w:ascii="Arial" w:hAnsi="宋体" w:cs="Arial" w:hint="eastAsia"/>
          <w:kern w:val="0"/>
          <w:szCs w:val="21"/>
        </w:rPr>
        <w:t>）</w:t>
      </w:r>
      <w:r>
        <w:rPr>
          <w:rFonts w:ascii="Arial" w:hAnsi="宋体" w:cs="Arial"/>
          <w:kern w:val="0"/>
          <w:szCs w:val="21"/>
        </w:rPr>
        <w:t>关联性。大会召集人对于基金份额持有人提案涉及事项与基金有直接关系，并且不超出法律法规和基金合同规定的基金份额持有人大会职权范围的，应提交大会审议；对于不符合上述要求的，不提交基金份额持有人大会审议。如果召集人决定不将基金份额持有人提案提交大会表决，应当在该次基金份额持有人大会上进行解释和说明</w:t>
      </w:r>
      <w:r>
        <w:rPr>
          <w:rFonts w:ascii="Arial" w:hAnsi="宋体" w:cs="Arial" w:hint="eastAsia"/>
          <w:kern w:val="0"/>
          <w:szCs w:val="21"/>
        </w:rPr>
        <w:t>；</w:t>
      </w:r>
    </w:p>
    <w:p w14:paraId="5D87E80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2</w:t>
      </w:r>
      <w:r>
        <w:rPr>
          <w:rFonts w:ascii="Arial" w:hAnsi="Arial" w:cs="Arial" w:hint="eastAsia"/>
          <w:kern w:val="0"/>
          <w:szCs w:val="21"/>
        </w:rPr>
        <w:t>）</w:t>
      </w:r>
      <w:r>
        <w:rPr>
          <w:rFonts w:ascii="Arial" w:hAnsi="宋体" w:cs="Arial"/>
          <w:kern w:val="0"/>
          <w:szCs w:val="21"/>
        </w:rPr>
        <w:t>程序性。大会召集人可以对基金份额持有人的提案涉及的程序性问题作出决定。如将其提案进行分拆或合并表决，需征得原提案人同意；原提案人不同意变更的，大会主持人可以就程序性问题提请基金份额持有人大会作出决定，并按照基金份额持有人大会决定的程序进行审议</w:t>
      </w:r>
      <w:r>
        <w:rPr>
          <w:rFonts w:ascii="Arial" w:hAnsi="宋体" w:cs="Arial" w:hint="eastAsia"/>
          <w:kern w:val="0"/>
          <w:szCs w:val="21"/>
        </w:rPr>
        <w:t>；</w:t>
      </w:r>
    </w:p>
    <w:p w14:paraId="41DD0A4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）单独或合并持有权益登记日基金总份额</w:t>
      </w:r>
      <w:r>
        <w:rPr>
          <w:rFonts w:ascii="Arial" w:hAnsi="Arial" w:cs="Arial"/>
          <w:kern w:val="0"/>
          <w:szCs w:val="21"/>
        </w:rPr>
        <w:t>10%</w:t>
      </w:r>
      <w:r>
        <w:rPr>
          <w:rFonts w:ascii="Arial" w:hAnsi="宋体" w:cs="Arial"/>
          <w:kern w:val="0"/>
          <w:szCs w:val="21"/>
        </w:rPr>
        <w:t>或以上的基金份额持有人提交基金份额持有人大会审议表决的提案，或基金管理人或基金托管人提交基金份额持有人大会审议表决的提案，未获得基金份额持有人大会审议通过，就同一提案再次提请基金份额持有人大会审议，其时间间隔不少于六个月。法律法规另有规定的除外</w:t>
      </w:r>
      <w:r>
        <w:rPr>
          <w:rFonts w:ascii="Arial" w:hAnsi="宋体" w:cs="Arial" w:hint="eastAsia"/>
          <w:kern w:val="0"/>
          <w:szCs w:val="21"/>
        </w:rPr>
        <w:t>；</w:t>
      </w:r>
    </w:p>
    <w:p w14:paraId="57DFB59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）基金份额持有人大会不得对未事先公告的议事内容进行表决。</w:t>
      </w:r>
    </w:p>
    <w:p w14:paraId="3C46F28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、议事程序</w:t>
      </w:r>
    </w:p>
    <w:p w14:paraId="08D2B1C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在现场开会的方式下，首先由召集人宣读提案，经讨论后进行表决，并形成大会决议，报经中国证监会核准或备案后生效；在通讯表决开会的方式下，首先由召集人在会议通知中</w:t>
      </w:r>
      <w:r>
        <w:rPr>
          <w:rFonts w:ascii="Arial" w:hAnsi="宋体" w:cs="Arial"/>
          <w:kern w:val="0"/>
          <w:szCs w:val="21"/>
        </w:rPr>
        <w:lastRenderedPageBreak/>
        <w:t>公布提案，在所通知的表决截止日期第二个工作日由大会聘请的公证机关的公证员统计全部有效表决并形成决议，报经中国证监会核准或备案后生效。</w:t>
      </w:r>
    </w:p>
    <w:p w14:paraId="15FB1AD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（八）表决</w:t>
      </w:r>
    </w:p>
    <w:p w14:paraId="5D41E4D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、基金份额持有人所持每份基金份额享有平等的表决权</w:t>
      </w:r>
      <w:r>
        <w:rPr>
          <w:rFonts w:ascii="Arial" w:hAnsi="宋体" w:cs="Arial" w:hint="eastAsia"/>
          <w:kern w:val="0"/>
          <w:szCs w:val="21"/>
        </w:rPr>
        <w:t>；</w:t>
      </w:r>
    </w:p>
    <w:p w14:paraId="43F4655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、基金份额持有人大会决议分为一般决议和特别决议：</w:t>
      </w:r>
    </w:p>
    <w:p w14:paraId="11E1A48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）特别决议</w:t>
      </w:r>
    </w:p>
    <w:p w14:paraId="1870F58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对于特别决议应当经参加大会的基金份额持有人所持表决权的三分之二以上（含三分之二）通过。</w:t>
      </w:r>
    </w:p>
    <w:p w14:paraId="40872D6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）一般决议</w:t>
      </w:r>
    </w:p>
    <w:p w14:paraId="1CE4C21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对于一般决议应当经参加大会的基金份额持有人所持表决权的百分之五十以上（含百分之五十）通过。</w:t>
      </w:r>
    </w:p>
    <w:p w14:paraId="0EF6129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更换基金管理人或者基金托管人、转换基金运作方式或提前终止基金合同应当以特别决议通过方为有效。</w:t>
      </w:r>
    </w:p>
    <w:p w14:paraId="113413D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基金份额持有人大会采取记名方式进行投票表决。</w:t>
      </w:r>
    </w:p>
    <w:p w14:paraId="15E9983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采取通讯方式进行表决时，符合会议通知规定的书面表决意见视为有效表决。</w:t>
      </w:r>
    </w:p>
    <w:p w14:paraId="3D81348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基金份额持有人大会的各项提案或同一项提案内并列的各项议题应当分开审议、逐项表决。</w:t>
      </w:r>
    </w:p>
    <w:p w14:paraId="20C9AC0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采取通讯方式进行表决时，符合法律法规、基金合同和会议通知规定的书面表决意见即视为有效的表决；表决意见模糊不清或相互矛盾的视为弃权表决，但应当计入出具书面意见的基金份额持有人所代表的基金份额总数。</w:t>
      </w:r>
    </w:p>
    <w:p w14:paraId="73D9B28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（九）计票</w:t>
      </w:r>
    </w:p>
    <w:p w14:paraId="01A3D0E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、现场开会</w:t>
      </w:r>
    </w:p>
    <w:p w14:paraId="0491BCD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基金份额持有人大会的主持人为召集人授权出席大会的代表，如大会由基金管理人或基金托管人召集，基金份额持有人大会的主持人应当在会议开始后宣布在出席会议的基金份额持有人中推举两名基金份额持有人代表与大会召集人授权的一名监督员</w:t>
      </w:r>
      <w:r>
        <w:rPr>
          <w:rFonts w:ascii="Arial" w:hAnsi="Arial" w:cs="Arial"/>
          <w:kern w:val="0"/>
          <w:szCs w:val="21"/>
        </w:rPr>
        <w:t>（</w:t>
      </w:r>
      <w:r>
        <w:rPr>
          <w:rFonts w:ascii="Arial" w:hAnsi="宋体" w:cs="Arial"/>
          <w:kern w:val="0"/>
          <w:szCs w:val="21"/>
        </w:rPr>
        <w:t>如果基金管理人为召集人，则监督员由基金托管人担任；如基金托管人为召集人，则监督员由基金托管人在出席会议的基金份额持有人中指定</w:t>
      </w:r>
      <w:r>
        <w:rPr>
          <w:rFonts w:ascii="Arial" w:hAnsi="Arial" w:cs="Arial"/>
          <w:kern w:val="0"/>
          <w:szCs w:val="21"/>
        </w:rPr>
        <w:t>）</w:t>
      </w:r>
      <w:r>
        <w:rPr>
          <w:rFonts w:ascii="Arial" w:hAnsi="宋体" w:cs="Arial"/>
          <w:kern w:val="0"/>
          <w:szCs w:val="21"/>
        </w:rPr>
        <w:t>共同担任监票人；如大会由基金份额持有人自行召集，基金份额持有人大会的主持人应当在会议开始后宣布在出席会议的基金份额持有人中推举三名基金份额持有人担任监票人</w:t>
      </w:r>
      <w:r>
        <w:rPr>
          <w:rFonts w:ascii="Arial" w:hAnsi="宋体" w:cs="Arial" w:hint="eastAsia"/>
          <w:kern w:val="0"/>
          <w:szCs w:val="21"/>
        </w:rPr>
        <w:t>；</w:t>
      </w:r>
    </w:p>
    <w:p w14:paraId="6605F07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）监票人应当在基金份额持有人表决后立即进行清点并由大会主持人当场公布计票结果</w:t>
      </w:r>
      <w:r>
        <w:rPr>
          <w:rFonts w:ascii="Arial" w:hAnsi="宋体" w:cs="Arial" w:hint="eastAsia"/>
          <w:kern w:val="0"/>
          <w:szCs w:val="21"/>
        </w:rPr>
        <w:t>；</w:t>
      </w:r>
    </w:p>
    <w:p w14:paraId="0CE7470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如果会议主持人对于提交的表决结果有怀疑，可以对所投票数进行重新清点；如果会议主持人未进行重新清点，而出席会议的基金份额持有人或者基金份额持有人代理人对会议主持人宣布的表决结果有异议，其有权在宣布表决结果后立即要求重新清点，会议主持</w:t>
      </w:r>
      <w:r>
        <w:rPr>
          <w:rFonts w:ascii="Arial" w:hAnsi="宋体" w:cs="Arial"/>
          <w:kern w:val="0"/>
          <w:szCs w:val="21"/>
        </w:rPr>
        <w:lastRenderedPageBreak/>
        <w:t>人应当立即重新清点并公布重新清点结果。重新清点仅限一次</w:t>
      </w:r>
      <w:r>
        <w:rPr>
          <w:rFonts w:ascii="Arial" w:hAnsi="宋体" w:cs="Arial" w:hint="eastAsia"/>
          <w:kern w:val="0"/>
          <w:szCs w:val="21"/>
        </w:rPr>
        <w:t>；</w:t>
      </w:r>
    </w:p>
    <w:p w14:paraId="1F9CB5C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）在基金管理人或基金托管人担任召集人的情形下，如果在计票过程中基金管理人或者基金托管人拒不配合的，则参加会议的基金份额持有人有权推举三名基金份额持有人代表共同担任监票人进行计票。</w:t>
      </w:r>
    </w:p>
    <w:p w14:paraId="59F766A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如召集人为基金管理人，还应另行书面通知基金托管人到指定地点对书面表决意见的计票进行监督；如召集人为基金托管人，则应另行书面通知基金管理人到指定地点对书面表决意见的计票进行监督；如召集人为基金份额持有人，则应另行书面通知基金管理人和基金托管人到指定地点对书面表决意见的计票进行监督。</w:t>
      </w:r>
    </w:p>
    <w:p w14:paraId="0329945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、通讯方式开会</w:t>
      </w:r>
    </w:p>
    <w:p w14:paraId="6D2DBE7A" w14:textId="77777777" w:rsidR="00F50C35" w:rsidRDefault="00FB66DA">
      <w:pPr>
        <w:adjustRightInd w:val="0"/>
        <w:snapToGrid w:val="0"/>
        <w:spacing w:line="360" w:lineRule="auto"/>
        <w:ind w:firstLineChars="200" w:firstLine="420"/>
        <w:rPr>
          <w:rStyle w:val="read"/>
          <w:rFonts w:ascii="Arial" w:hAnsi="Arial" w:cs="Arial"/>
          <w:szCs w:val="21"/>
        </w:rPr>
      </w:pPr>
      <w:r>
        <w:rPr>
          <w:rStyle w:val="read"/>
          <w:rFonts w:ascii="Arial" w:hAnsi="宋体" w:cs="Arial"/>
          <w:szCs w:val="21"/>
        </w:rPr>
        <w:t>在通讯方式开会的情况下，计票方式可采取如下方式：</w:t>
      </w:r>
    </w:p>
    <w:p w14:paraId="0EF1307B" w14:textId="77777777" w:rsidR="00F50C35" w:rsidRDefault="00FB66DA">
      <w:pPr>
        <w:adjustRightInd w:val="0"/>
        <w:snapToGrid w:val="0"/>
        <w:spacing w:line="360" w:lineRule="auto"/>
        <w:ind w:firstLine="420"/>
        <w:rPr>
          <w:rFonts w:ascii="Arial" w:hAnsi="Arial" w:cs="Arial"/>
          <w:kern w:val="0"/>
          <w:szCs w:val="21"/>
        </w:rPr>
      </w:pPr>
      <w:r>
        <w:rPr>
          <w:rStyle w:val="read"/>
          <w:rFonts w:ascii="Arial" w:hAnsi="宋体" w:cs="Arial"/>
          <w:szCs w:val="21"/>
        </w:rPr>
        <w:t>由大会召集人聘请的公证机关的公证员进行计票。</w:t>
      </w:r>
    </w:p>
    <w:p w14:paraId="55DDA74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（十）生效与公告</w:t>
      </w:r>
    </w:p>
    <w:p w14:paraId="33679C1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份额持有人大会按照《基金法》有关规定表决通过的事项，召集人应当自通过之日起五日内报中国证监会核准或者备案。基金份额持有人大会决定的事项自中国证监会依法核准或者出具无异议意见之日起生效</w:t>
      </w:r>
      <w:r>
        <w:rPr>
          <w:rFonts w:ascii="Arial" w:hAnsi="宋体" w:cs="Arial" w:hint="eastAsia"/>
          <w:kern w:val="0"/>
          <w:szCs w:val="21"/>
        </w:rPr>
        <w:t>；</w:t>
      </w:r>
    </w:p>
    <w:p w14:paraId="28DC393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、生效的基金份额持有人大会决议对全体基金份额持有人、基金管理人、基金托管人均有法律约束力。基金管理人、基金托管人和基金份额持有人应当执行生效的基金份额持有人大会的决定</w:t>
      </w:r>
      <w:r>
        <w:rPr>
          <w:rFonts w:ascii="Arial" w:hAnsi="宋体" w:cs="Arial" w:hint="eastAsia"/>
          <w:kern w:val="0"/>
          <w:szCs w:val="21"/>
        </w:rPr>
        <w:t>；</w:t>
      </w:r>
    </w:p>
    <w:p w14:paraId="238C7795" w14:textId="2E21CF7F"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3</w:t>
      </w:r>
      <w:r>
        <w:rPr>
          <w:rFonts w:ascii="Arial" w:hAnsi="宋体" w:cs="Arial"/>
          <w:kern w:val="0"/>
          <w:szCs w:val="21"/>
        </w:rPr>
        <w:t>、基金份额持有人大会决议应当自中国证监会核准或</w:t>
      </w:r>
      <w:r>
        <w:rPr>
          <w:rFonts w:ascii="Arial" w:hAnsi="宋体" w:cs="Arial"/>
          <w:color w:val="000000"/>
          <w:kern w:val="0"/>
          <w:szCs w:val="21"/>
        </w:rPr>
        <w:t>出具无异议意见后</w:t>
      </w:r>
      <w:r>
        <w:rPr>
          <w:rFonts w:ascii="Arial" w:hAnsi="Arial" w:cs="Arial"/>
          <w:color w:val="000000"/>
          <w:kern w:val="0"/>
          <w:szCs w:val="21"/>
        </w:rPr>
        <w:t>2</w:t>
      </w:r>
      <w:r>
        <w:rPr>
          <w:rFonts w:ascii="Arial" w:hAnsi="宋体" w:cs="Arial"/>
          <w:color w:val="000000"/>
          <w:kern w:val="0"/>
          <w:szCs w:val="21"/>
        </w:rPr>
        <w:t>日内，由基金份额持有人大会召集人在指定媒介公告</w:t>
      </w:r>
      <w:r>
        <w:rPr>
          <w:rFonts w:ascii="Arial" w:hAnsi="宋体" w:cs="Arial" w:hint="eastAsia"/>
          <w:color w:val="000000"/>
          <w:kern w:val="0"/>
          <w:szCs w:val="21"/>
        </w:rPr>
        <w:t>；</w:t>
      </w:r>
    </w:p>
    <w:p w14:paraId="5ED45F3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hint="eastAsia"/>
          <w:kern w:val="0"/>
          <w:szCs w:val="21"/>
        </w:rPr>
        <w:t>、</w:t>
      </w:r>
      <w:r>
        <w:rPr>
          <w:rFonts w:ascii="Arial" w:hAnsi="宋体" w:cs="Arial"/>
          <w:kern w:val="0"/>
          <w:szCs w:val="21"/>
        </w:rPr>
        <w:t>如果采用通讯方式进行表决，在公告基金份额持有人大会决议时，必须将公证书全文、公证机关、公证员姓名等一同公告。</w:t>
      </w:r>
      <w:bookmarkStart w:id="33" w:name="_Hlt133203861"/>
      <w:bookmarkEnd w:id="33"/>
    </w:p>
    <w:p w14:paraId="14561495" w14:textId="77777777" w:rsidR="00F50C35" w:rsidRDefault="00FB66DA">
      <w:pPr>
        <w:adjustRightInd w:val="0"/>
        <w:snapToGrid w:val="0"/>
        <w:spacing w:line="360" w:lineRule="auto"/>
        <w:ind w:firstLine="420"/>
        <w:rPr>
          <w:rStyle w:val="read"/>
          <w:rFonts w:ascii="Arial" w:hAnsi="Arial" w:cs="Arial"/>
          <w:b/>
          <w:szCs w:val="21"/>
        </w:rPr>
      </w:pPr>
      <w:r>
        <w:rPr>
          <w:rFonts w:ascii="Arial" w:hAnsi="宋体" w:cs="Arial"/>
          <w:szCs w:val="21"/>
        </w:rPr>
        <w:t>（十一）法律法规或监管机关对基金份额持有人大会另有规定的，从其规定。</w:t>
      </w:r>
    </w:p>
    <w:p w14:paraId="456049CE" w14:textId="77777777" w:rsidR="00F50C35" w:rsidRDefault="00FB66DA">
      <w:pPr>
        <w:pStyle w:val="1"/>
        <w:snapToGrid w:val="0"/>
        <w:spacing w:before="0" w:after="0" w:line="360" w:lineRule="auto"/>
        <w:rPr>
          <w:rFonts w:hAnsi="Arial"/>
        </w:rPr>
      </w:pPr>
      <w:bookmarkStart w:id="34" w:name="_Toc88037844"/>
      <w:r>
        <w:rPr>
          <w:rFonts w:hAnsi="Arial"/>
        </w:rPr>
        <w:br w:type="page"/>
      </w:r>
      <w:bookmarkStart w:id="35" w:name="_Toc274814076"/>
      <w:bookmarkStart w:id="36" w:name="_Toc274814009"/>
      <w:r>
        <w:lastRenderedPageBreak/>
        <w:t>十、基金管理人、基金托管人的更换条件和程序</w:t>
      </w:r>
      <w:bookmarkEnd w:id="34"/>
      <w:bookmarkEnd w:id="35"/>
      <w:bookmarkEnd w:id="36"/>
    </w:p>
    <w:p w14:paraId="19FC4E1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（一）基金管理人和基金托管人的更换条件</w:t>
      </w:r>
    </w:p>
    <w:p w14:paraId="7F4C6B3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、有下列情形之一的，基金管理人职责终止，须更换基金管理人：</w:t>
      </w:r>
    </w:p>
    <w:p w14:paraId="31B948C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）基金管理人被依法取消基金管理资格；</w:t>
      </w:r>
    </w:p>
    <w:p w14:paraId="2C29346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）基金管理人依法解散、依法被撤销或被依法宣告破产；</w:t>
      </w:r>
    </w:p>
    <w:p w14:paraId="43CB81B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）基金管理人被基金份额持有人大会解任；</w:t>
      </w:r>
      <w:r>
        <w:rPr>
          <w:rFonts w:ascii="Arial" w:hAnsi="Arial" w:cs="Arial"/>
          <w:kern w:val="0"/>
          <w:szCs w:val="21"/>
        </w:rPr>
        <w:t xml:space="preserve"> </w:t>
      </w:r>
    </w:p>
    <w:p w14:paraId="713D56A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）法律法规规定或经中国证监会认定的其他情形。</w:t>
      </w:r>
    </w:p>
    <w:p w14:paraId="5932FFF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、有下列情形之一的，基金托管人职责终止，须更换基金托管人：</w:t>
      </w:r>
    </w:p>
    <w:p w14:paraId="14928DC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）基金托管人被依法取消基金托管资格；</w:t>
      </w:r>
    </w:p>
    <w:p w14:paraId="55551BF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）基金托管人依法解散、依法被撤销或被依法宣告破产；</w:t>
      </w:r>
    </w:p>
    <w:p w14:paraId="3D1E164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）基金托管人被基金份额持有人大会解任；</w:t>
      </w:r>
    </w:p>
    <w:p w14:paraId="4648F22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）法律法规规定或经中国证监会认定的其他情形。</w:t>
      </w:r>
    </w:p>
    <w:p w14:paraId="777E14D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（二）基金管理人和基金托管人的更换程序</w:t>
      </w:r>
    </w:p>
    <w:p w14:paraId="3AF233B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、基金管理人的更换程序</w:t>
      </w:r>
    </w:p>
    <w:p w14:paraId="78B651D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szCs w:val="21"/>
        </w:rPr>
        <w:t>原基金管理人退任后，基金份额持有人大会需在六个月内选任新基金管理人。在新基金管理人产生前，中国证监会可指定临时基金管理人。</w:t>
      </w:r>
    </w:p>
    <w:p w14:paraId="056E699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）提名：新任基金管理人由基金托管人或代表</w:t>
      </w:r>
      <w:r>
        <w:rPr>
          <w:rFonts w:ascii="Arial" w:hAnsi="Arial" w:cs="Arial"/>
          <w:kern w:val="0"/>
          <w:szCs w:val="21"/>
        </w:rPr>
        <w:t>10</w:t>
      </w:r>
      <w:r>
        <w:rPr>
          <w:rFonts w:ascii="Arial" w:hAnsi="宋体" w:cs="Arial"/>
          <w:kern w:val="0"/>
          <w:szCs w:val="21"/>
        </w:rPr>
        <w:t>%</w:t>
      </w:r>
      <w:r>
        <w:rPr>
          <w:rFonts w:ascii="Arial" w:hAnsi="宋体" w:cs="Arial"/>
          <w:kern w:val="0"/>
          <w:szCs w:val="21"/>
        </w:rPr>
        <w:t>以上基金份额的基金份额持有人提名</w:t>
      </w:r>
      <w:r>
        <w:rPr>
          <w:rFonts w:ascii="Arial" w:hAnsi="宋体" w:cs="Arial" w:hint="eastAsia"/>
          <w:kern w:val="0"/>
          <w:szCs w:val="21"/>
        </w:rPr>
        <w:t>；</w:t>
      </w:r>
    </w:p>
    <w:p w14:paraId="77D5A09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）决议：基金份额持有人大会对更换基金管理人形成有效决议</w:t>
      </w:r>
      <w:r>
        <w:rPr>
          <w:rFonts w:ascii="Arial" w:hAnsi="宋体" w:cs="Arial" w:hint="eastAsia"/>
          <w:kern w:val="0"/>
          <w:szCs w:val="21"/>
        </w:rPr>
        <w:t>；</w:t>
      </w:r>
    </w:p>
    <w:p w14:paraId="597EBFC8" w14:textId="4F9CF73A"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）核准并公告：基金份额持有人大会决议自通过之日起五日内，由大会召集人报中国证监会核准，并应自中国证监会核准后两日内在指定媒介上公告</w:t>
      </w:r>
      <w:r>
        <w:rPr>
          <w:rFonts w:ascii="Arial" w:hAnsi="宋体" w:cs="Arial" w:hint="eastAsia"/>
          <w:kern w:val="0"/>
          <w:szCs w:val="21"/>
        </w:rPr>
        <w:t>；</w:t>
      </w:r>
    </w:p>
    <w:p w14:paraId="6E90507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）交接：基金管理人职责终止的，应当妥善保管基金管理业务资料，及时办理基金管理业务的移交手续，新基金管理人或者临时基金管理人应当及时接收。新任基金管理人或临时基金管理人应与基金托管人核对</w:t>
      </w:r>
      <w:r>
        <w:rPr>
          <w:rFonts w:ascii="Arial" w:hAnsi="宋体" w:cs="Arial"/>
          <w:color w:val="000000"/>
          <w:kern w:val="0"/>
          <w:szCs w:val="21"/>
        </w:rPr>
        <w:t>基金资产</w:t>
      </w:r>
      <w:r>
        <w:rPr>
          <w:rFonts w:ascii="Arial" w:hAnsi="宋体" w:cs="Arial"/>
          <w:kern w:val="0"/>
          <w:szCs w:val="21"/>
        </w:rPr>
        <w:t>总值和净值</w:t>
      </w:r>
      <w:r>
        <w:rPr>
          <w:rFonts w:ascii="Arial" w:hAnsi="宋体" w:cs="Arial" w:hint="eastAsia"/>
          <w:kern w:val="0"/>
          <w:szCs w:val="21"/>
        </w:rPr>
        <w:t>；</w:t>
      </w:r>
    </w:p>
    <w:p w14:paraId="316BEC4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）审计并公告：基金管理人职责终止的，应当按照规定聘请会计师事务所对基金财产进行审计，并将审计结果予以公告，同时报中国证监会备案</w:t>
      </w:r>
      <w:r>
        <w:rPr>
          <w:rFonts w:ascii="Arial" w:hAnsi="宋体" w:cs="Arial" w:hint="eastAsia"/>
          <w:kern w:val="0"/>
          <w:szCs w:val="21"/>
        </w:rPr>
        <w:t>；</w:t>
      </w:r>
    </w:p>
    <w:p w14:paraId="1453396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）基金名称变更：基金管理人更换后，本基金应替换或删除基金名称中与原基金管理人有关的名称或商号字样。</w:t>
      </w:r>
    </w:p>
    <w:p w14:paraId="57CD07D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、基金托管人的更换程序</w:t>
      </w:r>
    </w:p>
    <w:p w14:paraId="6FB1C50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szCs w:val="21"/>
        </w:rPr>
        <w:t>原基金托管人退任后，基金份额持有人大会需在六个月内选任新基金托管人。在新基金托管人产生前，中国证监会可指定临时基金托管人。</w:t>
      </w:r>
    </w:p>
    <w:p w14:paraId="11DF764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）提名：新任基金托管人由基金管理人或代表</w:t>
      </w:r>
      <w:r>
        <w:rPr>
          <w:rFonts w:ascii="Arial" w:hAnsi="Arial" w:cs="Arial"/>
          <w:kern w:val="0"/>
          <w:szCs w:val="21"/>
        </w:rPr>
        <w:t>10</w:t>
      </w:r>
      <w:r>
        <w:rPr>
          <w:rFonts w:ascii="Arial" w:hAnsi="宋体" w:cs="Arial"/>
          <w:kern w:val="0"/>
          <w:szCs w:val="21"/>
        </w:rPr>
        <w:t>%</w:t>
      </w:r>
      <w:r>
        <w:rPr>
          <w:rFonts w:ascii="Arial" w:hAnsi="宋体" w:cs="Arial"/>
          <w:kern w:val="0"/>
          <w:szCs w:val="21"/>
        </w:rPr>
        <w:t>以上基金份额的基金份额持有人提名</w:t>
      </w:r>
      <w:r>
        <w:rPr>
          <w:rFonts w:ascii="Arial" w:hAnsi="宋体" w:cs="Arial" w:hint="eastAsia"/>
          <w:kern w:val="0"/>
          <w:szCs w:val="21"/>
        </w:rPr>
        <w:t>；</w:t>
      </w:r>
    </w:p>
    <w:p w14:paraId="44CA57F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w:t>
      </w:r>
      <w:r>
        <w:rPr>
          <w:rFonts w:ascii="Arial" w:hAnsi="Arial" w:cs="Arial"/>
          <w:kern w:val="0"/>
          <w:szCs w:val="21"/>
        </w:rPr>
        <w:t>2</w:t>
      </w:r>
      <w:r>
        <w:rPr>
          <w:rFonts w:ascii="Arial" w:hAnsi="宋体" w:cs="Arial"/>
          <w:kern w:val="0"/>
          <w:szCs w:val="21"/>
        </w:rPr>
        <w:t>）决议：基金份额持有人大会对更换基金托管人形成有效决议</w:t>
      </w:r>
      <w:r>
        <w:rPr>
          <w:rFonts w:ascii="Arial" w:hAnsi="宋体" w:cs="Arial" w:hint="eastAsia"/>
          <w:kern w:val="0"/>
          <w:szCs w:val="21"/>
        </w:rPr>
        <w:t>；</w:t>
      </w:r>
    </w:p>
    <w:p w14:paraId="219E73F5" w14:textId="53C5423D"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）核准并公告：基金份额持有人大会决议自通过之日起五日内，由大会召集人报中国证监会核准，并应自中国证监会核准后两日内在指定媒介上公告</w:t>
      </w:r>
      <w:r>
        <w:rPr>
          <w:rFonts w:ascii="Arial" w:hAnsi="宋体" w:cs="Arial" w:hint="eastAsia"/>
          <w:kern w:val="0"/>
          <w:szCs w:val="21"/>
        </w:rPr>
        <w:t>；</w:t>
      </w:r>
    </w:p>
    <w:p w14:paraId="56D338D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4</w:t>
      </w:r>
      <w:r>
        <w:rPr>
          <w:rFonts w:ascii="Arial" w:hAnsi="宋体" w:cs="Arial"/>
          <w:kern w:val="0"/>
          <w:szCs w:val="21"/>
        </w:rPr>
        <w:t>）交接：基金托管人职责终止的，应当妥善保管基金财产和基金托管业务资料，及时办理基金财产和基金托管业务的移交手续，新基金托管人或者临时基金托管人应当及时接收。新任基金托管人或临时基金托管人与基金管理人核对</w:t>
      </w:r>
      <w:r>
        <w:rPr>
          <w:rFonts w:ascii="Arial" w:hAnsi="宋体" w:cs="Arial"/>
          <w:color w:val="000000"/>
          <w:kern w:val="0"/>
          <w:szCs w:val="21"/>
        </w:rPr>
        <w:t>基金资产</w:t>
      </w:r>
      <w:r>
        <w:rPr>
          <w:rFonts w:ascii="Arial" w:hAnsi="宋体" w:cs="Arial"/>
          <w:kern w:val="0"/>
          <w:szCs w:val="21"/>
        </w:rPr>
        <w:t>总值和净值</w:t>
      </w:r>
      <w:r>
        <w:rPr>
          <w:rFonts w:ascii="Arial" w:hAnsi="宋体" w:cs="Arial" w:hint="eastAsia"/>
          <w:kern w:val="0"/>
          <w:szCs w:val="21"/>
        </w:rPr>
        <w:t>；</w:t>
      </w:r>
    </w:p>
    <w:p w14:paraId="0037C0B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）审计并公告：基金托管人职责终止的，应当按照规定聘请会计师事务所对基金财产进行审计，并将审计结果予以公告，同时报中国证监会备案</w:t>
      </w:r>
      <w:r>
        <w:rPr>
          <w:rFonts w:ascii="Arial" w:hAnsi="宋体" w:cs="Arial" w:hint="eastAsia"/>
          <w:kern w:val="0"/>
          <w:szCs w:val="21"/>
        </w:rPr>
        <w:t>；</w:t>
      </w:r>
    </w:p>
    <w:p w14:paraId="75E7BEB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、基金管理人与基金托管人同时更换</w:t>
      </w:r>
    </w:p>
    <w:p w14:paraId="568CFEE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）提名：如果基金管理人和基金托管人同时更换，由单独或合计持有基金总份额</w:t>
      </w:r>
      <w:r>
        <w:rPr>
          <w:rFonts w:ascii="Arial" w:hAnsi="Arial" w:cs="Arial"/>
          <w:kern w:val="0"/>
          <w:szCs w:val="21"/>
        </w:rPr>
        <w:t>10%</w:t>
      </w:r>
      <w:r>
        <w:rPr>
          <w:rFonts w:ascii="Arial" w:hAnsi="宋体" w:cs="Arial"/>
          <w:kern w:val="0"/>
          <w:szCs w:val="21"/>
        </w:rPr>
        <w:t>以上的基金份额持有人提名新的基金管理人和基金托管人；</w:t>
      </w:r>
    </w:p>
    <w:p w14:paraId="7A1AB1A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）基金管理人和基金托管人的更换分别按上述程序进行；</w:t>
      </w:r>
    </w:p>
    <w:p w14:paraId="6D1E9BE0" w14:textId="518AF3A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）公告：</w:t>
      </w:r>
      <w:proofErr w:type="gramStart"/>
      <w:r>
        <w:rPr>
          <w:rFonts w:ascii="Arial" w:hAnsi="宋体" w:cs="Arial"/>
          <w:kern w:val="0"/>
          <w:szCs w:val="21"/>
        </w:rPr>
        <w:t>新任基金</w:t>
      </w:r>
      <w:proofErr w:type="gramEnd"/>
      <w:r>
        <w:rPr>
          <w:rFonts w:ascii="Arial" w:hAnsi="宋体" w:cs="Arial"/>
          <w:kern w:val="0"/>
          <w:szCs w:val="21"/>
        </w:rPr>
        <w:t>管理人和</w:t>
      </w:r>
      <w:proofErr w:type="gramStart"/>
      <w:r>
        <w:rPr>
          <w:rFonts w:ascii="Arial" w:hAnsi="宋体" w:cs="Arial"/>
          <w:kern w:val="0"/>
          <w:szCs w:val="21"/>
        </w:rPr>
        <w:t>新任基金</w:t>
      </w:r>
      <w:proofErr w:type="gramEnd"/>
      <w:r>
        <w:rPr>
          <w:rFonts w:ascii="Arial" w:hAnsi="宋体" w:cs="Arial"/>
          <w:kern w:val="0"/>
          <w:szCs w:val="21"/>
        </w:rPr>
        <w:t>托管人应在更换基金管理人和基金托管人的基金份额持有人大会决议获得中国证监会核准后</w:t>
      </w:r>
      <w:r>
        <w:rPr>
          <w:rFonts w:ascii="Arial" w:hAnsi="Arial" w:cs="Arial"/>
          <w:kern w:val="0"/>
          <w:szCs w:val="21"/>
        </w:rPr>
        <w:t>2</w:t>
      </w:r>
      <w:r>
        <w:rPr>
          <w:rFonts w:ascii="Arial" w:hAnsi="宋体" w:cs="Arial"/>
          <w:kern w:val="0"/>
          <w:szCs w:val="21"/>
        </w:rPr>
        <w:t>日内在指定媒介上联合公告。</w:t>
      </w:r>
    </w:p>
    <w:p w14:paraId="4A4EC76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新基金管理人接受基金管理或新基金托管人接受基金财产和基金托管业务前，原基金管理人或基金托管人应依据法律法规和基金合同的规定继续履行相关职责，并保证不对基金份额持有人的利益造成损害。原基金管理人或基金托管人在继续履行相关职责期间，仍有权按照本合同的规定收取基金管理费或基金托管费。</w:t>
      </w:r>
    </w:p>
    <w:p w14:paraId="4B448AF7" w14:textId="77777777" w:rsidR="00F50C35" w:rsidRDefault="00F50C35">
      <w:pPr>
        <w:adjustRightInd w:val="0"/>
        <w:snapToGrid w:val="0"/>
        <w:spacing w:line="360" w:lineRule="auto"/>
        <w:ind w:firstLine="420"/>
        <w:rPr>
          <w:rFonts w:ascii="Arial" w:hAnsi="Arial" w:cs="Arial"/>
          <w:kern w:val="0"/>
          <w:szCs w:val="21"/>
        </w:rPr>
      </w:pPr>
    </w:p>
    <w:p w14:paraId="1F9409B0" w14:textId="77777777" w:rsidR="00F50C35" w:rsidRDefault="00FB66DA">
      <w:pPr>
        <w:pStyle w:val="1"/>
        <w:snapToGrid w:val="0"/>
        <w:spacing w:before="0" w:after="0" w:line="360" w:lineRule="auto"/>
        <w:rPr>
          <w:rFonts w:hAnsi="Arial"/>
          <w:kern w:val="0"/>
        </w:rPr>
      </w:pPr>
      <w:bookmarkStart w:id="37" w:name="_Toc88037845"/>
      <w:r>
        <w:rPr>
          <w:rFonts w:hAnsi="Arial"/>
          <w:kern w:val="0"/>
        </w:rPr>
        <w:br w:type="page"/>
      </w:r>
      <w:bookmarkStart w:id="38" w:name="_Toc274814010"/>
      <w:bookmarkStart w:id="39" w:name="_Toc274814077"/>
      <w:r>
        <w:rPr>
          <w:kern w:val="0"/>
        </w:rPr>
        <w:lastRenderedPageBreak/>
        <w:t>十一、基金的托管</w:t>
      </w:r>
      <w:bookmarkEnd w:id="37"/>
      <w:bookmarkEnd w:id="38"/>
      <w:bookmarkEnd w:id="39"/>
    </w:p>
    <w:p w14:paraId="0D44644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本基金财产由基金托管人依法持有并保管。基金管理人应与基金托管人按照《基金法》、本基金合同及其他有关规定订立《博时抗通胀增强回报证券投资基金托管协议》，以明确基金管理人与基金托管人之间在基金份额持有人名册登记、基金财产的保管、基金财产的管理和运作及相互监督等相关事宜中的权利、义务及职责，确保基金财产的安全，保护基金份额持有人的合法权益。</w:t>
      </w:r>
    </w:p>
    <w:p w14:paraId="13C6D7C0"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kern w:val="0"/>
          <w:szCs w:val="21"/>
        </w:rPr>
        <w:t>（二）基金托管人可以委托符合《试行办法》规定条件的境外托管人负责境外资产托管业务。境外托管人根据托管人的委托履行其相应职责。托管人与境外托管人签署相应的协议，用以规范基金托管人与境外托管人之间的权利义务。境外托管人在履行职责过程中，因本身过错、疏忽等原因而导致基金财产受损的，基金托管人应当承担相应责任。</w:t>
      </w:r>
    </w:p>
    <w:p w14:paraId="4E4F94D3" w14:textId="77777777" w:rsidR="00F50C35" w:rsidRDefault="00F50C35">
      <w:pPr>
        <w:adjustRightInd w:val="0"/>
        <w:snapToGrid w:val="0"/>
        <w:spacing w:line="360" w:lineRule="auto"/>
        <w:ind w:firstLine="420"/>
        <w:rPr>
          <w:rFonts w:ascii="Arial" w:hAnsi="Arial" w:cs="Arial"/>
          <w:kern w:val="0"/>
          <w:szCs w:val="21"/>
        </w:rPr>
      </w:pPr>
    </w:p>
    <w:p w14:paraId="5E0D45B5" w14:textId="77777777" w:rsidR="00F50C35" w:rsidRDefault="00F50C35">
      <w:pPr>
        <w:adjustRightInd w:val="0"/>
        <w:snapToGrid w:val="0"/>
        <w:spacing w:line="360" w:lineRule="auto"/>
        <w:ind w:firstLine="420"/>
        <w:rPr>
          <w:rFonts w:ascii="Arial" w:hAnsi="Arial" w:cs="Arial"/>
          <w:kern w:val="0"/>
          <w:szCs w:val="21"/>
        </w:rPr>
      </w:pPr>
    </w:p>
    <w:p w14:paraId="3E380F8A" w14:textId="77777777" w:rsidR="00F50C35" w:rsidRDefault="00F50C35">
      <w:pPr>
        <w:adjustRightInd w:val="0"/>
        <w:snapToGrid w:val="0"/>
        <w:spacing w:line="360" w:lineRule="auto"/>
        <w:ind w:firstLine="420"/>
        <w:rPr>
          <w:rFonts w:ascii="Arial" w:hAnsi="Arial" w:cs="Arial"/>
          <w:kern w:val="0"/>
          <w:szCs w:val="21"/>
        </w:rPr>
      </w:pPr>
    </w:p>
    <w:p w14:paraId="07B8F25C" w14:textId="77777777" w:rsidR="00F50C35" w:rsidRDefault="00F50C35">
      <w:pPr>
        <w:adjustRightInd w:val="0"/>
        <w:snapToGrid w:val="0"/>
        <w:spacing w:line="360" w:lineRule="auto"/>
        <w:ind w:firstLine="420"/>
        <w:rPr>
          <w:rFonts w:ascii="Arial" w:hAnsi="Arial" w:cs="Arial"/>
          <w:kern w:val="0"/>
          <w:szCs w:val="21"/>
        </w:rPr>
      </w:pPr>
    </w:p>
    <w:p w14:paraId="5D366300" w14:textId="77777777" w:rsidR="00F50C35" w:rsidRDefault="00FB66DA">
      <w:pPr>
        <w:pStyle w:val="1"/>
        <w:snapToGrid w:val="0"/>
        <w:spacing w:before="0" w:after="0" w:line="360" w:lineRule="auto"/>
        <w:rPr>
          <w:rFonts w:hAnsi="Arial"/>
          <w:kern w:val="0"/>
        </w:rPr>
      </w:pPr>
      <w:bookmarkStart w:id="40" w:name="_Toc88037846"/>
      <w:r>
        <w:rPr>
          <w:rFonts w:hAnsi="Arial"/>
          <w:kern w:val="0"/>
        </w:rPr>
        <w:br w:type="page"/>
      </w:r>
      <w:bookmarkStart w:id="41" w:name="_Toc274814078"/>
      <w:bookmarkStart w:id="42" w:name="_Toc136676371"/>
      <w:bookmarkStart w:id="43" w:name="_Toc274814011"/>
      <w:r>
        <w:rPr>
          <w:kern w:val="0"/>
        </w:rPr>
        <w:lastRenderedPageBreak/>
        <w:t>十二、基金的销售</w:t>
      </w:r>
      <w:bookmarkEnd w:id="40"/>
      <w:bookmarkEnd w:id="41"/>
      <w:bookmarkEnd w:id="42"/>
      <w:bookmarkEnd w:id="43"/>
    </w:p>
    <w:p w14:paraId="0A80DDF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（一）本基金的销售业务指接受投资者申请为其办理的本基金的认购、申购、赎回、非交易过户、转托管、定期定额投资等业务。</w:t>
      </w:r>
    </w:p>
    <w:p w14:paraId="0CCFA32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本基金的销售业务由基金管理人及基金管理人委托的其他符合条件的机构办理。基金管理人委托其他机构办理本基金认购、申购、赎回业务的，应与代理机构签订委托代理协议，以明确基金管理人和代销机构之间在基金份额认购、申购、赎回等事宜中的权利和义务，确保基金财产的安全，保护投资者和基金份额持有人的合法权益。销售机构应严格按照法律法规和本基金合同规定的条件办理本基金的销售业务。</w:t>
      </w:r>
    </w:p>
    <w:p w14:paraId="14B2A38D" w14:textId="77777777" w:rsidR="00F50C35" w:rsidRDefault="00FB66DA">
      <w:pPr>
        <w:pStyle w:val="1"/>
        <w:snapToGrid w:val="0"/>
        <w:spacing w:before="0" w:after="0" w:line="360" w:lineRule="auto"/>
        <w:rPr>
          <w:rFonts w:hAnsi="Arial"/>
          <w:kern w:val="0"/>
        </w:rPr>
      </w:pPr>
      <w:bookmarkStart w:id="44" w:name="_Toc88037847"/>
      <w:r>
        <w:rPr>
          <w:rFonts w:hAnsi="Arial"/>
          <w:kern w:val="0"/>
        </w:rPr>
        <w:br w:type="page"/>
      </w:r>
      <w:bookmarkStart w:id="45" w:name="_Toc274814079"/>
      <w:bookmarkStart w:id="46" w:name="_Toc274814012"/>
      <w:r>
        <w:rPr>
          <w:kern w:val="0"/>
        </w:rPr>
        <w:lastRenderedPageBreak/>
        <w:t>十三、基金份额的注册登记</w:t>
      </w:r>
      <w:bookmarkEnd w:id="44"/>
      <w:bookmarkEnd w:id="45"/>
      <w:bookmarkEnd w:id="46"/>
    </w:p>
    <w:p w14:paraId="24391B4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（一）本基金基金份额的注册登记业务指本基金登记、存管、清算和交收业务，具体内容包括投资者基金账户管理、基金份额注册登记、清算及基金交易确认、发放红利、建立并保管基金份额持有人名册等。</w:t>
      </w:r>
    </w:p>
    <w:p w14:paraId="3DD888C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（二）本基金的注册登记业务由基金管理人办理。</w:t>
      </w:r>
    </w:p>
    <w:p w14:paraId="3704ECA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（三）注册登记机构履行如下职责：</w:t>
      </w:r>
    </w:p>
    <w:p w14:paraId="52F87845"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1</w:t>
      </w:r>
      <w:r>
        <w:rPr>
          <w:rFonts w:ascii="Arial" w:hAnsi="宋体" w:cs="Arial"/>
          <w:kern w:val="0"/>
          <w:szCs w:val="21"/>
        </w:rPr>
        <w:t>、建立和保管基金份额持有人开户资料、交易资料、</w:t>
      </w:r>
      <w:r>
        <w:rPr>
          <w:rFonts w:ascii="Arial" w:hAnsi="宋体" w:cs="Arial"/>
          <w:color w:val="000000"/>
          <w:kern w:val="0"/>
          <w:szCs w:val="21"/>
        </w:rPr>
        <w:t>基金份额持有人名册等；</w:t>
      </w:r>
    </w:p>
    <w:p w14:paraId="212ADD9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、配备足够的专业人员办理本基金的注册登记业务；</w:t>
      </w:r>
    </w:p>
    <w:p w14:paraId="04839A4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、严格按照法律法规和本基金合同规定的条件办理本基金的注册登记业务；</w:t>
      </w:r>
    </w:p>
    <w:p w14:paraId="47C1BCD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、接受基金管理人的监督；</w:t>
      </w:r>
    </w:p>
    <w:p w14:paraId="6E76E01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、保持基金份额持有人名册及相关的申购与赎回等业务记录十五年以上；</w:t>
      </w:r>
    </w:p>
    <w:p w14:paraId="617FDDF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、对基金份额持有人的基金账户信息负有保密义务，因违反该保密义务对投资者或基金带来的损失，须承担相应的赔偿责任，但按照法律法规的规定进行披露的情形除外；</w:t>
      </w:r>
    </w:p>
    <w:p w14:paraId="0172760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、按本基金合同的规定，为投资者办理非交易过户业务、提供其他必要的服务；</w:t>
      </w:r>
    </w:p>
    <w:p w14:paraId="1F273168" w14:textId="01154738"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、在法律、法规允许的范围内，对注册登记业务的办理时间进行调整，并最迟于开始实施前</w:t>
      </w:r>
      <w:r>
        <w:rPr>
          <w:rFonts w:ascii="Arial" w:hAnsi="Arial" w:cs="Arial"/>
          <w:kern w:val="0"/>
          <w:szCs w:val="21"/>
        </w:rPr>
        <w:t>2</w:t>
      </w:r>
      <w:r>
        <w:rPr>
          <w:rFonts w:ascii="Arial" w:hAnsi="宋体" w:cs="Arial"/>
          <w:kern w:val="0"/>
          <w:szCs w:val="21"/>
        </w:rPr>
        <w:t>日在指定媒介上公告；</w:t>
      </w:r>
    </w:p>
    <w:p w14:paraId="3D9F191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9</w:t>
      </w:r>
      <w:r>
        <w:rPr>
          <w:rFonts w:ascii="Arial" w:hAnsi="宋体" w:cs="Arial"/>
          <w:kern w:val="0"/>
          <w:szCs w:val="21"/>
        </w:rPr>
        <w:t>、法律法规规定的其他职责。</w:t>
      </w:r>
    </w:p>
    <w:p w14:paraId="1B92FA3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（四）注册登记机构履行上述职责后，有权取得注册登记费。</w:t>
      </w:r>
    </w:p>
    <w:p w14:paraId="7096B4A6" w14:textId="77777777" w:rsidR="00F50C35" w:rsidRDefault="00FB66DA">
      <w:pPr>
        <w:pStyle w:val="1"/>
        <w:snapToGrid w:val="0"/>
        <w:spacing w:before="0" w:after="0" w:line="360" w:lineRule="auto"/>
        <w:rPr>
          <w:rFonts w:hAnsi="Arial"/>
        </w:rPr>
      </w:pPr>
      <w:bookmarkStart w:id="47" w:name="_Toc88037848"/>
      <w:r>
        <w:rPr>
          <w:rFonts w:hAnsi="Arial"/>
          <w:kern w:val="0"/>
        </w:rPr>
        <w:br w:type="page"/>
      </w:r>
      <w:bookmarkStart w:id="48" w:name="_Toc274814080"/>
      <w:bookmarkStart w:id="49" w:name="_Toc274814013"/>
      <w:r>
        <w:rPr>
          <w:kern w:val="0"/>
        </w:rPr>
        <w:lastRenderedPageBreak/>
        <w:t>十四、</w:t>
      </w:r>
      <w:bookmarkStart w:id="50" w:name="_Toc55791176"/>
      <w:r>
        <w:t>基金的投资</w:t>
      </w:r>
      <w:bookmarkEnd w:id="47"/>
      <w:bookmarkEnd w:id="48"/>
      <w:bookmarkEnd w:id="49"/>
    </w:p>
    <w:bookmarkEnd w:id="50"/>
    <w:p w14:paraId="609D30E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（一）投资目标</w:t>
      </w:r>
    </w:p>
    <w:p w14:paraId="0968E2DC" w14:textId="77777777" w:rsidR="00F50C35" w:rsidRDefault="00FB66DA">
      <w:pPr>
        <w:adjustRightInd w:val="0"/>
        <w:snapToGrid w:val="0"/>
        <w:spacing w:line="360" w:lineRule="auto"/>
        <w:ind w:firstLineChars="200" w:firstLine="420"/>
        <w:rPr>
          <w:rFonts w:ascii="Arial" w:hAnsi="Arial" w:cs="Arial"/>
          <w:kern w:val="0"/>
          <w:szCs w:val="21"/>
        </w:rPr>
      </w:pPr>
      <w:r>
        <w:rPr>
          <w:rFonts w:cs="Arial"/>
          <w:szCs w:val="21"/>
        </w:rPr>
        <w:t>本基金通过进行全球大类资产配置，投资于通胀（通缩）相关的各类资产，在有效控制风险的前提下，力争为投资者资产提供通胀（通缩）保护，同时</w:t>
      </w:r>
      <w:r>
        <w:rPr>
          <w:rFonts w:cs="Arial" w:hint="eastAsia"/>
          <w:szCs w:val="21"/>
        </w:rPr>
        <w:t>力</w:t>
      </w:r>
      <w:r>
        <w:rPr>
          <w:rFonts w:cs="Arial"/>
          <w:szCs w:val="21"/>
        </w:rPr>
        <w:t>争获取</w:t>
      </w:r>
      <w:r>
        <w:rPr>
          <w:rFonts w:cs="Arial" w:hint="eastAsia"/>
          <w:szCs w:val="21"/>
        </w:rPr>
        <w:t>较高</w:t>
      </w:r>
      <w:r>
        <w:rPr>
          <w:rFonts w:cs="Arial"/>
          <w:szCs w:val="21"/>
        </w:rPr>
        <w:t>的超额收益。</w:t>
      </w:r>
    </w:p>
    <w:p w14:paraId="17D3D177"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（二）投资范围</w:t>
      </w:r>
    </w:p>
    <w:p w14:paraId="341776E8" w14:textId="77777777" w:rsidR="00F50C35" w:rsidRDefault="00FB66DA">
      <w:pPr>
        <w:adjustRightInd w:val="0"/>
        <w:snapToGrid w:val="0"/>
        <w:spacing w:line="360" w:lineRule="auto"/>
        <w:ind w:firstLineChars="200" w:firstLine="420"/>
        <w:rPr>
          <w:rFonts w:ascii="Arial" w:hAnsi="宋体" w:cs="Arial"/>
          <w:kern w:val="0"/>
          <w:szCs w:val="21"/>
        </w:rPr>
      </w:pPr>
      <w:r>
        <w:rPr>
          <w:rFonts w:ascii="Arial" w:hAnsi="宋体" w:cs="Arial" w:hint="eastAsia"/>
          <w:kern w:val="0"/>
          <w:szCs w:val="21"/>
        </w:rPr>
        <w:t>本基金主要投资于具有良好流动性的境外相关金融工具。</w:t>
      </w:r>
    </w:p>
    <w:p w14:paraId="0339705C" w14:textId="77777777" w:rsidR="00F50C35" w:rsidRDefault="00FB66DA">
      <w:pPr>
        <w:adjustRightInd w:val="0"/>
        <w:snapToGrid w:val="0"/>
        <w:spacing w:line="360" w:lineRule="auto"/>
        <w:ind w:firstLineChars="200" w:firstLine="420"/>
        <w:rPr>
          <w:rFonts w:ascii="Arial" w:hAnsi="宋体" w:cs="Arial"/>
          <w:kern w:val="0"/>
          <w:szCs w:val="21"/>
        </w:rPr>
      </w:pPr>
      <w:r>
        <w:rPr>
          <w:rFonts w:ascii="Arial" w:hAnsi="宋体" w:cs="Arial" w:hint="eastAsia"/>
          <w:kern w:val="0"/>
          <w:szCs w:val="21"/>
        </w:rPr>
        <w:t>主要投资范围具体包括：银行存款、可转让存单、银行承兑汇票、银行票据、商业票据、回购协议、短期政府债券等货币市场工具；政府债券、公司债券、可转换债券、住房按揭支持证券、资产支持证券等及经中国证监会认可的国际金融组织发行的证券；境外证券市场挂牌交易的普通股、优先股、全球存托凭证和美国存托凭证、房地产信托凭证；法律法规允许的、在已与中国证监会签署双边监管合作谅解备忘录的国家或地区证券监管机构登记注册的公募基金（包括</w:t>
      </w:r>
      <w:r>
        <w:rPr>
          <w:rFonts w:ascii="Arial" w:hAnsi="宋体" w:cs="Arial"/>
          <w:kern w:val="0"/>
          <w:szCs w:val="21"/>
        </w:rPr>
        <w:t>ETF</w:t>
      </w:r>
      <w:r>
        <w:rPr>
          <w:rFonts w:ascii="Arial" w:hAnsi="宋体" w:cs="Arial" w:hint="eastAsia"/>
          <w:kern w:val="0"/>
          <w:szCs w:val="21"/>
        </w:rPr>
        <w:t>）；与固定收益、股权、信用、商品指数、基金等标的物挂钩的结构性投资产品；远期合约、互换及经中国证监会认可的境外交易所上市交易的权证、期权、期货等金融衍生产品；中国证监会允许基金投资的其他金融工具。</w:t>
      </w:r>
    </w:p>
    <w:p w14:paraId="4D98373D" w14:textId="77777777" w:rsidR="00F50C35" w:rsidRDefault="00FB66DA">
      <w:pPr>
        <w:adjustRightInd w:val="0"/>
        <w:snapToGrid w:val="0"/>
        <w:spacing w:line="360" w:lineRule="auto"/>
        <w:ind w:firstLineChars="200" w:firstLine="420"/>
        <w:rPr>
          <w:rFonts w:ascii="Arial" w:hAnsi="宋体" w:cs="Arial"/>
          <w:kern w:val="0"/>
          <w:szCs w:val="21"/>
        </w:rPr>
      </w:pPr>
      <w:r>
        <w:rPr>
          <w:rFonts w:ascii="Arial" w:hAnsi="宋体" w:cs="Arial" w:hint="eastAsia"/>
          <w:kern w:val="0"/>
          <w:szCs w:val="21"/>
        </w:rPr>
        <w:t>如果法律法规或监管机构以后允许基金投资其他品种，本基金管理人在履行适当程序后，可以将其纳入本基金的投资范围。</w:t>
      </w:r>
    </w:p>
    <w:p w14:paraId="638BF361" w14:textId="77777777" w:rsidR="00F50C35" w:rsidRDefault="00FB66DA">
      <w:pPr>
        <w:adjustRightInd w:val="0"/>
        <w:snapToGrid w:val="0"/>
        <w:spacing w:line="360" w:lineRule="auto"/>
        <w:ind w:firstLineChars="200" w:firstLine="420"/>
        <w:rPr>
          <w:rFonts w:ascii="Arial" w:hAnsi="宋体" w:cs="Arial"/>
          <w:kern w:val="0"/>
          <w:szCs w:val="21"/>
        </w:rPr>
      </w:pPr>
      <w:r>
        <w:rPr>
          <w:rFonts w:ascii="Arial" w:hAnsi="宋体" w:cs="Arial" w:hint="eastAsia"/>
          <w:kern w:val="0"/>
          <w:szCs w:val="21"/>
        </w:rPr>
        <w:t>本基金的基金投资（含</w:t>
      </w:r>
      <w:r>
        <w:rPr>
          <w:rFonts w:ascii="Arial" w:hAnsi="宋体" w:cs="Arial"/>
          <w:kern w:val="0"/>
          <w:szCs w:val="21"/>
        </w:rPr>
        <w:t>ETF</w:t>
      </w:r>
      <w:r>
        <w:rPr>
          <w:rFonts w:ascii="Arial" w:hAnsi="宋体" w:cs="Arial" w:hint="eastAsia"/>
          <w:kern w:val="0"/>
          <w:szCs w:val="21"/>
        </w:rPr>
        <w:t>）比例不低于基金资产的</w:t>
      </w:r>
      <w:r>
        <w:rPr>
          <w:rFonts w:ascii="Arial" w:hAnsi="宋体" w:cs="Arial"/>
          <w:kern w:val="0"/>
          <w:szCs w:val="21"/>
        </w:rPr>
        <w:t>60%</w:t>
      </w:r>
      <w:r>
        <w:rPr>
          <w:rFonts w:ascii="Arial" w:hAnsi="宋体" w:cs="Arial" w:hint="eastAsia"/>
          <w:kern w:val="0"/>
          <w:szCs w:val="21"/>
        </w:rPr>
        <w:t>，其中不低于</w:t>
      </w:r>
      <w:r>
        <w:rPr>
          <w:rFonts w:ascii="Arial" w:hAnsi="宋体" w:cs="Arial"/>
          <w:kern w:val="0"/>
          <w:szCs w:val="21"/>
        </w:rPr>
        <w:t>80%</w:t>
      </w:r>
      <w:r>
        <w:rPr>
          <w:rFonts w:ascii="Arial" w:hAnsi="宋体" w:cs="Arial" w:hint="eastAsia"/>
          <w:kern w:val="0"/>
          <w:szCs w:val="21"/>
        </w:rPr>
        <w:t>投资于抗通胀相关主题的基金。除基金投资外的其他投资包括股票等权益类资产、债券等固定收益类资产、现金、货币市场工具、权证、期权、期货、远期、互换等金融衍生产品以及相关法律法规或中国证监会允许投资的其他金融工具投资比例合计不高于基金资产的</w:t>
      </w:r>
      <w:r>
        <w:rPr>
          <w:rFonts w:ascii="Arial" w:hAnsi="宋体" w:cs="Arial"/>
          <w:kern w:val="0"/>
          <w:szCs w:val="21"/>
        </w:rPr>
        <w:t>40%</w:t>
      </w:r>
      <w:r>
        <w:rPr>
          <w:rFonts w:ascii="Arial" w:hAnsi="宋体" w:cs="Arial" w:hint="eastAsia"/>
          <w:kern w:val="0"/>
          <w:szCs w:val="21"/>
        </w:rPr>
        <w:t>，其中现金或者到期日在一年以内的政府债券不低于基金资产净值的</w:t>
      </w:r>
      <w:r>
        <w:rPr>
          <w:rFonts w:ascii="Arial" w:hAnsi="宋体" w:cs="Arial"/>
          <w:kern w:val="0"/>
          <w:szCs w:val="21"/>
        </w:rPr>
        <w:t>5%</w:t>
      </w:r>
      <w:r>
        <w:rPr>
          <w:rFonts w:ascii="Arial" w:hAnsi="宋体" w:cs="Arial" w:hint="eastAsia"/>
          <w:kern w:val="0"/>
          <w:szCs w:val="21"/>
        </w:rPr>
        <w:t>，其中，现金不包括结算备付金、存出保证金、应收申购款等。抗通胀相关主题的基金主要包括大宗商品类</w:t>
      </w:r>
      <w:r>
        <w:rPr>
          <w:rFonts w:ascii="Arial" w:hAnsi="宋体" w:cs="Arial" w:hint="eastAsia"/>
          <w:kern w:val="0"/>
          <w:szCs w:val="21"/>
        </w:rPr>
        <w:t>ETF</w:t>
      </w:r>
      <w:r>
        <w:rPr>
          <w:rFonts w:ascii="Arial" w:hAnsi="宋体" w:cs="Arial" w:hint="eastAsia"/>
          <w:kern w:val="0"/>
          <w:szCs w:val="21"/>
        </w:rPr>
        <w:t>，可细分为跟踪大宗商品综合指数，跟踪分类大宗商品指数如贵金属类、农产品类、能源类和工业金属类等或单个商品的</w:t>
      </w:r>
      <w:r>
        <w:rPr>
          <w:rFonts w:ascii="Arial" w:hAnsi="宋体" w:cs="Arial" w:hint="eastAsia"/>
          <w:kern w:val="0"/>
          <w:szCs w:val="21"/>
        </w:rPr>
        <w:t>ETF</w:t>
      </w:r>
      <w:r>
        <w:rPr>
          <w:rFonts w:ascii="Arial" w:hAnsi="宋体" w:cs="Arial" w:hint="eastAsia"/>
          <w:kern w:val="0"/>
          <w:szCs w:val="21"/>
        </w:rPr>
        <w:t>；业绩比较基准</w:t>
      </w:r>
      <w:r>
        <w:rPr>
          <w:rFonts w:ascii="Arial" w:hAnsi="宋体" w:cs="Arial" w:hint="eastAsia"/>
          <w:kern w:val="0"/>
          <w:szCs w:val="21"/>
        </w:rPr>
        <w:t>90%</w:t>
      </w:r>
      <w:r>
        <w:rPr>
          <w:rFonts w:ascii="Arial" w:hAnsi="宋体" w:cs="Arial" w:hint="eastAsia"/>
          <w:kern w:val="0"/>
          <w:szCs w:val="21"/>
        </w:rPr>
        <w:t>以上是商品指数的共同基金；主要投资于通货膨胀保护债券的</w:t>
      </w:r>
      <w:r>
        <w:rPr>
          <w:rFonts w:ascii="Arial" w:hAnsi="宋体" w:cs="Arial" w:hint="eastAsia"/>
          <w:kern w:val="0"/>
          <w:szCs w:val="21"/>
        </w:rPr>
        <w:t>ETF</w:t>
      </w:r>
      <w:r>
        <w:rPr>
          <w:rFonts w:ascii="Arial" w:hAnsi="宋体" w:cs="Arial" w:hint="eastAsia"/>
          <w:kern w:val="0"/>
          <w:szCs w:val="21"/>
        </w:rPr>
        <w:t>或债券型基金；以及主要投资于自然资源类公司股票的</w:t>
      </w:r>
      <w:r>
        <w:rPr>
          <w:rFonts w:ascii="Arial" w:hAnsi="宋体" w:cs="Arial" w:hint="eastAsia"/>
          <w:kern w:val="0"/>
          <w:szCs w:val="21"/>
        </w:rPr>
        <w:t>ETF</w:t>
      </w:r>
      <w:r>
        <w:rPr>
          <w:rFonts w:ascii="Arial" w:hAnsi="宋体" w:cs="Arial" w:hint="eastAsia"/>
          <w:kern w:val="0"/>
          <w:szCs w:val="21"/>
        </w:rPr>
        <w:t>和共同基金。</w:t>
      </w:r>
    </w:p>
    <w:p w14:paraId="0B04C761" w14:textId="77777777" w:rsidR="00F50C35" w:rsidRDefault="00FB66DA">
      <w:pPr>
        <w:adjustRightInd w:val="0"/>
        <w:snapToGrid w:val="0"/>
        <w:spacing w:line="360" w:lineRule="auto"/>
        <w:ind w:firstLineChars="200" w:firstLine="420"/>
        <w:rPr>
          <w:rFonts w:ascii="Arial" w:hAnsi="宋体" w:cs="Arial"/>
          <w:kern w:val="0"/>
          <w:szCs w:val="21"/>
        </w:rPr>
      </w:pPr>
      <w:r>
        <w:rPr>
          <w:rFonts w:ascii="Arial" w:hAnsi="宋体" w:cs="Arial" w:hint="eastAsia"/>
          <w:kern w:val="0"/>
          <w:szCs w:val="21"/>
        </w:rPr>
        <w:t>若法律法规或监管机构允许，本基金在履行适当程序后，可以调整上述投资比例。</w:t>
      </w:r>
    </w:p>
    <w:p w14:paraId="5161805F"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（三）投资理念</w:t>
      </w:r>
    </w:p>
    <w:p w14:paraId="248695D4" w14:textId="77777777" w:rsidR="00F50C35" w:rsidRDefault="00FB66DA">
      <w:pPr>
        <w:adjustRightInd w:val="0"/>
        <w:snapToGrid w:val="0"/>
        <w:spacing w:line="360" w:lineRule="auto"/>
        <w:ind w:firstLine="420"/>
        <w:rPr>
          <w:rFonts w:ascii="Arial" w:hAnsi="Arial" w:cs="Arial"/>
          <w:kern w:val="0"/>
          <w:szCs w:val="21"/>
        </w:rPr>
      </w:pPr>
      <w:r>
        <w:rPr>
          <w:rFonts w:cs="Arial"/>
          <w:szCs w:val="21"/>
        </w:rPr>
        <w:t>本基金坚持自上而下与自下而上结合的投资理念。通过深入分析、挖掘全球各类资产在不同通胀周期中的表现，动态把握资产的适度配置，同时分析各类资产表现与国内</w:t>
      </w:r>
      <w:r>
        <w:rPr>
          <w:rFonts w:cs="Arial" w:hint="eastAsia"/>
          <w:szCs w:val="21"/>
        </w:rPr>
        <w:t>外</w:t>
      </w:r>
      <w:r>
        <w:rPr>
          <w:rFonts w:cs="Arial"/>
          <w:szCs w:val="21"/>
        </w:rPr>
        <w:t>通货膨胀的关系，构造能够提供通货膨胀保护的投资组合，追求基金资产获得长期稳定的实际收益。</w:t>
      </w:r>
    </w:p>
    <w:p w14:paraId="5A2EAD4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（四）投资策略</w:t>
      </w:r>
    </w:p>
    <w:p w14:paraId="4BBA264E" w14:textId="77777777" w:rsidR="00F50C35" w:rsidRDefault="00FB66DA">
      <w:pPr>
        <w:adjustRightInd w:val="0"/>
        <w:snapToGrid w:val="0"/>
        <w:spacing w:line="360" w:lineRule="auto"/>
        <w:ind w:firstLine="420"/>
        <w:rPr>
          <w:rFonts w:ascii="Arial" w:hAnsi="Arial" w:cs="Arial"/>
          <w:kern w:val="0"/>
          <w:szCs w:val="21"/>
        </w:rPr>
      </w:pPr>
      <w:bookmarkStart w:id="51" w:name="OLE_LINK4"/>
      <w:bookmarkStart w:id="52" w:name="OLE_LINK3"/>
      <w:r>
        <w:rPr>
          <w:rFonts w:ascii="Arial" w:cs="Arial"/>
          <w:kern w:val="0"/>
          <w:szCs w:val="21"/>
        </w:rPr>
        <w:t>本基金采用将自上而下的资产配置与自下而上的个券选择相结合、构造被动的通胀跟踪</w:t>
      </w:r>
      <w:r>
        <w:rPr>
          <w:rFonts w:ascii="Arial" w:cs="Arial"/>
          <w:kern w:val="0"/>
          <w:szCs w:val="21"/>
        </w:rPr>
        <w:lastRenderedPageBreak/>
        <w:t>组合与适度的主动投资以获取超额收益相结合的策略。</w:t>
      </w:r>
      <w:bookmarkStart w:id="53" w:name="_Toc272482911"/>
    </w:p>
    <w:p w14:paraId="3F5C49F0" w14:textId="77777777" w:rsidR="00F50C35" w:rsidRDefault="00FB66DA">
      <w:pPr>
        <w:pStyle w:val="11"/>
        <w:numPr>
          <w:ilvl w:val="0"/>
          <w:numId w:val="2"/>
        </w:numPr>
        <w:ind w:firstLineChars="0"/>
        <w:rPr>
          <w:rFonts w:cs="Arial"/>
          <w:kern w:val="0"/>
          <w:sz w:val="21"/>
          <w:szCs w:val="21"/>
        </w:rPr>
      </w:pPr>
      <w:r>
        <w:rPr>
          <w:rFonts w:cs="Arial"/>
          <w:kern w:val="0"/>
          <w:sz w:val="21"/>
          <w:szCs w:val="21"/>
        </w:rPr>
        <w:t>资产配置</w:t>
      </w:r>
      <w:bookmarkEnd w:id="53"/>
      <w:r>
        <w:rPr>
          <w:rFonts w:cs="Arial"/>
          <w:kern w:val="0"/>
          <w:sz w:val="21"/>
          <w:szCs w:val="21"/>
        </w:rPr>
        <w:t>策略</w:t>
      </w:r>
    </w:p>
    <w:p w14:paraId="528D6097" w14:textId="77777777" w:rsidR="00F50C35" w:rsidRDefault="00FB66DA">
      <w:pPr>
        <w:adjustRightInd w:val="0"/>
        <w:snapToGrid w:val="0"/>
        <w:spacing w:line="360" w:lineRule="auto"/>
        <w:ind w:firstLine="420"/>
        <w:rPr>
          <w:rFonts w:ascii="Arial" w:hAnsi="Arial" w:cs="Arial"/>
          <w:kern w:val="0"/>
          <w:szCs w:val="21"/>
        </w:rPr>
      </w:pPr>
      <w:r>
        <w:rPr>
          <w:rFonts w:ascii="Arial" w:cs="Arial"/>
          <w:kern w:val="0"/>
          <w:szCs w:val="21"/>
        </w:rPr>
        <w:t>自上而下的资产配置策略包括战略和战术两个层面。</w:t>
      </w:r>
    </w:p>
    <w:p w14:paraId="14BF69FC" w14:textId="77777777" w:rsidR="00F50C35" w:rsidRDefault="00FB66DA">
      <w:pPr>
        <w:adjustRightInd w:val="0"/>
        <w:snapToGrid w:val="0"/>
        <w:spacing w:line="360" w:lineRule="auto"/>
        <w:ind w:firstLine="420"/>
        <w:rPr>
          <w:rFonts w:ascii="Arial" w:hAnsi="Arial" w:cs="Arial"/>
          <w:szCs w:val="21"/>
        </w:rPr>
      </w:pPr>
      <w:r>
        <w:rPr>
          <w:rFonts w:ascii="Arial" w:hAnsi="Arial" w:cs="Arial" w:hint="eastAsia"/>
          <w:kern w:val="0"/>
          <w:szCs w:val="21"/>
        </w:rPr>
        <w:t>“</w:t>
      </w:r>
      <w:r>
        <w:rPr>
          <w:rFonts w:ascii="Arial" w:cs="Arial"/>
          <w:kern w:val="0"/>
          <w:szCs w:val="21"/>
        </w:rPr>
        <w:t>战略资产配置</w:t>
      </w:r>
      <w:r>
        <w:rPr>
          <w:rFonts w:ascii="Arial" w:hAnsi="Arial" w:cs="Arial" w:hint="eastAsia"/>
          <w:kern w:val="0"/>
          <w:szCs w:val="21"/>
        </w:rPr>
        <w:t>”</w:t>
      </w:r>
      <w:r>
        <w:rPr>
          <w:rFonts w:ascii="Arial" w:cs="Arial"/>
          <w:kern w:val="0"/>
          <w:szCs w:val="21"/>
        </w:rPr>
        <w:t>策略是指本基金在对全球宏观经济周期、各国央行的货币政策、对中国商品的需求、房地产、消费、货币和财政政策等宏观趋势判断的基础上，判断通胀走势，确定对应的大类资产及配置的比例重心。</w:t>
      </w:r>
    </w:p>
    <w:p w14:paraId="0E5195F5"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hint="eastAsia"/>
          <w:kern w:val="0"/>
          <w:szCs w:val="21"/>
        </w:rPr>
        <w:t>“</w:t>
      </w:r>
      <w:r>
        <w:rPr>
          <w:rFonts w:ascii="Arial" w:cs="Arial"/>
          <w:kern w:val="0"/>
          <w:szCs w:val="21"/>
        </w:rPr>
        <w:t>战术资产配置</w:t>
      </w:r>
      <w:r>
        <w:rPr>
          <w:rFonts w:ascii="Arial" w:hAnsi="Arial" w:cs="Arial" w:hint="eastAsia"/>
          <w:kern w:val="0"/>
          <w:szCs w:val="21"/>
        </w:rPr>
        <w:t>”</w:t>
      </w:r>
      <w:r>
        <w:rPr>
          <w:rFonts w:ascii="Arial" w:cs="Arial"/>
          <w:kern w:val="0"/>
          <w:szCs w:val="21"/>
        </w:rPr>
        <w:t>策略是指本基金在战略资产配置的基础上，结合对中短期通胀变化和市场情况等因素的判断，对大类资产的相对比重或仓位在一定范围内灵活地调整，降低投资组合的下行风险，以取得较</w:t>
      </w:r>
      <w:r>
        <w:rPr>
          <w:rFonts w:ascii="Arial" w:cs="Arial" w:hint="eastAsia"/>
          <w:kern w:val="0"/>
          <w:szCs w:val="21"/>
        </w:rPr>
        <w:t>高</w:t>
      </w:r>
      <w:r>
        <w:rPr>
          <w:rFonts w:ascii="Arial" w:cs="Arial"/>
          <w:kern w:val="0"/>
          <w:szCs w:val="21"/>
        </w:rPr>
        <w:t>的超额收益</w:t>
      </w:r>
      <w:r>
        <w:rPr>
          <w:rFonts w:ascii="Arial" w:cs="Arial"/>
          <w:color w:val="000000"/>
          <w:kern w:val="0"/>
          <w:szCs w:val="21"/>
        </w:rPr>
        <w:t>。</w:t>
      </w:r>
    </w:p>
    <w:p w14:paraId="6AF28E53" w14:textId="77777777" w:rsidR="00F50C35" w:rsidRDefault="00FB66DA">
      <w:pPr>
        <w:adjustRightInd w:val="0"/>
        <w:snapToGrid w:val="0"/>
        <w:spacing w:line="360" w:lineRule="auto"/>
        <w:ind w:firstLine="420"/>
        <w:rPr>
          <w:rFonts w:ascii="Arial" w:hAnsi="Arial" w:cs="Arial"/>
          <w:color w:val="000000"/>
          <w:kern w:val="0"/>
          <w:szCs w:val="21"/>
        </w:rPr>
      </w:pPr>
      <w:bookmarkStart w:id="54" w:name="_Toc272482912"/>
      <w:r>
        <w:rPr>
          <w:rFonts w:ascii="Arial" w:hAnsi="Arial" w:cs="Arial"/>
          <w:color w:val="000000"/>
          <w:kern w:val="0"/>
          <w:szCs w:val="21"/>
        </w:rPr>
        <w:t>2</w:t>
      </w:r>
      <w:r>
        <w:rPr>
          <w:rFonts w:ascii="Arial" w:cs="Arial"/>
          <w:color w:val="000000"/>
          <w:kern w:val="0"/>
          <w:szCs w:val="21"/>
        </w:rPr>
        <w:t>、各子类资产的投资策略</w:t>
      </w:r>
      <w:bookmarkEnd w:id="54"/>
    </w:p>
    <w:p w14:paraId="764AFA70" w14:textId="77777777" w:rsidR="00F50C35" w:rsidRDefault="00FB66DA">
      <w:pPr>
        <w:adjustRightInd w:val="0"/>
        <w:snapToGrid w:val="0"/>
        <w:spacing w:line="360" w:lineRule="auto"/>
        <w:ind w:firstLine="420"/>
        <w:rPr>
          <w:rFonts w:ascii="Arial" w:hAnsi="Arial" w:cs="Arial"/>
          <w:szCs w:val="21"/>
        </w:rPr>
      </w:pPr>
      <w:r>
        <w:rPr>
          <w:rFonts w:ascii="Arial" w:cs="Arial"/>
          <w:szCs w:val="21"/>
        </w:rPr>
        <w:t>（</w:t>
      </w:r>
      <w:r>
        <w:rPr>
          <w:rFonts w:ascii="Arial" w:hAnsi="Arial" w:cs="Arial"/>
          <w:szCs w:val="21"/>
        </w:rPr>
        <w:t>1</w:t>
      </w:r>
      <w:r>
        <w:rPr>
          <w:rFonts w:ascii="Arial" w:cs="Arial"/>
          <w:szCs w:val="21"/>
        </w:rPr>
        <w:t>）通胀</w:t>
      </w:r>
      <w:r>
        <w:rPr>
          <w:rFonts w:ascii="Arial" w:cs="Arial" w:hint="eastAsia"/>
          <w:szCs w:val="21"/>
        </w:rPr>
        <w:t>保护</w:t>
      </w:r>
      <w:r>
        <w:rPr>
          <w:rFonts w:ascii="Arial" w:cs="Arial"/>
          <w:szCs w:val="21"/>
        </w:rPr>
        <w:t>债券投资策略</w:t>
      </w:r>
    </w:p>
    <w:p w14:paraId="3576974B" w14:textId="77777777" w:rsidR="00F50C35" w:rsidRDefault="00FB66DA">
      <w:pPr>
        <w:adjustRightInd w:val="0"/>
        <w:snapToGrid w:val="0"/>
        <w:spacing w:line="360" w:lineRule="auto"/>
        <w:ind w:firstLine="420"/>
        <w:rPr>
          <w:rFonts w:ascii="Arial" w:hAnsi="Arial" w:cs="Arial"/>
          <w:szCs w:val="21"/>
        </w:rPr>
      </w:pPr>
      <w:r>
        <w:rPr>
          <w:rFonts w:ascii="Arial" w:cs="Arial"/>
          <w:szCs w:val="21"/>
        </w:rPr>
        <w:t>通胀</w:t>
      </w:r>
      <w:r>
        <w:rPr>
          <w:rFonts w:ascii="Arial" w:cs="Arial" w:hint="eastAsia"/>
          <w:szCs w:val="21"/>
        </w:rPr>
        <w:t>保护</w:t>
      </w:r>
      <w:r>
        <w:rPr>
          <w:rFonts w:ascii="Arial" w:cs="Arial"/>
          <w:szCs w:val="21"/>
        </w:rPr>
        <w:t>债券与量度通胀的</w:t>
      </w:r>
      <w:r>
        <w:rPr>
          <w:rFonts w:ascii="Arial" w:cs="Arial" w:hint="eastAsia"/>
          <w:szCs w:val="21"/>
        </w:rPr>
        <w:t>居民消费</w:t>
      </w:r>
      <w:r>
        <w:rPr>
          <w:rFonts w:ascii="Arial" w:cs="Arial"/>
          <w:szCs w:val="21"/>
        </w:rPr>
        <w:t>指数（</w:t>
      </w:r>
      <w:r>
        <w:rPr>
          <w:rFonts w:ascii="Arial" w:hAnsi="Arial" w:cs="Arial"/>
          <w:szCs w:val="21"/>
        </w:rPr>
        <w:t>CPI</w:t>
      </w:r>
      <w:r>
        <w:rPr>
          <w:rFonts w:ascii="Arial" w:cs="Arial"/>
          <w:szCs w:val="21"/>
        </w:rPr>
        <w:t>）挂钩，意即当</w:t>
      </w:r>
      <w:r>
        <w:rPr>
          <w:rFonts w:ascii="Arial" w:hAnsi="Arial" w:cs="Arial"/>
          <w:szCs w:val="21"/>
        </w:rPr>
        <w:t>CPI</w:t>
      </w:r>
      <w:r>
        <w:rPr>
          <w:rFonts w:ascii="Arial" w:cs="Arial"/>
          <w:szCs w:val="21"/>
        </w:rPr>
        <w:t>上升时，其本金及派息会随通胀变动，在一定程度上可防止投资者的购买力被通胀蚕食。</w:t>
      </w:r>
    </w:p>
    <w:p w14:paraId="2196F4C9" w14:textId="77777777" w:rsidR="00F50C35" w:rsidRDefault="00FB66DA">
      <w:pPr>
        <w:adjustRightInd w:val="0"/>
        <w:snapToGrid w:val="0"/>
        <w:spacing w:line="360" w:lineRule="auto"/>
        <w:ind w:firstLine="420"/>
        <w:rPr>
          <w:rFonts w:ascii="Arial" w:hAnsi="Arial" w:cs="Arial"/>
          <w:szCs w:val="21"/>
        </w:rPr>
      </w:pPr>
      <w:r>
        <w:rPr>
          <w:rFonts w:ascii="Arial" w:cs="Arial"/>
          <w:szCs w:val="21"/>
        </w:rPr>
        <w:t>（</w:t>
      </w:r>
      <w:r>
        <w:rPr>
          <w:rFonts w:ascii="Arial" w:hAnsi="Arial" w:cs="Arial"/>
          <w:szCs w:val="21"/>
        </w:rPr>
        <w:t>2</w:t>
      </w:r>
      <w:r>
        <w:rPr>
          <w:rFonts w:ascii="Arial" w:cs="Arial"/>
          <w:szCs w:val="21"/>
        </w:rPr>
        <w:t>）基金投资策略</w:t>
      </w:r>
    </w:p>
    <w:p w14:paraId="37398302" w14:textId="77777777" w:rsidR="00F50C35" w:rsidRDefault="00FB66DA">
      <w:pPr>
        <w:adjustRightInd w:val="0"/>
        <w:snapToGrid w:val="0"/>
        <w:spacing w:line="360" w:lineRule="auto"/>
        <w:ind w:firstLine="420"/>
        <w:rPr>
          <w:rFonts w:ascii="Arial" w:cs="Arial"/>
          <w:szCs w:val="21"/>
        </w:rPr>
      </w:pPr>
      <w:r>
        <w:rPr>
          <w:rFonts w:ascii="Arial" w:cs="Arial" w:hint="eastAsia"/>
          <w:szCs w:val="21"/>
        </w:rPr>
        <w:t>本基金主要投资于与通货膨胀关系密切的各类资产，主要包括两大类：</w:t>
      </w:r>
      <w:r>
        <w:rPr>
          <w:rFonts w:ascii="Arial" w:cs="Arial" w:hint="eastAsia"/>
          <w:szCs w:val="21"/>
        </w:rPr>
        <w:t>1</w:t>
      </w:r>
      <w:r>
        <w:rPr>
          <w:rFonts w:ascii="Arial" w:cs="Arial" w:hint="eastAsia"/>
          <w:szCs w:val="21"/>
        </w:rPr>
        <w:t>）大宗商品类，包括贵金属、能源类、农产品和工业金属类等大宗商品相关基金和</w:t>
      </w:r>
      <w:r>
        <w:rPr>
          <w:rFonts w:ascii="Arial" w:cs="Arial" w:hint="eastAsia"/>
          <w:szCs w:val="21"/>
        </w:rPr>
        <w:t>ETF</w:t>
      </w:r>
      <w:r>
        <w:rPr>
          <w:rFonts w:ascii="Arial" w:cs="Arial" w:hint="eastAsia"/>
          <w:szCs w:val="21"/>
        </w:rPr>
        <w:t>；</w:t>
      </w:r>
      <w:r>
        <w:rPr>
          <w:rFonts w:ascii="Arial" w:cs="Arial" w:hint="eastAsia"/>
          <w:szCs w:val="21"/>
        </w:rPr>
        <w:t>2</w:t>
      </w:r>
      <w:r>
        <w:rPr>
          <w:rFonts w:ascii="Arial" w:cs="Arial" w:hint="eastAsia"/>
          <w:szCs w:val="21"/>
        </w:rPr>
        <w:t>）通胀保护债券类基金和</w:t>
      </w:r>
      <w:r>
        <w:rPr>
          <w:rFonts w:ascii="Arial" w:cs="Arial" w:hint="eastAsia"/>
          <w:szCs w:val="21"/>
        </w:rPr>
        <w:t>ETF</w:t>
      </w:r>
      <w:r>
        <w:rPr>
          <w:rFonts w:ascii="Arial" w:cs="Arial" w:hint="eastAsia"/>
          <w:szCs w:val="21"/>
        </w:rPr>
        <w:t>。</w:t>
      </w:r>
    </w:p>
    <w:p w14:paraId="3463C236" w14:textId="77777777" w:rsidR="00F50C35" w:rsidRDefault="00FB66DA">
      <w:pPr>
        <w:numPr>
          <w:ilvl w:val="0"/>
          <w:numId w:val="3"/>
        </w:numPr>
        <w:adjustRightInd w:val="0"/>
        <w:snapToGrid w:val="0"/>
        <w:spacing w:line="360" w:lineRule="auto"/>
        <w:rPr>
          <w:rFonts w:ascii="Arial" w:hAnsi="Arial" w:cs="Arial"/>
          <w:szCs w:val="21"/>
        </w:rPr>
      </w:pPr>
      <w:r>
        <w:rPr>
          <w:rFonts w:ascii="Arial" w:cs="Arial" w:hint="eastAsia"/>
          <w:szCs w:val="21"/>
        </w:rPr>
        <w:t>通胀保护</w:t>
      </w:r>
      <w:r>
        <w:rPr>
          <w:rFonts w:ascii="Arial" w:cs="Arial"/>
          <w:szCs w:val="21"/>
        </w:rPr>
        <w:t>组合投资策略</w:t>
      </w:r>
    </w:p>
    <w:p w14:paraId="721E6D54" w14:textId="77777777" w:rsidR="00F50C35" w:rsidRDefault="00FB66DA">
      <w:pPr>
        <w:adjustRightInd w:val="0"/>
        <w:snapToGrid w:val="0"/>
        <w:spacing w:line="360" w:lineRule="auto"/>
        <w:ind w:firstLine="420"/>
        <w:rPr>
          <w:rFonts w:ascii="Arial" w:hAnsi="Arial" w:cs="Arial"/>
          <w:szCs w:val="21"/>
        </w:rPr>
      </w:pPr>
      <w:r>
        <w:rPr>
          <w:rFonts w:cs="Arial" w:hint="eastAsia"/>
          <w:szCs w:val="21"/>
        </w:rPr>
        <w:t>本基金在分析中国通胀动因的基础上，结合统计模型选择与中国通货膨胀关系密切的国际大宗商品品种，然后根据相关性、流动性和交易成本等因素，选择对应的境外基金或</w:t>
      </w:r>
      <w:r>
        <w:rPr>
          <w:rFonts w:cs="Arial" w:hint="eastAsia"/>
          <w:szCs w:val="21"/>
        </w:rPr>
        <w:t>ETF</w:t>
      </w:r>
      <w:r>
        <w:rPr>
          <w:rFonts w:cs="Arial" w:hint="eastAsia"/>
          <w:szCs w:val="21"/>
        </w:rPr>
        <w:t>，通过投资组合优化构建与中国通胀相关性较高的通胀跟踪投资组合。</w:t>
      </w:r>
    </w:p>
    <w:p w14:paraId="145515F2" w14:textId="77777777" w:rsidR="00F50C35" w:rsidRDefault="00FB66DA">
      <w:pPr>
        <w:adjustRightInd w:val="0"/>
        <w:snapToGrid w:val="0"/>
        <w:spacing w:line="360" w:lineRule="auto"/>
        <w:ind w:firstLine="420"/>
        <w:rPr>
          <w:rFonts w:ascii="Arial" w:hAnsi="Arial" w:cs="Arial"/>
          <w:szCs w:val="21"/>
        </w:rPr>
      </w:pPr>
      <w:r>
        <w:rPr>
          <w:rFonts w:ascii="Arial" w:hAnsi="Arial" w:cs="Arial"/>
          <w:szCs w:val="21"/>
        </w:rPr>
        <w:t>2</w:t>
      </w:r>
      <w:r>
        <w:rPr>
          <w:rFonts w:ascii="Arial" w:cs="Arial"/>
          <w:szCs w:val="21"/>
        </w:rPr>
        <w:t>）主动趋势投资</w:t>
      </w:r>
    </w:p>
    <w:p w14:paraId="1F37A415" w14:textId="77777777" w:rsidR="00F50C35" w:rsidRDefault="00FB66DA">
      <w:pPr>
        <w:adjustRightInd w:val="0"/>
        <w:snapToGrid w:val="0"/>
        <w:spacing w:line="360" w:lineRule="auto"/>
        <w:ind w:firstLine="420"/>
        <w:rPr>
          <w:rFonts w:ascii="Arial" w:hAnsi="Arial" w:cs="Arial"/>
          <w:szCs w:val="21"/>
        </w:rPr>
      </w:pPr>
      <w:r>
        <w:rPr>
          <w:rFonts w:ascii="Arial" w:cs="Arial"/>
          <w:szCs w:val="21"/>
        </w:rPr>
        <w:t>本基金以全球大宗商品相关</w:t>
      </w:r>
      <w:r>
        <w:rPr>
          <w:rFonts w:ascii="Arial" w:hAnsi="Arial" w:cs="Arial"/>
          <w:szCs w:val="21"/>
        </w:rPr>
        <w:t>ETF</w:t>
      </w:r>
      <w:r>
        <w:rPr>
          <w:rFonts w:ascii="Arial" w:cs="Arial"/>
          <w:szCs w:val="21"/>
        </w:rPr>
        <w:t>趋势投资策略作为收益来源的重要部分，通过多策略分散风险，从全球商品价格的变化趋势中获利。</w:t>
      </w:r>
    </w:p>
    <w:p w14:paraId="349E71D3" w14:textId="77777777" w:rsidR="00F50C35" w:rsidRDefault="00FB66DA">
      <w:pPr>
        <w:adjustRightInd w:val="0"/>
        <w:snapToGrid w:val="0"/>
        <w:spacing w:line="360" w:lineRule="auto"/>
        <w:ind w:firstLine="420"/>
        <w:rPr>
          <w:rFonts w:ascii="Arial" w:hAnsi="Arial" w:cs="Arial"/>
          <w:szCs w:val="21"/>
        </w:rPr>
      </w:pPr>
      <w:r>
        <w:rPr>
          <w:rFonts w:ascii="Arial" w:cs="Arial"/>
          <w:szCs w:val="21"/>
        </w:rPr>
        <w:t>（</w:t>
      </w:r>
      <w:r>
        <w:rPr>
          <w:rFonts w:ascii="Arial" w:hAnsi="Arial" w:cs="Arial"/>
          <w:szCs w:val="21"/>
        </w:rPr>
        <w:t>3</w:t>
      </w:r>
      <w:r>
        <w:rPr>
          <w:rFonts w:ascii="Arial" w:cs="Arial"/>
          <w:szCs w:val="21"/>
        </w:rPr>
        <w:t>）权益类资产投资策略</w:t>
      </w:r>
    </w:p>
    <w:p w14:paraId="3D818E55" w14:textId="77777777" w:rsidR="00F50C35" w:rsidRDefault="00FB66DA">
      <w:pPr>
        <w:adjustRightInd w:val="0"/>
        <w:snapToGrid w:val="0"/>
        <w:spacing w:line="360" w:lineRule="auto"/>
        <w:ind w:firstLine="420"/>
        <w:rPr>
          <w:rFonts w:ascii="Arial" w:hAnsi="Arial" w:cs="Arial"/>
          <w:szCs w:val="21"/>
        </w:rPr>
      </w:pPr>
      <w:r>
        <w:rPr>
          <w:rFonts w:ascii="Arial" w:cs="Arial"/>
          <w:szCs w:val="21"/>
        </w:rPr>
        <w:t>本基金权益类</w:t>
      </w:r>
      <w:r>
        <w:rPr>
          <w:rFonts w:ascii="Arial" w:cs="Arial" w:hint="eastAsia"/>
          <w:szCs w:val="21"/>
        </w:rPr>
        <w:t>资产</w:t>
      </w:r>
      <w:r>
        <w:rPr>
          <w:rFonts w:ascii="Arial" w:cs="Arial"/>
          <w:szCs w:val="21"/>
        </w:rPr>
        <w:t>投资集中在成长性较好的新兴市场和通胀相关行业或个股上。通过投资于这两类</w:t>
      </w:r>
      <w:r>
        <w:rPr>
          <w:rFonts w:ascii="Arial" w:cs="Arial" w:hint="eastAsia"/>
          <w:szCs w:val="21"/>
        </w:rPr>
        <w:t>资产</w:t>
      </w:r>
      <w:r>
        <w:rPr>
          <w:rFonts w:ascii="Arial" w:cs="Arial"/>
          <w:szCs w:val="21"/>
        </w:rPr>
        <w:t>，本基金争取同时能达到防通胀和</w:t>
      </w:r>
      <w:r>
        <w:rPr>
          <w:rFonts w:ascii="Arial" w:cs="Arial" w:hint="eastAsia"/>
          <w:szCs w:val="21"/>
        </w:rPr>
        <w:t>分享</w:t>
      </w:r>
      <w:r>
        <w:rPr>
          <w:rFonts w:ascii="Arial" w:cs="Arial"/>
          <w:szCs w:val="21"/>
        </w:rPr>
        <w:t>新兴市场国家高速增长</w:t>
      </w:r>
      <w:r>
        <w:rPr>
          <w:rFonts w:ascii="Arial" w:cs="Arial" w:hint="eastAsia"/>
          <w:szCs w:val="21"/>
        </w:rPr>
        <w:t>收益的</w:t>
      </w:r>
      <w:r>
        <w:rPr>
          <w:rFonts w:ascii="Arial" w:cs="Arial"/>
          <w:szCs w:val="21"/>
        </w:rPr>
        <w:t>目的。</w:t>
      </w:r>
    </w:p>
    <w:p w14:paraId="2E3E3530" w14:textId="77777777" w:rsidR="00F50C35" w:rsidRDefault="00FB66DA">
      <w:pPr>
        <w:adjustRightInd w:val="0"/>
        <w:snapToGrid w:val="0"/>
        <w:spacing w:line="360" w:lineRule="auto"/>
        <w:ind w:firstLineChars="200" w:firstLine="420"/>
        <w:rPr>
          <w:rFonts w:ascii="Arial" w:hAnsi="Arial" w:cs="Arial"/>
          <w:szCs w:val="21"/>
        </w:rPr>
      </w:pPr>
      <w:r>
        <w:rPr>
          <w:rFonts w:ascii="Arial" w:cs="Arial"/>
          <w:szCs w:val="21"/>
        </w:rPr>
        <w:t>（</w:t>
      </w:r>
      <w:r>
        <w:rPr>
          <w:rFonts w:ascii="Arial" w:hAnsi="Arial" w:cs="Arial"/>
          <w:szCs w:val="21"/>
        </w:rPr>
        <w:t>4</w:t>
      </w:r>
      <w:r>
        <w:rPr>
          <w:rFonts w:ascii="Arial" w:cs="Arial"/>
          <w:szCs w:val="21"/>
        </w:rPr>
        <w:t>）衍生品投资策略</w:t>
      </w:r>
    </w:p>
    <w:p w14:paraId="238B31E7" w14:textId="77777777" w:rsidR="00F50C35" w:rsidRDefault="00FB66DA">
      <w:pPr>
        <w:adjustRightInd w:val="0"/>
        <w:snapToGrid w:val="0"/>
        <w:spacing w:line="360" w:lineRule="auto"/>
        <w:ind w:firstLine="420"/>
        <w:rPr>
          <w:rFonts w:ascii="Arial" w:hAnsi="Arial" w:cs="Arial"/>
          <w:szCs w:val="21"/>
        </w:rPr>
      </w:pPr>
      <w:r>
        <w:rPr>
          <w:rFonts w:ascii="Arial" w:cs="Arial"/>
          <w:szCs w:val="21"/>
        </w:rPr>
        <w:t>本基金将根据对股票市场、债券市场的整体趋势及人民币</w:t>
      </w:r>
      <w:r>
        <w:rPr>
          <w:rFonts w:ascii="Arial" w:cs="Arial" w:hint="eastAsia"/>
          <w:szCs w:val="21"/>
        </w:rPr>
        <w:t>币</w:t>
      </w:r>
      <w:r>
        <w:rPr>
          <w:rFonts w:ascii="Arial" w:cs="Arial"/>
          <w:szCs w:val="21"/>
        </w:rPr>
        <w:t>值</w:t>
      </w:r>
      <w:r>
        <w:rPr>
          <w:rFonts w:ascii="Arial" w:cs="Arial" w:hint="eastAsia"/>
          <w:szCs w:val="21"/>
        </w:rPr>
        <w:t>变化</w:t>
      </w:r>
      <w:r>
        <w:rPr>
          <w:rFonts w:ascii="Arial" w:cs="Arial"/>
          <w:szCs w:val="21"/>
        </w:rPr>
        <w:t>趋势的研判，选择适当的时机使用衍生工具进行仓位管理和避险。</w:t>
      </w:r>
    </w:p>
    <w:p w14:paraId="2E063EFD" w14:textId="77777777" w:rsidR="00F50C35" w:rsidRDefault="00FB66DA">
      <w:pPr>
        <w:adjustRightInd w:val="0"/>
        <w:snapToGrid w:val="0"/>
        <w:spacing w:line="360" w:lineRule="auto"/>
        <w:ind w:firstLine="420"/>
        <w:rPr>
          <w:rFonts w:ascii="Arial" w:hAnsi="Arial" w:cs="Arial"/>
          <w:szCs w:val="21"/>
        </w:rPr>
      </w:pPr>
      <w:r>
        <w:rPr>
          <w:rFonts w:ascii="Arial" w:hAnsi="Arial" w:cs="Arial"/>
          <w:szCs w:val="21"/>
        </w:rPr>
        <w:t>3</w:t>
      </w:r>
      <w:r>
        <w:rPr>
          <w:rFonts w:ascii="Arial" w:cs="Arial"/>
          <w:szCs w:val="21"/>
        </w:rPr>
        <w:t>、外汇管理</w:t>
      </w:r>
    </w:p>
    <w:p w14:paraId="40AB421B" w14:textId="77777777" w:rsidR="00F50C35" w:rsidRDefault="00FB66DA">
      <w:pPr>
        <w:adjustRightInd w:val="0"/>
        <w:snapToGrid w:val="0"/>
        <w:spacing w:line="360" w:lineRule="auto"/>
        <w:ind w:firstLine="420"/>
        <w:rPr>
          <w:rFonts w:ascii="Arial" w:hAnsi="Arial" w:cs="Arial"/>
          <w:szCs w:val="21"/>
        </w:rPr>
      </w:pPr>
      <w:r>
        <w:rPr>
          <w:rFonts w:ascii="Arial" w:cs="Arial"/>
          <w:szCs w:val="21"/>
        </w:rPr>
        <w:t>本基金将通过积极的外汇管理减少人民币升值对投资收益的侵蚀。管理人将根据对汇率前景的预测以及应对申购赎回的需要，将货币资产在港币、美元、日元、澳元、欧元、英镑、加元</w:t>
      </w:r>
      <w:r>
        <w:rPr>
          <w:rFonts w:ascii="Arial" w:cs="Arial" w:hint="eastAsia"/>
          <w:szCs w:val="21"/>
        </w:rPr>
        <w:t>和</w:t>
      </w:r>
      <w:r>
        <w:rPr>
          <w:rFonts w:ascii="Arial" w:cs="Arial"/>
          <w:szCs w:val="21"/>
        </w:rPr>
        <w:t>人民币等币种之间进行配置。</w:t>
      </w:r>
    </w:p>
    <w:bookmarkEnd w:id="51"/>
    <w:bookmarkEnd w:id="52"/>
    <w:p w14:paraId="0513E99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（五）业绩比较基准</w:t>
      </w:r>
    </w:p>
    <w:p w14:paraId="67F603C6" w14:textId="77777777" w:rsidR="00F50C35" w:rsidRDefault="00FB66DA">
      <w:pPr>
        <w:snapToGrid w:val="0"/>
        <w:spacing w:line="360" w:lineRule="auto"/>
        <w:ind w:firstLine="420"/>
        <w:rPr>
          <w:rFonts w:ascii="Arial" w:hAnsi="Arial" w:cs="Arial"/>
        </w:rPr>
      </w:pPr>
      <w:r>
        <w:rPr>
          <w:rFonts w:ascii="宋体" w:hAnsi="宋体" w:hint="eastAsia"/>
        </w:rPr>
        <w:t>本基金业绩比较基准为：标普高盛贵金属类总收益指数（</w:t>
      </w:r>
      <w:r>
        <w:rPr>
          <w:rFonts w:ascii="Arial" w:hAnsi="Arial" w:cs="Arial"/>
        </w:rPr>
        <w:t>S&amp;P GSCI Precious Metal Total Return Index</w:t>
      </w:r>
      <w:r>
        <w:rPr>
          <w:rFonts w:ascii="宋体" w:hAnsi="宋体" w:hint="eastAsia"/>
        </w:rPr>
        <w:t>）收益率×</w:t>
      </w:r>
      <w:r>
        <w:rPr>
          <w:rFonts w:ascii="Arial" w:hAnsi="Arial" w:cs="Arial"/>
        </w:rPr>
        <w:t>20%+</w:t>
      </w:r>
      <w:r>
        <w:rPr>
          <w:rFonts w:ascii="宋体" w:hAnsi="宋体" w:hint="eastAsia"/>
        </w:rPr>
        <w:t>标普高盛农产品总收益指数（</w:t>
      </w:r>
      <w:r>
        <w:rPr>
          <w:rFonts w:ascii="Arial" w:hAnsi="Arial" w:cs="Arial"/>
        </w:rPr>
        <w:t>S&amp;P GSCI Agricultural Total Return Index</w:t>
      </w:r>
      <w:r>
        <w:rPr>
          <w:rFonts w:ascii="宋体" w:hAnsi="宋体" w:hint="eastAsia"/>
        </w:rPr>
        <w:t>）收益率×</w:t>
      </w:r>
      <w:r>
        <w:rPr>
          <w:rFonts w:ascii="Arial" w:hAnsi="Arial" w:cs="Arial"/>
        </w:rPr>
        <w:t>30%+</w:t>
      </w:r>
      <w:r>
        <w:rPr>
          <w:rFonts w:ascii="宋体" w:hAnsi="宋体" w:hint="eastAsia"/>
        </w:rPr>
        <w:t>标普高盛能源类总收益指数（</w:t>
      </w:r>
      <w:r>
        <w:rPr>
          <w:rFonts w:ascii="Arial" w:hAnsi="Arial" w:cs="Arial"/>
        </w:rPr>
        <w:t>S&amp;P GSCI Energy Total Return Index</w:t>
      </w:r>
      <w:r>
        <w:rPr>
          <w:rFonts w:ascii="宋体" w:hAnsi="宋体" w:hint="eastAsia"/>
        </w:rPr>
        <w:t>）收益率×</w:t>
      </w:r>
      <w:r>
        <w:rPr>
          <w:rFonts w:ascii="Arial" w:hAnsi="Arial" w:cs="Arial"/>
        </w:rPr>
        <w:t>20%+</w:t>
      </w:r>
      <w:r>
        <w:rPr>
          <w:rFonts w:ascii="宋体" w:hAnsi="宋体" w:hint="eastAsia"/>
        </w:rPr>
        <w:t>巴克莱美国通胀保护债券指数（</w:t>
      </w:r>
      <w:r>
        <w:rPr>
          <w:rFonts w:ascii="Arial" w:hAnsi="Arial" w:cs="Arial"/>
        </w:rPr>
        <w:t xml:space="preserve">Barclays Capital U.S. Treasury Inflation Protected Securities </w:t>
      </w:r>
      <w:r>
        <w:rPr>
          <w:rFonts w:ascii="宋体" w:hAnsi="宋体" w:hint="eastAsia"/>
        </w:rPr>
        <w:t>（</w:t>
      </w:r>
      <w:r>
        <w:rPr>
          <w:rFonts w:ascii="Arial" w:hAnsi="Arial" w:cs="Arial"/>
        </w:rPr>
        <w:t>TIPS</w:t>
      </w:r>
      <w:r>
        <w:rPr>
          <w:rFonts w:ascii="宋体" w:hAnsi="宋体" w:hint="eastAsia"/>
        </w:rPr>
        <w:t>）</w:t>
      </w:r>
      <w:r>
        <w:rPr>
          <w:rFonts w:ascii="Arial" w:hAnsi="Arial" w:cs="Arial"/>
        </w:rPr>
        <w:t xml:space="preserve"> Index </w:t>
      </w:r>
      <w:r>
        <w:rPr>
          <w:rFonts w:ascii="宋体" w:hAnsi="宋体" w:hint="eastAsia"/>
        </w:rPr>
        <w:t>（</w:t>
      </w:r>
      <w:r>
        <w:rPr>
          <w:rFonts w:ascii="Arial" w:hAnsi="Arial" w:cs="Arial"/>
        </w:rPr>
        <w:t>Series-L</w:t>
      </w:r>
      <w:r>
        <w:rPr>
          <w:rFonts w:ascii="宋体" w:hAnsi="宋体" w:hint="eastAsia"/>
        </w:rPr>
        <w:t>））收益率×</w:t>
      </w:r>
      <w:r>
        <w:rPr>
          <w:rFonts w:ascii="Arial" w:hAnsi="Arial" w:cs="Arial"/>
        </w:rPr>
        <w:t>30%</w:t>
      </w:r>
      <w:r>
        <w:rPr>
          <w:rFonts w:ascii="宋体" w:hAnsi="宋体" w:hint="eastAsia"/>
        </w:rPr>
        <w:t>，简称“通胀综合跟踪指标”。其中，前三个指数是标准•普尔公司编制发布的标准大宗商品分类指数，巴克莱美国通胀保护债券指数是境外共同基金最常用的抗通胀债券指数。</w:t>
      </w:r>
    </w:p>
    <w:p w14:paraId="63FBB7AB" w14:textId="77777777" w:rsidR="00F50C35" w:rsidRDefault="00FB66DA">
      <w:pPr>
        <w:snapToGrid w:val="0"/>
        <w:spacing w:line="360" w:lineRule="auto"/>
        <w:ind w:firstLine="420"/>
        <w:rPr>
          <w:rFonts w:ascii="Arial" w:hAnsi="Arial" w:cs="Arial"/>
        </w:rPr>
      </w:pPr>
      <w:r>
        <w:rPr>
          <w:rFonts w:ascii="宋体" w:hAnsi="宋体" w:hint="eastAsia"/>
        </w:rPr>
        <w:t>标普高盛商品分类指数由高盛公司于</w:t>
      </w:r>
      <w:r>
        <w:rPr>
          <w:rFonts w:ascii="Arial" w:hAnsi="Arial" w:cs="Arial"/>
        </w:rPr>
        <w:t>1991</w:t>
      </w:r>
      <w:r>
        <w:rPr>
          <w:rFonts w:ascii="宋体" w:hAnsi="宋体" w:hint="eastAsia"/>
        </w:rPr>
        <w:t>年编制发布，</w:t>
      </w:r>
      <w:r>
        <w:rPr>
          <w:rFonts w:ascii="Arial" w:hAnsi="Arial" w:cs="Arial"/>
        </w:rPr>
        <w:t>2007</w:t>
      </w:r>
      <w:r>
        <w:rPr>
          <w:rFonts w:ascii="宋体" w:hAnsi="宋体" w:hint="eastAsia"/>
        </w:rPr>
        <w:t>年</w:t>
      </w:r>
      <w:r>
        <w:rPr>
          <w:rFonts w:ascii="Arial" w:hAnsi="Arial" w:cs="Arial"/>
        </w:rPr>
        <w:t>2</w:t>
      </w:r>
      <w:r>
        <w:rPr>
          <w:rFonts w:ascii="宋体" w:hAnsi="宋体" w:hint="eastAsia"/>
        </w:rPr>
        <w:t>月由标准•普尔公司收购。目前该指数系列是国际市场上跟踪资产量最大的商品指数，具有较高的知名度和市场影响力。巴克莱美国通胀保护债券指数由巴克莱资本于</w:t>
      </w:r>
      <w:r>
        <w:rPr>
          <w:rFonts w:ascii="Arial" w:hAnsi="Arial" w:cs="Arial"/>
        </w:rPr>
        <w:t>1997</w:t>
      </w:r>
      <w:r>
        <w:rPr>
          <w:rFonts w:ascii="宋体" w:hAnsi="宋体" w:hint="eastAsia"/>
        </w:rPr>
        <w:t>年与美国通胀保护债券首次发行同年推出的债券指数，是国际市场上最常用和跟踪资产量最大的通胀保护债券指数。本基金选择的标普高盛商品分类指数和巴克莱美国通胀保护债券指数覆盖了国际市场上最主要的两类实际收益资产类别。其中，本基金所选择的贵金属、农产品和能源类三个分类指数覆盖了标普高盛大宗商品总指数中</w:t>
      </w:r>
      <w:r>
        <w:rPr>
          <w:rFonts w:ascii="Arial" w:hAnsi="Arial" w:cs="Arial"/>
        </w:rPr>
        <w:t>87.1%</w:t>
      </w:r>
      <w:r>
        <w:rPr>
          <w:rFonts w:ascii="宋体" w:hAnsi="宋体" w:hint="eastAsia"/>
        </w:rPr>
        <w:t>的资产，包含了</w:t>
      </w:r>
      <w:r>
        <w:rPr>
          <w:rFonts w:ascii="Arial" w:hAnsi="Arial" w:cs="Arial"/>
        </w:rPr>
        <w:t>16</w:t>
      </w:r>
      <w:r>
        <w:rPr>
          <w:rFonts w:ascii="宋体" w:hAnsi="宋体" w:hint="eastAsia"/>
        </w:rPr>
        <w:t>个品种，权重选择上更符合国内</w:t>
      </w:r>
      <w:r>
        <w:rPr>
          <w:rFonts w:ascii="Arial" w:hAnsi="Arial" w:cs="Arial"/>
        </w:rPr>
        <w:t>CPI</w:t>
      </w:r>
      <w:r>
        <w:rPr>
          <w:rFonts w:ascii="宋体" w:hAnsi="宋体" w:hint="eastAsia"/>
        </w:rPr>
        <w:t>的构成。本基金业绩比较基准选取的指数及其权重与本基金的投资范围和资产配置具有较好的一致性。</w:t>
      </w:r>
    </w:p>
    <w:p w14:paraId="4AC1F4CF" w14:textId="77777777" w:rsidR="00F50C35" w:rsidRDefault="00FB66DA">
      <w:pPr>
        <w:adjustRightInd w:val="0"/>
        <w:snapToGrid w:val="0"/>
        <w:spacing w:line="360" w:lineRule="auto"/>
        <w:ind w:firstLine="360"/>
        <w:rPr>
          <w:rFonts w:ascii="Arial" w:hAnsi="Arial" w:cs="Arial"/>
          <w:szCs w:val="21"/>
        </w:rPr>
      </w:pPr>
      <w:r>
        <w:rPr>
          <w:rFonts w:ascii="Arial" w:hAnsi="宋体" w:cs="Arial"/>
          <w:szCs w:val="21"/>
        </w:rPr>
        <w:t>如法律法规发生变化，或基金变更投资范围，或市场中出现其他更具有代表性的、更适合用于本基金的、投资者认同度更高的业绩比较基准，或原指数供应商变更或停止原指数的编制及发布，在报中国证监会备案后变更业绩比较基准并及时公告。</w:t>
      </w:r>
    </w:p>
    <w:p w14:paraId="0DD9934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（六）风险收益特征</w:t>
      </w:r>
    </w:p>
    <w:p w14:paraId="6EF4AC3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rPr>
        <w:t>本基金为基金中基金，主要投资范围为抗通胀相关主题的资产。本基金所指的抗通胀相关主题的资产包括抗通胀主题相关的基金和其他资产。抗通胀相关主题的其他资产主要指通胀挂钩债券和通胀相关的权益类资产等。本基金的收益和风险低于股票型基金，高于债券型基金和货币市场基金，属于中高风险</w:t>
      </w:r>
      <w:r>
        <w:rPr>
          <w:rFonts w:ascii="Arial" w:hAnsi="宋体" w:cs="Arial"/>
        </w:rPr>
        <w:t>/</w:t>
      </w:r>
      <w:r>
        <w:rPr>
          <w:rFonts w:ascii="Arial" w:hAnsi="宋体" w:cs="Arial" w:hint="eastAsia"/>
        </w:rPr>
        <w:t>收益特征的开放式基金。</w:t>
      </w:r>
    </w:p>
    <w:p w14:paraId="3B80940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（七）投资决策</w:t>
      </w:r>
    </w:p>
    <w:p w14:paraId="4EBA96F2" w14:textId="77777777" w:rsidR="00F50C35" w:rsidRDefault="00FB66DA">
      <w:pPr>
        <w:adjustRightInd w:val="0"/>
        <w:snapToGrid w:val="0"/>
        <w:spacing w:line="360" w:lineRule="auto"/>
        <w:ind w:firstLine="420"/>
        <w:rPr>
          <w:rFonts w:ascii="Arial" w:hAnsi="Arial" w:cs="Arial"/>
          <w:szCs w:val="21"/>
        </w:rPr>
      </w:pPr>
      <w:r>
        <w:rPr>
          <w:rFonts w:ascii="Arial" w:cs="Arial"/>
          <w:szCs w:val="21"/>
        </w:rPr>
        <w:t>本基金的投资强调将定量的资产配置模型与定性的投资策略相结合，并运用适当的风险评价手段进行组合调整。</w:t>
      </w:r>
    </w:p>
    <w:p w14:paraId="673D9EAC" w14:textId="77777777" w:rsidR="00F50C35" w:rsidRDefault="00FB66DA">
      <w:pPr>
        <w:adjustRightInd w:val="0"/>
        <w:snapToGrid w:val="0"/>
        <w:spacing w:line="360" w:lineRule="auto"/>
        <w:ind w:firstLine="420"/>
        <w:rPr>
          <w:rFonts w:ascii="Arial" w:hAnsi="Arial" w:cs="Arial"/>
          <w:szCs w:val="21"/>
        </w:rPr>
      </w:pPr>
      <w:r>
        <w:rPr>
          <w:rFonts w:ascii="Arial" w:cs="Arial" w:hint="eastAsia"/>
          <w:szCs w:val="21"/>
        </w:rPr>
        <w:t>1</w:t>
      </w:r>
      <w:r>
        <w:rPr>
          <w:rFonts w:ascii="Arial" w:cs="Arial" w:hint="eastAsia"/>
          <w:szCs w:val="21"/>
        </w:rPr>
        <w:t>、</w:t>
      </w:r>
      <w:r>
        <w:rPr>
          <w:rFonts w:ascii="Arial" w:cs="Arial"/>
          <w:szCs w:val="21"/>
        </w:rPr>
        <w:t>策略形成阶段。在本基金所设定的投资范围和投资限制的基础上，通过对全球宏观经济周期</w:t>
      </w:r>
      <w:r>
        <w:rPr>
          <w:rFonts w:ascii="Arial" w:cs="Arial" w:hint="eastAsia"/>
          <w:szCs w:val="21"/>
        </w:rPr>
        <w:t>、</w:t>
      </w:r>
      <w:r>
        <w:rPr>
          <w:rFonts w:ascii="Arial" w:cs="Arial"/>
          <w:szCs w:val="21"/>
        </w:rPr>
        <w:t>各国央行的货币政策和对中国宏观趋势判断基础上，确定对通胀走势的判断，选择对应的大类资产配置构成，作为较长时间内投资组合的基础构成。在确定好战略大类资产配置的基础上，结合对中短期通胀变化和市场情况等因素的判断，在一定范围内灵活地调整大类资产的相对比重或仓位</w:t>
      </w:r>
      <w:r>
        <w:rPr>
          <w:rFonts w:ascii="Arial" w:cs="Arial" w:hint="eastAsia"/>
          <w:szCs w:val="21"/>
        </w:rPr>
        <w:t>；</w:t>
      </w:r>
    </w:p>
    <w:p w14:paraId="41FD27BE" w14:textId="77777777" w:rsidR="00F50C35" w:rsidRDefault="00FB66DA">
      <w:pPr>
        <w:adjustRightInd w:val="0"/>
        <w:snapToGrid w:val="0"/>
        <w:spacing w:line="360" w:lineRule="auto"/>
        <w:ind w:firstLine="420"/>
        <w:rPr>
          <w:rFonts w:ascii="Arial" w:hAnsi="Arial" w:cs="Arial"/>
          <w:szCs w:val="21"/>
        </w:rPr>
      </w:pPr>
      <w:r>
        <w:rPr>
          <w:rFonts w:ascii="Arial" w:cs="Arial" w:hint="eastAsia"/>
          <w:szCs w:val="21"/>
        </w:rPr>
        <w:t>2</w:t>
      </w:r>
      <w:r>
        <w:rPr>
          <w:rFonts w:ascii="Arial" w:cs="Arial" w:hint="eastAsia"/>
          <w:szCs w:val="21"/>
        </w:rPr>
        <w:t>、</w:t>
      </w:r>
      <w:r>
        <w:rPr>
          <w:rFonts w:ascii="Arial" w:cs="Arial"/>
          <w:szCs w:val="21"/>
        </w:rPr>
        <w:t>在资产配置确定的基础上，结合定量和定性分析，通过自下而上的角度寻找各类资</w:t>
      </w:r>
      <w:r>
        <w:rPr>
          <w:rFonts w:ascii="Arial" w:cs="Arial"/>
          <w:szCs w:val="21"/>
        </w:rPr>
        <w:lastRenderedPageBreak/>
        <w:t>产内部个券的相对价值</w:t>
      </w:r>
      <w:r>
        <w:rPr>
          <w:rFonts w:ascii="Arial" w:cs="Arial" w:hint="eastAsia"/>
          <w:szCs w:val="21"/>
        </w:rPr>
        <w:t>；</w:t>
      </w:r>
    </w:p>
    <w:p w14:paraId="27EA7626" w14:textId="77777777" w:rsidR="00F50C35" w:rsidRDefault="00FB66DA">
      <w:pPr>
        <w:adjustRightInd w:val="0"/>
        <w:snapToGrid w:val="0"/>
        <w:spacing w:line="360" w:lineRule="auto"/>
        <w:ind w:firstLine="420"/>
        <w:rPr>
          <w:rFonts w:ascii="Arial" w:hAnsi="Arial" w:cs="Arial"/>
          <w:szCs w:val="21"/>
        </w:rPr>
      </w:pPr>
      <w:r>
        <w:rPr>
          <w:rFonts w:ascii="Arial" w:cs="Arial" w:hint="eastAsia"/>
          <w:szCs w:val="21"/>
        </w:rPr>
        <w:t>3</w:t>
      </w:r>
      <w:r>
        <w:rPr>
          <w:rFonts w:ascii="Arial" w:cs="Arial" w:hint="eastAsia"/>
          <w:szCs w:val="21"/>
        </w:rPr>
        <w:t>、</w:t>
      </w:r>
      <w:r>
        <w:rPr>
          <w:rFonts w:ascii="Arial" w:cs="Arial"/>
          <w:szCs w:val="21"/>
        </w:rPr>
        <w:t>构建投资组合阶段</w:t>
      </w:r>
      <w:r>
        <w:rPr>
          <w:rFonts w:ascii="Arial" w:hAnsi="Arial" w:cs="Arial" w:hint="eastAsia"/>
          <w:szCs w:val="21"/>
        </w:rPr>
        <w:t>。</w:t>
      </w:r>
      <w:r>
        <w:rPr>
          <w:rFonts w:ascii="Arial" w:cs="Arial"/>
          <w:szCs w:val="21"/>
        </w:rPr>
        <w:t>研究部和基金经理根据投资限制的要求，综合各个策略的买卖或配置建议，构建模拟投资组合，进行超额收益、流动性指标检验和组合流动性检验，并以此为基础，构建目标投资组合</w:t>
      </w:r>
      <w:r>
        <w:rPr>
          <w:rFonts w:ascii="Arial" w:cs="Arial" w:hint="eastAsia"/>
          <w:szCs w:val="21"/>
        </w:rPr>
        <w:t>；</w:t>
      </w:r>
    </w:p>
    <w:p w14:paraId="68C34647" w14:textId="77777777" w:rsidR="00F50C35" w:rsidRDefault="00FB66DA">
      <w:pPr>
        <w:adjustRightInd w:val="0"/>
        <w:snapToGrid w:val="0"/>
        <w:spacing w:line="360" w:lineRule="auto"/>
        <w:ind w:firstLine="420"/>
        <w:rPr>
          <w:rFonts w:ascii="Arial" w:hAnsi="Arial" w:cs="Arial"/>
          <w:szCs w:val="21"/>
        </w:rPr>
      </w:pPr>
      <w:r>
        <w:rPr>
          <w:rFonts w:ascii="Arial" w:cs="Arial" w:hint="eastAsia"/>
          <w:szCs w:val="21"/>
        </w:rPr>
        <w:t>4</w:t>
      </w:r>
      <w:r>
        <w:rPr>
          <w:rFonts w:ascii="Arial" w:cs="Arial" w:hint="eastAsia"/>
          <w:szCs w:val="21"/>
        </w:rPr>
        <w:t>、</w:t>
      </w:r>
      <w:r>
        <w:rPr>
          <w:rFonts w:ascii="Arial" w:cs="Arial"/>
          <w:szCs w:val="21"/>
        </w:rPr>
        <w:t>交易部依据基金经理小组的指令，制定交易策略，统一执行证券投资组合计划，进行具体品种的交易。基金经理必须遵守投资组合决定权和交易下单权严格分离的规定</w:t>
      </w:r>
      <w:r>
        <w:rPr>
          <w:rFonts w:ascii="Arial" w:cs="Arial" w:hint="eastAsia"/>
          <w:szCs w:val="21"/>
        </w:rPr>
        <w:t>；</w:t>
      </w:r>
    </w:p>
    <w:p w14:paraId="266BEDA8" w14:textId="77777777" w:rsidR="00F50C35" w:rsidRDefault="00FB66DA">
      <w:pPr>
        <w:adjustRightInd w:val="0"/>
        <w:snapToGrid w:val="0"/>
        <w:spacing w:line="360" w:lineRule="auto"/>
        <w:ind w:firstLine="420"/>
        <w:rPr>
          <w:rFonts w:ascii="Arial" w:hAnsi="Arial" w:cs="Arial"/>
          <w:szCs w:val="21"/>
        </w:rPr>
      </w:pPr>
      <w:r>
        <w:rPr>
          <w:rFonts w:ascii="Arial" w:cs="Arial" w:hint="eastAsia"/>
          <w:szCs w:val="21"/>
        </w:rPr>
        <w:t>5</w:t>
      </w:r>
      <w:r>
        <w:rPr>
          <w:rFonts w:ascii="Arial" w:cs="Arial" w:hint="eastAsia"/>
          <w:szCs w:val="21"/>
        </w:rPr>
        <w:t>、</w:t>
      </w:r>
      <w:r>
        <w:rPr>
          <w:rFonts w:ascii="Arial" w:cs="Arial"/>
          <w:szCs w:val="21"/>
        </w:rPr>
        <w:t>风险控制委员会根据市场变化对投资组合计划提出风险防范措施，监察法律部对投资组合计划的执行过程进行日常监督和实时风险控制，基金经理依据基金申购和赎回的情况控制投资组合的流动性风险</w:t>
      </w:r>
      <w:r>
        <w:rPr>
          <w:rFonts w:ascii="Arial" w:cs="Arial" w:hint="eastAsia"/>
          <w:szCs w:val="21"/>
        </w:rPr>
        <w:t>；</w:t>
      </w:r>
    </w:p>
    <w:p w14:paraId="15891409" w14:textId="77777777" w:rsidR="00F50C35" w:rsidRDefault="00FB66DA">
      <w:pPr>
        <w:adjustRightInd w:val="0"/>
        <w:snapToGrid w:val="0"/>
        <w:spacing w:line="360" w:lineRule="auto"/>
        <w:ind w:firstLine="420"/>
        <w:rPr>
          <w:rFonts w:ascii="Arial" w:hAnsi="Arial" w:cs="Arial"/>
          <w:szCs w:val="21"/>
        </w:rPr>
      </w:pPr>
      <w:r>
        <w:rPr>
          <w:rFonts w:ascii="Arial" w:cs="Arial"/>
          <w:szCs w:val="21"/>
        </w:rPr>
        <w:t>基金管理人在确保基金持有人利益的前提下有权根据环境变化和实际需要对上述投资程序做出调整。</w:t>
      </w:r>
      <w:bookmarkStart w:id="55" w:name="_Toc11062702"/>
      <w:bookmarkEnd w:id="55"/>
    </w:p>
    <w:p w14:paraId="46D2541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（八）投资限制</w:t>
      </w:r>
    </w:p>
    <w:p w14:paraId="0DF1DB3E"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1</w:t>
      </w:r>
      <w:r>
        <w:rPr>
          <w:rFonts w:ascii="Arial" w:hAnsi="Arial" w:cs="Arial"/>
        </w:rPr>
        <w:t>、</w:t>
      </w:r>
      <w:r w:rsidRPr="00AD672F">
        <w:rPr>
          <w:rFonts w:ascii="Arial" w:hAnsi="Arial" w:cs="Arial" w:hint="eastAsia"/>
        </w:rPr>
        <w:t>本基金不得违反基金合同关于</w:t>
      </w:r>
      <w:r w:rsidRPr="00AD672F">
        <w:rPr>
          <w:rFonts w:hint="eastAsia"/>
        </w:rPr>
        <w:t>投资范围</w:t>
      </w:r>
      <w:r w:rsidRPr="00AD672F">
        <w:rPr>
          <w:rFonts w:ascii="Arial" w:hAnsi="Arial" w:cs="Arial" w:hint="eastAsia"/>
        </w:rPr>
        <w:t>和</w:t>
      </w:r>
      <w:r w:rsidRPr="00AD672F">
        <w:rPr>
          <w:rFonts w:hint="eastAsia"/>
        </w:rPr>
        <w:t>投资</w:t>
      </w:r>
      <w:r w:rsidRPr="00AD672F">
        <w:rPr>
          <w:rFonts w:ascii="Arial" w:hAnsi="Arial" w:cs="Arial" w:hint="eastAsia"/>
        </w:rPr>
        <w:t>比例</w:t>
      </w:r>
      <w:r w:rsidRPr="00AD672F">
        <w:rPr>
          <w:rFonts w:hint="eastAsia"/>
        </w:rPr>
        <w:t>的约定</w:t>
      </w:r>
      <w:r w:rsidRPr="00AD672F">
        <w:rPr>
          <w:rFonts w:ascii="Arial" w:hAnsi="Arial" w:cs="Arial"/>
        </w:rPr>
        <w:t>；</w:t>
      </w:r>
    </w:p>
    <w:p w14:paraId="127492EC"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2</w:t>
      </w:r>
      <w:r>
        <w:rPr>
          <w:rFonts w:ascii="Arial" w:hAnsi="Arial" w:cs="Arial"/>
        </w:rPr>
        <w:t>、本基金持有同一家银行的存款不得超过基金资产净值的</w:t>
      </w:r>
      <w:r>
        <w:rPr>
          <w:rFonts w:ascii="Arial" w:hAnsi="Arial" w:cs="Arial"/>
        </w:rPr>
        <w:t>20%</w:t>
      </w:r>
      <w:r>
        <w:rPr>
          <w:rFonts w:ascii="Arial" w:hAnsi="Arial" w:cs="Arial"/>
        </w:rPr>
        <w:t>。在基金托管账户的存款可以不受上述限制；</w:t>
      </w:r>
    </w:p>
    <w:p w14:paraId="1D352075"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3</w:t>
      </w:r>
      <w:r>
        <w:rPr>
          <w:rFonts w:ascii="Arial" w:hAnsi="Arial" w:cs="Arial"/>
        </w:rPr>
        <w:t>、本基金持有同一机构（政府、国际金融组织除外）发行的证券市值不得超过基金资产净值的</w:t>
      </w:r>
      <w:r>
        <w:rPr>
          <w:rFonts w:ascii="Arial" w:hAnsi="Arial" w:cs="Arial"/>
        </w:rPr>
        <w:t>10%</w:t>
      </w:r>
      <w:r>
        <w:rPr>
          <w:rFonts w:ascii="Arial" w:hAnsi="Arial" w:cs="Arial"/>
        </w:rPr>
        <w:t>；</w:t>
      </w:r>
    </w:p>
    <w:p w14:paraId="1A2AEF3D"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4</w:t>
      </w:r>
      <w:r>
        <w:rPr>
          <w:rFonts w:ascii="Arial" w:hAnsi="Arial" w:cs="Arial"/>
        </w:rPr>
        <w:t>、本基金持有与中国证监会签署双边监管合作谅解备忘录国家或地区以外的其他国家或地区证券市场挂牌交易的证券资产不得超过基金资产净值的</w:t>
      </w:r>
      <w:r>
        <w:rPr>
          <w:rFonts w:ascii="Arial" w:hAnsi="Arial" w:cs="Arial"/>
        </w:rPr>
        <w:t>10%</w:t>
      </w:r>
      <w:r>
        <w:rPr>
          <w:rFonts w:ascii="Arial" w:hAnsi="Arial" w:cs="Arial"/>
        </w:rPr>
        <w:t>，其中持有任一国家或地区市场的证券资产不得超过基金资产净值的</w:t>
      </w:r>
      <w:r>
        <w:rPr>
          <w:rFonts w:ascii="Arial" w:hAnsi="Arial" w:cs="Arial"/>
        </w:rPr>
        <w:t>3%</w:t>
      </w:r>
      <w:r>
        <w:rPr>
          <w:rFonts w:ascii="Arial" w:hAnsi="Arial" w:cs="Arial"/>
        </w:rPr>
        <w:t>；</w:t>
      </w:r>
    </w:p>
    <w:p w14:paraId="7C28BC9E"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5</w:t>
      </w:r>
      <w:r>
        <w:rPr>
          <w:rFonts w:ascii="Arial" w:hAnsi="Arial" w:cs="Arial"/>
        </w:rPr>
        <w:t>、本基金与本基金管理人管理的全部基金持有同一机构具有投票权的证券总量不超过该机构发行的具有投票权证券总量的</w:t>
      </w:r>
      <w:r>
        <w:rPr>
          <w:rFonts w:ascii="Arial" w:hAnsi="Arial" w:cs="Arial"/>
        </w:rPr>
        <w:t>10%</w:t>
      </w:r>
      <w:r>
        <w:rPr>
          <w:rFonts w:ascii="Arial" w:hAnsi="Arial" w:cs="Arial"/>
        </w:rPr>
        <w:t>。同一机构境内外上市的总股本将合并计算，同时全球存托凭证和美国存托凭证所代表的基础证券将一并计算，并假设对持有的股本权证行使转换；</w:t>
      </w:r>
    </w:p>
    <w:p w14:paraId="41D8E1D9"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6</w:t>
      </w:r>
      <w:r>
        <w:rPr>
          <w:rFonts w:ascii="Arial" w:hAnsi="Arial" w:cs="Arial"/>
        </w:rPr>
        <w:t>、本基金持有非流动性资产市值不得超过基金资产净值的</w:t>
      </w:r>
      <w:r>
        <w:rPr>
          <w:rFonts w:ascii="Arial" w:hAnsi="Arial" w:cs="Arial"/>
        </w:rPr>
        <w:t>10%</w:t>
      </w:r>
      <w:r>
        <w:rPr>
          <w:rFonts w:ascii="Arial" w:hAnsi="Arial" w:cs="Arial"/>
        </w:rPr>
        <w:t>。前项非流动性资产是指法律或基金合同规定的流通受限证券以及中国证监会认定的其他资产；</w:t>
      </w:r>
    </w:p>
    <w:p w14:paraId="385D23C4"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7</w:t>
      </w:r>
      <w:r>
        <w:rPr>
          <w:rFonts w:ascii="Arial" w:hAnsi="Arial" w:cs="Arial"/>
        </w:rPr>
        <w:t>、同一基金管理人管理的全部基金持有任何一只境外基金，不得超过该境外基金总份额的</w:t>
      </w:r>
      <w:r>
        <w:rPr>
          <w:rFonts w:ascii="Arial" w:hAnsi="Arial" w:cs="Arial"/>
        </w:rPr>
        <w:t>20%</w:t>
      </w:r>
      <w:r>
        <w:rPr>
          <w:rFonts w:ascii="Arial" w:hAnsi="Arial" w:cs="Arial"/>
        </w:rPr>
        <w:t>；</w:t>
      </w:r>
    </w:p>
    <w:p w14:paraId="6831D930"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8</w:t>
      </w:r>
      <w:r>
        <w:rPr>
          <w:rFonts w:ascii="Arial" w:hAnsi="Arial" w:cs="Arial"/>
        </w:rPr>
        <w:t>、关于投资基金的限制</w:t>
      </w:r>
    </w:p>
    <w:p w14:paraId="5B65EF1C"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w:t>
      </w:r>
      <w:r>
        <w:rPr>
          <w:rFonts w:ascii="Arial" w:hAnsi="Arial" w:cs="Arial"/>
        </w:rPr>
        <w:t>1</w:t>
      </w:r>
      <w:r>
        <w:rPr>
          <w:rFonts w:ascii="Arial" w:hAnsi="Arial" w:cs="Arial"/>
        </w:rPr>
        <w:t>）每只境外基金投资比例不超过本基金资产净值的</w:t>
      </w:r>
      <w:r>
        <w:rPr>
          <w:rFonts w:ascii="Arial" w:hAnsi="Arial" w:cs="Arial"/>
        </w:rPr>
        <w:t>20%</w:t>
      </w:r>
      <w:r>
        <w:rPr>
          <w:rFonts w:ascii="Arial" w:hAnsi="Arial" w:cs="Arial"/>
        </w:rPr>
        <w:t>。本基金投资境外伞型基金的，该伞型基金应当视为一只基金；</w:t>
      </w:r>
    </w:p>
    <w:p w14:paraId="7092FBDB"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w:t>
      </w:r>
      <w:r>
        <w:rPr>
          <w:rFonts w:ascii="Arial" w:hAnsi="Arial" w:cs="Arial"/>
        </w:rPr>
        <w:t>2</w:t>
      </w:r>
      <w:r>
        <w:rPr>
          <w:rFonts w:ascii="Arial" w:hAnsi="Arial" w:cs="Arial"/>
        </w:rPr>
        <w:t>）基金中基金不得投资于以下基金：</w:t>
      </w:r>
    </w:p>
    <w:p w14:paraId="51D4F5F8"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1</w:t>
      </w:r>
      <w:r>
        <w:rPr>
          <w:rFonts w:ascii="Arial" w:hAnsi="Arial" w:cs="Arial"/>
        </w:rPr>
        <w:t>）其他基金中基金；</w:t>
      </w:r>
    </w:p>
    <w:p w14:paraId="71ED1D35"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2</w:t>
      </w:r>
      <w:r>
        <w:rPr>
          <w:rFonts w:ascii="Arial" w:hAnsi="Arial" w:cs="Arial"/>
        </w:rPr>
        <w:t>）联接基金（</w:t>
      </w:r>
      <w:r>
        <w:rPr>
          <w:rFonts w:ascii="Arial" w:hAnsi="Arial" w:cs="Arial"/>
        </w:rPr>
        <w:t>A Feeder Fund</w:t>
      </w:r>
      <w:r>
        <w:rPr>
          <w:rFonts w:ascii="Arial" w:hAnsi="Arial" w:cs="Arial"/>
        </w:rPr>
        <w:t>）；</w:t>
      </w:r>
    </w:p>
    <w:p w14:paraId="30866C99"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lastRenderedPageBreak/>
        <w:t>3</w:t>
      </w:r>
      <w:r>
        <w:rPr>
          <w:rFonts w:ascii="Arial" w:hAnsi="Arial" w:cs="Arial"/>
        </w:rPr>
        <w:t>）投资于前述两项基金的伞型基金子基金；</w:t>
      </w:r>
    </w:p>
    <w:p w14:paraId="3000E441" w14:textId="77777777" w:rsidR="00F50C35" w:rsidRDefault="00FB66DA">
      <w:pPr>
        <w:adjustRightInd w:val="0"/>
        <w:snapToGrid w:val="0"/>
        <w:spacing w:line="360" w:lineRule="auto"/>
        <w:ind w:firstLine="420"/>
        <w:rPr>
          <w:rFonts w:ascii="Arial" w:hAnsi="Arial" w:cs="Arial"/>
          <w:szCs w:val="21"/>
        </w:rPr>
      </w:pPr>
      <w:r>
        <w:rPr>
          <w:rFonts w:ascii="Arial" w:hAnsi="Arial" w:cs="Arial"/>
          <w:kern w:val="0"/>
          <w:szCs w:val="21"/>
        </w:rPr>
        <w:t>9</w:t>
      </w:r>
      <w:r>
        <w:rPr>
          <w:rFonts w:ascii="Arial" w:hAnsi="Arial" w:cs="Arial"/>
          <w:kern w:val="0"/>
          <w:szCs w:val="21"/>
        </w:rPr>
        <w:t>、</w:t>
      </w:r>
      <w:r>
        <w:rPr>
          <w:rFonts w:ascii="Arial" w:hAnsi="Arial" w:cs="Arial"/>
          <w:szCs w:val="21"/>
        </w:rPr>
        <w:t>本基金投资衍生品应当遵守下列规定：</w:t>
      </w:r>
    </w:p>
    <w:p w14:paraId="2D414DB5"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）本基金的金融衍生品全部敞口不得高于基金资产净值的</w:t>
      </w:r>
      <w:r>
        <w:rPr>
          <w:rFonts w:ascii="Arial" w:hAnsi="Arial" w:cs="Arial"/>
          <w:szCs w:val="21"/>
        </w:rPr>
        <w:t>100%</w:t>
      </w:r>
      <w:r>
        <w:rPr>
          <w:rFonts w:ascii="Arial" w:hAnsi="Arial" w:cs="Arial"/>
          <w:szCs w:val="21"/>
        </w:rPr>
        <w:t>；</w:t>
      </w:r>
    </w:p>
    <w:p w14:paraId="3D4EE628"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）本基金投资期货支付的初始保证金、投资期权支付或收取的期权费、投资柜台交易衍生品支付的初始费用的总额不得高于基金资产净值的</w:t>
      </w:r>
      <w:r>
        <w:rPr>
          <w:rFonts w:ascii="Arial" w:hAnsi="Arial" w:cs="Arial"/>
          <w:szCs w:val="21"/>
        </w:rPr>
        <w:t>10%</w:t>
      </w:r>
      <w:r>
        <w:rPr>
          <w:rFonts w:ascii="Arial" w:hAnsi="Arial" w:cs="Arial"/>
          <w:szCs w:val="21"/>
        </w:rPr>
        <w:t>；</w:t>
      </w:r>
    </w:p>
    <w:p w14:paraId="16E0585D"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）本基金投资于远期合约、互换等柜台交易金融衍生品，应当符合以下要求：</w:t>
      </w:r>
    </w:p>
    <w:p w14:paraId="37AA945E"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1</w:t>
      </w:r>
      <w:r>
        <w:rPr>
          <w:rFonts w:ascii="Arial" w:hAnsi="Arial" w:cs="Arial"/>
          <w:szCs w:val="21"/>
        </w:rPr>
        <w:t>）所有参与交易的对手方（中资商业银行除外）应当具有不低于中国证监会认可的信用评级机构评级；</w:t>
      </w:r>
    </w:p>
    <w:p w14:paraId="260AB6E9"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2</w:t>
      </w:r>
      <w:r>
        <w:rPr>
          <w:rFonts w:ascii="Arial" w:hAnsi="Arial" w:cs="Arial"/>
          <w:szCs w:val="21"/>
        </w:rPr>
        <w:t>）交易对手方应当至少每个工作日对交易进行估值，并且基金可在任何时候以公允价值终止交易；</w:t>
      </w:r>
    </w:p>
    <w:p w14:paraId="0417DD8B"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3</w:t>
      </w:r>
      <w:r>
        <w:rPr>
          <w:rFonts w:ascii="Arial" w:hAnsi="Arial" w:cs="Arial"/>
          <w:szCs w:val="21"/>
        </w:rPr>
        <w:t>）任一交易对手方的市值计价敞口不得超过基金资产净值的</w:t>
      </w:r>
      <w:r>
        <w:rPr>
          <w:rFonts w:ascii="Arial" w:hAnsi="Arial" w:cs="Arial"/>
          <w:szCs w:val="21"/>
        </w:rPr>
        <w:t>20%</w:t>
      </w:r>
      <w:r>
        <w:rPr>
          <w:rFonts w:ascii="Arial" w:hAnsi="Arial" w:cs="Arial"/>
          <w:szCs w:val="21"/>
        </w:rPr>
        <w:t>；</w:t>
      </w:r>
    </w:p>
    <w:p w14:paraId="229AC942"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）本基金不得直接投资与实物商品相关的衍生品；</w:t>
      </w:r>
    </w:p>
    <w:p w14:paraId="27279F74"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基金管理人应当在本基金会计年度结束后</w:t>
      </w:r>
      <w:r>
        <w:rPr>
          <w:rFonts w:ascii="Arial" w:hAnsi="Arial" w:cs="Arial"/>
          <w:szCs w:val="21"/>
        </w:rPr>
        <w:t>60</w:t>
      </w:r>
      <w:r>
        <w:rPr>
          <w:rFonts w:ascii="Arial" w:hAnsi="Arial" w:cs="Arial"/>
          <w:szCs w:val="21"/>
        </w:rPr>
        <w:t>个工作日内向中国证监会提交包括衍生品头寸及风险分析年度报告；</w:t>
      </w:r>
    </w:p>
    <w:p w14:paraId="361CDAA4"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10</w:t>
      </w:r>
      <w:r>
        <w:rPr>
          <w:rFonts w:ascii="Arial" w:hAnsi="Arial" w:cs="Arial"/>
          <w:szCs w:val="21"/>
        </w:rPr>
        <w:t>、本基金可以参与证券借贷交易，并且应当遵守下列规定：</w:t>
      </w:r>
    </w:p>
    <w:p w14:paraId="0BFC9395"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）所有参与交易的对手方（中资商业银行除外）应当具有中国证监会认可的信用评级机构评级；</w:t>
      </w:r>
    </w:p>
    <w:p w14:paraId="73B671F9"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）应当采取市值计价制度进行调整以确保担保物市值不低于已借出证券市值的</w:t>
      </w:r>
      <w:r>
        <w:rPr>
          <w:rFonts w:ascii="Arial" w:hAnsi="Arial" w:cs="Arial"/>
          <w:szCs w:val="21"/>
        </w:rPr>
        <w:t>102%</w:t>
      </w:r>
      <w:r>
        <w:rPr>
          <w:rFonts w:ascii="Arial" w:hAnsi="Arial" w:cs="Arial"/>
          <w:szCs w:val="21"/>
        </w:rPr>
        <w:t>；</w:t>
      </w:r>
    </w:p>
    <w:p w14:paraId="393F5C29"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）借方应当在交易期内及时向本基金支付已借出证券产生的所有股息、利息和分红。一旦借方违约，本基金根据协议和有关法律有权保留和处置担保物以满足索赔需要；</w:t>
      </w:r>
    </w:p>
    <w:p w14:paraId="4EBF70BA"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）除中国证监会另有规定外，担保物可以是以下金融工具或品种：</w:t>
      </w:r>
    </w:p>
    <w:p w14:paraId="215475A0"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1</w:t>
      </w:r>
      <w:r>
        <w:rPr>
          <w:rFonts w:ascii="Arial" w:hAnsi="Arial" w:cs="Arial"/>
          <w:szCs w:val="21"/>
        </w:rPr>
        <w:t>）现金；</w:t>
      </w:r>
    </w:p>
    <w:p w14:paraId="40313DBD"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2</w:t>
      </w:r>
      <w:r>
        <w:rPr>
          <w:rFonts w:ascii="Arial" w:hAnsi="Arial" w:cs="Arial"/>
          <w:szCs w:val="21"/>
        </w:rPr>
        <w:t>）存款证明；</w:t>
      </w:r>
    </w:p>
    <w:p w14:paraId="3C1A417E"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3</w:t>
      </w:r>
      <w:r>
        <w:rPr>
          <w:rFonts w:ascii="Arial" w:hAnsi="Arial" w:cs="Arial"/>
          <w:szCs w:val="21"/>
        </w:rPr>
        <w:t>）商业票据；</w:t>
      </w:r>
    </w:p>
    <w:p w14:paraId="564F63B3"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4</w:t>
      </w:r>
      <w:r>
        <w:rPr>
          <w:rFonts w:ascii="Arial" w:hAnsi="Arial" w:cs="Arial"/>
          <w:szCs w:val="21"/>
        </w:rPr>
        <w:t>）政府债券；</w:t>
      </w:r>
    </w:p>
    <w:p w14:paraId="3EB0BD91"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5</w:t>
      </w:r>
      <w:r>
        <w:rPr>
          <w:rFonts w:ascii="Arial" w:hAnsi="Arial" w:cs="Arial"/>
          <w:szCs w:val="21"/>
        </w:rPr>
        <w:t>）中资商业银行或由不低于中国证监会认可的信用评级机构评级的境外金融机构（作为交易对手方或其关联方的除外）出具的不可撤销信用证；</w:t>
      </w:r>
    </w:p>
    <w:p w14:paraId="1D6540F7"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5</w:t>
      </w:r>
      <w:r>
        <w:rPr>
          <w:rFonts w:ascii="Arial" w:hAnsi="Arial" w:cs="Arial"/>
          <w:szCs w:val="21"/>
        </w:rPr>
        <w:t>）本基金有权在任何时候终止证券借贷交易并在正常市场惯例的合理期限内要求归还任一或所有已借出的证券；</w:t>
      </w:r>
    </w:p>
    <w:p w14:paraId="5079FCAD"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rPr>
        <w:t>11</w:t>
      </w:r>
      <w:r>
        <w:rPr>
          <w:rFonts w:ascii="Arial" w:hAnsi="Arial" w:cs="Arial"/>
        </w:rPr>
        <w:t>、本基金可以根据正常市场惯例参与正回购交易、逆回购交易，并且应当遵守下列规</w:t>
      </w:r>
      <w:r>
        <w:rPr>
          <w:rFonts w:ascii="Arial" w:hAnsi="Arial" w:cs="Arial"/>
          <w:szCs w:val="21"/>
        </w:rPr>
        <w:t>定：</w:t>
      </w:r>
    </w:p>
    <w:p w14:paraId="72DF547B"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）所有参与正回购交易的对手方（中资商业银行除外）应当具有中国证监会认可的信用评级机构信用评级；</w:t>
      </w:r>
    </w:p>
    <w:p w14:paraId="7CB8F881"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lastRenderedPageBreak/>
        <w:t>（</w:t>
      </w:r>
      <w:r>
        <w:rPr>
          <w:rFonts w:ascii="Arial" w:hAnsi="Arial" w:cs="Arial"/>
          <w:szCs w:val="21"/>
        </w:rPr>
        <w:t>2</w:t>
      </w:r>
      <w:r>
        <w:rPr>
          <w:rFonts w:ascii="Arial" w:hAnsi="Arial" w:cs="Arial"/>
          <w:szCs w:val="21"/>
        </w:rPr>
        <w:t>）参与正回购交易，应当采取市值计价制度对卖出收益进行调整以确保现金不低于已售出证券市值的</w:t>
      </w:r>
      <w:r>
        <w:rPr>
          <w:rFonts w:ascii="Arial" w:hAnsi="Arial" w:cs="Arial"/>
          <w:szCs w:val="21"/>
        </w:rPr>
        <w:t>102%</w:t>
      </w:r>
      <w:r>
        <w:rPr>
          <w:rFonts w:ascii="Arial" w:hAnsi="Arial" w:cs="Arial"/>
          <w:szCs w:val="21"/>
        </w:rPr>
        <w:t>。一旦买方违约，本基金根据协议和有关法律有权保留或处置卖出收益以满足索赔需要；</w:t>
      </w:r>
    </w:p>
    <w:p w14:paraId="5F225696"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）买方应当在正回购交易期内及时向本基金支付售出证券产生的所有股息、利息和分红；</w:t>
      </w:r>
    </w:p>
    <w:p w14:paraId="43609DB8"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）参与逆回购交易，应当对购入证券采取市值计价制度进行调整以确保已购入证券市值不低于支付现金的</w:t>
      </w:r>
      <w:r>
        <w:rPr>
          <w:rFonts w:ascii="Arial" w:hAnsi="Arial" w:cs="Arial"/>
          <w:szCs w:val="21"/>
        </w:rPr>
        <w:t>102%</w:t>
      </w:r>
      <w:r>
        <w:rPr>
          <w:rFonts w:ascii="Arial" w:hAnsi="Arial" w:cs="Arial"/>
          <w:szCs w:val="21"/>
        </w:rPr>
        <w:t>。一旦卖方违约，本基金根据协议和有关法律有权保留或处置已购入证券以满足索赔需要；</w:t>
      </w:r>
    </w:p>
    <w:p w14:paraId="6C8F84E4"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12</w:t>
      </w:r>
      <w:r>
        <w:rPr>
          <w:rFonts w:ascii="Arial" w:hAnsi="Arial" w:cs="Arial"/>
          <w:szCs w:val="21"/>
        </w:rPr>
        <w:t>、基金参与证券借贷交易、正回购交易，所有已借出而未归还证券总市值或所有已售出而未回购证券总市值均不得超过基金总资产的</w:t>
      </w:r>
      <w:r>
        <w:rPr>
          <w:rFonts w:ascii="Arial" w:hAnsi="Arial" w:cs="Arial"/>
          <w:szCs w:val="21"/>
        </w:rPr>
        <w:t>50%</w:t>
      </w:r>
      <w:r>
        <w:rPr>
          <w:rFonts w:ascii="Arial" w:hAnsi="Arial" w:cs="Arial"/>
          <w:szCs w:val="21"/>
        </w:rPr>
        <w:t>。</w:t>
      </w:r>
    </w:p>
    <w:p w14:paraId="58EA11FE"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上述比例限制计算，基金因参与证券</w:t>
      </w:r>
      <w:r>
        <w:rPr>
          <w:rFonts w:ascii="Arial" w:hAnsi="Arial" w:cs="Arial"/>
          <w:bCs/>
          <w:szCs w:val="21"/>
        </w:rPr>
        <w:t>借贷交易、</w:t>
      </w:r>
      <w:r>
        <w:rPr>
          <w:rFonts w:ascii="Arial" w:hAnsi="Arial" w:cs="Arial"/>
          <w:szCs w:val="21"/>
        </w:rPr>
        <w:t>正回购交易而持有的担保物、现金不得计入基金总资产。</w:t>
      </w:r>
    </w:p>
    <w:p w14:paraId="26C11E28"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13</w:t>
      </w:r>
      <w:r>
        <w:rPr>
          <w:rFonts w:ascii="Arial" w:hAnsi="Arial" w:cs="Arial" w:hint="eastAsia"/>
          <w:szCs w:val="21"/>
        </w:rPr>
        <w:t>、本基金如果参与境内投资，还应当遵守以下限制：</w:t>
      </w:r>
    </w:p>
    <w:p w14:paraId="59AEB90D"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w:t>
      </w:r>
      <w:r>
        <w:rPr>
          <w:rFonts w:ascii="Arial" w:hAnsi="Arial" w:cs="Arial" w:hint="eastAsia"/>
          <w:szCs w:val="21"/>
        </w:rPr>
        <w:t>1</w:t>
      </w:r>
      <w:r>
        <w:rPr>
          <w:rFonts w:ascii="Arial" w:hAnsi="Arial" w:cs="Arial" w:hint="eastAsia"/>
          <w:szCs w:val="21"/>
        </w:rPr>
        <w:t>）本基金管理人管理的全部开放式基金持有一家上市公司发行的可流通股票，不得超过该上市公司可流通股票的</w:t>
      </w:r>
      <w:r>
        <w:rPr>
          <w:rFonts w:ascii="Arial" w:hAnsi="Arial" w:cs="Arial" w:hint="eastAsia"/>
          <w:szCs w:val="21"/>
        </w:rPr>
        <w:t>15%</w:t>
      </w:r>
      <w:r>
        <w:rPr>
          <w:rFonts w:ascii="Arial" w:hAnsi="Arial" w:cs="Arial" w:hint="eastAsia"/>
          <w:szCs w:val="21"/>
        </w:rPr>
        <w:t>；本基金管理人管理的全部投资组合持有一家上市公司发行的可流通股票，不得超过该上市公司可流通股票的</w:t>
      </w:r>
      <w:r>
        <w:rPr>
          <w:rFonts w:ascii="Arial" w:hAnsi="Arial" w:cs="Arial" w:hint="eastAsia"/>
          <w:szCs w:val="21"/>
        </w:rPr>
        <w:t>30 %</w:t>
      </w:r>
      <w:r>
        <w:rPr>
          <w:rFonts w:ascii="Arial" w:hAnsi="Arial" w:cs="Arial" w:hint="eastAsia"/>
          <w:szCs w:val="21"/>
        </w:rPr>
        <w:t>；</w:t>
      </w:r>
    </w:p>
    <w:p w14:paraId="1EFDFD5E"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因证券市场波动、上市公司合并、基金规模变动等基金管理人之外的因素致使基金投资不符合本款投资比例的，基金管理人应当在</w:t>
      </w:r>
      <w:r>
        <w:rPr>
          <w:rFonts w:ascii="Arial" w:hAnsi="Arial" w:cs="Arial" w:hint="eastAsia"/>
          <w:szCs w:val="21"/>
        </w:rPr>
        <w:t>10</w:t>
      </w:r>
      <w:r>
        <w:rPr>
          <w:rFonts w:ascii="Arial" w:hAnsi="Arial" w:cs="Arial" w:hint="eastAsia"/>
          <w:szCs w:val="21"/>
        </w:rPr>
        <w:t>个工作日内进行调整；</w:t>
      </w:r>
    </w:p>
    <w:p w14:paraId="10EDCA3B"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w:t>
      </w:r>
      <w:r>
        <w:rPr>
          <w:rFonts w:ascii="Arial" w:hAnsi="Arial" w:cs="Arial" w:hint="eastAsia"/>
          <w:szCs w:val="21"/>
        </w:rPr>
        <w:t>2</w:t>
      </w:r>
      <w:r>
        <w:rPr>
          <w:rFonts w:ascii="Arial" w:hAnsi="Arial" w:cs="Arial" w:hint="eastAsia"/>
          <w:szCs w:val="21"/>
        </w:rPr>
        <w:t>）本基金主动投资于流动性受限资产的市值合计不得超过本基金资产净值的</w:t>
      </w:r>
      <w:r>
        <w:rPr>
          <w:rFonts w:ascii="Arial" w:hAnsi="Arial" w:cs="Arial" w:hint="eastAsia"/>
          <w:szCs w:val="21"/>
        </w:rPr>
        <w:t xml:space="preserve">15% </w:t>
      </w:r>
      <w:r>
        <w:rPr>
          <w:rFonts w:ascii="Arial" w:hAnsi="Arial" w:cs="Arial" w:hint="eastAsia"/>
          <w:szCs w:val="21"/>
        </w:rPr>
        <w:t>；</w:t>
      </w:r>
    </w:p>
    <w:p w14:paraId="0D73ED10"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因证券市场波动、上市公司股票停牌、基金规模变动等基金管理人之外的因素致使基金不符合前款所规定比例限制的，基金管理人不得主动新增流动性受限资产的投资；</w:t>
      </w:r>
    </w:p>
    <w:p w14:paraId="335A380F"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14</w:t>
      </w:r>
      <w:r>
        <w:rPr>
          <w:rFonts w:ascii="Arial" w:hAnsi="Arial" w:cs="Arial" w:hint="eastAsia"/>
          <w:szCs w:val="21"/>
        </w:rPr>
        <w:t>、本基金与私募类证券资管产品及中国证监会认定的其他主体为交易对手开展逆回购交易的，可接受质押品的资质要求应当与基金合同约定的投资范围保持一致。</w:t>
      </w:r>
    </w:p>
    <w:p w14:paraId="27256899" w14:textId="77777777" w:rsidR="00F50C35" w:rsidRDefault="00FB66DA">
      <w:pPr>
        <w:autoSpaceDE w:val="0"/>
        <w:autoSpaceDN w:val="0"/>
        <w:adjustRightInd w:val="0"/>
        <w:snapToGrid w:val="0"/>
        <w:spacing w:line="360" w:lineRule="auto"/>
        <w:ind w:firstLine="420"/>
        <w:rPr>
          <w:rFonts w:ascii="Arial" w:hAnsi="Arial" w:cs="Arial"/>
        </w:rPr>
      </w:pPr>
      <w:r>
        <w:rPr>
          <w:rFonts w:ascii="Arial" w:hAnsi="Arial" w:cs="Arial"/>
        </w:rPr>
        <w:t>法律法规或监管部门对上述比例限制另有规定或设定其他本基金须遵循的比例限制的，从其规定。</w:t>
      </w:r>
    </w:p>
    <w:p w14:paraId="612A848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（九）禁止行为</w:t>
      </w:r>
    </w:p>
    <w:p w14:paraId="372C26A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为维护基金份额持有人的合法权益，基金财产不得用于下列投资或者活动：</w:t>
      </w:r>
    </w:p>
    <w:p w14:paraId="33D3EA8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、购买不动产</w:t>
      </w:r>
      <w:r>
        <w:rPr>
          <w:rFonts w:ascii="Arial" w:hAnsi="宋体" w:cs="Arial" w:hint="eastAsia"/>
          <w:kern w:val="0"/>
          <w:szCs w:val="21"/>
        </w:rPr>
        <w:t>；</w:t>
      </w:r>
    </w:p>
    <w:p w14:paraId="63D8FB4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、购买房地产抵押按揭</w:t>
      </w:r>
      <w:r>
        <w:rPr>
          <w:rFonts w:ascii="Arial" w:hAnsi="宋体" w:cs="Arial" w:hint="eastAsia"/>
          <w:kern w:val="0"/>
          <w:szCs w:val="21"/>
        </w:rPr>
        <w:t>；</w:t>
      </w:r>
    </w:p>
    <w:p w14:paraId="162DDD5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、购买贵重金属或代表贵重金属的凭证</w:t>
      </w:r>
      <w:r>
        <w:rPr>
          <w:rFonts w:ascii="Arial" w:hAnsi="宋体" w:cs="Arial" w:hint="eastAsia"/>
          <w:kern w:val="0"/>
          <w:szCs w:val="21"/>
        </w:rPr>
        <w:t>；</w:t>
      </w:r>
    </w:p>
    <w:p w14:paraId="7892268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、购买实物商品</w:t>
      </w:r>
      <w:r>
        <w:rPr>
          <w:rFonts w:ascii="Arial" w:hAnsi="宋体" w:cs="Arial" w:hint="eastAsia"/>
          <w:kern w:val="0"/>
          <w:szCs w:val="21"/>
        </w:rPr>
        <w:t>；</w:t>
      </w:r>
    </w:p>
    <w:p w14:paraId="19DDF36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、除应付赎回、交易清算等临时用途以外，借入现金。该临时用途借入现金的比例不得超过本</w:t>
      </w:r>
      <w:r>
        <w:rPr>
          <w:rFonts w:ascii="Arial" w:hAnsi="宋体" w:cs="Arial"/>
          <w:color w:val="000000"/>
          <w:kern w:val="0"/>
          <w:szCs w:val="21"/>
        </w:rPr>
        <w:t>基金资产净值的</w:t>
      </w:r>
      <w:r>
        <w:rPr>
          <w:rFonts w:ascii="Arial" w:hAnsi="Arial" w:cs="Arial"/>
          <w:kern w:val="0"/>
          <w:szCs w:val="21"/>
        </w:rPr>
        <w:t>10%</w:t>
      </w:r>
      <w:r>
        <w:rPr>
          <w:rFonts w:ascii="Arial" w:hAnsi="宋体" w:cs="Arial" w:hint="eastAsia"/>
          <w:kern w:val="0"/>
          <w:szCs w:val="21"/>
        </w:rPr>
        <w:t>；</w:t>
      </w:r>
    </w:p>
    <w:p w14:paraId="72CF536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、利用融资购买证券，但投资金融衍生品除外</w:t>
      </w:r>
      <w:r>
        <w:rPr>
          <w:rFonts w:ascii="Arial" w:hAnsi="宋体" w:cs="Arial" w:hint="eastAsia"/>
          <w:kern w:val="0"/>
          <w:szCs w:val="21"/>
        </w:rPr>
        <w:t>；</w:t>
      </w:r>
    </w:p>
    <w:p w14:paraId="16BFEEA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lastRenderedPageBreak/>
        <w:t>7</w:t>
      </w:r>
      <w:r>
        <w:rPr>
          <w:rFonts w:ascii="Arial" w:hAnsi="宋体" w:cs="Arial"/>
          <w:kern w:val="0"/>
          <w:szCs w:val="21"/>
        </w:rPr>
        <w:t>、参与未持有基础资产的卖空交易</w:t>
      </w:r>
      <w:r>
        <w:rPr>
          <w:rFonts w:ascii="Arial" w:hAnsi="宋体" w:cs="Arial" w:hint="eastAsia"/>
          <w:kern w:val="0"/>
          <w:szCs w:val="21"/>
        </w:rPr>
        <w:t>；</w:t>
      </w:r>
    </w:p>
    <w:p w14:paraId="5C33ABA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、从事证券承销业务</w:t>
      </w:r>
      <w:r>
        <w:rPr>
          <w:rFonts w:ascii="Arial" w:hAnsi="宋体" w:cs="Arial" w:hint="eastAsia"/>
          <w:kern w:val="0"/>
          <w:szCs w:val="21"/>
        </w:rPr>
        <w:t>；</w:t>
      </w:r>
    </w:p>
    <w:p w14:paraId="454BF7F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9</w:t>
      </w:r>
      <w:r>
        <w:rPr>
          <w:rFonts w:ascii="Arial" w:hAnsi="宋体" w:cs="Arial"/>
          <w:kern w:val="0"/>
          <w:szCs w:val="21"/>
        </w:rPr>
        <w:t>、向他人贷款或者提供担保；</w:t>
      </w:r>
    </w:p>
    <w:p w14:paraId="0E7556B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10</w:t>
      </w:r>
      <w:r>
        <w:rPr>
          <w:rFonts w:ascii="Arial" w:hAnsi="宋体" w:cs="Arial"/>
          <w:kern w:val="0"/>
          <w:szCs w:val="21"/>
        </w:rPr>
        <w:t>、从事承担无限责任的投资；</w:t>
      </w:r>
    </w:p>
    <w:p w14:paraId="468D627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11</w:t>
      </w:r>
      <w:r>
        <w:rPr>
          <w:rFonts w:ascii="Arial" w:hAnsi="宋体" w:cs="Arial"/>
          <w:kern w:val="0"/>
          <w:szCs w:val="21"/>
        </w:rPr>
        <w:t>、买卖其他基金份额，但是监管部门另有规定的除外；</w:t>
      </w:r>
    </w:p>
    <w:p w14:paraId="3907F00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12</w:t>
      </w:r>
      <w:r>
        <w:rPr>
          <w:rFonts w:ascii="Arial" w:hAnsi="宋体" w:cs="Arial"/>
          <w:kern w:val="0"/>
          <w:szCs w:val="21"/>
        </w:rPr>
        <w:t>、向其基金管理人、基金托管人出资或者买卖其基金管理人、基金托管人、境外托管人发行的股票或者债券；</w:t>
      </w:r>
    </w:p>
    <w:p w14:paraId="008F691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13</w:t>
      </w:r>
      <w:r>
        <w:rPr>
          <w:rFonts w:ascii="Arial" w:hAnsi="宋体" w:cs="Arial"/>
          <w:kern w:val="0"/>
          <w:szCs w:val="21"/>
        </w:rPr>
        <w:t>、买卖与其基金管理人、基金托管人、境外托管人有控股关系的股东或者与其基金管理人、基金托管人有其他重大利害关系的公司发行的证券或者承销期内承销的证券；</w:t>
      </w:r>
    </w:p>
    <w:p w14:paraId="18BECA6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14</w:t>
      </w:r>
      <w:r>
        <w:rPr>
          <w:rFonts w:ascii="Arial" w:hAnsi="宋体" w:cs="Arial"/>
          <w:kern w:val="0"/>
          <w:szCs w:val="21"/>
        </w:rPr>
        <w:t>、从事内幕交易、操纵证券交易价格及其他不正当的证券交易活动；</w:t>
      </w:r>
    </w:p>
    <w:p w14:paraId="6A67BCB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szCs w:val="21"/>
        </w:rPr>
        <w:t>15</w:t>
      </w:r>
      <w:r>
        <w:rPr>
          <w:rFonts w:ascii="Arial" w:hAnsi="Arial" w:cs="Arial" w:hint="eastAsia"/>
          <w:kern w:val="0"/>
          <w:szCs w:val="21"/>
        </w:rPr>
        <w:t>、</w:t>
      </w:r>
      <w:r>
        <w:rPr>
          <w:rFonts w:ascii="Arial" w:hAnsi="宋体" w:cs="Arial"/>
          <w:kern w:val="0"/>
          <w:szCs w:val="21"/>
        </w:rPr>
        <w:t>不公平对待不同客户或不同投资组合</w:t>
      </w:r>
      <w:r>
        <w:rPr>
          <w:rFonts w:ascii="Arial" w:hAnsi="宋体" w:cs="Arial" w:hint="eastAsia"/>
          <w:kern w:val="0"/>
          <w:szCs w:val="21"/>
        </w:rPr>
        <w:t>；</w:t>
      </w:r>
    </w:p>
    <w:p w14:paraId="28BFA20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16</w:t>
      </w:r>
      <w:r>
        <w:rPr>
          <w:rFonts w:ascii="Arial" w:hAnsi="Arial" w:cs="Arial" w:hint="eastAsia"/>
          <w:kern w:val="0"/>
          <w:szCs w:val="21"/>
        </w:rPr>
        <w:t>、</w:t>
      </w:r>
      <w:r>
        <w:rPr>
          <w:rFonts w:ascii="Arial" w:hAnsi="宋体" w:cs="Arial"/>
          <w:kern w:val="0"/>
          <w:szCs w:val="21"/>
        </w:rPr>
        <w:t>除法律法规规定以外，向任何第三方泄露客户资料</w:t>
      </w:r>
      <w:r>
        <w:rPr>
          <w:rFonts w:ascii="Arial" w:hAnsi="宋体" w:cs="Arial" w:hint="eastAsia"/>
          <w:kern w:val="0"/>
          <w:szCs w:val="21"/>
        </w:rPr>
        <w:t>；</w:t>
      </w:r>
    </w:p>
    <w:p w14:paraId="5AB75A6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17</w:t>
      </w:r>
      <w:r>
        <w:rPr>
          <w:rFonts w:ascii="Arial" w:hAnsi="宋体" w:cs="Arial"/>
          <w:kern w:val="0"/>
          <w:szCs w:val="21"/>
        </w:rPr>
        <w:t>、依照法律法规有关规定，由国务院证券监督管理机构规定禁止的其他活动。</w:t>
      </w:r>
    </w:p>
    <w:p w14:paraId="4714114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（十）若法律法规或中国证监会的相关规定发生修改或变更，致使现行法律法规的投资禁止行为和投资组合比例限制被修改或取消，</w:t>
      </w:r>
      <w:r>
        <w:rPr>
          <w:rFonts w:ascii="Arial" w:hAnsi="宋体" w:cs="Arial"/>
          <w:color w:val="000000"/>
          <w:szCs w:val="21"/>
        </w:rPr>
        <w:t>基金管理人在履行适当程序后，本基金可相应调整禁止行为和投资限制规定。</w:t>
      </w:r>
    </w:p>
    <w:p w14:paraId="67E7FEA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（十一）投资组合比例调整</w:t>
      </w:r>
    </w:p>
    <w:p w14:paraId="4A20298C" w14:textId="77777777" w:rsidR="00F50C35" w:rsidRDefault="00FB66DA">
      <w:pPr>
        <w:adjustRightInd w:val="0"/>
        <w:snapToGrid w:val="0"/>
        <w:spacing w:line="360" w:lineRule="auto"/>
        <w:ind w:firstLine="420"/>
        <w:rPr>
          <w:rFonts w:ascii="Arial" w:hAnsi="Arial" w:cs="Arial"/>
          <w:szCs w:val="21"/>
        </w:rPr>
      </w:pPr>
      <w:r>
        <w:rPr>
          <w:rFonts w:ascii="Arial" w:hAnsi="宋体" w:cs="Arial"/>
          <w:kern w:val="0"/>
          <w:szCs w:val="21"/>
        </w:rPr>
        <w:t>基金管理人应当自基金合同生效之日起</w:t>
      </w:r>
      <w:r>
        <w:rPr>
          <w:rFonts w:ascii="Arial" w:hAnsi="Arial" w:cs="Arial"/>
          <w:kern w:val="0"/>
          <w:szCs w:val="21"/>
        </w:rPr>
        <w:t>6</w:t>
      </w:r>
      <w:r>
        <w:rPr>
          <w:rFonts w:ascii="Arial" w:hAnsi="宋体" w:cs="Arial"/>
          <w:kern w:val="0"/>
          <w:szCs w:val="21"/>
        </w:rPr>
        <w:t>个月内使基金的投资组合比例符合基金合同的约定。</w:t>
      </w:r>
      <w:r>
        <w:rPr>
          <w:rFonts w:ascii="Arial" w:hAnsi="宋体" w:cs="Arial" w:hint="eastAsia"/>
          <w:kern w:val="0"/>
          <w:szCs w:val="21"/>
          <w:highlight w:val="yellow"/>
        </w:rPr>
        <w:t>除上述第</w:t>
      </w:r>
      <w:r>
        <w:rPr>
          <w:rFonts w:ascii="Arial" w:hAnsi="宋体" w:cs="Arial" w:hint="eastAsia"/>
          <w:kern w:val="0"/>
          <w:szCs w:val="21"/>
          <w:highlight w:val="yellow"/>
        </w:rPr>
        <w:t>13</w:t>
      </w:r>
      <w:r>
        <w:rPr>
          <w:rFonts w:ascii="Arial" w:hAnsi="宋体" w:cs="Arial" w:hint="eastAsia"/>
          <w:kern w:val="0"/>
          <w:szCs w:val="21"/>
          <w:highlight w:val="yellow"/>
        </w:rPr>
        <w:t>、</w:t>
      </w:r>
      <w:r>
        <w:rPr>
          <w:rFonts w:ascii="Arial" w:hAnsi="宋体" w:cs="Arial" w:hint="eastAsia"/>
          <w:kern w:val="0"/>
          <w:szCs w:val="21"/>
          <w:highlight w:val="yellow"/>
        </w:rPr>
        <w:t>14</w:t>
      </w:r>
      <w:r>
        <w:rPr>
          <w:rFonts w:ascii="Arial" w:hAnsi="宋体" w:cs="Arial" w:hint="eastAsia"/>
          <w:kern w:val="0"/>
          <w:szCs w:val="21"/>
          <w:highlight w:val="yellow"/>
        </w:rPr>
        <w:t>项外，</w:t>
      </w:r>
      <w:r>
        <w:rPr>
          <w:rFonts w:ascii="Arial" w:hAnsi="宋体" w:cs="Arial"/>
          <w:kern w:val="0"/>
          <w:szCs w:val="21"/>
        </w:rPr>
        <w:t>因证券市场波动、上市公司合并、基金规模变动等基金管理人之外的因素致使基金投资不符合基金合同约定的投资比例规定的，基金管理人应当在</w:t>
      </w:r>
      <w:r>
        <w:rPr>
          <w:rFonts w:ascii="Arial" w:hAnsi="Arial" w:cs="Arial"/>
          <w:kern w:val="0"/>
          <w:szCs w:val="21"/>
        </w:rPr>
        <w:t>30</w:t>
      </w:r>
      <w:r>
        <w:rPr>
          <w:rFonts w:ascii="Arial" w:hAnsi="宋体" w:cs="Arial"/>
          <w:kern w:val="0"/>
          <w:szCs w:val="21"/>
        </w:rPr>
        <w:t>个交易日内进行调整。</w:t>
      </w:r>
      <w:r>
        <w:rPr>
          <w:rFonts w:ascii="Arial" w:hAnsi="宋体" w:cs="Arial"/>
          <w:szCs w:val="21"/>
        </w:rPr>
        <w:t>法律法规另有规定时，从其规定。</w:t>
      </w:r>
    </w:p>
    <w:p w14:paraId="4EE6CF8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（十二）基金管理人代表基金行使所投资证券产生权利的处理原则及方法</w:t>
      </w:r>
    </w:p>
    <w:p w14:paraId="07B3541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、基金管理人按照国家有关规定代表基金独立行使债权人权利，保护投资者的利益；</w:t>
      </w:r>
    </w:p>
    <w:p w14:paraId="05ACDF9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、有利于</w:t>
      </w:r>
      <w:r>
        <w:rPr>
          <w:rFonts w:ascii="Arial" w:hAnsi="宋体" w:cs="Arial"/>
          <w:color w:val="000000"/>
          <w:kern w:val="0"/>
          <w:szCs w:val="21"/>
        </w:rPr>
        <w:t>基金财产</w:t>
      </w:r>
      <w:r>
        <w:rPr>
          <w:rFonts w:ascii="Arial" w:hAnsi="宋体" w:cs="Arial"/>
          <w:kern w:val="0"/>
          <w:szCs w:val="21"/>
        </w:rPr>
        <w:t>的安全与增值。</w:t>
      </w:r>
    </w:p>
    <w:p w14:paraId="540ADF1A" w14:textId="77777777" w:rsidR="00F50C35" w:rsidRDefault="00FB66DA">
      <w:pPr>
        <w:pStyle w:val="1"/>
        <w:snapToGrid w:val="0"/>
        <w:spacing w:before="0" w:after="0" w:line="360" w:lineRule="auto"/>
        <w:rPr>
          <w:rFonts w:hAnsi="Arial"/>
          <w:kern w:val="0"/>
        </w:rPr>
      </w:pPr>
      <w:r>
        <w:rPr>
          <w:rFonts w:ascii="Arial" w:hAnsi="Arial" w:cs="Arial"/>
          <w:kern w:val="0"/>
          <w:szCs w:val="21"/>
        </w:rPr>
        <w:br w:type="page"/>
      </w:r>
      <w:bookmarkStart w:id="56" w:name="_Toc88037849"/>
      <w:bookmarkStart w:id="57" w:name="_Toc78595975"/>
      <w:bookmarkStart w:id="58" w:name="_Toc274814081"/>
      <w:bookmarkStart w:id="59" w:name="_Toc274814014"/>
      <w:r>
        <w:rPr>
          <w:kern w:val="0"/>
        </w:rPr>
        <w:lastRenderedPageBreak/>
        <w:t>十五、基金的融资</w:t>
      </w:r>
      <w:bookmarkEnd w:id="56"/>
      <w:bookmarkEnd w:id="57"/>
      <w:r>
        <w:rPr>
          <w:kern w:val="0"/>
        </w:rPr>
        <w:t>、融券</w:t>
      </w:r>
      <w:bookmarkEnd w:id="58"/>
      <w:bookmarkEnd w:id="59"/>
    </w:p>
    <w:p w14:paraId="401DBF36"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本基金可以根据有关法律法规和政策规定进行融资、融券。</w:t>
      </w:r>
    </w:p>
    <w:p w14:paraId="503D617E" w14:textId="77777777" w:rsidR="00F50C35" w:rsidRDefault="00FB66DA">
      <w:pPr>
        <w:pStyle w:val="1"/>
        <w:snapToGrid w:val="0"/>
        <w:spacing w:before="0" w:after="0" w:line="360" w:lineRule="auto"/>
        <w:rPr>
          <w:rFonts w:hAnsi="Arial"/>
          <w:kern w:val="0"/>
        </w:rPr>
      </w:pPr>
      <w:bookmarkStart w:id="60" w:name="_Toc88037850"/>
      <w:r>
        <w:rPr>
          <w:rFonts w:hAnsi="Arial"/>
        </w:rPr>
        <w:br w:type="page"/>
      </w:r>
      <w:bookmarkStart w:id="61" w:name="_Toc274814082"/>
      <w:bookmarkStart w:id="62" w:name="_Toc274814015"/>
      <w:r>
        <w:rPr>
          <w:kern w:val="0"/>
        </w:rPr>
        <w:lastRenderedPageBreak/>
        <w:t>十六、基金的财产</w:t>
      </w:r>
      <w:bookmarkEnd w:id="60"/>
      <w:bookmarkEnd w:id="61"/>
      <w:bookmarkEnd w:id="62"/>
    </w:p>
    <w:p w14:paraId="5DD207AC"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t>（一）基金</w:t>
      </w:r>
      <w:r>
        <w:rPr>
          <w:rFonts w:ascii="Arial" w:hAnsi="宋体" w:cs="Arial"/>
          <w:color w:val="000000"/>
          <w:kern w:val="0"/>
          <w:szCs w:val="21"/>
        </w:rPr>
        <w:t>资产总值</w:t>
      </w:r>
    </w:p>
    <w:p w14:paraId="5D7D36B6"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本基金基金资产总值包括基金所拥有的股票、银行存款本息、基金的应收款项和其他投资所形成的价值总和。</w:t>
      </w:r>
    </w:p>
    <w:p w14:paraId="27A8CD2B"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（二）基金资产净值</w:t>
      </w:r>
    </w:p>
    <w:p w14:paraId="11D3B76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kern w:val="0"/>
          <w:szCs w:val="21"/>
        </w:rPr>
        <w:t>本基金基金资产净值是指基金资产总值</w:t>
      </w:r>
      <w:r>
        <w:rPr>
          <w:rFonts w:ascii="Arial" w:hAnsi="宋体" w:cs="Arial"/>
          <w:kern w:val="0"/>
          <w:szCs w:val="21"/>
        </w:rPr>
        <w:t>减去负债后的价值。</w:t>
      </w:r>
    </w:p>
    <w:p w14:paraId="02308B0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（三）基金财产的账户</w:t>
      </w:r>
    </w:p>
    <w:p w14:paraId="1B52F28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本基金根据相关法律法规、规范性文件在境内开立人民币和外币资金账户，在境外开立外币资金账户及证券账户，与基金管理人、基金托管人和境外托管人自有的财产账户以及其他基金财产账户独立。</w:t>
      </w:r>
    </w:p>
    <w:p w14:paraId="582FBEA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（四）基金财产的保管及处分</w:t>
      </w:r>
    </w:p>
    <w:p w14:paraId="3AB0E1D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、本基金财产独立于基金管理人、基金托管人和境外托管人的固有财产。基金管理人、境外托管人不得将基金财产归入其固有财产</w:t>
      </w:r>
      <w:r>
        <w:rPr>
          <w:rFonts w:ascii="Arial" w:hAnsi="宋体" w:cs="Arial" w:hint="eastAsia"/>
          <w:kern w:val="0"/>
          <w:szCs w:val="21"/>
        </w:rPr>
        <w:t>；</w:t>
      </w:r>
    </w:p>
    <w:p w14:paraId="2ED47CD3" w14:textId="77777777" w:rsidR="00F50C35" w:rsidRDefault="00FB66DA">
      <w:pPr>
        <w:adjustRightInd w:val="0"/>
        <w:snapToGrid w:val="0"/>
        <w:spacing w:line="360" w:lineRule="auto"/>
        <w:ind w:firstLine="420"/>
        <w:rPr>
          <w:rFonts w:ascii="Arial" w:hAnsi="Arial" w:cs="Arial"/>
          <w:szCs w:val="21"/>
        </w:rPr>
      </w:pPr>
      <w:r>
        <w:rPr>
          <w:rFonts w:ascii="Arial" w:hAnsi="Arial" w:cs="Arial"/>
          <w:kern w:val="0"/>
          <w:szCs w:val="21"/>
        </w:rPr>
        <w:t>2</w:t>
      </w:r>
      <w:r>
        <w:rPr>
          <w:rFonts w:ascii="Arial" w:hAnsi="宋体" w:cs="Arial"/>
          <w:kern w:val="0"/>
          <w:szCs w:val="21"/>
        </w:rPr>
        <w:t>、</w:t>
      </w:r>
      <w:r>
        <w:rPr>
          <w:rFonts w:ascii="Arial" w:hAnsi="宋体" w:cs="Arial"/>
          <w:szCs w:val="21"/>
        </w:rPr>
        <w:t>基金托管人和境外托管人应安全保管基金财产</w:t>
      </w:r>
      <w:r>
        <w:rPr>
          <w:rFonts w:ascii="Arial" w:hAnsi="宋体" w:cs="Arial" w:hint="eastAsia"/>
          <w:szCs w:val="21"/>
        </w:rPr>
        <w:t>；</w:t>
      </w:r>
    </w:p>
    <w:p w14:paraId="28C5795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、基金管理人、基金托管人、境外托管人因基金财产的管理、运用或者其他情形而取得的财产和收益，归基金财产</w:t>
      </w:r>
      <w:r>
        <w:rPr>
          <w:rFonts w:ascii="Arial" w:hAnsi="宋体" w:cs="Arial" w:hint="eastAsia"/>
          <w:kern w:val="0"/>
          <w:szCs w:val="21"/>
        </w:rPr>
        <w:t>；</w:t>
      </w:r>
    </w:p>
    <w:p w14:paraId="3ACC5AB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w:t>
      </w:r>
      <w:r>
        <w:rPr>
          <w:rFonts w:ascii="Arial" w:hAnsi="宋体" w:cs="Arial"/>
          <w:szCs w:val="21"/>
        </w:rPr>
        <w:t>基金托管人或境外托管人按照规定或境外市场惯例开设基金财产的所有资金账户和证券账户</w:t>
      </w:r>
      <w:r>
        <w:rPr>
          <w:rFonts w:ascii="Arial" w:hAnsi="宋体" w:cs="Arial" w:hint="eastAsia"/>
          <w:szCs w:val="21"/>
        </w:rPr>
        <w:t>；</w:t>
      </w:r>
    </w:p>
    <w:p w14:paraId="4CC0F81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w:t>
      </w:r>
      <w:r>
        <w:rPr>
          <w:rFonts w:ascii="Arial" w:hAnsi="宋体" w:cs="Arial"/>
          <w:szCs w:val="21"/>
        </w:rPr>
        <w:t>基金托管人对所托管的不同基金财产分别设置账户，确保基金财产的完整与独立</w:t>
      </w:r>
      <w:r>
        <w:rPr>
          <w:rFonts w:ascii="Arial" w:hAnsi="宋体" w:cs="Arial" w:hint="eastAsia"/>
          <w:szCs w:val="21"/>
        </w:rPr>
        <w:t>；</w:t>
      </w:r>
    </w:p>
    <w:p w14:paraId="21FA93D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基金管理人、基金托管人以其自有的财产承担自身相应的法律责任，其债权人不得对基金财产行使请求冻结、扣押或其他权利。基金管理人、基金托管人因依法解散、被依法撤销或者被依法宣告破产等原因进行清算的，基金财产不属于其清算范围</w:t>
      </w:r>
      <w:r>
        <w:rPr>
          <w:rFonts w:ascii="Arial" w:hAnsi="宋体" w:cs="Arial" w:hint="eastAsia"/>
          <w:kern w:val="0"/>
          <w:szCs w:val="21"/>
        </w:rPr>
        <w:t>；</w:t>
      </w:r>
    </w:p>
    <w:p w14:paraId="2506D19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、非因基金财产本身承担的债务，不得对基金财产强制执行。</w:t>
      </w:r>
    </w:p>
    <w:p w14:paraId="11A33499" w14:textId="77777777" w:rsidR="00F50C35" w:rsidRDefault="00FB66DA">
      <w:pPr>
        <w:pStyle w:val="1"/>
        <w:snapToGrid w:val="0"/>
        <w:spacing w:before="0" w:after="0" w:line="360" w:lineRule="auto"/>
        <w:rPr>
          <w:rFonts w:hAnsi="Arial"/>
          <w:kern w:val="0"/>
        </w:rPr>
      </w:pPr>
      <w:bookmarkStart w:id="63" w:name="_Toc88037851"/>
      <w:r>
        <w:rPr>
          <w:rFonts w:hAnsi="Arial"/>
          <w:kern w:val="0"/>
        </w:rPr>
        <w:br w:type="page"/>
      </w:r>
      <w:bookmarkStart w:id="64" w:name="_Toc274814083"/>
      <w:bookmarkStart w:id="65" w:name="_Toc274814016"/>
      <w:r>
        <w:rPr>
          <w:kern w:val="0"/>
        </w:rPr>
        <w:lastRenderedPageBreak/>
        <w:t>十七、基金资产的估值</w:t>
      </w:r>
      <w:bookmarkEnd w:id="63"/>
      <w:bookmarkEnd w:id="64"/>
      <w:bookmarkEnd w:id="65"/>
    </w:p>
    <w:p w14:paraId="3D258189"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（一）估值目的</w:t>
      </w:r>
    </w:p>
    <w:p w14:paraId="62E74833"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基金资产的估值目的是客观、准确地反映基金资产的价值，确定基金</w:t>
      </w:r>
      <w:r>
        <w:rPr>
          <w:rFonts w:ascii="Arial" w:hAnsi="宋体" w:cs="Arial"/>
          <w:szCs w:val="21"/>
        </w:rPr>
        <w:t>资产</w:t>
      </w:r>
      <w:r>
        <w:rPr>
          <w:rFonts w:ascii="Arial" w:hAnsi="宋体" w:cs="Arial"/>
          <w:color w:val="000000"/>
          <w:kern w:val="0"/>
          <w:szCs w:val="21"/>
        </w:rPr>
        <w:t>净值，并为基金份额的申购与赎回提供计价依据。</w:t>
      </w:r>
    </w:p>
    <w:p w14:paraId="5DC9A7CA" w14:textId="77777777" w:rsidR="00F50C35" w:rsidRDefault="00FB66DA">
      <w:pPr>
        <w:pStyle w:val="a7"/>
        <w:adjustRightInd w:val="0"/>
        <w:snapToGrid w:val="0"/>
        <w:spacing w:line="360" w:lineRule="auto"/>
        <w:rPr>
          <w:rFonts w:ascii="Arial" w:hAnsi="Arial" w:cs="Arial"/>
          <w:bCs/>
          <w:color w:val="000000"/>
          <w:kern w:val="0"/>
          <w:szCs w:val="21"/>
        </w:rPr>
      </w:pPr>
      <w:r>
        <w:rPr>
          <w:rFonts w:ascii="Arial" w:hAnsi="宋体" w:cs="Arial"/>
          <w:bCs/>
          <w:color w:val="000000"/>
          <w:kern w:val="0"/>
          <w:szCs w:val="21"/>
        </w:rPr>
        <w:t>（二）估值频率及估值截止时间</w:t>
      </w:r>
    </w:p>
    <w:p w14:paraId="1C36D35E" w14:textId="77777777" w:rsidR="00F50C35" w:rsidRDefault="00FB66DA">
      <w:pPr>
        <w:snapToGrid w:val="0"/>
        <w:spacing w:line="360" w:lineRule="auto"/>
        <w:ind w:firstLineChars="200" w:firstLine="420"/>
        <w:rPr>
          <w:rFonts w:ascii="Arial" w:hAnsi="Arial" w:cs="Arial"/>
        </w:rPr>
      </w:pPr>
      <w:r>
        <w:rPr>
          <w:rFonts w:ascii="Arial" w:hAnsi="宋体" w:cs="Arial"/>
          <w:color w:val="000000"/>
          <w:szCs w:val="21"/>
        </w:rPr>
        <w:t>基金合同生效后，每个工作日对基金财产进行</w:t>
      </w:r>
      <w:r>
        <w:rPr>
          <w:rFonts w:ascii="Arial" w:hAnsi="宋体" w:cs="Arial"/>
          <w:szCs w:val="21"/>
        </w:rPr>
        <w:t>估值，</w:t>
      </w:r>
      <w:r>
        <w:rPr>
          <w:rFonts w:ascii="Arial" w:hAnsi="Arial" w:cs="Arial"/>
          <w:bCs/>
          <w:szCs w:val="21"/>
        </w:rPr>
        <w:t>T+1</w:t>
      </w:r>
      <w:r>
        <w:rPr>
          <w:rFonts w:ascii="Arial" w:hAnsi="宋体" w:cs="Arial"/>
          <w:bCs/>
          <w:szCs w:val="21"/>
        </w:rPr>
        <w:t>日完成</w:t>
      </w:r>
      <w:r>
        <w:rPr>
          <w:rFonts w:ascii="Arial" w:hAnsi="Arial" w:cs="Arial"/>
          <w:bCs/>
          <w:szCs w:val="21"/>
        </w:rPr>
        <w:t>T</w:t>
      </w:r>
      <w:r>
        <w:rPr>
          <w:rFonts w:ascii="Arial" w:hAnsi="宋体" w:cs="Arial"/>
          <w:bCs/>
          <w:szCs w:val="21"/>
        </w:rPr>
        <w:t>日估值。</w:t>
      </w:r>
      <w:r>
        <w:rPr>
          <w:rFonts w:ascii="Arial" w:hAnsi="Arial" w:cs="Arial"/>
        </w:rPr>
        <w:t>估值截止时间为北京时间</w:t>
      </w:r>
      <w:r>
        <w:rPr>
          <w:rFonts w:ascii="Arial" w:hAnsi="Arial" w:cs="Arial"/>
        </w:rPr>
        <w:t>T+1</w:t>
      </w:r>
      <w:r>
        <w:rPr>
          <w:rFonts w:ascii="Arial" w:hAnsi="Arial" w:cs="Arial"/>
        </w:rPr>
        <w:t>日上午</w:t>
      </w:r>
      <w:r>
        <w:rPr>
          <w:rFonts w:ascii="Arial" w:hAnsi="Arial" w:cs="Arial"/>
        </w:rPr>
        <w:t>9</w:t>
      </w:r>
      <w:r>
        <w:rPr>
          <w:rFonts w:ascii="Arial" w:hAnsi="Arial" w:cs="Arial"/>
        </w:rPr>
        <w:t>：</w:t>
      </w:r>
      <w:r>
        <w:rPr>
          <w:rFonts w:ascii="Arial" w:hAnsi="Arial" w:cs="Arial"/>
        </w:rPr>
        <w:t>00</w:t>
      </w:r>
      <w:r>
        <w:rPr>
          <w:rFonts w:ascii="Arial" w:hAnsi="Arial" w:cs="Arial"/>
        </w:rPr>
        <w:t>（指采用的公允价格的时间）。</w:t>
      </w:r>
    </w:p>
    <w:p w14:paraId="7E576E9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（三）估值对象</w:t>
      </w:r>
    </w:p>
    <w:p w14:paraId="7B3ADF49"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本基金所拥有的股票和银行存款本息、应收款项和其他投资等资产。</w:t>
      </w:r>
    </w:p>
    <w:p w14:paraId="1C94EF8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（四）估值方法</w:t>
      </w:r>
    </w:p>
    <w:p w14:paraId="18B5D933"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本基金按以下方式进行估值：</w:t>
      </w:r>
    </w:p>
    <w:p w14:paraId="135A3420"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1</w:t>
      </w:r>
      <w:r>
        <w:rPr>
          <w:rFonts w:ascii="Arial" w:hAnsi="Arial" w:cs="Arial"/>
          <w:kern w:val="0"/>
          <w:szCs w:val="21"/>
        </w:rPr>
        <w:t>、已上市流通的有价证券的估值</w:t>
      </w:r>
    </w:p>
    <w:p w14:paraId="068E64C1"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上市流通的股票、债券、存托凭证和交易型开放式指数基金（</w:t>
      </w:r>
      <w:r>
        <w:rPr>
          <w:rFonts w:ascii="Arial" w:hAnsi="Arial" w:cs="Arial"/>
          <w:kern w:val="0"/>
          <w:szCs w:val="21"/>
        </w:rPr>
        <w:t>ETF</w:t>
      </w:r>
      <w:r>
        <w:rPr>
          <w:rFonts w:ascii="Arial" w:hAnsi="Arial" w:cs="Arial"/>
          <w:kern w:val="0"/>
          <w:szCs w:val="21"/>
        </w:rPr>
        <w:t>），以其估值日在证券交易所挂牌的市价（收盘价）估值，其中债券为净价（收盘价）估值；估值日无交易的，以最近交易日的市价（收盘价）估值。</w:t>
      </w:r>
    </w:p>
    <w:p w14:paraId="1FBBEB46"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2</w:t>
      </w:r>
      <w:r>
        <w:rPr>
          <w:rFonts w:ascii="Arial" w:hAnsi="Arial" w:cs="Arial"/>
          <w:kern w:val="0"/>
          <w:szCs w:val="21"/>
        </w:rPr>
        <w:t>、处于未上市期间的有价证券应区分如下情况处理：</w:t>
      </w:r>
    </w:p>
    <w:p w14:paraId="073DA7E3"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）送股、转增股、配股和增发新股，按估值日在证券交易所挂牌的同一股票的市价（收盘价）估值；该日无交易的，以最近交易日的市价（收盘价）估值；</w:t>
      </w:r>
    </w:p>
    <w:p w14:paraId="635E5F91"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）首次发行未上市的股票，采用估值技术确定公允价值，在估值技术难以可靠计量的情况下，按成本估值；</w:t>
      </w:r>
    </w:p>
    <w:p w14:paraId="36852F0B"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3</w:t>
      </w:r>
      <w:r>
        <w:rPr>
          <w:rFonts w:ascii="Arial" w:hAnsi="Arial" w:cs="Arial"/>
          <w:kern w:val="0"/>
          <w:szCs w:val="21"/>
        </w:rPr>
        <w:t>）首次公开发行有明确锁定期的股票，同一股票在交易所上市后，按交易所上市的同一股票的估值方法估值。非公开发行且处于明确锁定期的股票，按监管机构或行业协会的有关规定确定公允价值；</w:t>
      </w:r>
    </w:p>
    <w:p w14:paraId="2E6A8C05"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4</w:t>
      </w:r>
      <w:r>
        <w:rPr>
          <w:rFonts w:ascii="Arial" w:hAnsi="Arial" w:cs="Arial"/>
          <w:kern w:val="0"/>
          <w:szCs w:val="21"/>
        </w:rPr>
        <w:t>）对于首次发行未上市的债券按成本价估值；对于非上市债券，参照主要做市商或其他权威价格提供机构的报价进行估值。</w:t>
      </w:r>
    </w:p>
    <w:p w14:paraId="488A592F"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3</w:t>
      </w:r>
      <w:r>
        <w:rPr>
          <w:rFonts w:ascii="Arial" w:hAnsi="Arial" w:cs="Arial"/>
          <w:kern w:val="0"/>
          <w:szCs w:val="21"/>
        </w:rPr>
        <w:t>、开放式基金的估值以其在估值截止时间能取得的最新净值进行估值，开放式基金未公布估值日的净值的，以估值日前最新的净值进行估值。</w:t>
      </w:r>
    </w:p>
    <w:p w14:paraId="7E8C30D8"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4</w:t>
      </w:r>
      <w:r>
        <w:rPr>
          <w:rFonts w:ascii="Arial" w:hAnsi="Arial" w:cs="Arial"/>
          <w:kern w:val="0"/>
          <w:szCs w:val="21"/>
        </w:rPr>
        <w:t>、配股权证，从配股除权日起到配股确认日止，如果收盘价高于配股价，按收盘价高于配股价的差额估值。收盘价等于或低于配股价，则估值为零。</w:t>
      </w:r>
    </w:p>
    <w:p w14:paraId="633AC754"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5</w:t>
      </w:r>
      <w:r>
        <w:rPr>
          <w:rFonts w:ascii="Arial" w:hAnsi="Arial" w:cs="Arial"/>
          <w:kern w:val="0"/>
          <w:szCs w:val="21"/>
        </w:rPr>
        <w:t>、基金持有的衍生工具等其他有价证券，上市交易的有价证券按估值日的收盘价估值；估值日没有交易的，按最近交易日的收盘价估值；未上市交易的，采用估值技术确定公允价值，在估值技术难以可靠计量的情况下，按成本估值；停止交易、但未行权的有价证券，采用估值技术确定公允价值。</w:t>
      </w:r>
    </w:p>
    <w:p w14:paraId="60FDBAE7"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lastRenderedPageBreak/>
        <w:t>6</w:t>
      </w:r>
      <w:r>
        <w:rPr>
          <w:rFonts w:ascii="Arial" w:hAnsi="Arial" w:cs="Arial"/>
          <w:kern w:val="0"/>
          <w:szCs w:val="21"/>
        </w:rPr>
        <w:t>、在任何情况下，基金管理人如采用上述第</w:t>
      </w:r>
      <w:r>
        <w:rPr>
          <w:rFonts w:ascii="Arial" w:hAnsi="Arial" w:cs="Arial"/>
          <w:kern w:val="0"/>
          <w:szCs w:val="21"/>
        </w:rPr>
        <w:t>1-5</w:t>
      </w:r>
      <w:r>
        <w:rPr>
          <w:rFonts w:ascii="Arial" w:hAnsi="Arial" w:cs="Arial"/>
          <w:kern w:val="0"/>
          <w:szCs w:val="21"/>
        </w:rPr>
        <w:t>项规定的方法对基金资产进行估值，均应被认为采用了适当的估值方法。</w:t>
      </w:r>
    </w:p>
    <w:p w14:paraId="00F82483"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7</w:t>
      </w:r>
      <w:r>
        <w:rPr>
          <w:rFonts w:ascii="Arial" w:hAnsi="Arial" w:cs="Arial"/>
          <w:kern w:val="0"/>
          <w:szCs w:val="21"/>
        </w:rPr>
        <w:t>、如有确凿证据表明按上述方法进行估值不能客观反映其公允价值的，基金管理人可根据具体情况与基金托管人商定后，按最能反映公允价值的价格估值。</w:t>
      </w:r>
    </w:p>
    <w:p w14:paraId="4A9D5AFB"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8</w:t>
      </w:r>
      <w:r>
        <w:rPr>
          <w:rFonts w:ascii="Arial" w:hAnsi="Arial" w:cs="Arial"/>
          <w:kern w:val="0"/>
          <w:szCs w:val="21"/>
        </w:rPr>
        <w:t>、相关法律法规以及监管部门有强制规定的，从其规定。如有新增事项，按国家最新规定估值。</w:t>
      </w:r>
    </w:p>
    <w:p w14:paraId="11B81B2A"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9</w:t>
      </w:r>
      <w:r>
        <w:rPr>
          <w:rFonts w:ascii="Arial" w:hAnsi="Arial" w:cs="Arial"/>
          <w:kern w:val="0"/>
          <w:szCs w:val="21"/>
        </w:rPr>
        <w:t>、估值中的汇率选取原则：</w:t>
      </w:r>
    </w:p>
    <w:p w14:paraId="5EF6E03D"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）估值计算中涉及中国人民银行或其授权机构公布人民币汇率中间价的货币，其对人民币汇率以估值日中国人民银行或其授权机构公布的人民币汇率中间价为准；</w:t>
      </w:r>
    </w:p>
    <w:p w14:paraId="40057707"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）其他货币对人民币的汇率采用美元作为中间货币进行换算，外汇币种与美元之间的兑换汇率将按照彭博（</w:t>
      </w:r>
      <w:r>
        <w:rPr>
          <w:rFonts w:ascii="Arial" w:hAnsi="Arial" w:cs="Arial"/>
          <w:kern w:val="0"/>
          <w:szCs w:val="21"/>
        </w:rPr>
        <w:t>Bloomberg</w:t>
      </w:r>
      <w:r>
        <w:rPr>
          <w:rFonts w:ascii="Arial" w:hAnsi="Arial" w:cs="Arial"/>
          <w:kern w:val="0"/>
          <w:szCs w:val="21"/>
        </w:rPr>
        <w:t>）金融终端提供的估值日的兑换价格为准。</w:t>
      </w:r>
    </w:p>
    <w:p w14:paraId="2CB40C7A"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若无法取得上述汇率价格信息时，以管理人认可的托管银行或境外托管人所提供的合理公开外汇市埸交易价格为准。</w:t>
      </w:r>
    </w:p>
    <w:p w14:paraId="124F825C" w14:textId="0A89D616"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根据《基金法》，基金管理人计算并公告基金净值信息，基金托管人复核、审查基金管理人计算的基金净值</w:t>
      </w:r>
      <w:r>
        <w:rPr>
          <w:rFonts w:ascii="Arial" w:hAnsi="Arial" w:cs="Arial" w:hint="eastAsia"/>
          <w:kern w:val="0"/>
          <w:szCs w:val="21"/>
        </w:rPr>
        <w:t>信息</w:t>
      </w:r>
      <w:r>
        <w:rPr>
          <w:rFonts w:ascii="Arial" w:hAnsi="Arial" w:cs="Arial"/>
          <w:kern w:val="0"/>
          <w:szCs w:val="21"/>
        </w:rPr>
        <w:t>。因此，就与本基金有关的会计问题，如经相关各方在平等基础上充分讨论后，仍无法达成一致的意见，按照基金管理人对基金净值</w:t>
      </w:r>
      <w:r>
        <w:rPr>
          <w:rFonts w:ascii="Arial" w:hAnsi="Arial" w:cs="Arial" w:hint="eastAsia"/>
          <w:kern w:val="0"/>
          <w:szCs w:val="21"/>
        </w:rPr>
        <w:t>信息</w:t>
      </w:r>
      <w:r>
        <w:rPr>
          <w:rFonts w:ascii="Arial" w:hAnsi="Arial" w:cs="Arial"/>
          <w:kern w:val="0"/>
          <w:szCs w:val="21"/>
        </w:rPr>
        <w:t>的计算结果对外予以公布，基金托管人对此保留向中国证监会报告的权利。</w:t>
      </w:r>
    </w:p>
    <w:p w14:paraId="0F48B554" w14:textId="77777777" w:rsidR="00F50C35" w:rsidRDefault="00FB66DA">
      <w:pPr>
        <w:adjustRightInd w:val="0"/>
        <w:snapToGrid w:val="0"/>
        <w:spacing w:line="360" w:lineRule="auto"/>
        <w:ind w:firstLineChars="200" w:firstLine="420"/>
        <w:rPr>
          <w:rFonts w:ascii="Arial" w:hAnsi="Arial" w:cs="Arial"/>
          <w:kern w:val="0"/>
          <w:szCs w:val="21"/>
        </w:rPr>
      </w:pPr>
      <w:r>
        <w:rPr>
          <w:rFonts w:ascii="Arial" w:hAnsi="Arial" w:cs="Arial"/>
          <w:kern w:val="0"/>
          <w:szCs w:val="21"/>
        </w:rPr>
        <w:t>10</w:t>
      </w:r>
      <w:r>
        <w:rPr>
          <w:rFonts w:ascii="Arial" w:hAnsi="Arial" w:cs="Arial"/>
          <w:kern w:val="0"/>
          <w:szCs w:val="21"/>
        </w:rPr>
        <w:t>、估值中的税收处理原则：</w:t>
      </w:r>
    </w:p>
    <w:p w14:paraId="736109F1" w14:textId="77777777" w:rsidR="00F50C35" w:rsidRDefault="00FB66DA">
      <w:pPr>
        <w:adjustRightInd w:val="0"/>
        <w:snapToGrid w:val="0"/>
        <w:spacing w:line="360" w:lineRule="auto"/>
        <w:ind w:firstLine="420"/>
        <w:rPr>
          <w:rFonts w:ascii="Arial" w:hAnsi="Arial" w:cs="Arial"/>
          <w:szCs w:val="21"/>
        </w:rPr>
      </w:pPr>
      <w:r>
        <w:rPr>
          <w:rFonts w:ascii="Arial" w:hAnsi="Arial" w:cs="Arial"/>
          <w:kern w:val="0"/>
          <w:szCs w:val="21"/>
        </w:rPr>
        <w:t>对于按照中国法律法规和基金投资所在地的法律法规规定应交纳的各项税金，本基金将按权责发生制原则进行估值；对于因税收规定调整或其他原因导致基金实际交纳税金与估算的应交税金有差异的，基金将在相关税金实际支付日进行相应的估值调整。</w:t>
      </w:r>
    </w:p>
    <w:p w14:paraId="6CC745C1"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（五）估值程序</w:t>
      </w:r>
    </w:p>
    <w:p w14:paraId="33CBE9D6"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基金日常估值由基金管理人和基金托管人一同进行。基金管理人将估值结果以书面形式发送基金托管人，基金托管人按《基金合同》规定的估值方法、时间、程序进行复核，基金托管人复核无误后签章返回给基金管理人。月末、年中和年末估值复核与基金会计账目的核对同时进行。</w:t>
      </w:r>
    </w:p>
    <w:p w14:paraId="30D67FC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（六）暂停估值的情形</w:t>
      </w:r>
    </w:p>
    <w:p w14:paraId="2FF192C5" w14:textId="77777777" w:rsidR="00F50C35" w:rsidRDefault="00FB66DA">
      <w:pPr>
        <w:adjustRightInd w:val="0"/>
        <w:snapToGrid w:val="0"/>
        <w:spacing w:line="360" w:lineRule="auto"/>
        <w:ind w:firstLine="420"/>
        <w:rPr>
          <w:rFonts w:ascii="Arial" w:hAnsi="Arial" w:cs="Arial"/>
          <w:szCs w:val="21"/>
        </w:rPr>
      </w:pPr>
      <w:r>
        <w:rPr>
          <w:rFonts w:ascii="Arial" w:hAnsi="Arial" w:cs="Arial"/>
          <w:szCs w:val="21"/>
        </w:rPr>
        <w:t>1</w:t>
      </w:r>
      <w:r>
        <w:rPr>
          <w:rFonts w:ascii="Arial" w:hAnsi="宋体" w:cs="Arial"/>
          <w:szCs w:val="21"/>
        </w:rPr>
        <w:t>、</w:t>
      </w:r>
      <w:r>
        <w:rPr>
          <w:rFonts w:ascii="Arial" w:hAnsi="宋体" w:cs="Arial"/>
          <w:color w:val="000000"/>
          <w:kern w:val="0"/>
          <w:szCs w:val="21"/>
        </w:rPr>
        <w:t>基金投资所涉及的</w:t>
      </w:r>
      <w:r>
        <w:rPr>
          <w:rFonts w:ascii="Arial" w:hAnsi="宋体" w:cs="Arial"/>
          <w:szCs w:val="21"/>
        </w:rPr>
        <w:t>主要</w:t>
      </w:r>
      <w:r>
        <w:rPr>
          <w:rFonts w:ascii="Arial" w:hAnsi="宋体" w:cs="Arial"/>
          <w:color w:val="000000"/>
          <w:kern w:val="0"/>
          <w:szCs w:val="21"/>
        </w:rPr>
        <w:t>市场</w:t>
      </w:r>
      <w:r>
        <w:rPr>
          <w:rFonts w:ascii="Arial" w:hAnsi="宋体" w:cs="Arial"/>
          <w:kern w:val="0"/>
          <w:szCs w:val="21"/>
        </w:rPr>
        <w:t>遇法定节假日或因其他原因停市时；</w:t>
      </w:r>
    </w:p>
    <w:p w14:paraId="61986B5A" w14:textId="77777777" w:rsidR="00F50C35" w:rsidRDefault="00FB66DA">
      <w:pPr>
        <w:adjustRightInd w:val="0"/>
        <w:snapToGrid w:val="0"/>
        <w:spacing w:line="360" w:lineRule="auto"/>
        <w:ind w:firstLine="420"/>
        <w:rPr>
          <w:rFonts w:ascii="Arial" w:hAnsi="宋体" w:cs="Arial"/>
          <w:color w:val="000000"/>
          <w:szCs w:val="21"/>
        </w:rPr>
      </w:pPr>
      <w:r>
        <w:rPr>
          <w:rFonts w:ascii="Arial" w:hAnsi="Arial" w:cs="Arial"/>
          <w:szCs w:val="21"/>
        </w:rPr>
        <w:t>2</w:t>
      </w:r>
      <w:r>
        <w:rPr>
          <w:rFonts w:ascii="Arial" w:hAnsi="宋体" w:cs="Arial"/>
          <w:szCs w:val="21"/>
        </w:rPr>
        <w:t>、因不可抗力或其他情形致使基金管理人、基金托管人、境外托管人、投资顾问无法准确评估</w:t>
      </w:r>
      <w:r>
        <w:rPr>
          <w:rFonts w:ascii="Arial" w:hAnsi="宋体" w:cs="Arial"/>
          <w:color w:val="000000"/>
          <w:szCs w:val="21"/>
        </w:rPr>
        <w:t>基金财产价值时；</w:t>
      </w:r>
    </w:p>
    <w:p w14:paraId="2F5B4918" w14:textId="77777777" w:rsidR="00F50C35" w:rsidRDefault="00FB66DA">
      <w:pPr>
        <w:adjustRightInd w:val="0"/>
        <w:snapToGrid w:val="0"/>
        <w:spacing w:line="360" w:lineRule="auto"/>
        <w:ind w:firstLine="420"/>
        <w:rPr>
          <w:rFonts w:ascii="Arial" w:hAnsi="Arial" w:cs="Arial"/>
          <w:color w:val="000000"/>
          <w:szCs w:val="21"/>
        </w:rPr>
      </w:pPr>
      <w:r>
        <w:rPr>
          <w:rFonts w:ascii="Arial" w:hAnsi="Arial" w:cs="Arial" w:hint="eastAsia"/>
          <w:color w:val="000000"/>
          <w:szCs w:val="21"/>
        </w:rPr>
        <w:t>3</w:t>
      </w:r>
      <w:r>
        <w:rPr>
          <w:rFonts w:ascii="Arial" w:hAnsi="Arial" w:cs="Arial" w:hint="eastAsia"/>
          <w:color w:val="000000"/>
          <w:szCs w:val="21"/>
        </w:rPr>
        <w:t>、当前一估值日基金资产净值</w:t>
      </w:r>
      <w:r>
        <w:rPr>
          <w:rFonts w:ascii="Arial" w:hAnsi="Arial" w:cs="Arial" w:hint="eastAsia"/>
          <w:color w:val="000000"/>
          <w:szCs w:val="21"/>
        </w:rPr>
        <w:t>50%</w:t>
      </w:r>
      <w:r>
        <w:rPr>
          <w:rFonts w:ascii="Arial" w:hAnsi="Arial" w:cs="Arial" w:hint="eastAsia"/>
          <w:color w:val="000000"/>
          <w:szCs w:val="21"/>
        </w:rPr>
        <w:t>以上的资产出现无可参考的活跃市场价格且采用估值技术仍导致公允价值存在重大不确定性时，经与基金托管人协商一致，应当暂停估值；</w:t>
      </w:r>
    </w:p>
    <w:p w14:paraId="5C0FD8B0"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hint="eastAsia"/>
          <w:color w:val="000000"/>
          <w:szCs w:val="21"/>
        </w:rPr>
        <w:t>4</w:t>
      </w:r>
      <w:r>
        <w:rPr>
          <w:rFonts w:ascii="Arial" w:hAnsi="宋体" w:cs="Arial"/>
          <w:color w:val="000000"/>
          <w:szCs w:val="21"/>
        </w:rPr>
        <w:t>、</w:t>
      </w:r>
      <w:r>
        <w:rPr>
          <w:rFonts w:ascii="Arial" w:hAnsi="宋体" w:cs="Arial" w:hint="eastAsia"/>
          <w:color w:val="000000"/>
          <w:szCs w:val="21"/>
        </w:rPr>
        <w:t>法律法规规定、</w:t>
      </w:r>
      <w:r>
        <w:rPr>
          <w:rFonts w:ascii="Arial" w:hAnsi="宋体" w:cs="Arial"/>
          <w:color w:val="000000"/>
          <w:szCs w:val="21"/>
        </w:rPr>
        <w:t>中国证监会</w:t>
      </w:r>
      <w:r>
        <w:rPr>
          <w:rFonts w:ascii="Arial" w:hAnsi="宋体" w:cs="Arial" w:hint="eastAsia"/>
          <w:color w:val="000000"/>
          <w:szCs w:val="21"/>
        </w:rPr>
        <w:t>和</w:t>
      </w:r>
      <w:r>
        <w:rPr>
          <w:rFonts w:ascii="Arial" w:hAnsi="宋体" w:cs="Arial"/>
          <w:color w:val="000000"/>
          <w:szCs w:val="21"/>
        </w:rPr>
        <w:t>基金合同认定的其他情形。</w:t>
      </w:r>
    </w:p>
    <w:p w14:paraId="66F8AFE7"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（七）基金份额净值的确认</w:t>
      </w:r>
    </w:p>
    <w:p w14:paraId="6D811432" w14:textId="64E6C346" w:rsidR="00F50C35" w:rsidRDefault="00FB66DA">
      <w:pPr>
        <w:adjustRightInd w:val="0"/>
        <w:snapToGrid w:val="0"/>
        <w:spacing w:line="360" w:lineRule="auto"/>
        <w:ind w:firstLine="420"/>
        <w:rPr>
          <w:rFonts w:ascii="Arial" w:hAnsi="Arial" w:cs="Arial"/>
          <w:color w:val="000000"/>
          <w:szCs w:val="21"/>
        </w:rPr>
      </w:pPr>
      <w:r>
        <w:rPr>
          <w:rFonts w:ascii="Arial" w:hAnsi="宋体" w:cs="Arial"/>
          <w:color w:val="000000"/>
          <w:szCs w:val="21"/>
        </w:rPr>
        <w:lastRenderedPageBreak/>
        <w:t>基金份额净值由基金管理人负责计算，基金托管人进行复核。基金管理人每个工作日将计算的前一工作日的基金份额净值并发送给基金托管人。基金托管人对净值计算结果复核确认后发送给基金管理人。</w:t>
      </w:r>
    </w:p>
    <w:p w14:paraId="0BF0B5D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szCs w:val="21"/>
        </w:rPr>
        <w:t>基金份额净值的计算精确到</w:t>
      </w:r>
      <w:r>
        <w:rPr>
          <w:rFonts w:ascii="Arial" w:hAnsi="Arial" w:cs="Arial"/>
          <w:color w:val="000000"/>
          <w:szCs w:val="21"/>
        </w:rPr>
        <w:t>0.001</w:t>
      </w:r>
      <w:r>
        <w:rPr>
          <w:rFonts w:ascii="Arial" w:hAnsi="宋体" w:cs="Arial"/>
          <w:color w:val="000000"/>
          <w:szCs w:val="21"/>
        </w:rPr>
        <w:t>人民币，小数点后第四位</w:t>
      </w:r>
      <w:r>
        <w:rPr>
          <w:rFonts w:ascii="Arial" w:hAnsi="宋体" w:cs="Arial"/>
          <w:szCs w:val="21"/>
        </w:rPr>
        <w:t>四舍五入。</w:t>
      </w:r>
      <w:r>
        <w:rPr>
          <w:rFonts w:ascii="Arial" w:hAnsi="宋体" w:cs="Arial"/>
          <w:kern w:val="0"/>
          <w:szCs w:val="21"/>
        </w:rPr>
        <w:t>国家另有规定的，从其规定。</w:t>
      </w:r>
    </w:p>
    <w:p w14:paraId="2C7D576B"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（八）估值错误的处理</w:t>
      </w:r>
    </w:p>
    <w:p w14:paraId="5F8F7AF0" w14:textId="77777777" w:rsidR="00F50C35" w:rsidRDefault="00FB66DA">
      <w:pPr>
        <w:adjustRightInd w:val="0"/>
        <w:snapToGrid w:val="0"/>
        <w:spacing w:line="360" w:lineRule="auto"/>
        <w:ind w:firstLine="420"/>
        <w:rPr>
          <w:rFonts w:ascii="Arial" w:hAnsi="Arial" w:cs="Arial"/>
          <w:szCs w:val="21"/>
        </w:rPr>
      </w:pPr>
      <w:r>
        <w:rPr>
          <w:rFonts w:ascii="Arial" w:hAnsi="Arial" w:cs="Arial"/>
          <w:szCs w:val="21"/>
        </w:rPr>
        <w:t>1</w:t>
      </w:r>
      <w:r>
        <w:rPr>
          <w:rFonts w:ascii="Arial" w:hAnsi="宋体" w:cs="Arial"/>
          <w:szCs w:val="21"/>
        </w:rPr>
        <w:t>、当基金财产的估值导致基金份额净值小数点后三位内发生差错时，视为基金份额净值估值错误</w:t>
      </w:r>
      <w:r>
        <w:rPr>
          <w:rFonts w:ascii="Arial" w:hAnsi="宋体" w:cs="Arial" w:hint="eastAsia"/>
          <w:szCs w:val="21"/>
        </w:rPr>
        <w:t>；</w:t>
      </w:r>
    </w:p>
    <w:p w14:paraId="1E6C2594"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2</w:t>
      </w:r>
      <w:r>
        <w:rPr>
          <w:rFonts w:ascii="Arial" w:hAnsi="宋体" w:cs="Arial"/>
          <w:szCs w:val="21"/>
        </w:rPr>
        <w:t>、基金管理人和基金托管人将采取必要、适当合理的措施确保基金资产估值的准确性、及时性。当基金份额净值出现错误时，基金管理人应当立即予以纠正，并采取合理的措施防止损失进一步扩大；</w:t>
      </w:r>
      <w:r>
        <w:rPr>
          <w:rFonts w:ascii="Arial" w:hAnsi="宋体" w:cs="Arial"/>
          <w:kern w:val="0"/>
          <w:szCs w:val="21"/>
        </w:rPr>
        <w:t>当计价错误达到或超过基金份额净值的</w:t>
      </w:r>
      <w:r>
        <w:rPr>
          <w:rFonts w:ascii="Arial" w:hAnsi="Arial" w:cs="Arial"/>
          <w:kern w:val="0"/>
          <w:szCs w:val="21"/>
        </w:rPr>
        <w:t>0.25%</w:t>
      </w:r>
      <w:r>
        <w:rPr>
          <w:rFonts w:ascii="Arial" w:hAnsi="宋体" w:cs="Arial"/>
          <w:kern w:val="0"/>
          <w:szCs w:val="21"/>
        </w:rPr>
        <w:t>时，基金管理人应当报中国证监会备案；当计价错误达到或超过基金份额净值的</w:t>
      </w:r>
      <w:r>
        <w:rPr>
          <w:rFonts w:ascii="Arial" w:hAnsi="Arial" w:cs="Arial"/>
          <w:kern w:val="0"/>
          <w:szCs w:val="21"/>
        </w:rPr>
        <w:t>0.5%</w:t>
      </w:r>
      <w:r>
        <w:rPr>
          <w:rFonts w:ascii="Arial" w:hAnsi="宋体" w:cs="Arial"/>
          <w:kern w:val="0"/>
          <w:szCs w:val="21"/>
        </w:rPr>
        <w:t>时，基金管理人应当公告，并同时报中国证监会备案</w:t>
      </w:r>
      <w:r>
        <w:rPr>
          <w:rFonts w:ascii="Arial" w:hAnsi="宋体" w:cs="Arial" w:hint="eastAsia"/>
          <w:kern w:val="0"/>
          <w:szCs w:val="21"/>
        </w:rPr>
        <w:t>；</w:t>
      </w:r>
    </w:p>
    <w:p w14:paraId="35EA50D2" w14:textId="77777777" w:rsidR="00F50C35" w:rsidRDefault="00FB66DA">
      <w:pPr>
        <w:adjustRightInd w:val="0"/>
        <w:snapToGrid w:val="0"/>
        <w:spacing w:line="360" w:lineRule="auto"/>
        <w:ind w:firstLine="420"/>
        <w:rPr>
          <w:rFonts w:ascii="Arial" w:hAnsi="Arial" w:cs="Arial"/>
          <w:szCs w:val="21"/>
        </w:rPr>
      </w:pPr>
      <w:r>
        <w:rPr>
          <w:rFonts w:ascii="Arial" w:hAnsi="Arial" w:cs="Arial"/>
          <w:caps/>
          <w:szCs w:val="21"/>
        </w:rPr>
        <w:t>3</w:t>
      </w:r>
      <w:r>
        <w:rPr>
          <w:rFonts w:ascii="Arial" w:hAnsi="宋体" w:cs="Arial"/>
          <w:caps/>
          <w:szCs w:val="21"/>
        </w:rPr>
        <w:t>、</w:t>
      </w:r>
      <w:r>
        <w:rPr>
          <w:rFonts w:ascii="Arial" w:hAnsi="宋体" w:cs="Arial"/>
          <w:szCs w:val="21"/>
        </w:rPr>
        <w:t>前述内容如法律法规或监管机构另有规定的，按其规定处理。</w:t>
      </w:r>
    </w:p>
    <w:p w14:paraId="792B48A6"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（九）特殊情形的处理</w:t>
      </w:r>
    </w:p>
    <w:p w14:paraId="0C8F09A2" w14:textId="77777777" w:rsidR="00F50C35" w:rsidRDefault="00FB66DA">
      <w:pPr>
        <w:adjustRightInd w:val="0"/>
        <w:snapToGrid w:val="0"/>
        <w:spacing w:line="360" w:lineRule="auto"/>
        <w:ind w:firstLine="420"/>
        <w:rPr>
          <w:rFonts w:ascii="Arial" w:hAnsi="Arial" w:cs="Arial"/>
          <w:szCs w:val="21"/>
        </w:rPr>
      </w:pPr>
      <w:r>
        <w:rPr>
          <w:rFonts w:ascii="Arial" w:hAnsi="Arial" w:cs="Arial"/>
          <w:szCs w:val="21"/>
        </w:rPr>
        <w:t>1</w:t>
      </w:r>
      <w:r>
        <w:rPr>
          <w:rFonts w:ascii="Arial" w:hAnsi="宋体" w:cs="Arial"/>
          <w:szCs w:val="21"/>
        </w:rPr>
        <w:t>、基金管理人按本条（四）估值方法中的第</w:t>
      </w:r>
      <w:r>
        <w:rPr>
          <w:rFonts w:ascii="Arial" w:hAnsi="Arial" w:cs="Arial" w:hint="eastAsia"/>
          <w:szCs w:val="21"/>
        </w:rPr>
        <w:t>7</w:t>
      </w:r>
      <w:r>
        <w:rPr>
          <w:rFonts w:ascii="Arial" w:hAnsi="宋体" w:cs="Arial"/>
          <w:szCs w:val="21"/>
        </w:rPr>
        <w:t>项进行估值时，所造成的误差不作为基金份额净值错误处理</w:t>
      </w:r>
      <w:r>
        <w:rPr>
          <w:rFonts w:ascii="Arial" w:hAnsi="宋体" w:cs="Arial" w:hint="eastAsia"/>
          <w:szCs w:val="21"/>
        </w:rPr>
        <w:t>；</w:t>
      </w:r>
    </w:p>
    <w:p w14:paraId="6671531B" w14:textId="77777777" w:rsidR="00F50C35" w:rsidRDefault="00FB66DA">
      <w:pPr>
        <w:adjustRightInd w:val="0"/>
        <w:snapToGrid w:val="0"/>
        <w:spacing w:line="360" w:lineRule="auto"/>
        <w:ind w:firstLine="420"/>
        <w:rPr>
          <w:rFonts w:ascii="Arial" w:hAnsi="Arial" w:cs="Arial"/>
          <w:szCs w:val="21"/>
        </w:rPr>
      </w:pPr>
      <w:r>
        <w:rPr>
          <w:rFonts w:ascii="Arial" w:hAnsi="Arial" w:cs="Arial"/>
          <w:szCs w:val="21"/>
        </w:rPr>
        <w:t>2</w:t>
      </w:r>
      <w:r>
        <w:rPr>
          <w:rFonts w:ascii="Arial" w:hAnsi="宋体" w:cs="Arial"/>
          <w:szCs w:val="21"/>
        </w:rPr>
        <w:t>、由于交易机构或独立价格服务商发送的数据错误，或有关会计制度变化以及由于其他不可抗力原因，基金管理人和基金托管人虽然已经采取必要、适当、合理的措施进行检查，但未能发现错误的，由此造成的基金资产估值错误，基金管理人和基金托管人可以免除赔偿责任。但基金管理人应当积极采取必要的措施消除由此造成的影响。</w:t>
      </w:r>
    </w:p>
    <w:p w14:paraId="248E290C" w14:textId="77777777" w:rsidR="00F50C35" w:rsidRDefault="00FB66DA">
      <w:pPr>
        <w:pStyle w:val="1"/>
        <w:snapToGrid w:val="0"/>
        <w:spacing w:before="0" w:after="0" w:line="360" w:lineRule="auto"/>
        <w:rPr>
          <w:rFonts w:hAnsi="Arial"/>
          <w:kern w:val="0"/>
        </w:rPr>
      </w:pPr>
      <w:r>
        <w:rPr>
          <w:rFonts w:ascii="Arial" w:hAnsi="Arial" w:cs="Arial"/>
          <w:szCs w:val="21"/>
        </w:rPr>
        <w:br w:type="page"/>
      </w:r>
      <w:bookmarkStart w:id="66" w:name="_Toc88037852"/>
      <w:bookmarkStart w:id="67" w:name="_Toc274814017"/>
      <w:bookmarkStart w:id="68" w:name="_Toc274814084"/>
      <w:r>
        <w:rPr>
          <w:kern w:val="0"/>
        </w:rPr>
        <w:lastRenderedPageBreak/>
        <w:t>十八、基金的费用与税收</w:t>
      </w:r>
      <w:bookmarkEnd w:id="66"/>
      <w:bookmarkEnd w:id="67"/>
      <w:bookmarkEnd w:id="68"/>
    </w:p>
    <w:p w14:paraId="7CC97CF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（一）基金费用的种类</w:t>
      </w:r>
    </w:p>
    <w:p w14:paraId="58CBCDC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、基金管理人的管理费；</w:t>
      </w:r>
    </w:p>
    <w:p w14:paraId="1DA1E7B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、基金托管人的托管费；</w:t>
      </w:r>
    </w:p>
    <w:p w14:paraId="6742451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、基金的证券交易费用、投资其它基金的费用及在境外市场的开户、交易、清算、登记等各项费用；</w:t>
      </w:r>
    </w:p>
    <w:p w14:paraId="7460A03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、基金合同生效以后的信息披露费用</w:t>
      </w:r>
      <w:r>
        <w:rPr>
          <w:rFonts w:ascii="Arial" w:hAnsi="宋体" w:cs="Arial" w:hint="eastAsia"/>
          <w:kern w:val="0"/>
          <w:szCs w:val="21"/>
        </w:rPr>
        <w:t>，法律法规、中国证监会另有规定的除外</w:t>
      </w:r>
      <w:r>
        <w:rPr>
          <w:rFonts w:ascii="Arial" w:hAnsi="宋体" w:cs="Arial"/>
          <w:kern w:val="0"/>
          <w:szCs w:val="21"/>
        </w:rPr>
        <w:t>；</w:t>
      </w:r>
    </w:p>
    <w:p w14:paraId="39EF9EF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、基金份额持有人大会费用；</w:t>
      </w:r>
    </w:p>
    <w:p w14:paraId="38B372E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、基金合同生效以后的会计师费和律师费；</w:t>
      </w:r>
    </w:p>
    <w:p w14:paraId="574AFE33" w14:textId="77777777" w:rsidR="00F50C35" w:rsidRDefault="00FB66DA">
      <w:pPr>
        <w:adjustRightInd w:val="0"/>
        <w:snapToGrid w:val="0"/>
        <w:spacing w:line="360" w:lineRule="auto"/>
        <w:ind w:firstLine="420"/>
        <w:rPr>
          <w:rFonts w:ascii="Arial" w:hAnsi="Arial" w:cs="Arial"/>
          <w:color w:val="FF0000"/>
          <w:kern w:val="0"/>
          <w:szCs w:val="21"/>
        </w:rPr>
      </w:pPr>
      <w:r>
        <w:rPr>
          <w:rFonts w:ascii="Arial" w:hAnsi="Arial" w:cs="Arial"/>
          <w:kern w:val="0"/>
          <w:szCs w:val="21"/>
        </w:rPr>
        <w:t>7</w:t>
      </w:r>
      <w:r>
        <w:rPr>
          <w:rFonts w:ascii="Arial" w:hAnsi="宋体" w:cs="Arial"/>
          <w:kern w:val="0"/>
          <w:szCs w:val="21"/>
        </w:rPr>
        <w:t>、</w:t>
      </w:r>
      <w:r>
        <w:rPr>
          <w:rFonts w:ascii="Arial" w:hAnsi="宋体" w:cs="Arial"/>
          <w:color w:val="000000"/>
          <w:kern w:val="0"/>
          <w:szCs w:val="21"/>
        </w:rPr>
        <w:t>基金的资金汇划费用；</w:t>
      </w:r>
      <w:r>
        <w:rPr>
          <w:rFonts w:ascii="Arial" w:hAnsi="Arial" w:cs="Arial"/>
          <w:color w:val="FF0000"/>
          <w:kern w:val="0"/>
          <w:szCs w:val="21"/>
        </w:rPr>
        <w:t xml:space="preserve"> </w:t>
      </w:r>
    </w:p>
    <w:p w14:paraId="7306C9E9" w14:textId="77777777" w:rsidR="00F50C35" w:rsidRDefault="00FB66DA">
      <w:pPr>
        <w:snapToGrid w:val="0"/>
        <w:spacing w:line="360" w:lineRule="auto"/>
        <w:ind w:firstLine="420"/>
        <w:rPr>
          <w:rFonts w:ascii="Arial" w:hAnsi="Arial" w:cs="Arial"/>
          <w:szCs w:val="21"/>
        </w:rPr>
      </w:pPr>
      <w:r>
        <w:rPr>
          <w:rFonts w:ascii="Arial" w:hAnsi="Arial" w:cs="Arial"/>
        </w:rPr>
        <w:t>8</w:t>
      </w:r>
      <w:r>
        <w:rPr>
          <w:rFonts w:ascii="Arial" w:hAnsi="Arial" w:cs="Arial"/>
        </w:rPr>
        <w:t>、</w:t>
      </w:r>
      <w:r>
        <w:rPr>
          <w:rFonts w:ascii="Arial" w:hAnsi="Arial" w:cs="Arial"/>
          <w:szCs w:val="21"/>
        </w:rPr>
        <w:t>基金依照有关法律法规应当缴纳的，购买或处置证券有关的任何税收、征费、关税、印花税、交易及其他税收及预提税（以及与前述各项有关的任何利息、罚金及费用）（简称</w:t>
      </w:r>
      <w:r>
        <w:rPr>
          <w:rFonts w:ascii="Arial" w:hAnsi="Arial" w:cs="Arial" w:hint="eastAsia"/>
          <w:szCs w:val="21"/>
        </w:rPr>
        <w:t>“</w:t>
      </w:r>
      <w:r>
        <w:rPr>
          <w:rFonts w:ascii="Arial" w:hAnsi="Arial" w:cs="Arial"/>
          <w:szCs w:val="21"/>
        </w:rPr>
        <w:t>税收</w:t>
      </w:r>
      <w:r>
        <w:rPr>
          <w:rFonts w:ascii="Arial" w:hAnsi="Arial" w:cs="Arial" w:hint="eastAsia"/>
          <w:szCs w:val="21"/>
        </w:rPr>
        <w:t>”</w:t>
      </w:r>
      <w:r>
        <w:rPr>
          <w:rFonts w:ascii="Arial" w:hAnsi="Arial" w:cs="Arial"/>
          <w:szCs w:val="21"/>
        </w:rPr>
        <w:t>）；</w:t>
      </w:r>
    </w:p>
    <w:p w14:paraId="667CD240" w14:textId="77777777" w:rsidR="00F50C35" w:rsidRDefault="00FB66DA">
      <w:pPr>
        <w:snapToGrid w:val="0"/>
        <w:spacing w:line="360" w:lineRule="auto"/>
        <w:ind w:firstLine="420"/>
        <w:rPr>
          <w:rFonts w:ascii="Arial" w:hAnsi="Arial" w:cs="Arial"/>
          <w:szCs w:val="21"/>
        </w:rPr>
      </w:pPr>
      <w:r>
        <w:rPr>
          <w:rFonts w:ascii="Arial" w:hAnsi="Arial" w:cs="Arial"/>
          <w:szCs w:val="21"/>
        </w:rPr>
        <w:t>9</w:t>
      </w:r>
      <w:r>
        <w:rPr>
          <w:rFonts w:ascii="Arial" w:hAnsi="Arial" w:cs="Arial"/>
          <w:szCs w:val="21"/>
        </w:rPr>
        <w:t>、代表基金投票的费用；</w:t>
      </w:r>
    </w:p>
    <w:p w14:paraId="5D9ABC96" w14:textId="77777777" w:rsidR="00F50C35" w:rsidRDefault="00FB66DA">
      <w:pPr>
        <w:adjustRightInd w:val="0"/>
        <w:snapToGrid w:val="0"/>
        <w:spacing w:line="360" w:lineRule="auto"/>
        <w:ind w:firstLine="420"/>
        <w:rPr>
          <w:rFonts w:ascii="Arial" w:hAnsi="Arial" w:cs="Arial"/>
        </w:rPr>
      </w:pPr>
      <w:r>
        <w:rPr>
          <w:rFonts w:ascii="Arial" w:hAnsi="Arial" w:cs="Arial"/>
        </w:rPr>
        <w:t>10</w:t>
      </w:r>
      <w:r>
        <w:rPr>
          <w:rFonts w:ascii="Arial" w:hAnsi="Arial" w:cs="Arial"/>
        </w:rPr>
        <w:t>、</w:t>
      </w:r>
      <w:r>
        <w:rPr>
          <w:rFonts w:ascii="Arial" w:hAnsi="Arial" w:cs="Arial" w:hint="eastAsia"/>
        </w:rPr>
        <w:t>更换基金管理人、更换基金托管人及基金资产由原基金托管人转移至新基金托管人以及由于境外托管人更换导致基金资产转移所引起的费用；</w:t>
      </w:r>
    </w:p>
    <w:p w14:paraId="1441B07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rPr>
        <w:t>11</w:t>
      </w:r>
      <w:r>
        <w:rPr>
          <w:rFonts w:ascii="Arial" w:hAnsi="Arial" w:cs="Arial" w:hint="eastAsia"/>
        </w:rPr>
        <w:t>、</w:t>
      </w:r>
      <w:r>
        <w:rPr>
          <w:rFonts w:ascii="Arial" w:hAnsi="Arial" w:cs="Arial"/>
        </w:rPr>
        <w:t>与基金有关的诉讼、追索费用；</w:t>
      </w:r>
    </w:p>
    <w:p w14:paraId="371AB2B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Arial" w:cs="Arial" w:hint="eastAsia"/>
          <w:kern w:val="0"/>
          <w:szCs w:val="21"/>
        </w:rPr>
        <w:t>2</w:t>
      </w:r>
      <w:r>
        <w:rPr>
          <w:rFonts w:ascii="Arial" w:hAnsi="宋体" w:cs="Arial"/>
          <w:kern w:val="0"/>
          <w:szCs w:val="21"/>
        </w:rPr>
        <w:t>、基金进行外汇兑换交易的相关费用；</w:t>
      </w:r>
    </w:p>
    <w:p w14:paraId="16481F1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Arial" w:cs="Arial" w:hint="eastAsia"/>
          <w:kern w:val="0"/>
          <w:szCs w:val="21"/>
        </w:rPr>
        <w:t>3</w:t>
      </w:r>
      <w:r>
        <w:rPr>
          <w:rFonts w:ascii="Arial" w:hAnsi="宋体" w:cs="Arial"/>
          <w:kern w:val="0"/>
          <w:szCs w:val="21"/>
        </w:rPr>
        <w:t>、按照国家有关规定可以列入的其他费用。</w:t>
      </w:r>
    </w:p>
    <w:p w14:paraId="67DE20DA" w14:textId="77777777" w:rsidR="00F50C35" w:rsidRDefault="00FB66DA">
      <w:pPr>
        <w:snapToGrid w:val="0"/>
        <w:spacing w:line="360" w:lineRule="auto"/>
        <w:ind w:firstLine="420"/>
        <w:rPr>
          <w:rFonts w:ascii="Arial" w:hAnsi="Arial" w:cs="Arial"/>
        </w:rPr>
      </w:pPr>
      <w:r>
        <w:rPr>
          <w:rFonts w:ascii="Arial" w:hAnsi="Arial" w:cs="Arial"/>
        </w:rPr>
        <w:t>本基金终止清算时所发生费用，按实际支出额从基金资产总值中扣除。</w:t>
      </w:r>
    </w:p>
    <w:p w14:paraId="4F9F476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（二）基金费用计提方法、计提标准和支付方式</w:t>
      </w:r>
    </w:p>
    <w:p w14:paraId="2C84009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、基金管理人的管理费</w:t>
      </w:r>
    </w:p>
    <w:p w14:paraId="5F1721C1"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t>基金管理人的基金管理费按</w:t>
      </w:r>
      <w:r>
        <w:rPr>
          <w:rFonts w:ascii="Arial" w:hAnsi="宋体" w:cs="Arial"/>
          <w:color w:val="000000"/>
          <w:kern w:val="0"/>
          <w:szCs w:val="21"/>
        </w:rPr>
        <w:t>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1.60%</w:t>
      </w:r>
      <w:r>
        <w:rPr>
          <w:rFonts w:ascii="Arial" w:hAnsi="宋体" w:cs="Arial"/>
          <w:color w:val="000000"/>
          <w:kern w:val="0"/>
          <w:szCs w:val="21"/>
        </w:rPr>
        <w:t>年费率计提。</w:t>
      </w:r>
    </w:p>
    <w:p w14:paraId="1576C9D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kern w:val="0"/>
          <w:szCs w:val="21"/>
        </w:rPr>
        <w:t>在通常情况下，基金管理费按前一日基金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1.60%</w:t>
      </w:r>
      <w:r>
        <w:rPr>
          <w:rFonts w:ascii="Arial" w:hAnsi="宋体" w:cs="Arial"/>
          <w:kern w:val="0"/>
          <w:szCs w:val="21"/>
        </w:rPr>
        <w:t>年费率计提。计算方法如下：</w:t>
      </w:r>
    </w:p>
    <w:p w14:paraId="092A506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H</w:t>
      </w:r>
      <w:r>
        <w:rPr>
          <w:rFonts w:ascii="Arial" w:hAnsi="宋体" w:cs="Arial"/>
          <w:kern w:val="0"/>
          <w:szCs w:val="21"/>
        </w:rPr>
        <w:t>＝</w:t>
      </w:r>
      <w:r>
        <w:rPr>
          <w:rFonts w:ascii="Arial" w:hAnsi="Arial" w:cs="Arial"/>
          <w:kern w:val="0"/>
          <w:szCs w:val="21"/>
        </w:rPr>
        <w:t>E×</w:t>
      </w:r>
      <w:r>
        <w:rPr>
          <w:rFonts w:ascii="Arial" w:hAnsi="Arial" w:cs="Arial"/>
          <w:color w:val="000000"/>
          <w:kern w:val="0"/>
          <w:szCs w:val="21"/>
        </w:rPr>
        <w:t>1.60%</w:t>
      </w:r>
      <w:r>
        <w:rPr>
          <w:rFonts w:ascii="Arial" w:hAnsi="Arial" w:cs="Arial"/>
          <w:kern w:val="0"/>
          <w:szCs w:val="21"/>
        </w:rPr>
        <w:t>÷</w:t>
      </w:r>
      <w:r>
        <w:rPr>
          <w:rFonts w:ascii="Arial" w:hAnsi="宋体" w:cs="Arial"/>
          <w:kern w:val="0"/>
          <w:szCs w:val="21"/>
        </w:rPr>
        <w:t>当年天数</w:t>
      </w:r>
    </w:p>
    <w:p w14:paraId="375BD06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 xml:space="preserve">H </w:t>
      </w:r>
      <w:r>
        <w:rPr>
          <w:rFonts w:ascii="Arial" w:hAnsi="宋体" w:cs="Arial"/>
          <w:kern w:val="0"/>
          <w:szCs w:val="21"/>
        </w:rPr>
        <w:t>为每日应计提的基金管理费</w:t>
      </w:r>
    </w:p>
    <w:p w14:paraId="58567D05"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 xml:space="preserve">E </w:t>
      </w:r>
      <w:r>
        <w:rPr>
          <w:rFonts w:ascii="Arial" w:hAnsi="宋体" w:cs="Arial"/>
          <w:kern w:val="0"/>
          <w:szCs w:val="21"/>
        </w:rPr>
        <w:t>为前一日</w:t>
      </w:r>
      <w:r>
        <w:rPr>
          <w:rFonts w:ascii="Arial" w:hAnsi="宋体" w:cs="Arial"/>
          <w:color w:val="000000"/>
          <w:kern w:val="0"/>
          <w:szCs w:val="21"/>
        </w:rPr>
        <w:t>基金</w:t>
      </w:r>
      <w:r>
        <w:rPr>
          <w:rFonts w:ascii="Arial" w:hAnsi="宋体" w:cs="Arial"/>
          <w:szCs w:val="21"/>
        </w:rPr>
        <w:t>资产</w:t>
      </w:r>
      <w:r>
        <w:rPr>
          <w:rFonts w:ascii="Arial" w:hAnsi="宋体" w:cs="Arial"/>
          <w:color w:val="000000"/>
          <w:kern w:val="0"/>
          <w:szCs w:val="21"/>
        </w:rPr>
        <w:t>净值</w:t>
      </w:r>
    </w:p>
    <w:p w14:paraId="090709DA"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基金管理费每日计提，按月支付。由基金管理人向基金托管人发送基金管理费划付指令，基金托管人复核后于次月首日起</w:t>
      </w:r>
      <w:r>
        <w:rPr>
          <w:rFonts w:ascii="Arial" w:hAnsi="Arial" w:cs="Arial"/>
          <w:color w:val="000000"/>
          <w:kern w:val="0"/>
          <w:szCs w:val="21"/>
        </w:rPr>
        <w:t>5</w:t>
      </w:r>
      <w:r>
        <w:rPr>
          <w:rFonts w:ascii="Arial" w:hAnsi="宋体" w:cs="Arial"/>
          <w:color w:val="000000"/>
          <w:kern w:val="0"/>
          <w:szCs w:val="21"/>
        </w:rPr>
        <w:t>个工作日内从基金财产中一次性支付给基金管理人。</w:t>
      </w:r>
    </w:p>
    <w:p w14:paraId="6E11AC49"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2</w:t>
      </w:r>
      <w:r>
        <w:rPr>
          <w:rFonts w:ascii="Arial" w:hAnsi="宋体" w:cs="Arial"/>
          <w:color w:val="000000"/>
          <w:kern w:val="0"/>
          <w:szCs w:val="21"/>
        </w:rPr>
        <w:t>、基金托管人的托管费</w:t>
      </w:r>
    </w:p>
    <w:p w14:paraId="370B6049"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基金托管人的基金托管费（如基金托管人委托境外托管人，包括向其支付的相应服务费）按基金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0.30%</w:t>
      </w:r>
      <w:r>
        <w:rPr>
          <w:rFonts w:ascii="Arial" w:hAnsi="宋体" w:cs="Arial"/>
          <w:color w:val="000000"/>
          <w:kern w:val="0"/>
          <w:szCs w:val="21"/>
        </w:rPr>
        <w:t>年费率计提。</w:t>
      </w:r>
    </w:p>
    <w:p w14:paraId="4A799C6C"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lastRenderedPageBreak/>
        <w:t>在通常情况下</w:t>
      </w:r>
      <w:r>
        <w:rPr>
          <w:rFonts w:ascii="Arial" w:hAnsi="宋体" w:cs="Arial"/>
          <w:color w:val="000000"/>
          <w:kern w:val="0"/>
          <w:szCs w:val="21"/>
        </w:rPr>
        <w:t>，基金托管费按前一日基金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0.30%</w:t>
      </w:r>
      <w:r>
        <w:rPr>
          <w:rFonts w:ascii="Arial" w:hAnsi="宋体" w:cs="Arial"/>
          <w:color w:val="000000"/>
          <w:kern w:val="0"/>
          <w:szCs w:val="21"/>
        </w:rPr>
        <w:t>年费率计提。计算方法如下：</w:t>
      </w:r>
    </w:p>
    <w:p w14:paraId="3672B526"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H=E×0.30%÷</w:t>
      </w:r>
      <w:r>
        <w:rPr>
          <w:rFonts w:ascii="Arial" w:hAnsi="宋体" w:cs="Arial"/>
          <w:color w:val="000000"/>
          <w:kern w:val="0"/>
          <w:szCs w:val="21"/>
        </w:rPr>
        <w:t>当年天数</w:t>
      </w:r>
    </w:p>
    <w:p w14:paraId="699C4B71"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 xml:space="preserve">H </w:t>
      </w:r>
      <w:r>
        <w:rPr>
          <w:rFonts w:ascii="Arial" w:hAnsi="宋体" w:cs="Arial"/>
          <w:color w:val="000000"/>
          <w:kern w:val="0"/>
          <w:szCs w:val="21"/>
        </w:rPr>
        <w:t>为每日应计提的基金托管费</w:t>
      </w:r>
    </w:p>
    <w:p w14:paraId="2C0729AF"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 xml:space="preserve">E </w:t>
      </w:r>
      <w:r>
        <w:rPr>
          <w:rFonts w:ascii="Arial" w:hAnsi="宋体" w:cs="Arial"/>
          <w:color w:val="000000"/>
          <w:kern w:val="0"/>
          <w:szCs w:val="21"/>
        </w:rPr>
        <w:t>为前一日的基金</w:t>
      </w:r>
      <w:r>
        <w:rPr>
          <w:rFonts w:ascii="Arial" w:hAnsi="宋体" w:cs="Arial"/>
          <w:szCs w:val="21"/>
        </w:rPr>
        <w:t>资产</w:t>
      </w:r>
      <w:r>
        <w:rPr>
          <w:rFonts w:ascii="Arial" w:hAnsi="宋体" w:cs="Arial"/>
          <w:color w:val="000000"/>
          <w:kern w:val="0"/>
          <w:szCs w:val="21"/>
        </w:rPr>
        <w:t>净值</w:t>
      </w:r>
    </w:p>
    <w:p w14:paraId="29D6ED2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kern w:val="0"/>
          <w:szCs w:val="21"/>
        </w:rPr>
        <w:t>基金托管费每日计提，按月支付。由基金管</w:t>
      </w:r>
      <w:r>
        <w:rPr>
          <w:rFonts w:ascii="Arial" w:hAnsi="宋体" w:cs="Arial"/>
          <w:kern w:val="0"/>
          <w:szCs w:val="21"/>
        </w:rPr>
        <w:t>理人向基金托管人发送基金托管费划付指令，基金托管人复核后于次月首日起</w:t>
      </w:r>
      <w:r>
        <w:rPr>
          <w:rFonts w:ascii="Arial" w:hAnsi="Arial" w:cs="Arial"/>
          <w:kern w:val="0"/>
          <w:szCs w:val="21"/>
        </w:rPr>
        <w:t>5</w:t>
      </w:r>
      <w:r>
        <w:rPr>
          <w:rFonts w:ascii="Arial" w:hAnsi="宋体" w:cs="Arial"/>
          <w:kern w:val="0"/>
          <w:szCs w:val="21"/>
        </w:rPr>
        <w:t>个工作日内从基金财产中一次性支付给基金托管人。</w:t>
      </w:r>
    </w:p>
    <w:p w14:paraId="35559F9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、本条第（一）款第</w:t>
      </w:r>
      <w:r>
        <w:rPr>
          <w:rFonts w:ascii="Arial" w:hAnsi="Arial" w:cs="Arial"/>
          <w:kern w:val="0"/>
          <w:szCs w:val="21"/>
        </w:rPr>
        <w:t>3</w:t>
      </w:r>
      <w:r>
        <w:rPr>
          <w:rFonts w:ascii="Arial" w:hAnsi="宋体" w:cs="Arial"/>
          <w:kern w:val="0"/>
          <w:szCs w:val="21"/>
        </w:rPr>
        <w:t>至第</w:t>
      </w:r>
      <w:r>
        <w:rPr>
          <w:rFonts w:ascii="Arial" w:hAnsi="Arial" w:cs="Arial"/>
          <w:kern w:val="0"/>
          <w:szCs w:val="21"/>
        </w:rPr>
        <w:t>1</w:t>
      </w:r>
      <w:r>
        <w:rPr>
          <w:rFonts w:ascii="Arial" w:hAnsi="Arial" w:cs="Arial" w:hint="eastAsia"/>
          <w:kern w:val="0"/>
          <w:szCs w:val="21"/>
        </w:rPr>
        <w:t>3</w:t>
      </w:r>
      <w:r>
        <w:rPr>
          <w:rFonts w:ascii="Arial" w:hAnsi="宋体" w:cs="Arial"/>
          <w:kern w:val="0"/>
          <w:szCs w:val="21"/>
        </w:rPr>
        <w:t>项费用由基金管理人和基金托管人根据有关法规及相应协议的规定，列入当期基金费用。</w:t>
      </w:r>
    </w:p>
    <w:p w14:paraId="30D7CE8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（三）不列入基金费用的项目</w:t>
      </w:r>
    </w:p>
    <w:p w14:paraId="6219E74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本条第（一）款约定以外的其他费用，基金管理人和基金托管人因未履行或未完全履行义务导致的费用支出或基金财产的损失，以及处理与基金运作无关的事项发生的费用等不列入基金费用。</w:t>
      </w:r>
    </w:p>
    <w:p w14:paraId="16C991E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（四）基金费用调整</w:t>
      </w:r>
    </w:p>
    <w:p w14:paraId="4DEE932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基金管理人和基金托管人可协商酌情调低基金管理费、基金托管费，无须召开基金份额持有人大会。</w:t>
      </w:r>
    </w:p>
    <w:p w14:paraId="5490D36D" w14:textId="032C12F2" w:rsidR="00F50C35" w:rsidRDefault="00FB66DA">
      <w:pPr>
        <w:snapToGrid w:val="0"/>
        <w:spacing w:line="360" w:lineRule="auto"/>
        <w:ind w:firstLineChars="200" w:firstLine="420"/>
        <w:rPr>
          <w:rFonts w:ascii="Arial" w:hAnsi="Arial" w:cs="Arial"/>
        </w:rPr>
      </w:pPr>
      <w:r>
        <w:rPr>
          <w:rFonts w:ascii="Arial" w:hAnsi="Arial" w:cs="Arial"/>
        </w:rPr>
        <w:t>基金管理人必须最迟于新的费率实施日前</w:t>
      </w:r>
      <w:r>
        <w:rPr>
          <w:rFonts w:ascii="Arial" w:hAnsi="Arial" w:cs="Arial"/>
        </w:rPr>
        <w:t>2</w:t>
      </w:r>
      <w:r>
        <w:rPr>
          <w:rFonts w:ascii="Arial" w:hAnsi="Arial" w:cs="Arial"/>
        </w:rPr>
        <w:t>日在指定媒介公告。</w:t>
      </w:r>
    </w:p>
    <w:p w14:paraId="530BF1A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（五）税收</w:t>
      </w:r>
    </w:p>
    <w:p w14:paraId="0C41C96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本基金运作过程中涉及的各纳税主体，依照国家法律法规和境外市场的规定履行纳税义务。</w:t>
      </w:r>
    </w:p>
    <w:p w14:paraId="52D8C11F" w14:textId="77777777" w:rsidR="00F50C35" w:rsidRDefault="00FB66DA">
      <w:pPr>
        <w:pStyle w:val="1"/>
        <w:snapToGrid w:val="0"/>
        <w:spacing w:before="0" w:after="0" w:line="360" w:lineRule="auto"/>
        <w:rPr>
          <w:rFonts w:hAnsi="Arial"/>
          <w:kern w:val="0"/>
        </w:rPr>
      </w:pPr>
      <w:bookmarkStart w:id="69" w:name="_Toc88037853"/>
      <w:r>
        <w:rPr>
          <w:rFonts w:hAnsi="Arial"/>
          <w:kern w:val="0"/>
        </w:rPr>
        <w:br w:type="page"/>
      </w:r>
      <w:bookmarkStart w:id="70" w:name="_Toc274814085"/>
      <w:bookmarkStart w:id="71" w:name="_Toc274814018"/>
      <w:r>
        <w:rPr>
          <w:kern w:val="0"/>
        </w:rPr>
        <w:lastRenderedPageBreak/>
        <w:t>十九、基金的收益与分配</w:t>
      </w:r>
      <w:bookmarkEnd w:id="69"/>
      <w:bookmarkEnd w:id="70"/>
      <w:bookmarkEnd w:id="71"/>
    </w:p>
    <w:p w14:paraId="6075A56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（一）基金利润的构成</w:t>
      </w:r>
    </w:p>
    <w:p w14:paraId="1C56D315"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基金利润指基金利息收入、投资收益、公允价值变动收益和其他收入扣除相关费用后的余额；基金已实现收益指基金利润减去公允价值变动收益后的余额。</w:t>
      </w:r>
    </w:p>
    <w:p w14:paraId="49EC99BB"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基金可供分配利润指截至收益分配基准日基金未分配利润与未分配利润中已实现收益的孰低数。</w:t>
      </w:r>
    </w:p>
    <w:p w14:paraId="14D2714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（二）收益分配原则</w:t>
      </w:r>
    </w:p>
    <w:p w14:paraId="684F87AD"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szCs w:val="21"/>
        </w:rPr>
        <w:t>基金收益分配是指按规定将基金的可供分配利润按基金份额进行比例分配。</w:t>
      </w:r>
    </w:p>
    <w:p w14:paraId="4E14F979"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1</w:t>
      </w:r>
      <w:r>
        <w:rPr>
          <w:rFonts w:ascii="Arial" w:hAnsi="宋体" w:cs="Arial"/>
          <w:szCs w:val="21"/>
        </w:rPr>
        <w:t>、</w:t>
      </w:r>
      <w:r>
        <w:rPr>
          <w:rFonts w:ascii="Arial" w:hAnsi="宋体" w:cs="Arial"/>
          <w:kern w:val="0"/>
          <w:szCs w:val="21"/>
        </w:rPr>
        <w:t>在符合有关基金分红条件的前提下，本基金每年收益分配次数最多为</w:t>
      </w:r>
      <w:r>
        <w:rPr>
          <w:rFonts w:ascii="Arial" w:hAnsi="Arial" w:cs="Arial"/>
          <w:kern w:val="0"/>
          <w:szCs w:val="21"/>
        </w:rPr>
        <w:t>4</w:t>
      </w:r>
      <w:r>
        <w:rPr>
          <w:rFonts w:ascii="Arial" w:hAnsi="宋体" w:cs="Arial"/>
          <w:kern w:val="0"/>
          <w:szCs w:val="21"/>
        </w:rPr>
        <w:t>次，每次分配比例不低于收益分配基准日可供分配利润的</w:t>
      </w:r>
      <w:r>
        <w:rPr>
          <w:rFonts w:ascii="Arial" w:hAnsi="Arial" w:cs="Arial"/>
          <w:kern w:val="0"/>
          <w:szCs w:val="21"/>
        </w:rPr>
        <w:t>20%</w:t>
      </w:r>
      <w:r>
        <w:rPr>
          <w:rFonts w:ascii="Arial" w:hAnsi="宋体" w:cs="Arial"/>
          <w:kern w:val="0"/>
          <w:szCs w:val="21"/>
        </w:rPr>
        <w:t>，若《基金合同》生效不满</w:t>
      </w:r>
      <w:r>
        <w:rPr>
          <w:rFonts w:ascii="Arial" w:hAnsi="Arial" w:cs="Arial"/>
          <w:kern w:val="0"/>
          <w:szCs w:val="21"/>
        </w:rPr>
        <w:t xml:space="preserve">3 </w:t>
      </w:r>
      <w:r>
        <w:rPr>
          <w:rFonts w:ascii="Arial" w:hAnsi="宋体" w:cs="Arial"/>
          <w:kern w:val="0"/>
          <w:szCs w:val="21"/>
        </w:rPr>
        <w:t>个月可不进行收益分配；</w:t>
      </w:r>
    </w:p>
    <w:p w14:paraId="15B379F1"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2</w:t>
      </w:r>
      <w:r>
        <w:rPr>
          <w:rFonts w:ascii="Arial" w:hAnsi="宋体" w:cs="Arial"/>
          <w:szCs w:val="21"/>
        </w:rPr>
        <w:t>、本基金的每份基金份额享有同等分配权；</w:t>
      </w:r>
    </w:p>
    <w:p w14:paraId="2159C401"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3</w:t>
      </w:r>
      <w:r>
        <w:rPr>
          <w:rFonts w:ascii="Arial" w:hAnsi="宋体" w:cs="Arial"/>
          <w:szCs w:val="21"/>
        </w:rPr>
        <w:t>、基金收益分配方式分为现金分红与红利再投资，投资者可选择获取现金红利或将现金红利自动转为基金份额进行再投资；若投资人不选择，本基金默认的收益分配方式是现金红利；</w:t>
      </w:r>
      <w:r>
        <w:rPr>
          <w:rFonts w:ascii="Arial" w:hAnsi="Arial" w:cs="Arial"/>
          <w:szCs w:val="21"/>
        </w:rPr>
        <w:t xml:space="preserve"> </w:t>
      </w:r>
    </w:p>
    <w:p w14:paraId="0BC12FB6"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4</w:t>
      </w:r>
      <w:r>
        <w:rPr>
          <w:rFonts w:ascii="Arial" w:hAnsi="宋体" w:cs="Arial"/>
          <w:szCs w:val="21"/>
        </w:rPr>
        <w:t>、基金收益分配基准日的基金份额净值减去每单位基金份额收益分配金额后不能低于面值；</w:t>
      </w:r>
    </w:p>
    <w:p w14:paraId="0D500853"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5</w:t>
      </w:r>
      <w:r>
        <w:rPr>
          <w:rFonts w:ascii="Arial" w:hAnsi="宋体" w:cs="Arial"/>
          <w:szCs w:val="21"/>
        </w:rPr>
        <w:t>、基金收益分配的发放日距离收益分配基准日的时间不超过</w:t>
      </w:r>
      <w:r>
        <w:rPr>
          <w:rFonts w:ascii="Arial" w:hAnsi="Arial" w:cs="Arial"/>
          <w:szCs w:val="21"/>
        </w:rPr>
        <w:t>15</w:t>
      </w:r>
      <w:r>
        <w:rPr>
          <w:rFonts w:ascii="Arial" w:hAnsi="宋体" w:cs="Arial"/>
          <w:szCs w:val="21"/>
        </w:rPr>
        <w:t>个工作日；</w:t>
      </w:r>
    </w:p>
    <w:p w14:paraId="525C1C43"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szCs w:val="21"/>
        </w:rPr>
        <w:t>6</w:t>
      </w:r>
      <w:r>
        <w:rPr>
          <w:rFonts w:ascii="Arial" w:hAnsi="宋体" w:cs="Arial"/>
          <w:szCs w:val="21"/>
        </w:rPr>
        <w:t>、法律法规或监管机构另有规定的从其规定。</w:t>
      </w:r>
    </w:p>
    <w:p w14:paraId="32B51473" w14:textId="3584EA3A" w:rsidR="00F50C35" w:rsidRDefault="00FB66DA">
      <w:pPr>
        <w:adjustRightInd w:val="0"/>
        <w:snapToGrid w:val="0"/>
        <w:spacing w:line="360" w:lineRule="auto"/>
        <w:ind w:firstLineChars="200" w:firstLine="420"/>
        <w:jc w:val="left"/>
        <w:rPr>
          <w:rFonts w:ascii="Arial" w:hAnsi="Arial" w:cs="Arial"/>
          <w:szCs w:val="21"/>
        </w:rPr>
      </w:pPr>
      <w:r>
        <w:rPr>
          <w:rFonts w:ascii="Arial" w:hAnsi="Arial" w:cs="Arial"/>
          <w:szCs w:val="21"/>
        </w:rPr>
        <w:t>在不影响投资者利益的情况下，基金管理人可在法律法规允许的前提下酌情调整以上基金收益分配原则，此项调整不需要召开基金份额持有人大会，但应于变更实施日前在指定媒介公告。</w:t>
      </w:r>
    </w:p>
    <w:p w14:paraId="67DE5F0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（三）收益分配方案</w:t>
      </w:r>
    </w:p>
    <w:p w14:paraId="58EFCAC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基金收益分配方案中载明</w:t>
      </w:r>
      <w:r>
        <w:rPr>
          <w:rFonts w:ascii="Arial" w:hAnsi="Arial" w:cs="Arial"/>
          <w:kern w:val="0"/>
          <w:szCs w:val="21"/>
        </w:rPr>
        <w:t>基金期末可供分配利润</w:t>
      </w:r>
      <w:r>
        <w:rPr>
          <w:rFonts w:ascii="Arial" w:hAnsi="宋体" w:cs="Arial"/>
          <w:kern w:val="0"/>
          <w:szCs w:val="21"/>
        </w:rPr>
        <w:t>、基金收益分配对象、分配时间、分配数额及比例、分配方式等内容。</w:t>
      </w:r>
    </w:p>
    <w:p w14:paraId="0242580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（四）收益分配方案的确定与公告</w:t>
      </w:r>
    </w:p>
    <w:p w14:paraId="4638FA49" w14:textId="471A8ABC"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基金收益分配方案由基金管理人拟定，并由基金托管人核实后确定，基金管理人按法律法规的规定公告。</w:t>
      </w:r>
    </w:p>
    <w:p w14:paraId="12E69D4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（五）收益分配中发生的费用</w:t>
      </w:r>
    </w:p>
    <w:p w14:paraId="342BDC8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、收益分配采用红利再投资方式免收再投资的费用</w:t>
      </w:r>
      <w:r>
        <w:rPr>
          <w:rFonts w:ascii="Arial" w:hAnsi="宋体" w:cs="Arial" w:hint="eastAsia"/>
          <w:kern w:val="0"/>
          <w:szCs w:val="21"/>
        </w:rPr>
        <w:t>；</w:t>
      </w:r>
    </w:p>
    <w:p w14:paraId="11B8AC1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、收益分配时发生的银行转账等手续费用由基金份额持有人自行承担。当投资者的现金红利小于一定金额，不足于支付银行转账或其他手续费用时，基金注册登记机构可将基金份额持有人的现金红利</w:t>
      </w:r>
      <w:r>
        <w:rPr>
          <w:rFonts w:ascii="Arial" w:hAnsi="宋体" w:cs="Arial"/>
          <w:color w:val="000000"/>
          <w:kern w:val="0"/>
          <w:szCs w:val="21"/>
        </w:rPr>
        <w:t>按除权后</w:t>
      </w:r>
      <w:r>
        <w:rPr>
          <w:rFonts w:ascii="Arial" w:hAnsi="宋体" w:cs="Arial"/>
          <w:kern w:val="0"/>
          <w:szCs w:val="21"/>
        </w:rPr>
        <w:t>的基金份额净值自动转为基金份额。红利再投资的计算方</w:t>
      </w:r>
      <w:r>
        <w:rPr>
          <w:rFonts w:ascii="Arial" w:hAnsi="宋体" w:cs="Arial"/>
          <w:kern w:val="0"/>
          <w:szCs w:val="21"/>
        </w:rPr>
        <w:lastRenderedPageBreak/>
        <w:t>法，依照《业务规则》执行。</w:t>
      </w:r>
    </w:p>
    <w:p w14:paraId="74AEE843" w14:textId="77777777" w:rsidR="00F50C35" w:rsidRDefault="00FB66DA">
      <w:pPr>
        <w:pStyle w:val="1"/>
        <w:snapToGrid w:val="0"/>
        <w:spacing w:before="0" w:after="0" w:line="360" w:lineRule="auto"/>
        <w:rPr>
          <w:rFonts w:hAnsi="Arial"/>
          <w:kern w:val="0"/>
        </w:rPr>
      </w:pPr>
      <w:r>
        <w:rPr>
          <w:rFonts w:hAnsi="Arial"/>
          <w:kern w:val="0"/>
        </w:rPr>
        <w:br w:type="page"/>
      </w:r>
      <w:bookmarkStart w:id="72" w:name="_Toc88037854"/>
      <w:bookmarkStart w:id="73" w:name="_Toc274814086"/>
      <w:bookmarkStart w:id="74" w:name="_Toc274814019"/>
      <w:r>
        <w:rPr>
          <w:kern w:val="0"/>
        </w:rPr>
        <w:lastRenderedPageBreak/>
        <w:t>二十、基金的会计与审计</w:t>
      </w:r>
      <w:bookmarkEnd w:id="72"/>
      <w:bookmarkEnd w:id="73"/>
      <w:bookmarkEnd w:id="74"/>
    </w:p>
    <w:p w14:paraId="7511407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（一）基金会计政策</w:t>
      </w:r>
    </w:p>
    <w:p w14:paraId="31E3AF7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、基金的会计年度为公历每年</w:t>
      </w:r>
      <w:r>
        <w:rPr>
          <w:rFonts w:ascii="Arial" w:hAnsi="Arial" w:cs="Arial"/>
          <w:kern w:val="0"/>
          <w:szCs w:val="21"/>
        </w:rPr>
        <w:t>1</w:t>
      </w:r>
      <w:r>
        <w:rPr>
          <w:rFonts w:ascii="Arial" w:hAnsi="宋体" w:cs="Arial"/>
          <w:kern w:val="0"/>
          <w:szCs w:val="21"/>
        </w:rPr>
        <w:t>月</w:t>
      </w:r>
      <w:r>
        <w:rPr>
          <w:rFonts w:ascii="Arial" w:hAnsi="Arial" w:cs="Arial"/>
          <w:kern w:val="0"/>
          <w:szCs w:val="21"/>
        </w:rPr>
        <w:t>1</w:t>
      </w:r>
      <w:r>
        <w:rPr>
          <w:rFonts w:ascii="Arial" w:hAnsi="宋体" w:cs="Arial"/>
          <w:kern w:val="0"/>
          <w:szCs w:val="21"/>
        </w:rPr>
        <w:t>日至</w:t>
      </w:r>
      <w:r>
        <w:rPr>
          <w:rFonts w:ascii="Arial" w:hAnsi="Arial" w:cs="Arial"/>
          <w:kern w:val="0"/>
          <w:szCs w:val="21"/>
        </w:rPr>
        <w:t>12</w:t>
      </w:r>
      <w:r>
        <w:rPr>
          <w:rFonts w:ascii="Arial" w:hAnsi="宋体" w:cs="Arial"/>
          <w:kern w:val="0"/>
          <w:szCs w:val="21"/>
        </w:rPr>
        <w:t>月</w:t>
      </w:r>
      <w:r>
        <w:rPr>
          <w:rFonts w:ascii="Arial" w:hAnsi="Arial" w:cs="Arial"/>
          <w:kern w:val="0"/>
          <w:szCs w:val="21"/>
        </w:rPr>
        <w:t>31</w:t>
      </w:r>
      <w:r>
        <w:rPr>
          <w:rFonts w:ascii="Arial" w:hAnsi="宋体" w:cs="Arial"/>
          <w:kern w:val="0"/>
          <w:szCs w:val="21"/>
        </w:rPr>
        <w:t>日</w:t>
      </w:r>
      <w:r>
        <w:rPr>
          <w:rFonts w:ascii="Arial" w:hAnsi="宋体" w:cs="Arial" w:hint="eastAsia"/>
          <w:kern w:val="0"/>
          <w:szCs w:val="21"/>
        </w:rPr>
        <w:t>；</w:t>
      </w:r>
    </w:p>
    <w:p w14:paraId="06D00B2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、基金核算以人民币为记账本位币，以人民币为记账单位</w:t>
      </w:r>
      <w:r>
        <w:rPr>
          <w:rFonts w:ascii="Arial" w:hAnsi="宋体" w:cs="Arial" w:hint="eastAsia"/>
          <w:kern w:val="0"/>
          <w:szCs w:val="21"/>
        </w:rPr>
        <w:t>；</w:t>
      </w:r>
    </w:p>
    <w:p w14:paraId="7649A31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、会计制度按国家有关的会计制度执行</w:t>
      </w:r>
      <w:r>
        <w:rPr>
          <w:rFonts w:ascii="Arial" w:hAnsi="宋体" w:cs="Arial" w:hint="eastAsia"/>
          <w:kern w:val="0"/>
          <w:szCs w:val="21"/>
        </w:rPr>
        <w:t>；</w:t>
      </w:r>
    </w:p>
    <w:p w14:paraId="0202E98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、本基金独立建账、独立核算</w:t>
      </w:r>
      <w:r>
        <w:rPr>
          <w:rFonts w:ascii="Arial" w:hAnsi="宋体" w:cs="Arial" w:hint="eastAsia"/>
          <w:kern w:val="0"/>
          <w:szCs w:val="21"/>
        </w:rPr>
        <w:t>；</w:t>
      </w:r>
    </w:p>
    <w:p w14:paraId="44C6764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、本基金会计责任人为基金管理人</w:t>
      </w:r>
      <w:r>
        <w:rPr>
          <w:rFonts w:ascii="Arial" w:hAnsi="宋体" w:cs="Arial" w:hint="eastAsia"/>
          <w:kern w:val="0"/>
          <w:szCs w:val="21"/>
        </w:rPr>
        <w:t>；</w:t>
      </w:r>
    </w:p>
    <w:p w14:paraId="0CB35FA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、基金管理人应保留完整的会计账目、凭证并进行日常的会计核算，按照有关规定编制基金会计报表，基金托管人定期与基金管理人就基金的会计核算、报表编制等进行核对并以书面方式确认。</w:t>
      </w:r>
    </w:p>
    <w:p w14:paraId="5869517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（二）基金年度审计</w:t>
      </w:r>
    </w:p>
    <w:p w14:paraId="5B668311" w14:textId="60493C11"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、基金管理人聘请与基金管理人、基金托管人、境外托管人相独立的、具有证券、期货相关业务资格的会计师事务所及其注册会计师等机构对基金年度财务报表及其他规定事项进行审计；</w:t>
      </w:r>
    </w:p>
    <w:p w14:paraId="06BEF84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、会计师事务所更换经办注册会计师，应事先征得基金管理人同意；</w:t>
      </w:r>
    </w:p>
    <w:p w14:paraId="67483C45" w14:textId="051AB24C"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w:t>
      </w:r>
      <w:r>
        <w:rPr>
          <w:rFonts w:ascii="Arial" w:hAnsi="宋体" w:cs="Arial" w:hint="eastAsia"/>
          <w:kern w:val="0"/>
          <w:szCs w:val="21"/>
        </w:rPr>
        <w:t>基金管理人认为有充足理由更换会计师事务所，须通报基金托管人。更换会计师事务所需按照《信息披露办法》的有关规定在指定媒介公告</w:t>
      </w:r>
      <w:r>
        <w:rPr>
          <w:rFonts w:ascii="Arial" w:hAnsi="宋体" w:cs="Arial"/>
          <w:kern w:val="0"/>
          <w:szCs w:val="21"/>
        </w:rPr>
        <w:t>。</w:t>
      </w:r>
    </w:p>
    <w:p w14:paraId="593D19E7" w14:textId="77777777" w:rsidR="00F50C35" w:rsidRDefault="00F50C35">
      <w:pPr>
        <w:adjustRightInd w:val="0"/>
        <w:snapToGrid w:val="0"/>
        <w:spacing w:line="360" w:lineRule="auto"/>
        <w:ind w:firstLine="420"/>
        <w:rPr>
          <w:rFonts w:ascii="Arial" w:hAnsi="Arial" w:cs="Arial"/>
          <w:kern w:val="0"/>
          <w:szCs w:val="21"/>
        </w:rPr>
      </w:pPr>
    </w:p>
    <w:p w14:paraId="18178FE8" w14:textId="77777777" w:rsidR="00F50C35" w:rsidRDefault="00FB66DA">
      <w:pPr>
        <w:pStyle w:val="1"/>
        <w:snapToGrid w:val="0"/>
        <w:spacing w:before="0" w:after="0" w:line="360" w:lineRule="auto"/>
        <w:rPr>
          <w:rFonts w:hAnsi="Arial"/>
          <w:kern w:val="0"/>
        </w:rPr>
      </w:pPr>
      <w:bookmarkStart w:id="75" w:name="_Toc88037855"/>
      <w:r>
        <w:rPr>
          <w:rFonts w:hAnsi="Arial"/>
          <w:kern w:val="0"/>
        </w:rPr>
        <w:br w:type="page"/>
      </w:r>
      <w:bookmarkStart w:id="76" w:name="_Toc274814020"/>
      <w:bookmarkStart w:id="77" w:name="_Toc274814087"/>
      <w:r>
        <w:rPr>
          <w:kern w:val="0"/>
        </w:rPr>
        <w:lastRenderedPageBreak/>
        <w:t>二十一、基金的信息披露</w:t>
      </w:r>
      <w:bookmarkEnd w:id="75"/>
      <w:bookmarkEnd w:id="76"/>
      <w:bookmarkEnd w:id="77"/>
    </w:p>
    <w:p w14:paraId="5AF87AB7" w14:textId="6C36D04B" w:rsidR="00F50C35" w:rsidRDefault="00FB66DA">
      <w:pPr>
        <w:spacing w:line="360" w:lineRule="auto"/>
        <w:ind w:firstLineChars="200" w:firstLine="420"/>
        <w:rPr>
          <w:bCs/>
          <w:szCs w:val="21"/>
        </w:rPr>
      </w:pPr>
      <w:bookmarkStart w:id="78" w:name="_Toc88037856"/>
      <w:bookmarkStart w:id="79" w:name="OLE_LINK2"/>
      <w:r>
        <w:rPr>
          <w:bCs/>
          <w:szCs w:val="21"/>
        </w:rPr>
        <w:t>一、本基金的信息披露应符合《基金法》、《运作办法》、《信息披露办法》、</w:t>
      </w:r>
      <w:r>
        <w:rPr>
          <w:rFonts w:hint="eastAsia"/>
          <w:bCs/>
          <w:szCs w:val="21"/>
        </w:rPr>
        <w:t>《流动性风险管理规定》、</w:t>
      </w:r>
      <w:r>
        <w:rPr>
          <w:bCs/>
          <w:szCs w:val="21"/>
        </w:rPr>
        <w:t>《基金合同》及其他有关规定。</w:t>
      </w:r>
    </w:p>
    <w:p w14:paraId="0988AA9B" w14:textId="77777777" w:rsidR="00F50C35" w:rsidRDefault="00FB66DA">
      <w:pPr>
        <w:spacing w:line="360" w:lineRule="auto"/>
        <w:ind w:firstLineChars="200" w:firstLine="420"/>
        <w:rPr>
          <w:bCs/>
          <w:szCs w:val="21"/>
        </w:rPr>
      </w:pPr>
      <w:r>
        <w:rPr>
          <w:bCs/>
          <w:szCs w:val="21"/>
        </w:rPr>
        <w:t>二、信息披露义务人</w:t>
      </w:r>
    </w:p>
    <w:p w14:paraId="5B05B3E7" w14:textId="77777777" w:rsidR="00F50C35" w:rsidRDefault="00FB66DA">
      <w:pPr>
        <w:spacing w:line="360" w:lineRule="auto"/>
        <w:ind w:firstLineChars="200" w:firstLine="420"/>
        <w:rPr>
          <w:bCs/>
          <w:szCs w:val="21"/>
        </w:rPr>
      </w:pPr>
      <w:r>
        <w:rPr>
          <w:bCs/>
          <w:szCs w:val="21"/>
        </w:rPr>
        <w:t>本基金信息披露义务人包括基金管理人、基金托管人、召集基金份额持有人大会的基金份额持有人</w:t>
      </w:r>
      <w:r>
        <w:rPr>
          <w:rFonts w:hint="eastAsia"/>
          <w:bCs/>
          <w:szCs w:val="21"/>
        </w:rPr>
        <w:t>及其日常机构</w:t>
      </w:r>
      <w:r>
        <w:rPr>
          <w:bCs/>
          <w:szCs w:val="21"/>
        </w:rPr>
        <w:t>等法律法规和中国证监会规定的自然人、法人和</w:t>
      </w:r>
      <w:r>
        <w:rPr>
          <w:rFonts w:hint="eastAsia"/>
          <w:bCs/>
          <w:szCs w:val="21"/>
        </w:rPr>
        <w:t>非法人</w:t>
      </w:r>
      <w:r>
        <w:rPr>
          <w:bCs/>
          <w:szCs w:val="21"/>
        </w:rPr>
        <w:t>组织。</w:t>
      </w:r>
    </w:p>
    <w:p w14:paraId="04D39C95" w14:textId="77777777" w:rsidR="00F50C35" w:rsidRDefault="00FB66DA">
      <w:pPr>
        <w:spacing w:line="360" w:lineRule="auto"/>
        <w:ind w:firstLineChars="200" w:firstLine="420"/>
        <w:rPr>
          <w:bCs/>
          <w:szCs w:val="21"/>
        </w:rPr>
      </w:pPr>
      <w:r>
        <w:rPr>
          <w:bCs/>
          <w:szCs w:val="21"/>
        </w:rPr>
        <w:t>本基金信息披露义务人</w:t>
      </w:r>
      <w:r>
        <w:rPr>
          <w:rFonts w:hint="eastAsia"/>
          <w:bCs/>
          <w:szCs w:val="21"/>
        </w:rPr>
        <w:t>以保护基金份额持有人利益为根本出发点，</w:t>
      </w:r>
      <w:r>
        <w:rPr>
          <w:bCs/>
          <w:szCs w:val="21"/>
        </w:rPr>
        <w:t>按照法律法规和中国证监会的规定披露基金信息，并保证所披露信息的真实性、准确性</w:t>
      </w:r>
      <w:r>
        <w:rPr>
          <w:rFonts w:hint="eastAsia"/>
          <w:bCs/>
          <w:szCs w:val="21"/>
        </w:rPr>
        <w:t>、</w:t>
      </w:r>
      <w:r>
        <w:rPr>
          <w:bCs/>
          <w:szCs w:val="21"/>
        </w:rPr>
        <w:t>完整性</w:t>
      </w:r>
      <w:r>
        <w:rPr>
          <w:rFonts w:hint="eastAsia"/>
          <w:bCs/>
          <w:szCs w:val="21"/>
        </w:rPr>
        <w:t>、及时性、简明性和易得性</w:t>
      </w:r>
      <w:r>
        <w:rPr>
          <w:bCs/>
          <w:szCs w:val="21"/>
        </w:rPr>
        <w:t>。</w:t>
      </w:r>
    </w:p>
    <w:p w14:paraId="452AB6AD" w14:textId="0DE1C06A" w:rsidR="00F50C35" w:rsidRDefault="00FB66DA">
      <w:pPr>
        <w:adjustRightInd w:val="0"/>
        <w:snapToGrid w:val="0"/>
        <w:spacing w:line="360" w:lineRule="auto"/>
        <w:ind w:firstLine="420"/>
        <w:rPr>
          <w:rFonts w:ascii="Arial" w:hAnsi="宋体" w:cs="Arial"/>
          <w:kern w:val="0"/>
          <w:szCs w:val="21"/>
        </w:rPr>
      </w:pPr>
      <w:r>
        <w:rPr>
          <w:rFonts w:ascii="Arial" w:hAnsi="宋体" w:cs="Arial" w:hint="eastAsia"/>
          <w:kern w:val="0"/>
          <w:szCs w:val="21"/>
        </w:rPr>
        <w:t>基金信息披露义务人应当在中国证监会规定时间内，将应予披露的基金信息通过中国证监会指定的全国性报刊（以下简称“指定报刊”）及指定互联网网站（以下简称“指定网站”）等媒介披露，</w:t>
      </w:r>
      <w:r>
        <w:rPr>
          <w:rFonts w:ascii="Arial" w:hAnsi="宋体" w:cs="Arial"/>
          <w:kern w:val="0"/>
          <w:szCs w:val="21"/>
        </w:rPr>
        <w:t>并保证投资者能够按照基金合同约定的时间和方式查阅或者复制公开披露的信息资料。</w:t>
      </w:r>
    </w:p>
    <w:p w14:paraId="12AEEDAE"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三、本基金信息披露义务人承诺公开披露的基金信息，不得有下列行为：</w:t>
      </w:r>
    </w:p>
    <w:p w14:paraId="5BE0F617"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1</w:t>
      </w:r>
      <w:r>
        <w:rPr>
          <w:rFonts w:ascii="Arial" w:hAnsi="宋体" w:cs="Arial"/>
          <w:kern w:val="0"/>
          <w:szCs w:val="21"/>
        </w:rPr>
        <w:t>、虚假记载、误导性陈述或者重大遗漏；</w:t>
      </w:r>
    </w:p>
    <w:p w14:paraId="604DADF0"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2</w:t>
      </w:r>
      <w:r>
        <w:rPr>
          <w:rFonts w:ascii="Arial" w:hAnsi="宋体" w:cs="Arial"/>
          <w:kern w:val="0"/>
          <w:szCs w:val="21"/>
        </w:rPr>
        <w:t>、对证券投资业绩进行预测；</w:t>
      </w:r>
    </w:p>
    <w:p w14:paraId="1F16CB5F"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3</w:t>
      </w:r>
      <w:r>
        <w:rPr>
          <w:rFonts w:ascii="Arial" w:hAnsi="宋体" w:cs="Arial"/>
          <w:kern w:val="0"/>
          <w:szCs w:val="21"/>
        </w:rPr>
        <w:t>、违规承诺收益或者承担损失；</w:t>
      </w:r>
    </w:p>
    <w:p w14:paraId="4884C6AA"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4</w:t>
      </w:r>
      <w:r>
        <w:rPr>
          <w:rFonts w:ascii="Arial" w:hAnsi="宋体" w:cs="Arial"/>
          <w:kern w:val="0"/>
          <w:szCs w:val="21"/>
        </w:rPr>
        <w:t>、诋毁其他基金管理人、基金托管人或者基金销售机构；</w:t>
      </w:r>
    </w:p>
    <w:p w14:paraId="28C648B7"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5</w:t>
      </w:r>
      <w:r>
        <w:rPr>
          <w:rFonts w:ascii="Arial" w:hAnsi="宋体" w:cs="Arial"/>
          <w:kern w:val="0"/>
          <w:szCs w:val="21"/>
        </w:rPr>
        <w:t>、登载任何自然人、法人</w:t>
      </w:r>
      <w:r>
        <w:rPr>
          <w:rFonts w:ascii="Arial" w:hAnsi="宋体" w:cs="Arial" w:hint="eastAsia"/>
          <w:kern w:val="0"/>
          <w:szCs w:val="21"/>
        </w:rPr>
        <w:t>和非法人</w:t>
      </w:r>
      <w:r>
        <w:rPr>
          <w:rFonts w:ascii="Arial" w:hAnsi="宋体" w:cs="Arial"/>
          <w:kern w:val="0"/>
          <w:szCs w:val="21"/>
        </w:rPr>
        <w:t>组织的祝贺性、恭维性或推荐性的文字；</w:t>
      </w:r>
    </w:p>
    <w:p w14:paraId="59E06FF7"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6</w:t>
      </w:r>
      <w:r>
        <w:rPr>
          <w:rFonts w:ascii="Arial" w:hAnsi="宋体" w:cs="Arial"/>
          <w:kern w:val="0"/>
          <w:szCs w:val="21"/>
        </w:rPr>
        <w:t>、中国证监会禁止的其他行为。</w:t>
      </w:r>
    </w:p>
    <w:p w14:paraId="12344E9E"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四、本基金公开披露的信息应采用中文文本。如同时采用外文文本的，基金信息披露义务人应保证</w:t>
      </w:r>
      <w:r>
        <w:rPr>
          <w:rFonts w:ascii="Arial" w:hAnsi="宋体" w:cs="Arial" w:hint="eastAsia"/>
          <w:kern w:val="0"/>
          <w:szCs w:val="21"/>
        </w:rPr>
        <w:t>不同</w:t>
      </w:r>
      <w:r>
        <w:rPr>
          <w:rFonts w:ascii="Arial" w:hAnsi="宋体" w:cs="Arial"/>
          <w:kern w:val="0"/>
          <w:szCs w:val="21"/>
        </w:rPr>
        <w:t>文本的内容一致。</w:t>
      </w:r>
      <w:r>
        <w:rPr>
          <w:rFonts w:ascii="Arial" w:hAnsi="宋体" w:cs="Arial" w:hint="eastAsia"/>
          <w:kern w:val="0"/>
          <w:szCs w:val="21"/>
        </w:rPr>
        <w:t>不同</w:t>
      </w:r>
      <w:r>
        <w:rPr>
          <w:rFonts w:ascii="Arial" w:hAnsi="宋体" w:cs="Arial"/>
          <w:kern w:val="0"/>
          <w:szCs w:val="21"/>
        </w:rPr>
        <w:t>文本</w:t>
      </w:r>
      <w:r>
        <w:rPr>
          <w:rFonts w:ascii="Arial" w:hAnsi="宋体" w:cs="Arial" w:hint="eastAsia"/>
          <w:kern w:val="0"/>
          <w:szCs w:val="21"/>
        </w:rPr>
        <w:t>之间</w:t>
      </w:r>
      <w:r>
        <w:rPr>
          <w:rFonts w:ascii="Arial" w:hAnsi="宋体" w:cs="Arial"/>
          <w:kern w:val="0"/>
          <w:szCs w:val="21"/>
        </w:rPr>
        <w:t>发生歧义的，以中文文本为准。</w:t>
      </w:r>
    </w:p>
    <w:p w14:paraId="7BB8CED9"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本基金公开披露的信息采用阿拉伯数字；除特别说明外，货币单位为人民币元。</w:t>
      </w:r>
    </w:p>
    <w:p w14:paraId="7BE457A9" w14:textId="77777777" w:rsidR="00F50C35" w:rsidRDefault="00FB66DA">
      <w:pPr>
        <w:snapToGrid w:val="0"/>
        <w:spacing w:line="360" w:lineRule="auto"/>
        <w:ind w:firstLineChars="200" w:firstLine="420"/>
        <w:rPr>
          <w:rFonts w:ascii="Arial" w:hAnsi="宋体" w:cs="Arial"/>
          <w:kern w:val="0"/>
          <w:szCs w:val="21"/>
        </w:rPr>
      </w:pPr>
      <w:r>
        <w:rPr>
          <w:rFonts w:ascii="Arial" w:hAnsi="宋体" w:cs="Arial"/>
          <w:kern w:val="0"/>
          <w:szCs w:val="21"/>
        </w:rPr>
        <w:t>五、公开披露的基金信息</w:t>
      </w:r>
    </w:p>
    <w:p w14:paraId="0203DFEA" w14:textId="77777777" w:rsidR="00F50C35" w:rsidRDefault="00FB66DA" w:rsidP="00AD672F">
      <w:pPr>
        <w:snapToGrid w:val="0"/>
        <w:spacing w:line="360" w:lineRule="auto"/>
        <w:ind w:firstLineChars="200" w:firstLine="420"/>
        <w:rPr>
          <w:rFonts w:ascii="Arial" w:hAnsi="宋体" w:cs="Arial"/>
          <w:kern w:val="0"/>
          <w:szCs w:val="21"/>
        </w:rPr>
      </w:pPr>
      <w:r>
        <w:rPr>
          <w:rFonts w:ascii="Arial" w:hAnsi="宋体" w:cs="Arial"/>
          <w:kern w:val="0"/>
          <w:szCs w:val="21"/>
        </w:rPr>
        <w:t>公开披露的基金信息包括：</w:t>
      </w:r>
    </w:p>
    <w:p w14:paraId="69B1CEA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szCs w:val="21"/>
        </w:rPr>
        <w:t>（一）基金招募说明书、基金合同、基金托管协议、基金产品资料概要</w:t>
      </w:r>
    </w:p>
    <w:p w14:paraId="6552A54E"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基金募集申请经中国证监会核准后，基金管理人应当在基金份额发售的</w:t>
      </w:r>
      <w:r>
        <w:rPr>
          <w:rFonts w:ascii="Arial" w:hAnsi="Arial" w:cs="Arial"/>
          <w:szCs w:val="21"/>
        </w:rPr>
        <w:t>3</w:t>
      </w:r>
      <w:r>
        <w:rPr>
          <w:rFonts w:ascii="Arial" w:hAnsi="宋体" w:cs="Arial"/>
          <w:szCs w:val="21"/>
        </w:rPr>
        <w:t>日前，将招募说明书、基金合同摘要登载在指定报刊和网站上；基金管理人、基金托管人应当将基金合同、基金托管协议登载在各自公司网站上。</w:t>
      </w:r>
    </w:p>
    <w:p w14:paraId="2E9C85BE" w14:textId="107C2B82" w:rsidR="00F50C35" w:rsidRDefault="00FB66DA">
      <w:pPr>
        <w:adjustRightInd w:val="0"/>
        <w:snapToGrid w:val="0"/>
        <w:spacing w:line="360" w:lineRule="auto"/>
        <w:ind w:firstLine="420"/>
        <w:rPr>
          <w:rFonts w:ascii="Arial" w:hAnsi="宋体" w:cs="Arial"/>
          <w:szCs w:val="21"/>
        </w:rPr>
      </w:pPr>
      <w:r>
        <w:rPr>
          <w:rFonts w:ascii="Arial" w:hAnsi="宋体" w:cs="Arial"/>
          <w:szCs w:val="21"/>
        </w:rPr>
        <w:t>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w:t>
      </w:r>
    </w:p>
    <w:p w14:paraId="45C38CC9" w14:textId="77777777" w:rsidR="00F50C35" w:rsidRDefault="00FB66DA">
      <w:pPr>
        <w:adjustRightInd w:val="0"/>
        <w:snapToGrid w:val="0"/>
        <w:spacing w:line="360" w:lineRule="auto"/>
        <w:ind w:firstLine="420"/>
        <w:rPr>
          <w:rFonts w:ascii="Arial" w:hAnsi="Arial" w:cs="Arial"/>
          <w:szCs w:val="21"/>
        </w:rPr>
      </w:pPr>
      <w:r>
        <w:rPr>
          <w:rFonts w:ascii="Arial" w:hAnsi="Arial" w:cs="Arial" w:hint="eastAsia"/>
          <w:szCs w:val="21"/>
        </w:rPr>
        <w:lastRenderedPageBreak/>
        <w:t>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w:t>
      </w:r>
    </w:p>
    <w:p w14:paraId="79FCCEC9"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（二）基金份额发售公告</w:t>
      </w:r>
    </w:p>
    <w:p w14:paraId="7295F811"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基金管理人应当就基金份额发售的具体事宜编制基金份额发售公告，并在披露招募说明书的当日登载于指定报刊和网站上。</w:t>
      </w:r>
    </w:p>
    <w:p w14:paraId="7E5A9889"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（三）基金合同生效公告</w:t>
      </w:r>
    </w:p>
    <w:p w14:paraId="749AC36A" w14:textId="069DD68C"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基金管理人应当在基金合同生效的次日在指定媒介和网站上登载基金合同生效公告。</w:t>
      </w:r>
    </w:p>
    <w:p w14:paraId="7047BF41" w14:textId="5A59C24D" w:rsidR="00F50C35" w:rsidRDefault="00FB66DA">
      <w:pPr>
        <w:autoSpaceDE w:val="0"/>
        <w:autoSpaceDN w:val="0"/>
        <w:adjustRightInd w:val="0"/>
        <w:snapToGrid w:val="0"/>
        <w:spacing w:line="360" w:lineRule="auto"/>
        <w:ind w:firstLine="420"/>
        <w:textAlignment w:val="bottom"/>
        <w:rPr>
          <w:rFonts w:ascii="Arial" w:hAnsi="Arial" w:cs="Arial"/>
          <w:szCs w:val="21"/>
        </w:rPr>
      </w:pPr>
      <w:r>
        <w:rPr>
          <w:rFonts w:ascii="Arial" w:hAnsi="宋体" w:cs="Arial"/>
          <w:kern w:val="0"/>
          <w:szCs w:val="21"/>
        </w:rPr>
        <w:t>（四）</w:t>
      </w:r>
      <w:r w:rsidRPr="00AD672F">
        <w:rPr>
          <w:rFonts w:ascii="Arial" w:hAnsi="宋体"/>
          <w:kern w:val="0"/>
        </w:rPr>
        <w:t>基金净值</w:t>
      </w:r>
      <w:r>
        <w:rPr>
          <w:rFonts w:ascii="Arial" w:hAnsi="宋体" w:cs="Arial"/>
          <w:kern w:val="0"/>
          <w:szCs w:val="21"/>
        </w:rPr>
        <w:t>信息</w:t>
      </w:r>
    </w:p>
    <w:p w14:paraId="0B81034C" w14:textId="0392D011" w:rsidR="00F50C35" w:rsidRDefault="00FB66DA">
      <w:pPr>
        <w:pStyle w:val="af5"/>
        <w:autoSpaceDE w:val="0"/>
        <w:autoSpaceDN w:val="0"/>
        <w:adjustRightInd w:val="0"/>
        <w:snapToGrid w:val="0"/>
        <w:ind w:firstLineChars="0"/>
        <w:textAlignment w:val="bottom"/>
        <w:rPr>
          <w:rFonts w:ascii="Arial" w:hAnsi="Arial" w:cs="Arial"/>
          <w:szCs w:val="21"/>
        </w:rPr>
      </w:pPr>
      <w:r>
        <w:rPr>
          <w:rFonts w:ascii="Arial" w:hAnsi="宋体" w:cs="Arial"/>
          <w:szCs w:val="21"/>
        </w:rPr>
        <w:t>基金合同生效后，在开始办理基金份额申购或者赎回前，基金管理人应当至少每周在指定网站披露一次基金份额净值和基金份额累计净值。如本基金投资衍生品，应当在每个工作日计算并披露基金份额净值。</w:t>
      </w:r>
    </w:p>
    <w:p w14:paraId="6F6836A0" w14:textId="15BF4141" w:rsidR="00F50C35" w:rsidRDefault="00FB66DA">
      <w:pPr>
        <w:adjustRightInd w:val="0"/>
        <w:snapToGrid w:val="0"/>
        <w:spacing w:line="360" w:lineRule="auto"/>
        <w:ind w:firstLine="420"/>
        <w:rPr>
          <w:rFonts w:ascii="Arial" w:hAnsi="Arial" w:cs="Arial"/>
          <w:szCs w:val="21"/>
        </w:rPr>
      </w:pPr>
      <w:r>
        <w:rPr>
          <w:rFonts w:ascii="Arial" w:hAnsi="宋体" w:cs="Arial"/>
          <w:szCs w:val="21"/>
        </w:rPr>
        <w:t>在开始办理基金份额申购或赎回之后，基金管理人应当在</w:t>
      </w:r>
      <w:r>
        <w:rPr>
          <w:rFonts w:ascii="Arial" w:hAnsi="Arial" w:cs="Arial"/>
          <w:szCs w:val="21"/>
        </w:rPr>
        <w:t>T+2</w:t>
      </w:r>
      <w:r>
        <w:rPr>
          <w:rFonts w:ascii="Arial" w:hAnsi="宋体" w:cs="Arial"/>
          <w:szCs w:val="21"/>
        </w:rPr>
        <w:t>日（</w:t>
      </w:r>
      <w:r>
        <w:rPr>
          <w:rFonts w:ascii="Arial" w:hAnsi="Arial" w:cs="Arial"/>
          <w:szCs w:val="21"/>
        </w:rPr>
        <w:t>T</w:t>
      </w:r>
      <w:r>
        <w:rPr>
          <w:rFonts w:ascii="Arial" w:hAnsi="宋体" w:cs="Arial"/>
          <w:szCs w:val="21"/>
        </w:rPr>
        <w:t>日为开放日）</w:t>
      </w:r>
      <w:r>
        <w:rPr>
          <w:rFonts w:ascii="Arial" w:hAnsi="宋体" w:cs="Arial" w:hint="eastAsia"/>
          <w:szCs w:val="21"/>
        </w:rPr>
        <w:t>通过指定网站、销售机构网站或者营业网点披露开放日的基金份额净值和基金份额累计净值</w:t>
      </w:r>
      <w:r>
        <w:rPr>
          <w:rFonts w:ascii="Arial" w:hAnsi="宋体" w:cs="Arial"/>
          <w:szCs w:val="21"/>
        </w:rPr>
        <w:t>。</w:t>
      </w:r>
    </w:p>
    <w:p w14:paraId="246C21AF" w14:textId="6D0C408E" w:rsidR="00F50C35" w:rsidRDefault="00FB66DA">
      <w:pPr>
        <w:pStyle w:val="af5"/>
        <w:autoSpaceDE w:val="0"/>
        <w:autoSpaceDN w:val="0"/>
        <w:adjustRightInd w:val="0"/>
        <w:snapToGrid w:val="0"/>
        <w:ind w:firstLineChars="0"/>
        <w:textAlignment w:val="bottom"/>
        <w:rPr>
          <w:rFonts w:ascii="Arial" w:hAnsi="Arial" w:cs="Arial"/>
          <w:kern w:val="0"/>
          <w:szCs w:val="21"/>
        </w:rPr>
      </w:pPr>
      <w:r>
        <w:rPr>
          <w:rFonts w:ascii="Arial" w:hAnsi="宋体" w:cs="Arial"/>
          <w:szCs w:val="21"/>
        </w:rPr>
        <w:t>基金管理人应当</w:t>
      </w:r>
      <w:r>
        <w:rPr>
          <w:rFonts w:ascii="Arial" w:hAnsi="宋体" w:cs="Arial" w:hint="eastAsia"/>
          <w:szCs w:val="21"/>
        </w:rPr>
        <w:t>在不晚于半年度和年度最后</w:t>
      </w:r>
      <w:proofErr w:type="gramStart"/>
      <w:r>
        <w:rPr>
          <w:rFonts w:ascii="Arial" w:hAnsi="宋体" w:cs="Arial" w:hint="eastAsia"/>
          <w:szCs w:val="21"/>
        </w:rPr>
        <w:t>一</w:t>
      </w:r>
      <w:proofErr w:type="gramEnd"/>
      <w:r>
        <w:rPr>
          <w:rFonts w:ascii="Arial" w:hAnsi="宋体" w:cs="Arial" w:hint="eastAsia"/>
          <w:szCs w:val="21"/>
        </w:rPr>
        <w:t>日后的</w:t>
      </w:r>
      <w:r>
        <w:rPr>
          <w:rFonts w:ascii="Arial" w:hAnsi="宋体" w:cs="Arial" w:hint="eastAsia"/>
          <w:szCs w:val="21"/>
        </w:rPr>
        <w:t>2</w:t>
      </w:r>
      <w:r>
        <w:rPr>
          <w:rFonts w:ascii="Arial" w:hAnsi="宋体" w:cs="Arial" w:hint="eastAsia"/>
          <w:szCs w:val="21"/>
        </w:rPr>
        <w:t>个工作日，</w:t>
      </w:r>
      <w:r>
        <w:rPr>
          <w:rFonts w:ascii="Arial" w:hAnsi="宋体" w:cs="Arial" w:hint="eastAsia"/>
          <w:color w:val="000000"/>
          <w:szCs w:val="21"/>
        </w:rPr>
        <w:t>在指定网站披露半年度和年度最后一日的基金份额净值和基金份额累计净值</w:t>
      </w:r>
      <w:r>
        <w:rPr>
          <w:rFonts w:ascii="Arial" w:hAnsi="宋体" w:cs="Arial"/>
          <w:szCs w:val="21"/>
        </w:rPr>
        <w:t>。</w:t>
      </w:r>
    </w:p>
    <w:p w14:paraId="6355092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（五）定期报告</w:t>
      </w:r>
    </w:p>
    <w:p w14:paraId="504CB0B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基金定期报告由基金管理人按照法律法规和中国证监会颁布的有关证券投资基金信息披露内容与格式的相关文件的规定单独编制，由基金托管人按照法律法规的规定对相关内容进行复核。</w:t>
      </w:r>
    </w:p>
    <w:p w14:paraId="292492B5" w14:textId="74FEE500" w:rsidR="00F50C35" w:rsidRPr="00AD672F" w:rsidRDefault="00FB66DA">
      <w:pPr>
        <w:adjustRightInd w:val="0"/>
        <w:snapToGrid w:val="0"/>
        <w:spacing w:line="360" w:lineRule="auto"/>
        <w:ind w:firstLine="420"/>
        <w:rPr>
          <w:rFonts w:ascii="Arial" w:hAnsi="宋体"/>
          <w:kern w:val="0"/>
        </w:rPr>
      </w:pPr>
      <w:r w:rsidRPr="00AD672F">
        <w:rPr>
          <w:rFonts w:ascii="Arial" w:hAnsi="宋体"/>
          <w:kern w:val="0"/>
        </w:rPr>
        <w:t>1</w:t>
      </w:r>
      <w:r>
        <w:rPr>
          <w:rFonts w:ascii="Arial" w:hAnsi="宋体" w:cs="Arial"/>
          <w:kern w:val="0"/>
          <w:szCs w:val="21"/>
        </w:rPr>
        <w:t>、基金年度报告：</w:t>
      </w:r>
      <w:r>
        <w:rPr>
          <w:rFonts w:ascii="Arial" w:hAnsi="宋体" w:cs="Arial" w:hint="eastAsia"/>
          <w:kern w:val="0"/>
          <w:szCs w:val="21"/>
        </w:rPr>
        <w:t>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w:t>
      </w:r>
    </w:p>
    <w:p w14:paraId="7B1CFA00" w14:textId="167A0058"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、基金中期报告：</w:t>
      </w:r>
      <w:r>
        <w:rPr>
          <w:rFonts w:ascii="Arial" w:hAnsi="宋体" w:cs="Arial" w:hint="eastAsia"/>
          <w:kern w:val="0"/>
          <w:szCs w:val="21"/>
        </w:rPr>
        <w:t>基金管理人应当在上半年结束之日起两个月内，编制完成基金中期报告，将中期报告登载在指定网站上，并将中期报告提示性公告登载在指定报刊上；</w:t>
      </w:r>
    </w:p>
    <w:p w14:paraId="21AFC072" w14:textId="6277490A"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、基金季度报告：</w:t>
      </w:r>
      <w:r>
        <w:rPr>
          <w:rFonts w:ascii="Arial" w:hAnsi="宋体" w:cs="Arial" w:hint="eastAsia"/>
          <w:kern w:val="0"/>
          <w:szCs w:val="21"/>
        </w:rPr>
        <w:t>基金管理人应当在季度结束之日起</w:t>
      </w:r>
      <w:r>
        <w:rPr>
          <w:rFonts w:ascii="Arial" w:hAnsi="宋体" w:cs="Arial" w:hint="eastAsia"/>
          <w:kern w:val="0"/>
          <w:szCs w:val="21"/>
        </w:rPr>
        <w:t>15</w:t>
      </w:r>
      <w:r>
        <w:rPr>
          <w:rFonts w:ascii="Arial" w:hAnsi="宋体" w:cs="Arial" w:hint="eastAsia"/>
          <w:kern w:val="0"/>
          <w:szCs w:val="21"/>
        </w:rPr>
        <w:t>个工作日内，编制完成基金季度报告，将季度报告登载在指定网站上，并将季度报告提示性公告登载在指定报刊上</w:t>
      </w:r>
      <w:r>
        <w:rPr>
          <w:rFonts w:ascii="Arial" w:hAnsi="宋体" w:cs="Arial"/>
          <w:kern w:val="0"/>
          <w:szCs w:val="21"/>
        </w:rPr>
        <w:t>。</w:t>
      </w:r>
    </w:p>
    <w:p w14:paraId="6E76A55C" w14:textId="1539E897" w:rsidR="00F50C35" w:rsidRDefault="00FB66DA">
      <w:pPr>
        <w:adjustRightInd w:val="0"/>
        <w:snapToGrid w:val="0"/>
        <w:spacing w:line="360" w:lineRule="auto"/>
        <w:ind w:firstLine="420"/>
        <w:rPr>
          <w:rFonts w:ascii="Arial" w:hAnsi="宋体" w:cs="Arial"/>
          <w:kern w:val="0"/>
          <w:szCs w:val="21"/>
        </w:rPr>
      </w:pPr>
      <w:r>
        <w:rPr>
          <w:rFonts w:ascii="Arial" w:hAnsi="宋体" w:cs="Arial"/>
          <w:kern w:val="0"/>
          <w:szCs w:val="21"/>
        </w:rPr>
        <w:t>基金合同生效不足两个月的，基金管理人可以不编制当期季度报告、中期报告或者年度报告。</w:t>
      </w:r>
    </w:p>
    <w:p w14:paraId="58B2B35B" w14:textId="699CA82B"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本基金持续运作过程中，应当在基金年度报告和中期报告中披露基金组合资产情况及其流动性风险分析等。</w:t>
      </w:r>
    </w:p>
    <w:p w14:paraId="5A978A7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如报告期内出现单一投资者持有基金份额达到或超过基金总份额</w:t>
      </w:r>
      <w:r>
        <w:rPr>
          <w:rFonts w:ascii="Arial" w:hAnsi="Arial" w:cs="Arial" w:hint="eastAsia"/>
          <w:kern w:val="0"/>
          <w:szCs w:val="21"/>
        </w:rPr>
        <w:t>20%</w:t>
      </w:r>
      <w:r>
        <w:rPr>
          <w:rFonts w:ascii="Arial" w:hAnsi="Arial" w:cs="Arial" w:hint="eastAsia"/>
          <w:kern w:val="0"/>
          <w:szCs w:val="21"/>
        </w:rPr>
        <w:t>的情形，为保障</w:t>
      </w:r>
      <w:r>
        <w:rPr>
          <w:rFonts w:ascii="Arial" w:hAnsi="Arial" w:cs="Arial" w:hint="eastAsia"/>
          <w:kern w:val="0"/>
          <w:szCs w:val="21"/>
        </w:rPr>
        <w:lastRenderedPageBreak/>
        <w:t>其他投资者的权益，基金管理人至少应当在基金定期报告“影响投资者决策的其他重要信息”项下披露该投资者的类别、报告期末持有份额及占比、报告期内持有份额变化情况及产品的特有风险，中国证监会认定的特殊情形除外。</w:t>
      </w:r>
    </w:p>
    <w:p w14:paraId="02A8D4D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（六）临时报告与公告</w:t>
      </w:r>
    </w:p>
    <w:p w14:paraId="21FA50D7" w14:textId="39EC661E"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基金发生重大事件，有关信息披露义务人应当在两日内编制临时报告书，并登载在指定报刊和指定网站上。</w:t>
      </w:r>
    </w:p>
    <w:p w14:paraId="1AFC10F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前款所称重大事件，是指可能对基金份额持有人权益或者基金份额的价格产生重大影响的下列事件：</w:t>
      </w:r>
    </w:p>
    <w:p w14:paraId="5322A6F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sidRPr="00AD672F">
        <w:rPr>
          <w:rFonts w:ascii="Arial" w:hAnsi="Arial"/>
          <w:kern w:val="0"/>
        </w:rPr>
        <w:t>、基金份额持有人大会的召开</w:t>
      </w:r>
      <w:r>
        <w:rPr>
          <w:rFonts w:ascii="Arial" w:hAnsi="Arial" w:cs="Arial"/>
          <w:kern w:val="0"/>
          <w:szCs w:val="21"/>
        </w:rPr>
        <w:t>及决定的事项</w:t>
      </w:r>
      <w:r>
        <w:rPr>
          <w:rFonts w:ascii="Arial" w:hAnsi="宋体" w:cs="Arial"/>
          <w:kern w:val="0"/>
          <w:szCs w:val="21"/>
        </w:rPr>
        <w:t>；</w:t>
      </w:r>
    </w:p>
    <w:p w14:paraId="736B70FF" w14:textId="3D166756"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、终止基金合同</w:t>
      </w:r>
      <w:r>
        <w:rPr>
          <w:rFonts w:ascii="Arial" w:hAnsi="宋体" w:cs="Arial" w:hint="eastAsia"/>
          <w:kern w:val="0"/>
          <w:szCs w:val="21"/>
        </w:rPr>
        <w:t>、基金清算</w:t>
      </w:r>
      <w:r>
        <w:rPr>
          <w:rFonts w:ascii="Arial" w:hAnsi="宋体" w:cs="Arial"/>
          <w:kern w:val="0"/>
          <w:szCs w:val="21"/>
        </w:rPr>
        <w:t>；</w:t>
      </w:r>
    </w:p>
    <w:p w14:paraId="7BDAD3B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sidRPr="00AD672F">
        <w:rPr>
          <w:rFonts w:ascii="Arial" w:hAnsi="Arial"/>
          <w:kern w:val="0"/>
        </w:rPr>
        <w:t>、转换基金运作方式</w:t>
      </w:r>
      <w:r>
        <w:rPr>
          <w:rFonts w:ascii="Arial" w:hAnsi="Arial" w:cs="Arial"/>
          <w:kern w:val="0"/>
          <w:szCs w:val="21"/>
        </w:rPr>
        <w:t>、基金合并</w:t>
      </w:r>
      <w:r>
        <w:rPr>
          <w:rFonts w:ascii="Arial" w:hAnsi="宋体" w:cs="Arial"/>
          <w:kern w:val="0"/>
          <w:szCs w:val="21"/>
        </w:rPr>
        <w:t>；</w:t>
      </w:r>
    </w:p>
    <w:p w14:paraId="14F998C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sidRPr="00AD672F">
        <w:rPr>
          <w:rFonts w:ascii="Arial" w:hAnsi="Arial"/>
          <w:kern w:val="0"/>
        </w:rPr>
        <w:t>、更换基金管理人、基金托管人</w:t>
      </w:r>
      <w:r>
        <w:rPr>
          <w:rFonts w:ascii="Arial" w:hAnsi="Arial" w:cs="Arial"/>
          <w:kern w:val="0"/>
          <w:szCs w:val="21"/>
        </w:rPr>
        <w:t>、基金份额登记机构，基金改聘会计师事务所；</w:t>
      </w:r>
    </w:p>
    <w:p w14:paraId="46660CA3" w14:textId="1F87314D"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Arial" w:cs="Arial"/>
          <w:kern w:val="0"/>
          <w:szCs w:val="21"/>
        </w:rPr>
        <w:t>、基金管理人委托基金服务机构代为办理基金的份额登记、核算、估值等事项，基金托管人委托基金服务机构代为办理基金的核算、估值、复核等事项；</w:t>
      </w:r>
    </w:p>
    <w:p w14:paraId="53FFB1F7" w14:textId="207B0F65"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、基金管理人、基金托管人的法定名称、住所发生变更；</w:t>
      </w:r>
    </w:p>
    <w:p w14:paraId="135B2806" w14:textId="261AF4F4"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、基金管理人变更持有百分之五以上股权的股东、基金管理人的实际控制人变更；</w:t>
      </w:r>
    </w:p>
    <w:p w14:paraId="2B1B391C" w14:textId="7333F53A"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、基金募集期延长或提前结束募集；</w:t>
      </w:r>
      <w:bookmarkStart w:id="80" w:name="_Hlt133652734"/>
      <w:bookmarkEnd w:id="80"/>
    </w:p>
    <w:p w14:paraId="4E6AB339" w14:textId="4278555F"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9</w:t>
      </w:r>
      <w:r>
        <w:rPr>
          <w:rFonts w:ascii="Arial" w:hAnsi="宋体" w:cs="Arial"/>
          <w:kern w:val="0"/>
          <w:szCs w:val="21"/>
        </w:rPr>
        <w:t>、基金管理人的高级管理人员、基金经理和基金托管人专门基金托管部门负责人发生变动；</w:t>
      </w:r>
    </w:p>
    <w:p w14:paraId="6E6A798E" w14:textId="691284A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10</w:t>
      </w:r>
      <w:r>
        <w:rPr>
          <w:rFonts w:ascii="Arial" w:hAnsi="宋体" w:cs="Arial"/>
          <w:kern w:val="0"/>
          <w:szCs w:val="21"/>
        </w:rPr>
        <w:t>、基金管理人的董事在最近</w:t>
      </w:r>
      <w:r>
        <w:rPr>
          <w:rFonts w:ascii="Arial" w:hAnsi="宋体" w:cs="Arial"/>
          <w:kern w:val="0"/>
          <w:szCs w:val="21"/>
        </w:rPr>
        <w:t>12</w:t>
      </w:r>
      <w:r>
        <w:rPr>
          <w:rFonts w:ascii="Arial" w:hAnsi="宋体" w:cs="Arial"/>
          <w:kern w:val="0"/>
          <w:szCs w:val="21"/>
        </w:rPr>
        <w:t>个月内变更超过</w:t>
      </w:r>
      <w:r w:rsidRPr="00AD672F">
        <w:rPr>
          <w:rFonts w:ascii="Arial" w:hAnsi="宋体"/>
          <w:kern w:val="0"/>
        </w:rPr>
        <w:t>50</w:t>
      </w:r>
      <w:r>
        <w:rPr>
          <w:rFonts w:ascii="Arial" w:hAnsi="宋体" w:cs="Arial"/>
          <w:kern w:val="0"/>
          <w:szCs w:val="21"/>
        </w:rPr>
        <w:t>%</w:t>
      </w:r>
      <w:r>
        <w:rPr>
          <w:rFonts w:ascii="Arial" w:hAnsi="宋体" w:cs="Arial"/>
          <w:kern w:val="0"/>
          <w:szCs w:val="21"/>
        </w:rPr>
        <w:t>；</w:t>
      </w:r>
    </w:p>
    <w:p w14:paraId="05C6335A" w14:textId="41E34593"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11</w:t>
      </w:r>
      <w:r w:rsidRPr="00AD672F">
        <w:rPr>
          <w:rFonts w:ascii="Arial" w:hAnsi="Arial"/>
          <w:kern w:val="0"/>
        </w:rPr>
        <w:t>、</w:t>
      </w:r>
      <w:r>
        <w:rPr>
          <w:rFonts w:ascii="Arial" w:hAnsi="宋体" w:cs="Arial"/>
          <w:kern w:val="0"/>
          <w:szCs w:val="21"/>
        </w:rPr>
        <w:t>基金管理人、基金托管人</w:t>
      </w:r>
      <w:r>
        <w:rPr>
          <w:rFonts w:ascii="Arial" w:hAnsi="宋体" w:cs="Arial" w:hint="eastAsia"/>
          <w:kern w:val="0"/>
          <w:szCs w:val="21"/>
        </w:rPr>
        <w:t>专门</w:t>
      </w:r>
      <w:r>
        <w:rPr>
          <w:rFonts w:ascii="Arial" w:hAnsi="宋体" w:cs="Arial"/>
          <w:kern w:val="0"/>
          <w:szCs w:val="21"/>
        </w:rPr>
        <w:t>基金托管部门的主要业务人员在最近</w:t>
      </w:r>
      <w:r>
        <w:rPr>
          <w:rFonts w:ascii="Arial" w:hAnsi="宋体" w:cs="Arial"/>
          <w:kern w:val="0"/>
          <w:szCs w:val="21"/>
        </w:rPr>
        <w:t>12</w:t>
      </w:r>
      <w:r>
        <w:rPr>
          <w:rFonts w:ascii="Arial" w:hAnsi="宋体" w:cs="Arial"/>
          <w:kern w:val="0"/>
          <w:szCs w:val="21"/>
        </w:rPr>
        <w:t>个月内变动超过</w:t>
      </w:r>
      <w:r w:rsidRPr="00AD672F">
        <w:rPr>
          <w:rFonts w:ascii="Arial" w:hAnsi="宋体"/>
          <w:kern w:val="0"/>
        </w:rPr>
        <w:t>30</w:t>
      </w:r>
      <w:r>
        <w:rPr>
          <w:rFonts w:ascii="Arial" w:hAnsi="宋体" w:cs="Arial"/>
          <w:kern w:val="0"/>
          <w:szCs w:val="21"/>
        </w:rPr>
        <w:t>%</w:t>
      </w:r>
      <w:r>
        <w:rPr>
          <w:rFonts w:ascii="Arial" w:hAnsi="宋体" w:cs="Arial"/>
          <w:kern w:val="0"/>
          <w:szCs w:val="21"/>
        </w:rPr>
        <w:t>；</w:t>
      </w:r>
    </w:p>
    <w:p w14:paraId="1FACB36D" w14:textId="248CE611"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12</w:t>
      </w:r>
      <w:r w:rsidRPr="00AD672F">
        <w:rPr>
          <w:rFonts w:ascii="Arial" w:hAnsi="Arial"/>
          <w:kern w:val="0"/>
        </w:rPr>
        <w:t>、</w:t>
      </w:r>
      <w:r>
        <w:rPr>
          <w:rFonts w:ascii="Arial" w:hAnsi="宋体" w:cs="Arial"/>
          <w:kern w:val="0"/>
          <w:szCs w:val="21"/>
        </w:rPr>
        <w:t>涉及基金管理</w:t>
      </w:r>
      <w:r>
        <w:rPr>
          <w:rFonts w:ascii="Arial" w:hAnsi="宋体" w:cs="Arial" w:hint="eastAsia"/>
          <w:kern w:val="0"/>
          <w:szCs w:val="21"/>
        </w:rPr>
        <w:t>业务</w:t>
      </w:r>
      <w:r>
        <w:rPr>
          <w:rFonts w:ascii="Arial" w:hAnsi="宋体" w:cs="Arial"/>
          <w:kern w:val="0"/>
          <w:szCs w:val="21"/>
        </w:rPr>
        <w:t>、基金财产、基金托管业务的诉讼</w:t>
      </w:r>
      <w:r>
        <w:rPr>
          <w:rFonts w:ascii="Arial" w:hAnsi="宋体" w:cs="Arial" w:hint="eastAsia"/>
          <w:kern w:val="0"/>
          <w:szCs w:val="21"/>
        </w:rPr>
        <w:t>或</w:t>
      </w:r>
      <w:r>
        <w:rPr>
          <w:rFonts w:ascii="Arial" w:hAnsi="宋体" w:cs="Arial"/>
          <w:kern w:val="0"/>
          <w:szCs w:val="21"/>
        </w:rPr>
        <w:t>仲裁；</w:t>
      </w:r>
    </w:p>
    <w:p w14:paraId="33BF2BE3" w14:textId="5E84DB6A"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13</w:t>
      </w:r>
      <w:r w:rsidRPr="00AD672F">
        <w:rPr>
          <w:rFonts w:ascii="Arial" w:hAnsi="Arial"/>
          <w:kern w:val="0"/>
        </w:rPr>
        <w:t>、</w:t>
      </w:r>
      <w:r>
        <w:rPr>
          <w:rFonts w:ascii="Arial" w:hAnsi="宋体" w:cs="Arial"/>
          <w:kern w:val="0"/>
          <w:szCs w:val="21"/>
        </w:rPr>
        <w:t>基金管理人或其高级管理人员、基金经理因基金管理业务相关行为受到重大行政处罚、刑事处罚，基金托管人或其专门基金托管部门负责人因基金托管业务相关行为受到重大行政处罚、刑事处罚；</w:t>
      </w:r>
    </w:p>
    <w:p w14:paraId="4A1E7D2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14</w:t>
      </w:r>
      <w:r>
        <w:rPr>
          <w:rFonts w:ascii="Arial" w:hAnsi="宋体" w:cs="Arial"/>
          <w:kern w:val="0"/>
          <w:szCs w:val="21"/>
        </w:rPr>
        <w:t>、基金管理人运用基金财产买卖基金管理人、基金托管人及其控股股东、实际控制人或者与其有重大利害关系的公司发行的证券或者承销期内承销的证券，或者从事其他重大关联交易事项，中国证监会另有规定的除外；</w:t>
      </w:r>
    </w:p>
    <w:p w14:paraId="0EB4C76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15</w:t>
      </w:r>
      <w:r>
        <w:rPr>
          <w:rFonts w:ascii="Arial" w:hAnsi="宋体" w:cs="Arial"/>
          <w:kern w:val="0"/>
          <w:szCs w:val="21"/>
        </w:rPr>
        <w:t>、基金收益分配事项；</w:t>
      </w:r>
    </w:p>
    <w:p w14:paraId="485323D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16</w:t>
      </w:r>
      <w:r>
        <w:rPr>
          <w:rFonts w:ascii="Arial" w:hAnsi="宋体" w:cs="Arial"/>
          <w:kern w:val="0"/>
          <w:szCs w:val="21"/>
        </w:rPr>
        <w:t>、管理费、托管费、申购费、赎回费等费用计提标准、计提方式和费率发生变更；</w:t>
      </w:r>
    </w:p>
    <w:p w14:paraId="389201D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17</w:t>
      </w:r>
      <w:r>
        <w:rPr>
          <w:rFonts w:ascii="Arial" w:hAnsi="宋体" w:cs="Arial"/>
          <w:kern w:val="0"/>
          <w:szCs w:val="21"/>
        </w:rPr>
        <w:t>、基金份额净值计价错误达基金份额净值</w:t>
      </w:r>
      <w:r>
        <w:rPr>
          <w:rFonts w:ascii="Arial" w:hAnsi="Arial" w:cs="Arial"/>
          <w:kern w:val="0"/>
          <w:szCs w:val="21"/>
        </w:rPr>
        <w:t>0.5%</w:t>
      </w:r>
      <w:r>
        <w:rPr>
          <w:rFonts w:ascii="Arial" w:hAnsi="宋体" w:cs="Arial"/>
          <w:kern w:val="0"/>
          <w:szCs w:val="21"/>
        </w:rPr>
        <w:t>；</w:t>
      </w:r>
    </w:p>
    <w:p w14:paraId="5AE86ED8" w14:textId="6FE40973"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18</w:t>
      </w:r>
      <w:r>
        <w:rPr>
          <w:rFonts w:ascii="Arial" w:hAnsi="宋体" w:cs="Arial"/>
          <w:kern w:val="0"/>
          <w:szCs w:val="21"/>
        </w:rPr>
        <w:t>、基金开始办理申购、赎回；</w:t>
      </w:r>
    </w:p>
    <w:p w14:paraId="40C8ED7C" w14:textId="78E3D5BF"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19</w:t>
      </w:r>
      <w:r>
        <w:rPr>
          <w:rFonts w:ascii="Arial" w:hAnsi="宋体" w:cs="Arial"/>
          <w:kern w:val="0"/>
          <w:szCs w:val="21"/>
        </w:rPr>
        <w:t>、基金发生巨额赎回并延期</w:t>
      </w:r>
      <w:r>
        <w:rPr>
          <w:rFonts w:ascii="Arial" w:hAnsi="宋体" w:cs="Arial" w:hint="eastAsia"/>
          <w:kern w:val="0"/>
          <w:szCs w:val="21"/>
        </w:rPr>
        <w:t>办理</w:t>
      </w:r>
      <w:r>
        <w:rPr>
          <w:rFonts w:ascii="Arial" w:hAnsi="宋体" w:cs="Arial"/>
          <w:kern w:val="0"/>
          <w:szCs w:val="21"/>
        </w:rPr>
        <w:t>；</w:t>
      </w:r>
    </w:p>
    <w:p w14:paraId="774B9692" w14:textId="578BE756"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lastRenderedPageBreak/>
        <w:t>20</w:t>
      </w:r>
      <w:r>
        <w:rPr>
          <w:rFonts w:ascii="Arial" w:hAnsi="宋体" w:cs="Arial"/>
          <w:kern w:val="0"/>
          <w:szCs w:val="21"/>
        </w:rPr>
        <w:t>、基金连续发生巨额赎回并暂停接受赎回申请或延缓支付赎回款项；</w:t>
      </w:r>
    </w:p>
    <w:p w14:paraId="29DC47CA" w14:textId="282DD906"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21</w:t>
      </w:r>
      <w:r>
        <w:rPr>
          <w:rFonts w:ascii="Arial" w:hAnsi="宋体" w:cs="Arial"/>
          <w:kern w:val="0"/>
          <w:szCs w:val="21"/>
        </w:rPr>
        <w:t>、基金暂停接受申购、赎回申请或重新接受申购、赎回申请；</w:t>
      </w:r>
    </w:p>
    <w:p w14:paraId="02BAE7D4" w14:textId="01EB7601"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22</w:t>
      </w:r>
      <w:r>
        <w:rPr>
          <w:rFonts w:ascii="Arial" w:hAnsi="宋体" w:cs="Arial"/>
          <w:kern w:val="0"/>
          <w:szCs w:val="21"/>
        </w:rPr>
        <w:t>、更换境外托管人；</w:t>
      </w:r>
    </w:p>
    <w:p w14:paraId="575C6284" w14:textId="411AA808" w:rsidR="00F50C35" w:rsidRDefault="00FB66DA">
      <w:pPr>
        <w:adjustRightInd w:val="0"/>
        <w:snapToGrid w:val="0"/>
        <w:spacing w:line="360" w:lineRule="auto"/>
        <w:ind w:firstLine="420"/>
        <w:rPr>
          <w:rFonts w:ascii="Arial" w:hAnsi="宋体" w:cs="Arial"/>
          <w:kern w:val="0"/>
          <w:szCs w:val="21"/>
        </w:rPr>
      </w:pPr>
      <w:r>
        <w:rPr>
          <w:rFonts w:ascii="Arial" w:hAnsi="Arial" w:cs="Arial" w:hint="eastAsia"/>
          <w:kern w:val="0"/>
          <w:szCs w:val="21"/>
        </w:rPr>
        <w:t>23</w:t>
      </w:r>
      <w:r>
        <w:rPr>
          <w:rFonts w:ascii="Arial" w:hAnsi="宋体" w:cs="Arial"/>
          <w:kern w:val="0"/>
          <w:szCs w:val="21"/>
        </w:rPr>
        <w:t>、基金运作期间如遇投资顾问主要负责人员变动，基金管理人认为该事件有可能对基金投资产生重大影响；</w:t>
      </w:r>
    </w:p>
    <w:p w14:paraId="0E3C4C22" w14:textId="36AD0011"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24</w:t>
      </w:r>
      <w:r>
        <w:rPr>
          <w:rFonts w:ascii="Arial" w:hAnsi="Arial" w:cs="Arial" w:hint="eastAsia"/>
          <w:kern w:val="0"/>
          <w:szCs w:val="21"/>
        </w:rPr>
        <w:t>、发生涉及本基金申购、赎回事项调整或潜在影响投资者赎回等重大事项时；</w:t>
      </w:r>
    </w:p>
    <w:p w14:paraId="3A41673B" w14:textId="5D5B5FCD"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25</w:t>
      </w:r>
      <w:r>
        <w:rPr>
          <w:rFonts w:ascii="Arial" w:hAnsi="宋体" w:cs="Arial"/>
          <w:kern w:val="0"/>
          <w:szCs w:val="21"/>
        </w:rPr>
        <w:t>、基金信息披露义务人认为可能对基金份额持有人权益或者基金份额的价格产生重大影响的其他事项或中国证监会规定的其他事项。</w:t>
      </w:r>
    </w:p>
    <w:p w14:paraId="7A2202B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（七）公开澄清</w:t>
      </w:r>
    </w:p>
    <w:p w14:paraId="05CF4735" w14:textId="1577140A"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在基金合同期限内，任何公共</w:t>
      </w:r>
      <w:r>
        <w:rPr>
          <w:rFonts w:ascii="Arial" w:hAnsi="宋体" w:cs="Arial" w:hint="eastAsia"/>
          <w:kern w:val="0"/>
          <w:szCs w:val="21"/>
        </w:rPr>
        <w:t>媒介</w:t>
      </w:r>
      <w:r>
        <w:rPr>
          <w:rFonts w:ascii="Arial" w:hAnsi="宋体" w:cs="Arial"/>
          <w:kern w:val="0"/>
          <w:szCs w:val="21"/>
        </w:rPr>
        <w:t>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w:t>
      </w:r>
    </w:p>
    <w:p w14:paraId="7BEB6131"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hint="eastAsia"/>
          <w:kern w:val="0"/>
          <w:szCs w:val="21"/>
        </w:rPr>
        <w:t>（八）清算报告</w:t>
      </w:r>
    </w:p>
    <w:p w14:paraId="0FFC83B3" w14:textId="144891F0" w:rsidR="00F50C35" w:rsidRPr="00D41D5C" w:rsidRDefault="00FB66DA">
      <w:pPr>
        <w:adjustRightInd w:val="0"/>
        <w:snapToGrid w:val="0"/>
        <w:spacing w:line="360" w:lineRule="auto"/>
        <w:ind w:firstLine="420"/>
        <w:rPr>
          <w:rFonts w:ascii="Arial" w:hAnsi="宋体" w:cs="Arial"/>
          <w:kern w:val="0"/>
          <w:szCs w:val="21"/>
        </w:rPr>
      </w:pPr>
      <w:r>
        <w:rPr>
          <w:rFonts w:ascii="Arial" w:hAnsi="宋体" w:cs="Arial" w:hint="eastAsia"/>
          <w:kern w:val="0"/>
          <w:szCs w:val="21"/>
        </w:rPr>
        <w:t>基金终止运作的，基金管理人应当依法组织基金财产清算小组对基金财产进行清算并</w:t>
      </w:r>
      <w:proofErr w:type="gramStart"/>
      <w:r>
        <w:rPr>
          <w:rFonts w:ascii="Arial" w:hAnsi="宋体" w:cs="Arial" w:hint="eastAsia"/>
          <w:kern w:val="0"/>
          <w:szCs w:val="21"/>
        </w:rPr>
        <w:t>作出</w:t>
      </w:r>
      <w:proofErr w:type="gramEnd"/>
      <w:r>
        <w:rPr>
          <w:rFonts w:ascii="Arial" w:hAnsi="宋体" w:cs="Arial" w:hint="eastAsia"/>
          <w:kern w:val="0"/>
          <w:szCs w:val="21"/>
        </w:rPr>
        <w:t>清算报告。基金财产清算小组应当将清算报告登载在指定网站上，并将清算报告提示性公告登载在指定报刊上。</w:t>
      </w:r>
    </w:p>
    <w:p w14:paraId="655516E8" w14:textId="77777777" w:rsidR="00F50C35" w:rsidRPr="00AD672F" w:rsidRDefault="00FB66DA" w:rsidP="00AD672F">
      <w:pPr>
        <w:spacing w:line="360" w:lineRule="auto"/>
        <w:ind w:firstLineChars="200" w:firstLine="420"/>
        <w:rPr>
          <w:bCs/>
          <w:szCs w:val="21"/>
        </w:rPr>
      </w:pPr>
      <w:r w:rsidRPr="00AD672F">
        <w:rPr>
          <w:rFonts w:hint="eastAsia"/>
          <w:bCs/>
          <w:szCs w:val="21"/>
        </w:rPr>
        <w:t>六、信息披露事务管理</w:t>
      </w:r>
    </w:p>
    <w:p w14:paraId="0C5CBAEB" w14:textId="77777777" w:rsidR="00F50C35" w:rsidRPr="00AD672F" w:rsidRDefault="00FB66DA" w:rsidP="00AD672F">
      <w:pPr>
        <w:spacing w:line="360" w:lineRule="auto"/>
        <w:ind w:firstLineChars="200" w:firstLine="420"/>
        <w:rPr>
          <w:bCs/>
          <w:szCs w:val="21"/>
        </w:rPr>
      </w:pPr>
      <w:r w:rsidRPr="00AD672F">
        <w:rPr>
          <w:rFonts w:hint="eastAsia"/>
          <w:bCs/>
          <w:szCs w:val="21"/>
        </w:rPr>
        <w:t>基金管理人、基金托管人应当建立健全信息披露管理制度，指定专门部门及高级管理人员负责管理信息披露事务。</w:t>
      </w:r>
    </w:p>
    <w:p w14:paraId="5C7B8DC7" w14:textId="77777777" w:rsidR="00F50C35" w:rsidRPr="00AD672F" w:rsidRDefault="00FB66DA" w:rsidP="00AD672F">
      <w:pPr>
        <w:spacing w:line="360" w:lineRule="auto"/>
        <w:ind w:firstLineChars="200" w:firstLine="420"/>
        <w:rPr>
          <w:bCs/>
          <w:szCs w:val="21"/>
        </w:rPr>
      </w:pPr>
      <w:r w:rsidRPr="00AD672F">
        <w:rPr>
          <w:rFonts w:hint="eastAsia"/>
          <w:bCs/>
          <w:szCs w:val="21"/>
        </w:rPr>
        <w:t>基金信息披露义务人公开披露基金信息，应当符合中国证监会相关基金信息披露内容与格式准则等法律法规规定。</w:t>
      </w:r>
    </w:p>
    <w:p w14:paraId="0AFB0548" w14:textId="3F13508C" w:rsidR="00F50C35" w:rsidRPr="00AD672F" w:rsidRDefault="00FB66DA" w:rsidP="00AD672F">
      <w:pPr>
        <w:spacing w:line="360" w:lineRule="auto"/>
        <w:ind w:firstLineChars="200" w:firstLine="420"/>
        <w:rPr>
          <w:bCs/>
          <w:szCs w:val="21"/>
        </w:rPr>
      </w:pPr>
      <w:r w:rsidRPr="00AD672F">
        <w:rPr>
          <w:rFonts w:hint="eastAsia"/>
          <w:bCs/>
          <w:szCs w:val="21"/>
        </w:rPr>
        <w:t>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w:t>
      </w:r>
    </w:p>
    <w:p w14:paraId="5B06438B" w14:textId="77777777" w:rsidR="00F50C35" w:rsidRPr="00AD672F" w:rsidRDefault="00FB66DA" w:rsidP="00AD672F">
      <w:pPr>
        <w:spacing w:line="360" w:lineRule="auto"/>
        <w:ind w:firstLineChars="200" w:firstLine="420"/>
        <w:rPr>
          <w:bCs/>
          <w:szCs w:val="21"/>
        </w:rPr>
      </w:pPr>
      <w:r w:rsidRPr="00AD672F">
        <w:rPr>
          <w:rFonts w:hint="eastAsia"/>
          <w:bCs/>
          <w:szCs w:val="21"/>
        </w:rPr>
        <w:t>基金管理人、基金托管人应当在指定报刊中选择一家报刊披露本基金信息。</w:t>
      </w:r>
    </w:p>
    <w:p w14:paraId="1A5A01AB" w14:textId="77777777" w:rsidR="00F50C35" w:rsidRPr="00AD672F" w:rsidRDefault="00FB66DA" w:rsidP="00AD672F">
      <w:pPr>
        <w:spacing w:line="360" w:lineRule="auto"/>
        <w:ind w:firstLineChars="200" w:firstLine="420"/>
        <w:rPr>
          <w:bCs/>
          <w:szCs w:val="21"/>
        </w:rPr>
      </w:pPr>
      <w:r w:rsidRPr="00AD672F">
        <w:rPr>
          <w:rFonts w:hint="eastAsia"/>
          <w:bCs/>
          <w:szCs w:val="21"/>
        </w:rPr>
        <w:t>基金管理人、基金托管人应当向中国证监会基金电子披露网站报送拟披露的基金信息，并保证相关报送信息的真实、准确、完整、及时。</w:t>
      </w:r>
    </w:p>
    <w:p w14:paraId="09FEAC41" w14:textId="77777777" w:rsidR="00F50C35" w:rsidRPr="00AD672F" w:rsidRDefault="00FB66DA" w:rsidP="00AD672F">
      <w:pPr>
        <w:spacing w:line="360" w:lineRule="auto"/>
        <w:ind w:firstLineChars="200" w:firstLine="420"/>
        <w:rPr>
          <w:bCs/>
          <w:szCs w:val="21"/>
        </w:rPr>
      </w:pPr>
      <w:r w:rsidRPr="00AD672F">
        <w:rPr>
          <w:rFonts w:hint="eastAsia"/>
          <w:bCs/>
          <w:szCs w:val="21"/>
        </w:rPr>
        <w:t>基金管理人、基金托管人除依法在指定媒介上披露信息外，还可以根据需要在其他公共媒介披露信息，但是其他公共媒介不得早于指定媒介披露信息，并且在不同媒介上披露同一信息的内容应当一致。</w:t>
      </w:r>
    </w:p>
    <w:p w14:paraId="0A22F6C2" w14:textId="77777777" w:rsidR="00F50C35" w:rsidRPr="00AD672F" w:rsidRDefault="00FB66DA" w:rsidP="00AD672F">
      <w:pPr>
        <w:spacing w:line="360" w:lineRule="auto"/>
        <w:ind w:firstLineChars="200" w:firstLine="420"/>
        <w:rPr>
          <w:bCs/>
          <w:szCs w:val="21"/>
        </w:rPr>
      </w:pPr>
      <w:r w:rsidRPr="00AD672F">
        <w:rPr>
          <w:rFonts w:hint="eastAsia"/>
          <w:bCs/>
          <w:szCs w:val="21"/>
        </w:rPr>
        <w:t>为基金信息披露义务人公开披露的基金信息出具审计报告、法律意见书的专业机构，应</w:t>
      </w:r>
      <w:r w:rsidRPr="00AD672F">
        <w:rPr>
          <w:rFonts w:hint="eastAsia"/>
          <w:bCs/>
          <w:szCs w:val="21"/>
        </w:rPr>
        <w:lastRenderedPageBreak/>
        <w:t>当制作工作底稿，并将相关档案至少保存到《基金合同》终止后</w:t>
      </w:r>
      <w:r w:rsidRPr="00AD672F">
        <w:rPr>
          <w:bCs/>
          <w:szCs w:val="21"/>
        </w:rPr>
        <w:t>10</w:t>
      </w:r>
      <w:r w:rsidRPr="00AD672F">
        <w:rPr>
          <w:rFonts w:hint="eastAsia"/>
          <w:bCs/>
          <w:szCs w:val="21"/>
        </w:rPr>
        <w:t>年。</w:t>
      </w:r>
    </w:p>
    <w:p w14:paraId="7A612C57" w14:textId="77777777" w:rsidR="00F50C35" w:rsidRDefault="00FB66DA" w:rsidP="00AD672F">
      <w:pPr>
        <w:spacing w:line="360" w:lineRule="auto"/>
        <w:ind w:firstLineChars="200" w:firstLine="420"/>
        <w:rPr>
          <w:rFonts w:ascii="Arial" w:hAnsi="宋体" w:cs="Arial"/>
          <w:kern w:val="0"/>
          <w:szCs w:val="21"/>
        </w:rPr>
      </w:pPr>
      <w:r w:rsidRPr="00AD672F">
        <w:rPr>
          <w:rFonts w:hint="eastAsia"/>
          <w:bCs/>
          <w:szCs w:val="21"/>
        </w:rPr>
        <w:t>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w:t>
      </w:r>
    </w:p>
    <w:p w14:paraId="7CEF0AD3" w14:textId="2DD6FEA9"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七、</w:t>
      </w:r>
      <w:r>
        <w:rPr>
          <w:rFonts w:ascii="Arial" w:hAnsi="宋体" w:cs="Arial"/>
          <w:kern w:val="0"/>
          <w:szCs w:val="21"/>
        </w:rPr>
        <w:t>信息披露文件的存放与查阅</w:t>
      </w:r>
    </w:p>
    <w:p w14:paraId="797F3F5A" w14:textId="776DE6E9" w:rsidR="00F50C35" w:rsidRPr="00AD672F" w:rsidRDefault="00FB66DA">
      <w:pPr>
        <w:adjustRightInd w:val="0"/>
        <w:snapToGrid w:val="0"/>
        <w:spacing w:line="360" w:lineRule="auto"/>
        <w:ind w:firstLine="420"/>
        <w:rPr>
          <w:rFonts w:ascii="Arial" w:hAnsi="宋体"/>
          <w:kern w:val="0"/>
        </w:rPr>
      </w:pPr>
      <w:r>
        <w:rPr>
          <w:rFonts w:ascii="Arial" w:hAnsi="宋体" w:cs="Arial" w:hint="eastAsia"/>
          <w:kern w:val="0"/>
          <w:szCs w:val="21"/>
        </w:rPr>
        <w:t>依法必须披露的信息发布后，基金管理人、基金托管人应当按照相关法律法规规定将信息置备于各自住所，供社会公众查阅、复制。</w:t>
      </w:r>
    </w:p>
    <w:p w14:paraId="3A87C1F5" w14:textId="77777777" w:rsidR="00F50C35" w:rsidRDefault="00FB66DA">
      <w:pPr>
        <w:pStyle w:val="1"/>
        <w:snapToGrid w:val="0"/>
        <w:spacing w:before="0" w:after="0" w:line="360" w:lineRule="auto"/>
        <w:rPr>
          <w:rFonts w:hAnsi="Arial"/>
          <w:kern w:val="0"/>
        </w:rPr>
      </w:pPr>
      <w:r>
        <w:rPr>
          <w:rFonts w:hAnsi="Arial"/>
          <w:kern w:val="0"/>
        </w:rPr>
        <w:br w:type="page"/>
      </w:r>
      <w:bookmarkStart w:id="81" w:name="_Toc274814088"/>
      <w:bookmarkStart w:id="82" w:name="_Toc274814021"/>
      <w:r>
        <w:rPr>
          <w:kern w:val="0"/>
        </w:rPr>
        <w:lastRenderedPageBreak/>
        <w:t>二十二、基金合同的变更、终止与基金财产的清算</w:t>
      </w:r>
      <w:bookmarkEnd w:id="78"/>
      <w:bookmarkEnd w:id="81"/>
      <w:bookmarkEnd w:id="82"/>
    </w:p>
    <w:p w14:paraId="05289D9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（一）基金合同的变更</w:t>
      </w:r>
    </w:p>
    <w:p w14:paraId="0232453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、变更基金合同涉及法律法规规定或本合同的约定应经基金份额持有人大会决议通过事项的，应召开基金份额持有人大会决议通过。</w:t>
      </w:r>
    </w:p>
    <w:p w14:paraId="5D95C13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、变更基金合同的基金份额持有人大会决议应报中国证监会核准或备案，并自中国证监会核准或出具无异议意见之日起生效。</w:t>
      </w:r>
    </w:p>
    <w:p w14:paraId="552164D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、但如因相应的法律法规发生变动并属于本基金合同必须遵照进行修改的情形，或者基金合同的修改不涉及本基金合同当事人权利义务关系发生变化</w:t>
      </w:r>
      <w:r>
        <w:rPr>
          <w:rFonts w:ascii="Arial" w:hAnsi="宋体" w:cs="Arial"/>
          <w:szCs w:val="21"/>
        </w:rPr>
        <w:t>或对基金份额持有人利益无实质性不利影响</w:t>
      </w:r>
      <w:r>
        <w:rPr>
          <w:rFonts w:ascii="Arial" w:hAnsi="宋体" w:cs="Arial"/>
          <w:kern w:val="0"/>
          <w:szCs w:val="21"/>
        </w:rPr>
        <w:t>的，可不经基金份额持有人大会决议，而经基金管理人和基金托管人同意修改后公告，并报中国证监会备案。</w:t>
      </w:r>
    </w:p>
    <w:p w14:paraId="7D25ABF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（二）基金合同的终止</w:t>
      </w:r>
    </w:p>
    <w:p w14:paraId="2943479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有下列情形之一的，本基金合同终止：</w:t>
      </w:r>
    </w:p>
    <w:p w14:paraId="151D9D4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、基金份额持有人大会决定终止；</w:t>
      </w:r>
    </w:p>
    <w:p w14:paraId="2C26B210" w14:textId="77777777" w:rsidR="00F50C35" w:rsidRDefault="00FB66DA">
      <w:pPr>
        <w:autoSpaceDE w:val="0"/>
        <w:autoSpaceDN w:val="0"/>
        <w:adjustRightInd w:val="0"/>
        <w:snapToGrid w:val="0"/>
        <w:spacing w:line="360" w:lineRule="auto"/>
        <w:ind w:firstLineChars="200" w:firstLine="420"/>
        <w:textAlignment w:val="bottom"/>
        <w:rPr>
          <w:rFonts w:ascii="Arial" w:hAnsi="Arial" w:cs="Arial"/>
          <w:kern w:val="0"/>
          <w:szCs w:val="21"/>
        </w:rPr>
      </w:pPr>
      <w:r>
        <w:rPr>
          <w:rFonts w:ascii="Arial" w:hAnsi="Arial" w:cs="Arial"/>
          <w:kern w:val="0"/>
          <w:szCs w:val="21"/>
        </w:rPr>
        <w:t>2</w:t>
      </w:r>
      <w:r>
        <w:rPr>
          <w:rFonts w:ascii="Arial" w:hAnsi="宋体" w:cs="Arial"/>
          <w:kern w:val="0"/>
          <w:szCs w:val="21"/>
        </w:rPr>
        <w:t>、因重大违法、违规行为，被中国证监会责令终止的；</w:t>
      </w:r>
    </w:p>
    <w:p w14:paraId="6389D56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、基金管理人、基金托管人职责终止，在六个月内没有新基金管理人、基金托管人承接的；</w:t>
      </w:r>
    </w:p>
    <w:p w14:paraId="39CD604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、法律法规和基金合同规定的其他情形。</w:t>
      </w:r>
    </w:p>
    <w:p w14:paraId="16F29D85" w14:textId="77777777" w:rsidR="00F50C35" w:rsidRDefault="00FB66DA">
      <w:pPr>
        <w:adjustRightInd w:val="0"/>
        <w:snapToGrid w:val="0"/>
        <w:spacing w:line="360" w:lineRule="auto"/>
        <w:ind w:firstLine="420"/>
        <w:rPr>
          <w:rFonts w:ascii="Arial" w:hAnsi="Arial" w:cs="Arial"/>
          <w:kern w:val="0"/>
          <w:szCs w:val="21"/>
        </w:rPr>
      </w:pPr>
      <w:bookmarkStart w:id="83" w:name="_Hlt133147570"/>
      <w:bookmarkStart w:id="84" w:name="_Hlt133151691"/>
      <w:bookmarkEnd w:id="83"/>
      <w:bookmarkEnd w:id="84"/>
      <w:r>
        <w:rPr>
          <w:rFonts w:ascii="Arial" w:hAnsi="宋体" w:cs="Arial"/>
          <w:kern w:val="0"/>
          <w:szCs w:val="21"/>
        </w:rPr>
        <w:t>（三）基金财产的清算</w:t>
      </w:r>
    </w:p>
    <w:p w14:paraId="7491AD1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、基金合同终止，基金管理人应当按法律法规和本基金合同的有关法律法规规定对基金财产进行清算。</w:t>
      </w:r>
    </w:p>
    <w:p w14:paraId="13AB1B6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、基金财产清算组</w:t>
      </w:r>
    </w:p>
    <w:p w14:paraId="264757F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自基金合同终止事由之日起三十个工作日内由基金管理人组织成立基金财产清算组，在基金财产清算组接管基金财产之前，基金管理人和基金托管人应按照基金合同和托管协议的规定继续履行保护基金财产安全的职责</w:t>
      </w:r>
      <w:r>
        <w:rPr>
          <w:rFonts w:ascii="Arial" w:hAnsi="宋体" w:cs="Arial" w:hint="eastAsia"/>
          <w:kern w:val="0"/>
          <w:szCs w:val="21"/>
        </w:rPr>
        <w:t>；</w:t>
      </w:r>
    </w:p>
    <w:p w14:paraId="1A05BFB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）基金财产清算组成员由基金管理人、基金托管人、具有从事证券</w:t>
      </w:r>
      <w:r>
        <w:rPr>
          <w:rFonts w:ascii="Arial" w:hAnsi="宋体" w:cs="Arial" w:hint="eastAsia"/>
          <w:kern w:val="0"/>
          <w:szCs w:val="21"/>
        </w:rPr>
        <w:t>、</w:t>
      </w:r>
      <w:r>
        <w:rPr>
          <w:rFonts w:ascii="Arial" w:hAnsi="宋体" w:cs="Arial"/>
          <w:kern w:val="0"/>
          <w:szCs w:val="21"/>
        </w:rPr>
        <w:t>期货相关业务资格的注册会计师、律师以及中国证监会指定的人员组成。基金财产清算组可以聘用必要的工作人员</w:t>
      </w:r>
      <w:r>
        <w:rPr>
          <w:rFonts w:ascii="Arial" w:hAnsi="宋体" w:cs="Arial" w:hint="eastAsia"/>
          <w:kern w:val="0"/>
          <w:szCs w:val="21"/>
        </w:rPr>
        <w:t>；</w:t>
      </w:r>
    </w:p>
    <w:p w14:paraId="6998E9C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）基金财产清算组负责基金财产的保管、清理、估价、变现和分配。基金财产清算组可以依法进行必要的民事活动。</w:t>
      </w:r>
    </w:p>
    <w:p w14:paraId="2A4C913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、清算程序</w:t>
      </w:r>
    </w:p>
    <w:p w14:paraId="566CC23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w:t>
      </w:r>
      <w:r>
        <w:rPr>
          <w:rFonts w:ascii="Arial" w:hAnsi="宋体" w:cs="Arial"/>
          <w:kern w:val="0"/>
          <w:szCs w:val="21"/>
        </w:rPr>
        <w:t>）基金合同终止情形发生后，由基金财产清算组统一接管基金财产；</w:t>
      </w:r>
    </w:p>
    <w:p w14:paraId="2564089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2</w:t>
      </w:r>
      <w:r>
        <w:rPr>
          <w:rFonts w:ascii="Arial" w:hAnsi="宋体" w:cs="Arial"/>
          <w:kern w:val="0"/>
          <w:szCs w:val="21"/>
        </w:rPr>
        <w:t>）基金财产清算组根据基金财产的情况确定清算期限；</w:t>
      </w:r>
    </w:p>
    <w:p w14:paraId="09AA09F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3</w:t>
      </w:r>
      <w:r>
        <w:rPr>
          <w:rFonts w:ascii="Arial" w:hAnsi="宋体" w:cs="Arial"/>
          <w:kern w:val="0"/>
          <w:szCs w:val="21"/>
        </w:rPr>
        <w:t>）基金财产清算组对基金财产进行清理和确认；</w:t>
      </w:r>
    </w:p>
    <w:p w14:paraId="5B4DB17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w:t>
      </w:r>
      <w:r>
        <w:rPr>
          <w:rFonts w:ascii="Arial" w:hAnsi="Arial" w:cs="Arial"/>
          <w:kern w:val="0"/>
          <w:szCs w:val="21"/>
        </w:rPr>
        <w:t>4</w:t>
      </w:r>
      <w:r>
        <w:rPr>
          <w:rFonts w:ascii="Arial" w:hAnsi="宋体" w:cs="Arial"/>
          <w:kern w:val="0"/>
          <w:szCs w:val="21"/>
        </w:rPr>
        <w:t>）对基金财产进行评估和变现；</w:t>
      </w:r>
    </w:p>
    <w:p w14:paraId="4E9DB61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5</w:t>
      </w:r>
      <w:r>
        <w:rPr>
          <w:rFonts w:ascii="Arial" w:hAnsi="宋体" w:cs="Arial"/>
          <w:kern w:val="0"/>
          <w:szCs w:val="21"/>
        </w:rPr>
        <w:t>）</w:t>
      </w:r>
      <w:r>
        <w:rPr>
          <w:rFonts w:ascii="Arial" w:hAnsi="宋体" w:cs="Arial"/>
          <w:color w:val="000000"/>
          <w:szCs w:val="21"/>
        </w:rPr>
        <w:t>制作清算报告；</w:t>
      </w:r>
    </w:p>
    <w:p w14:paraId="135F490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6</w:t>
      </w:r>
      <w:r>
        <w:rPr>
          <w:rFonts w:ascii="Arial" w:hAnsi="宋体" w:cs="Arial"/>
          <w:kern w:val="0"/>
          <w:szCs w:val="21"/>
        </w:rPr>
        <w:t>）</w:t>
      </w:r>
      <w:r>
        <w:rPr>
          <w:rFonts w:ascii="Arial" w:hAnsi="宋体" w:cs="Arial"/>
          <w:color w:val="000000"/>
          <w:szCs w:val="21"/>
        </w:rPr>
        <w:t>聘请会计师事务所对清算报告进行外部审计，聘请律师事务所对清算报告出具法律意见书；</w:t>
      </w:r>
    </w:p>
    <w:p w14:paraId="49806B2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7</w:t>
      </w:r>
      <w:r>
        <w:rPr>
          <w:rFonts w:ascii="Arial" w:hAnsi="宋体" w:cs="Arial"/>
          <w:kern w:val="0"/>
          <w:szCs w:val="21"/>
        </w:rPr>
        <w:t>）</w:t>
      </w:r>
      <w:r>
        <w:rPr>
          <w:rFonts w:ascii="Arial" w:hAnsi="宋体" w:cs="Arial"/>
          <w:color w:val="000000"/>
          <w:szCs w:val="21"/>
        </w:rPr>
        <w:t>将清算报告报中国证监会备案并公告</w:t>
      </w:r>
      <w:r>
        <w:rPr>
          <w:rFonts w:ascii="Arial" w:hAnsi="宋体" w:cs="Arial" w:hint="eastAsia"/>
          <w:color w:val="000000"/>
          <w:szCs w:val="21"/>
        </w:rPr>
        <w:t>；</w:t>
      </w:r>
    </w:p>
    <w:p w14:paraId="5E9A9A9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8</w:t>
      </w:r>
      <w:r>
        <w:rPr>
          <w:rFonts w:ascii="Arial" w:hAnsi="宋体" w:cs="Arial"/>
          <w:kern w:val="0"/>
          <w:szCs w:val="21"/>
        </w:rPr>
        <w:t>）对基金财产进行分配。</w:t>
      </w:r>
    </w:p>
    <w:p w14:paraId="6C2894C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、清算费用</w:t>
      </w:r>
    </w:p>
    <w:p w14:paraId="6BDF6F0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清算费用是指基金财产清算组在进行基金清算过程中发生的所有合理费用，清算费用由基金财产清算组优先从基金财产中支付。</w:t>
      </w:r>
    </w:p>
    <w:p w14:paraId="75B435B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、基金剩余财产的分配</w:t>
      </w:r>
    </w:p>
    <w:p w14:paraId="1D7E82C8"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基金财产按下列顺序清偿：</w:t>
      </w:r>
    </w:p>
    <w:p w14:paraId="196BF485"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w:t>
      </w:r>
      <w:r>
        <w:rPr>
          <w:rFonts w:ascii="Arial" w:hAnsi="Arial" w:cs="Arial"/>
          <w:szCs w:val="21"/>
        </w:rPr>
        <w:t>1</w:t>
      </w:r>
      <w:r>
        <w:rPr>
          <w:rFonts w:ascii="Arial" w:hAnsi="宋体" w:cs="Arial"/>
          <w:szCs w:val="21"/>
        </w:rPr>
        <w:t>）支付清算费用；</w:t>
      </w:r>
    </w:p>
    <w:p w14:paraId="5D905F31"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w:t>
      </w:r>
      <w:r>
        <w:rPr>
          <w:rFonts w:ascii="Arial" w:hAnsi="Arial" w:cs="Arial"/>
          <w:szCs w:val="21"/>
        </w:rPr>
        <w:t>2</w:t>
      </w:r>
      <w:r>
        <w:rPr>
          <w:rFonts w:ascii="Arial" w:hAnsi="宋体" w:cs="Arial"/>
          <w:szCs w:val="21"/>
        </w:rPr>
        <w:t>）交纳所欠税款；</w:t>
      </w:r>
    </w:p>
    <w:p w14:paraId="06A0C295"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w:t>
      </w:r>
      <w:r>
        <w:rPr>
          <w:rFonts w:ascii="Arial" w:hAnsi="Arial" w:cs="Arial"/>
          <w:szCs w:val="21"/>
        </w:rPr>
        <w:t>3</w:t>
      </w:r>
      <w:r>
        <w:rPr>
          <w:rFonts w:ascii="Arial" w:hAnsi="宋体" w:cs="Arial"/>
          <w:szCs w:val="21"/>
        </w:rPr>
        <w:t>）清偿基金债务；</w:t>
      </w:r>
    </w:p>
    <w:p w14:paraId="60557132"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w:t>
      </w:r>
      <w:r>
        <w:rPr>
          <w:rFonts w:ascii="Arial" w:hAnsi="Arial" w:cs="Arial"/>
          <w:szCs w:val="21"/>
        </w:rPr>
        <w:t>4</w:t>
      </w:r>
      <w:r>
        <w:rPr>
          <w:rFonts w:ascii="Arial" w:hAnsi="宋体" w:cs="Arial"/>
          <w:szCs w:val="21"/>
        </w:rPr>
        <w:t>）按基金份额持有人持有的基金份额比例进行分配。</w:t>
      </w:r>
    </w:p>
    <w:p w14:paraId="48E4654D"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基金财产未按前款（</w:t>
      </w:r>
      <w:r>
        <w:rPr>
          <w:rFonts w:ascii="Arial" w:hAnsi="Arial" w:cs="Arial"/>
          <w:szCs w:val="21"/>
        </w:rPr>
        <w:t>1</w:t>
      </w:r>
      <w:r>
        <w:rPr>
          <w:rFonts w:ascii="Arial" w:hAnsi="宋体" w:cs="Arial"/>
          <w:szCs w:val="21"/>
        </w:rPr>
        <w:t>）、（</w:t>
      </w:r>
      <w:r>
        <w:rPr>
          <w:rFonts w:ascii="Arial" w:hAnsi="Arial" w:cs="Arial"/>
          <w:szCs w:val="21"/>
        </w:rPr>
        <w:t>2</w:t>
      </w:r>
      <w:r>
        <w:rPr>
          <w:rFonts w:ascii="Arial" w:hAnsi="宋体" w:cs="Arial"/>
          <w:szCs w:val="21"/>
        </w:rPr>
        <w:t>）、（</w:t>
      </w:r>
      <w:r>
        <w:rPr>
          <w:rFonts w:ascii="Arial" w:hAnsi="Arial" w:cs="Arial"/>
          <w:szCs w:val="21"/>
        </w:rPr>
        <w:t>3</w:t>
      </w:r>
      <w:r>
        <w:rPr>
          <w:rFonts w:ascii="Arial" w:hAnsi="宋体" w:cs="Arial"/>
          <w:szCs w:val="21"/>
        </w:rPr>
        <w:t>）项规定清偿前，不分配给基金份额持有人。</w:t>
      </w:r>
    </w:p>
    <w:p w14:paraId="7D0F2884" w14:textId="77777777" w:rsidR="00F50C35" w:rsidRDefault="00FB66DA">
      <w:pPr>
        <w:adjustRightInd w:val="0"/>
        <w:snapToGrid w:val="0"/>
        <w:spacing w:line="360" w:lineRule="auto"/>
        <w:ind w:firstLine="420"/>
        <w:rPr>
          <w:rFonts w:ascii="Arial" w:hAnsi="Arial" w:cs="Arial"/>
          <w:szCs w:val="21"/>
        </w:rPr>
      </w:pPr>
      <w:r>
        <w:rPr>
          <w:rFonts w:ascii="Arial" w:hAnsi="Arial" w:cs="Arial"/>
          <w:szCs w:val="21"/>
        </w:rPr>
        <w:t>6</w:t>
      </w:r>
      <w:r>
        <w:rPr>
          <w:rFonts w:ascii="Arial" w:hAnsi="宋体" w:cs="Arial"/>
          <w:szCs w:val="21"/>
        </w:rPr>
        <w:t>、基金财产清算的公告</w:t>
      </w:r>
    </w:p>
    <w:p w14:paraId="49923F39" w14:textId="77777777" w:rsidR="00F50C35" w:rsidRDefault="00FB66DA">
      <w:pPr>
        <w:adjustRightInd w:val="0"/>
        <w:snapToGrid w:val="0"/>
        <w:spacing w:line="360" w:lineRule="auto"/>
        <w:ind w:firstLine="420"/>
        <w:rPr>
          <w:rFonts w:ascii="Arial" w:hAnsi="Arial" w:cs="Arial"/>
          <w:szCs w:val="21"/>
        </w:rPr>
      </w:pPr>
      <w:r>
        <w:rPr>
          <w:rFonts w:ascii="Arial" w:hAnsi="宋体" w:cs="Arial"/>
          <w:szCs w:val="21"/>
        </w:rPr>
        <w:t>基金财产清算组做出的清算报告经</w:t>
      </w:r>
      <w:r>
        <w:rPr>
          <w:rFonts w:ascii="Arial" w:hAnsi="宋体" w:cs="Arial" w:hint="eastAsia"/>
          <w:szCs w:val="21"/>
        </w:rPr>
        <w:t>具有证券、期货相关业务资格的</w:t>
      </w:r>
      <w:r>
        <w:rPr>
          <w:rFonts w:ascii="Arial" w:hAnsi="宋体" w:cs="Arial"/>
          <w:szCs w:val="21"/>
        </w:rPr>
        <w:t>会计师事务所审计，律师事务所出具法律意见书后，报中国证监会备案并公告</w:t>
      </w:r>
      <w:r>
        <w:rPr>
          <w:rFonts w:ascii="Arial" w:hAnsi="宋体" w:cs="Arial" w:hint="eastAsia"/>
          <w:szCs w:val="21"/>
        </w:rPr>
        <w:t>，基金财产清算小组应当将清算报告登载在指定网站上，并将清算报告提示性公告登载在指定报刊上</w:t>
      </w:r>
      <w:r>
        <w:rPr>
          <w:rFonts w:ascii="Arial" w:hAnsi="宋体" w:cs="Arial"/>
          <w:szCs w:val="21"/>
        </w:rPr>
        <w:t>。</w:t>
      </w:r>
    </w:p>
    <w:p w14:paraId="0A903D82"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szCs w:val="21"/>
        </w:rPr>
        <w:t>7</w:t>
      </w:r>
      <w:r>
        <w:rPr>
          <w:rFonts w:ascii="Arial" w:hAnsi="宋体" w:cs="Arial"/>
          <w:szCs w:val="21"/>
        </w:rPr>
        <w:t>、</w:t>
      </w:r>
      <w:r>
        <w:rPr>
          <w:rFonts w:ascii="Arial" w:hAnsi="宋体" w:cs="Arial"/>
          <w:color w:val="000000"/>
          <w:szCs w:val="21"/>
        </w:rPr>
        <w:t>基金财产清算账册及文件由基金托管人保存二十年以上。</w:t>
      </w:r>
      <w:bookmarkStart w:id="85" w:name="_Toc88037857"/>
    </w:p>
    <w:p w14:paraId="5A9468DC" w14:textId="77777777" w:rsidR="00F50C35" w:rsidRDefault="00FB66DA">
      <w:pPr>
        <w:pStyle w:val="1"/>
        <w:snapToGrid w:val="0"/>
        <w:spacing w:before="0" w:after="0" w:line="360" w:lineRule="auto"/>
        <w:rPr>
          <w:rFonts w:hAnsi="Arial"/>
          <w:kern w:val="0"/>
        </w:rPr>
      </w:pPr>
      <w:r>
        <w:rPr>
          <w:rFonts w:hAnsi="Arial"/>
        </w:rPr>
        <w:br w:type="page"/>
      </w:r>
      <w:bookmarkStart w:id="86" w:name="_Toc88037858"/>
      <w:bookmarkStart w:id="87" w:name="_Toc274814022"/>
      <w:bookmarkStart w:id="88" w:name="_Toc274814089"/>
      <w:bookmarkEnd w:id="85"/>
      <w:r>
        <w:rPr>
          <w:kern w:val="0"/>
        </w:rPr>
        <w:lastRenderedPageBreak/>
        <w:t>二十三、违约责任</w:t>
      </w:r>
      <w:bookmarkEnd w:id="86"/>
      <w:bookmarkEnd w:id="87"/>
      <w:bookmarkEnd w:id="88"/>
    </w:p>
    <w:p w14:paraId="0A87A87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w:t>
      </w:r>
      <w:r>
        <w:rPr>
          <w:rFonts w:ascii="Arial" w:hAnsi="宋体" w:cs="Arial"/>
          <w:szCs w:val="21"/>
        </w:rPr>
        <w:t>基金管理人、基金托管人在履行各自职责的过程中，违反《基金法》的规定或者基金合同的约定，给基金财产或者基金份额持有人造成损害的，应当分别对各自的行为依法承担赔偿责任；因共同行为给基金财产或者基金份额持有人造成损害的，应当承担连带赔偿责任。</w:t>
      </w:r>
    </w:p>
    <w:p w14:paraId="1156062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（二）由于《基金合同》当事人违反基金合同，给基金财产或其他基金合同当事人造成损失的，应当承担相应的赔偿责任。</w:t>
      </w:r>
    </w:p>
    <w:p w14:paraId="2C37508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（三）当发生下列情况时，当事人可以免责：</w:t>
      </w:r>
    </w:p>
    <w:p w14:paraId="6119FC2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、基金管理人及基金托管人按照中国证监会的规定或当时有效的法律、法规或规章的作为或不作为而造成的损失等；</w:t>
      </w:r>
    </w:p>
    <w:p w14:paraId="3CEB303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w:t>
      </w:r>
      <w:r>
        <w:rPr>
          <w:rFonts w:ascii="Arial" w:hAnsi="宋体" w:cs="Arial"/>
          <w:szCs w:val="21"/>
        </w:rPr>
        <w:t>基金管理人由于按照本基金合同规定的投资原则投资或不投资造成的损失或潜在损失等</w:t>
      </w:r>
      <w:r>
        <w:rPr>
          <w:rFonts w:ascii="Arial" w:hAnsi="宋体" w:cs="Arial"/>
          <w:kern w:val="0"/>
          <w:szCs w:val="21"/>
        </w:rPr>
        <w:t>；</w:t>
      </w:r>
    </w:p>
    <w:p w14:paraId="25A5BC3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、不可抗力。</w:t>
      </w:r>
      <w:r>
        <w:rPr>
          <w:rFonts w:ascii="Arial" w:hAnsi="宋体" w:cs="Arial"/>
          <w:color w:val="000000"/>
          <w:kern w:val="0"/>
          <w:szCs w:val="21"/>
        </w:rPr>
        <w:t>基金管理人及基金托管人因不可抗力不能履行本合同的，可根据不可抗力的影响部分或全部免除责任，但法律另有规定的除外。任何一方迟延履行后发生不可抗力的，不能免除责任</w:t>
      </w:r>
      <w:r>
        <w:rPr>
          <w:rFonts w:ascii="Arial" w:hAnsi="宋体" w:cs="Arial"/>
          <w:kern w:val="0"/>
          <w:szCs w:val="21"/>
        </w:rPr>
        <w:t>。</w:t>
      </w:r>
    </w:p>
    <w:p w14:paraId="62319A8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（四）在发生一方或多方当事人违约的情况下，基金合同能够继续履行的应当继续履行。</w:t>
      </w:r>
    </w:p>
    <w:p w14:paraId="24035C5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（五）本合同当事人一方违约后，其他当事方应当采取适当措施防止损失的扩大；没有采取适当措施致使损失扩大的，不得就扩大的损失要求赔偿。守约方因防止损失扩大而支出的合理费用由违约方承担。</w:t>
      </w:r>
    </w:p>
    <w:p w14:paraId="2FF9F070" w14:textId="77777777" w:rsidR="00F50C35" w:rsidRDefault="00FB66DA">
      <w:pPr>
        <w:pStyle w:val="1"/>
        <w:snapToGrid w:val="0"/>
        <w:spacing w:before="0" w:after="0" w:line="360" w:lineRule="auto"/>
        <w:rPr>
          <w:rFonts w:hAnsi="Arial"/>
          <w:kern w:val="0"/>
        </w:rPr>
      </w:pPr>
      <w:bookmarkStart w:id="89" w:name="_Toc88037859"/>
      <w:r>
        <w:rPr>
          <w:rFonts w:hAnsi="Arial"/>
          <w:kern w:val="0"/>
        </w:rPr>
        <w:br w:type="page"/>
      </w:r>
      <w:bookmarkStart w:id="90" w:name="_Toc274814090"/>
      <w:bookmarkStart w:id="91" w:name="_Toc274814023"/>
      <w:r>
        <w:rPr>
          <w:kern w:val="0"/>
        </w:rPr>
        <w:lastRenderedPageBreak/>
        <w:t>二十四、争议的处理</w:t>
      </w:r>
      <w:bookmarkEnd w:id="89"/>
      <w:bookmarkEnd w:id="90"/>
      <w:bookmarkEnd w:id="91"/>
    </w:p>
    <w:p w14:paraId="2289BE13" w14:textId="77777777" w:rsidR="00F50C35" w:rsidRPr="00AD672F" w:rsidRDefault="00FB66DA">
      <w:pPr>
        <w:adjustRightInd w:val="0"/>
        <w:snapToGrid w:val="0"/>
        <w:spacing w:line="360" w:lineRule="auto"/>
        <w:ind w:firstLine="420"/>
        <w:rPr>
          <w:rFonts w:ascii="Arial" w:hAnsi="Arial" w:cs="Arial"/>
          <w:b/>
          <w:i/>
          <w:kern w:val="0"/>
          <w:szCs w:val="21"/>
        </w:rPr>
      </w:pPr>
      <w:r w:rsidRPr="00AD672F">
        <w:rPr>
          <w:rFonts w:ascii="Arial" w:hAnsi="宋体" w:cs="Arial"/>
          <w:b/>
          <w:i/>
          <w:kern w:val="0"/>
          <w:szCs w:val="21"/>
        </w:rPr>
        <w:t>（一）本基金合同适用中华人民共和国法律并从其解释。</w:t>
      </w:r>
    </w:p>
    <w:p w14:paraId="194D9A06" w14:textId="77777777" w:rsidR="00F50C35" w:rsidRPr="00AD672F" w:rsidRDefault="00FB66DA">
      <w:pPr>
        <w:adjustRightInd w:val="0"/>
        <w:snapToGrid w:val="0"/>
        <w:spacing w:line="360" w:lineRule="auto"/>
        <w:ind w:firstLine="420"/>
        <w:rPr>
          <w:rFonts w:ascii="Arial" w:hAnsi="Arial" w:cs="Arial"/>
          <w:b/>
          <w:i/>
          <w:kern w:val="0"/>
          <w:szCs w:val="21"/>
        </w:rPr>
      </w:pPr>
      <w:r w:rsidRPr="00AD672F">
        <w:rPr>
          <w:rFonts w:ascii="Arial" w:hAnsi="宋体" w:cs="Arial"/>
          <w:b/>
          <w:i/>
          <w:kern w:val="0"/>
          <w:szCs w:val="21"/>
        </w:rPr>
        <w:t>（二）本基金合同的当事人之间因本基金合同产生的或与本基金合同有关的争议应首先通过友好协商解决。但若自一方书面要求协商解决争议发生之日起</w:t>
      </w:r>
      <w:r w:rsidRPr="00AD672F">
        <w:rPr>
          <w:rFonts w:ascii="Arial" w:hAnsi="Arial" w:cs="Arial"/>
          <w:b/>
          <w:i/>
          <w:kern w:val="0"/>
          <w:szCs w:val="21"/>
        </w:rPr>
        <w:t>60</w:t>
      </w:r>
      <w:r w:rsidRPr="00AD672F">
        <w:rPr>
          <w:rFonts w:ascii="Arial" w:hAnsi="宋体" w:cs="Arial"/>
          <w:b/>
          <w:i/>
          <w:kern w:val="0"/>
          <w:szCs w:val="21"/>
        </w:rPr>
        <w:t>日内未能以协商方式解决的，则任何一方有权将争议提交位于北京的中国国际经济贸易仲裁委员会，根据当时有效的仲裁规则进行仲裁。仲裁裁决是终局的，对仲裁各方当事人均具有约束力。</w:t>
      </w:r>
    </w:p>
    <w:p w14:paraId="511A97B8" w14:textId="77777777" w:rsidR="00F50C35" w:rsidRPr="00AD672F" w:rsidRDefault="00FB66DA">
      <w:pPr>
        <w:adjustRightInd w:val="0"/>
        <w:snapToGrid w:val="0"/>
        <w:spacing w:line="360" w:lineRule="auto"/>
        <w:ind w:firstLine="420"/>
        <w:rPr>
          <w:rFonts w:ascii="Arial" w:hAnsi="Arial" w:cs="Arial"/>
          <w:b/>
          <w:i/>
          <w:kern w:val="0"/>
          <w:szCs w:val="21"/>
        </w:rPr>
      </w:pPr>
      <w:r w:rsidRPr="00AD672F">
        <w:rPr>
          <w:rFonts w:ascii="Arial" w:hAnsi="宋体" w:cs="Arial"/>
          <w:b/>
          <w:i/>
          <w:kern w:val="0"/>
          <w:szCs w:val="21"/>
        </w:rPr>
        <w:t>（三）除争议所涉内容之外，本基金合同的其他部分应当由本基金合同当事人继续履行。</w:t>
      </w:r>
    </w:p>
    <w:p w14:paraId="043B48E3" w14:textId="77777777" w:rsidR="00F50C35" w:rsidRDefault="00FB66DA">
      <w:pPr>
        <w:pStyle w:val="1"/>
        <w:snapToGrid w:val="0"/>
        <w:spacing w:before="0" w:after="0" w:line="360" w:lineRule="auto"/>
        <w:rPr>
          <w:rFonts w:hAnsi="Arial"/>
          <w:kern w:val="0"/>
        </w:rPr>
      </w:pPr>
      <w:bookmarkStart w:id="92" w:name="_Toc88037860"/>
      <w:r>
        <w:rPr>
          <w:rFonts w:hAnsi="Arial"/>
          <w:kern w:val="0"/>
        </w:rPr>
        <w:br w:type="page"/>
      </w:r>
      <w:bookmarkStart w:id="93" w:name="_Toc274814091"/>
      <w:bookmarkStart w:id="94" w:name="_Toc274814024"/>
      <w:r>
        <w:rPr>
          <w:kern w:val="0"/>
        </w:rPr>
        <w:lastRenderedPageBreak/>
        <w:t>二十五、基金合同的效力</w:t>
      </w:r>
      <w:bookmarkEnd w:id="92"/>
      <w:bookmarkEnd w:id="93"/>
      <w:bookmarkEnd w:id="94"/>
    </w:p>
    <w:p w14:paraId="7167D42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一）本基金合同是基金合同当事人之间的法律文件，应由基金管理人和基金托管人的法定代表人或其授权签字人签字并加盖公章。基金合同于投资者缴纳认购的基金份额的款项时成立，于基金募集结束报中国证监会备案并获中国证监会书面确认后生效。</w:t>
      </w:r>
    </w:p>
    <w:p w14:paraId="3743A68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（二）本基金合同的有效期自其生效之日起至本基金财产清算结果报中国证监会批准并公告之日止。</w:t>
      </w:r>
    </w:p>
    <w:p w14:paraId="39585D5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（三）本基金合同自生效之日起对包括基金管理人、基金托管人和基金份额持有人在内的基金合同各方当事人具有同等的法律约束力。</w:t>
      </w:r>
    </w:p>
    <w:p w14:paraId="0E019359"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（四）本基金合同正本一式六份，除上报有关监管机构二份外，基金管理人、基金托管人各持二份，每份具有同等的法律效力。</w:t>
      </w:r>
    </w:p>
    <w:p w14:paraId="6D7E6E68"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（五）基金合同可印制成册，存放在基金管理人和基金托管人住所，供投资者查阅，基金合同条款及内容应以基金合同正本为准。</w:t>
      </w:r>
    </w:p>
    <w:bookmarkEnd w:id="79"/>
    <w:p w14:paraId="265E8B03" w14:textId="77777777" w:rsidR="00F50C35" w:rsidRDefault="00F50C35">
      <w:pPr>
        <w:adjustRightInd w:val="0"/>
        <w:snapToGrid w:val="0"/>
        <w:spacing w:line="360" w:lineRule="auto"/>
        <w:ind w:firstLine="420"/>
        <w:rPr>
          <w:rFonts w:ascii="Arial" w:hAnsi="宋体" w:cs="Arial"/>
          <w:kern w:val="0"/>
          <w:szCs w:val="21"/>
        </w:rPr>
        <w:sectPr w:rsidR="00F50C35">
          <w:pgSz w:w="11906" w:h="16838"/>
          <w:pgMar w:top="1440" w:right="1800" w:bottom="1440" w:left="1800" w:header="851" w:footer="992" w:gutter="0"/>
          <w:cols w:space="425"/>
          <w:docGrid w:type="lines" w:linePitch="312"/>
        </w:sectPr>
      </w:pPr>
    </w:p>
    <w:p w14:paraId="1407B60E" w14:textId="77777777" w:rsidR="00F50C35" w:rsidRDefault="00FB66DA">
      <w:pPr>
        <w:pStyle w:val="1"/>
        <w:snapToGrid w:val="0"/>
        <w:spacing w:before="0" w:after="0" w:line="360" w:lineRule="auto"/>
        <w:rPr>
          <w:kern w:val="0"/>
        </w:rPr>
      </w:pPr>
      <w:bookmarkStart w:id="95" w:name="_Toc274814092"/>
      <w:bookmarkStart w:id="96" w:name="_Toc266369094"/>
      <w:bookmarkStart w:id="97" w:name="_Toc274814025"/>
      <w:r>
        <w:rPr>
          <w:kern w:val="0"/>
        </w:rPr>
        <w:lastRenderedPageBreak/>
        <w:t>二十</w:t>
      </w:r>
      <w:r>
        <w:rPr>
          <w:rFonts w:hint="eastAsia"/>
          <w:kern w:val="0"/>
        </w:rPr>
        <w:t>六</w:t>
      </w:r>
      <w:r>
        <w:rPr>
          <w:kern w:val="0"/>
        </w:rPr>
        <w:t>、基金合同</w:t>
      </w:r>
      <w:r>
        <w:rPr>
          <w:rFonts w:hint="eastAsia"/>
          <w:kern w:val="0"/>
        </w:rPr>
        <w:t>内容摘要</w:t>
      </w:r>
      <w:bookmarkEnd w:id="95"/>
      <w:bookmarkEnd w:id="96"/>
      <w:bookmarkEnd w:id="97"/>
    </w:p>
    <w:p w14:paraId="06DFE0E6" w14:textId="77777777" w:rsidR="00F50C35" w:rsidRDefault="00FB66DA">
      <w:pPr>
        <w:pStyle w:val="2"/>
        <w:numPr>
          <w:ilvl w:val="0"/>
          <w:numId w:val="4"/>
        </w:numPr>
        <w:snapToGrid w:val="0"/>
        <w:spacing w:before="0" w:after="0" w:line="360" w:lineRule="auto"/>
        <w:rPr>
          <w:rFonts w:eastAsia="宋体" w:hAnsi="宋体" w:cs="Arial"/>
          <w:kern w:val="0"/>
          <w:sz w:val="21"/>
          <w:szCs w:val="21"/>
        </w:rPr>
      </w:pPr>
      <w:bookmarkStart w:id="98" w:name="_Toc266369095"/>
      <w:bookmarkStart w:id="99" w:name="_Toc253128719"/>
      <w:r>
        <w:rPr>
          <w:rFonts w:eastAsia="宋体" w:hAnsi="宋体" w:cs="Arial" w:hint="eastAsia"/>
          <w:kern w:val="0"/>
          <w:sz w:val="21"/>
          <w:szCs w:val="21"/>
        </w:rPr>
        <w:t>基金管理人、基金托管人和基金份额持有人的权利、义务</w:t>
      </w:r>
      <w:bookmarkEnd w:id="98"/>
      <w:bookmarkEnd w:id="99"/>
    </w:p>
    <w:p w14:paraId="55C398AB" w14:textId="77777777" w:rsidR="00F50C35" w:rsidRDefault="00FB66DA">
      <w:pPr>
        <w:numPr>
          <w:ilvl w:val="0"/>
          <w:numId w:val="5"/>
        </w:numPr>
        <w:adjustRightInd w:val="0"/>
        <w:snapToGrid w:val="0"/>
        <w:spacing w:line="360" w:lineRule="auto"/>
        <w:rPr>
          <w:rFonts w:ascii="Arial" w:hAnsi="宋体" w:cs="Arial"/>
          <w:kern w:val="0"/>
          <w:szCs w:val="21"/>
        </w:rPr>
      </w:pPr>
      <w:r>
        <w:rPr>
          <w:rFonts w:ascii="Arial" w:hAnsi="宋体" w:cs="Arial"/>
          <w:kern w:val="0"/>
          <w:szCs w:val="21"/>
        </w:rPr>
        <w:t>基金管理人的权利</w:t>
      </w:r>
      <w:r>
        <w:rPr>
          <w:rFonts w:ascii="Arial" w:hAnsi="宋体" w:cs="Arial" w:hint="eastAsia"/>
          <w:kern w:val="0"/>
          <w:szCs w:val="21"/>
        </w:rPr>
        <w:t>和义务</w:t>
      </w:r>
    </w:p>
    <w:p w14:paraId="4BC4AC0A" w14:textId="77777777" w:rsidR="00F50C35" w:rsidRDefault="00FB66DA">
      <w:pPr>
        <w:adjustRightInd w:val="0"/>
        <w:snapToGrid w:val="0"/>
        <w:spacing w:line="360" w:lineRule="auto"/>
        <w:ind w:firstLineChars="202" w:firstLine="424"/>
        <w:rPr>
          <w:rFonts w:ascii="Arial" w:hAnsi="Arial" w:cs="Arial"/>
          <w:kern w:val="0"/>
          <w:szCs w:val="21"/>
        </w:rPr>
      </w:pPr>
      <w:r>
        <w:rPr>
          <w:rFonts w:ascii="Arial" w:hAnsi="宋体" w:cs="Arial" w:hint="eastAsia"/>
          <w:kern w:val="0"/>
          <w:szCs w:val="21"/>
        </w:rPr>
        <w:t>（</w:t>
      </w:r>
      <w:r>
        <w:rPr>
          <w:rFonts w:ascii="Arial" w:hAnsi="宋体" w:cs="Arial" w:hint="eastAsia"/>
          <w:kern w:val="0"/>
          <w:szCs w:val="21"/>
        </w:rPr>
        <w:t>1</w:t>
      </w:r>
      <w:r>
        <w:rPr>
          <w:rFonts w:ascii="Arial" w:hAnsi="宋体" w:cs="Arial" w:hint="eastAsia"/>
          <w:kern w:val="0"/>
          <w:szCs w:val="21"/>
        </w:rPr>
        <w:t>）基金管理人的权利</w:t>
      </w:r>
    </w:p>
    <w:p w14:paraId="5308E64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）依法</w:t>
      </w:r>
      <w:r>
        <w:rPr>
          <w:rFonts w:ascii="Arial" w:hAnsi="宋体" w:cs="Arial"/>
          <w:color w:val="000000"/>
          <w:kern w:val="0"/>
          <w:szCs w:val="21"/>
        </w:rPr>
        <w:t>募</w:t>
      </w:r>
      <w:r>
        <w:rPr>
          <w:rFonts w:ascii="Arial" w:hAnsi="宋体" w:cs="Arial"/>
          <w:kern w:val="0"/>
          <w:szCs w:val="21"/>
        </w:rPr>
        <w:t>集基金；</w:t>
      </w:r>
    </w:p>
    <w:p w14:paraId="177637A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bookmarkStart w:id="100" w:name="_GoBack"/>
      <w:bookmarkEnd w:id="100"/>
      <w:r>
        <w:rPr>
          <w:rFonts w:ascii="Arial" w:hAnsi="宋体" w:cs="Arial"/>
          <w:kern w:val="0"/>
          <w:szCs w:val="21"/>
        </w:rPr>
        <w:t>）依照法律法规和基金合同运用基金财产；</w:t>
      </w:r>
    </w:p>
    <w:p w14:paraId="2D42256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）自基金合同生效之日起，基金管理人依照法律法规和基金合同独立管理基金财产；</w:t>
      </w:r>
    </w:p>
    <w:p w14:paraId="5DA11C6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）根据法律法规和基金合同的规定决定本基金的相关费率结构和收费方式，获得基金管理人报酬，收取认购费、申购费、基金赎回手续费及其他事先批准或公告的合理费用以及法律法规规定的其他费用；</w:t>
      </w:r>
    </w:p>
    <w:p w14:paraId="08CAB82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）根据法律法规和基金合同之规定销售基金份额；</w:t>
      </w:r>
    </w:p>
    <w:p w14:paraId="6406FD1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w:t>
      </w:r>
      <w:r>
        <w:rPr>
          <w:rFonts w:ascii="Arial" w:hAnsi="宋体" w:cs="Arial"/>
          <w:szCs w:val="21"/>
        </w:rPr>
        <w:t>在本合同的有效期内，在不违反公平、合理原则以及不妨碍基金托管人遵守相关法律法规及其行业监管要求的基础上，基金管理人有权对基金托管人履行本合同的情况进行必要的监督</w:t>
      </w:r>
      <w:r>
        <w:rPr>
          <w:rFonts w:ascii="Arial" w:hAnsi="宋体" w:cs="Arial"/>
          <w:kern w:val="0"/>
          <w:szCs w:val="21"/>
        </w:rPr>
        <w:t>。如认为基金托管人违反了法律法规或基金合同规定对基金财产、其他基金合同当事人的利益造成重大损失的，应及时呈报中国证监会和中国银监会，以及采取其他必要措施以保护本基金及相关基金合同当事人的利益；</w:t>
      </w:r>
    </w:p>
    <w:p w14:paraId="7B2753A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）根据基金合同的规定选择适当的基金代销机构并有权依照代销协议对基金代销机构行为进行必要的监督和检查；</w:t>
      </w:r>
    </w:p>
    <w:p w14:paraId="2EC1561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）自行担任基金注册登记机构或选择、更换基金注册登记代理机构，办理基金注册登记业务，并按照基金合同规定对基金注册登记代理机构进行必要的监督和检查；</w:t>
      </w:r>
    </w:p>
    <w:p w14:paraId="4A11303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9</w:t>
      </w:r>
      <w:r>
        <w:rPr>
          <w:rFonts w:ascii="Arial" w:hAnsi="宋体" w:cs="Arial"/>
          <w:kern w:val="0"/>
          <w:szCs w:val="21"/>
        </w:rPr>
        <w:t>）在基金合同约定的范围内，拒绝或暂停受理申购和赎回的申请；</w:t>
      </w:r>
    </w:p>
    <w:p w14:paraId="1074534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10</w:t>
      </w:r>
      <w:r>
        <w:rPr>
          <w:rFonts w:ascii="Arial" w:hAnsi="宋体" w:cs="Arial"/>
          <w:kern w:val="0"/>
          <w:szCs w:val="21"/>
        </w:rPr>
        <w:t>）在法律法规允许的前提下，为基金份额持有人的利益依法为基金进行融资；</w:t>
      </w:r>
    </w:p>
    <w:p w14:paraId="59AA95D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11</w:t>
      </w:r>
      <w:r>
        <w:rPr>
          <w:rFonts w:ascii="Arial" w:hAnsi="宋体" w:cs="Arial"/>
          <w:kern w:val="0"/>
          <w:szCs w:val="21"/>
        </w:rPr>
        <w:t>）依据法律法规和基金合同的规定，制订基金收益的分配方案；</w:t>
      </w:r>
    </w:p>
    <w:p w14:paraId="00433FE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12</w:t>
      </w:r>
      <w:r>
        <w:rPr>
          <w:rFonts w:ascii="Arial" w:hAnsi="宋体" w:cs="Arial"/>
          <w:kern w:val="0"/>
          <w:szCs w:val="21"/>
        </w:rPr>
        <w:t>）按照法律法规，代表基金对被投资企业行使股东权利，代表基金行使因投资于其他证券所产生的权利；</w:t>
      </w:r>
    </w:p>
    <w:p w14:paraId="2EF7893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13</w:t>
      </w:r>
      <w:r>
        <w:rPr>
          <w:rFonts w:ascii="Arial" w:hAnsi="宋体" w:cs="Arial"/>
          <w:kern w:val="0"/>
          <w:szCs w:val="21"/>
        </w:rPr>
        <w:t>）在基金托管人职责终止时，提名新的基金托管人；</w:t>
      </w:r>
    </w:p>
    <w:p w14:paraId="6957C5F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14</w:t>
      </w:r>
      <w:r>
        <w:rPr>
          <w:rFonts w:ascii="Arial" w:hAnsi="宋体" w:cs="Arial"/>
          <w:kern w:val="0"/>
          <w:szCs w:val="21"/>
        </w:rPr>
        <w:t>）依据法律法规和基金合同的规定，召集基金份额持有人大会；</w:t>
      </w:r>
    </w:p>
    <w:p w14:paraId="67528BC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15</w:t>
      </w:r>
      <w:r>
        <w:rPr>
          <w:rFonts w:ascii="Arial" w:hAnsi="宋体" w:cs="Arial"/>
          <w:kern w:val="0"/>
          <w:szCs w:val="21"/>
        </w:rPr>
        <w:t>）依照有关规定行使因基金财产投资于证券所产生的权利；</w:t>
      </w:r>
    </w:p>
    <w:p w14:paraId="64C9B646"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16</w:t>
      </w:r>
      <w:r>
        <w:rPr>
          <w:rFonts w:ascii="Arial" w:hAnsi="宋体" w:cs="Arial"/>
          <w:color w:val="000000"/>
          <w:kern w:val="0"/>
          <w:szCs w:val="21"/>
        </w:rPr>
        <w:t>）选择、更换律师、审计师、证券经纪商或其他为基金提供服务的外部机构并确定有关费率；</w:t>
      </w:r>
    </w:p>
    <w:p w14:paraId="296278DE"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17</w:t>
      </w:r>
      <w:r>
        <w:rPr>
          <w:rFonts w:ascii="Arial" w:hAnsi="宋体" w:cs="Arial"/>
          <w:color w:val="000000"/>
          <w:kern w:val="0"/>
          <w:szCs w:val="21"/>
        </w:rPr>
        <w:t>）根据法律法规和基金合同的规定，制订、修改并公布有关基金募集、认购、申购、赎回、转托管、基金转换、非交易过户、冻结、收益分配等方面的业务规则；</w:t>
      </w:r>
    </w:p>
    <w:p w14:paraId="41C3A388"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18</w:t>
      </w:r>
      <w:r>
        <w:rPr>
          <w:rFonts w:ascii="Arial" w:hAnsi="宋体" w:cs="Arial"/>
          <w:color w:val="000000"/>
          <w:kern w:val="0"/>
          <w:szCs w:val="21"/>
        </w:rPr>
        <w:t>）选择、更换基金投资顾问；</w:t>
      </w:r>
    </w:p>
    <w:p w14:paraId="09656BCE"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lastRenderedPageBreak/>
        <w:t>19</w:t>
      </w:r>
      <w:r>
        <w:rPr>
          <w:rFonts w:ascii="Arial" w:hAnsi="宋体" w:cs="Arial"/>
          <w:color w:val="000000"/>
          <w:kern w:val="0"/>
          <w:szCs w:val="21"/>
        </w:rPr>
        <w:t>）委托第三方机构办理本基金的交易、清算、估值、结算等业务；</w:t>
      </w:r>
    </w:p>
    <w:p w14:paraId="12E577A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color w:val="000000"/>
          <w:kern w:val="0"/>
          <w:szCs w:val="21"/>
        </w:rPr>
        <w:t>20</w:t>
      </w:r>
      <w:r>
        <w:rPr>
          <w:rFonts w:ascii="Arial" w:hAnsi="宋体" w:cs="Arial"/>
          <w:color w:val="000000"/>
          <w:kern w:val="0"/>
          <w:szCs w:val="21"/>
        </w:rPr>
        <w:t>）法律法规、基金合同以及</w:t>
      </w:r>
      <w:r>
        <w:rPr>
          <w:rFonts w:ascii="Arial" w:hAnsi="宋体" w:cs="Arial"/>
          <w:kern w:val="0"/>
          <w:szCs w:val="21"/>
        </w:rPr>
        <w:t>依据基金合同制订的其他法律文件所规定的其他权利。</w:t>
      </w:r>
    </w:p>
    <w:p w14:paraId="082D30B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hint="eastAsia"/>
          <w:kern w:val="0"/>
          <w:szCs w:val="21"/>
        </w:rPr>
        <w:t>2</w:t>
      </w:r>
      <w:r>
        <w:rPr>
          <w:rFonts w:ascii="Arial" w:hAnsi="Arial" w:cs="Arial" w:hint="eastAsia"/>
          <w:kern w:val="0"/>
          <w:szCs w:val="21"/>
        </w:rPr>
        <w:t>）</w:t>
      </w:r>
      <w:r>
        <w:rPr>
          <w:rFonts w:ascii="Arial" w:hAnsi="宋体" w:cs="Arial"/>
          <w:kern w:val="0"/>
          <w:szCs w:val="21"/>
        </w:rPr>
        <w:t>基金管理人的义务</w:t>
      </w:r>
    </w:p>
    <w:p w14:paraId="48B3BD6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）依法募集基金，办理或者委托经中国证监会认定的其他机构代为办理基金份额的发售、申购、赎回和登记事宜；</w:t>
      </w:r>
    </w:p>
    <w:p w14:paraId="3275936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）自基金合同生效之日起，以诚实信用、勤勉尽责的原则管理和运用基金财产；</w:t>
      </w:r>
    </w:p>
    <w:p w14:paraId="63A4836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）办理基金备案手续；</w:t>
      </w:r>
    </w:p>
    <w:p w14:paraId="3950D31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）配备足够的具有专业资格的人员进行基金投资分析、决策，以专业化的经营方式管理和运作基金财产；</w:t>
      </w:r>
    </w:p>
    <w:p w14:paraId="6CBFE62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）建立健全内部风险控制、监察与稽核、财务管理及人事管理等制度，保证所管理的基金财产和基金管理人的财产相互独立，对所管理的不同基金分别管理、分别记账，进行证券投资；</w:t>
      </w:r>
    </w:p>
    <w:p w14:paraId="18EE936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）按基金合同的约定确定基金收益分配方案，及时向基金份额持有人分配基金收益；</w:t>
      </w:r>
    </w:p>
    <w:p w14:paraId="139AD4A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）除依据《基金法》、基金合同及其他有关规定外，不得为自己及任何第三人谋取利益，不得委托第三人运作基金财产；</w:t>
      </w:r>
      <w:r>
        <w:rPr>
          <w:rFonts w:ascii="Arial" w:hAnsi="Arial" w:cs="Arial"/>
          <w:kern w:val="0"/>
          <w:szCs w:val="21"/>
        </w:rPr>
        <w:t xml:space="preserve"> </w:t>
      </w:r>
    </w:p>
    <w:p w14:paraId="35DBED0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）进行基金会计核算并编制基金的财务会计报告；</w:t>
      </w:r>
    </w:p>
    <w:p w14:paraId="5120AC1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9</w:t>
      </w:r>
      <w:r>
        <w:rPr>
          <w:rFonts w:ascii="Arial" w:hAnsi="宋体" w:cs="Arial"/>
          <w:kern w:val="0"/>
          <w:szCs w:val="21"/>
        </w:rPr>
        <w:t>）依法接受基金托管人的监督，并向基金托管人及时、全面提供有效的所投资市场相关法律法规等信息；</w:t>
      </w:r>
    </w:p>
    <w:p w14:paraId="6D75B415" w14:textId="34B7C66C"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10</w:t>
      </w:r>
      <w:r>
        <w:rPr>
          <w:rFonts w:ascii="Arial" w:hAnsi="宋体" w:cs="Arial"/>
          <w:kern w:val="0"/>
          <w:szCs w:val="21"/>
        </w:rPr>
        <w:t>）编制</w:t>
      </w:r>
      <w:r>
        <w:rPr>
          <w:rFonts w:ascii="Arial" w:hAnsi="宋体" w:cs="Arial" w:hint="eastAsia"/>
          <w:kern w:val="0"/>
          <w:szCs w:val="21"/>
        </w:rPr>
        <w:t>季度报告、中期报告和年度报告</w:t>
      </w:r>
      <w:r>
        <w:rPr>
          <w:rFonts w:ascii="Arial" w:hAnsi="宋体" w:cs="Arial"/>
          <w:kern w:val="0"/>
          <w:szCs w:val="21"/>
        </w:rPr>
        <w:t>；</w:t>
      </w:r>
    </w:p>
    <w:p w14:paraId="578A746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11</w:t>
      </w:r>
      <w:r>
        <w:rPr>
          <w:rFonts w:ascii="Arial" w:hAnsi="宋体" w:cs="Arial"/>
          <w:kern w:val="0"/>
          <w:szCs w:val="21"/>
        </w:rPr>
        <w:t>）采取适当合理的措施使计算开放式基金份额认购、申购、赎回和</w:t>
      </w:r>
      <w:r>
        <w:rPr>
          <w:rFonts w:ascii="Arial" w:hAnsi="宋体" w:cs="Arial"/>
          <w:color w:val="000000"/>
          <w:kern w:val="0"/>
          <w:szCs w:val="21"/>
        </w:rPr>
        <w:t>注销</w:t>
      </w:r>
      <w:r>
        <w:rPr>
          <w:rFonts w:ascii="Arial" w:hAnsi="宋体" w:cs="Arial"/>
          <w:kern w:val="0"/>
          <w:szCs w:val="21"/>
        </w:rPr>
        <w:t>价格的方法符合基金合同等法律文件的规定；</w:t>
      </w:r>
      <w:r>
        <w:rPr>
          <w:rFonts w:ascii="Arial" w:hAnsi="Arial" w:cs="Arial"/>
          <w:kern w:val="0"/>
          <w:szCs w:val="21"/>
        </w:rPr>
        <w:t xml:space="preserve"> </w:t>
      </w:r>
    </w:p>
    <w:p w14:paraId="75A0671C" w14:textId="0943DC54"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12</w:t>
      </w:r>
      <w:r>
        <w:rPr>
          <w:rFonts w:ascii="Arial" w:hAnsi="宋体" w:cs="Arial"/>
          <w:kern w:val="0"/>
          <w:szCs w:val="21"/>
        </w:rPr>
        <w:t>）计算并公告</w:t>
      </w:r>
      <w:r>
        <w:rPr>
          <w:rFonts w:ascii="Arial" w:hAnsi="宋体"/>
          <w:color w:val="000000"/>
          <w:kern w:val="0"/>
        </w:rPr>
        <w:t>基金</w:t>
      </w:r>
      <w:r>
        <w:rPr>
          <w:rFonts w:ascii="Arial" w:hAnsi="宋体" w:cs="Arial"/>
          <w:kern w:val="0"/>
          <w:szCs w:val="21"/>
        </w:rPr>
        <w:t>净值信息，确定基金份额申购、赎回价格；</w:t>
      </w:r>
    </w:p>
    <w:p w14:paraId="25A0994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13</w:t>
      </w:r>
      <w:r>
        <w:rPr>
          <w:rFonts w:ascii="Arial" w:hAnsi="宋体" w:cs="Arial"/>
          <w:kern w:val="0"/>
          <w:szCs w:val="21"/>
        </w:rPr>
        <w:t>）严格按照《基金法》、基金合同及其他有关规定，履行信息披露及报告义务；</w:t>
      </w:r>
    </w:p>
    <w:p w14:paraId="1D2424A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14</w:t>
      </w:r>
      <w:r>
        <w:rPr>
          <w:rFonts w:ascii="Arial" w:hAnsi="宋体" w:cs="Arial"/>
          <w:kern w:val="0"/>
          <w:szCs w:val="21"/>
        </w:rPr>
        <w:t>）保守基金商业秘密，不泄露基金投资计划、投资意向等。除基金法、基金合同及其他有关规定另有规定外，在基金信息公开披露前应予以保密，不得向他人泄露；</w:t>
      </w:r>
    </w:p>
    <w:p w14:paraId="0E9F3D4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15</w:t>
      </w:r>
      <w:r>
        <w:rPr>
          <w:rFonts w:ascii="Arial" w:hAnsi="宋体" w:cs="Arial"/>
          <w:kern w:val="0"/>
          <w:szCs w:val="21"/>
        </w:rPr>
        <w:t>）按规定受理申购和赎回申请，及时、足额支付赎回款项；</w:t>
      </w:r>
    </w:p>
    <w:p w14:paraId="0DFE135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16</w:t>
      </w:r>
      <w:r>
        <w:rPr>
          <w:rFonts w:ascii="Arial" w:hAnsi="宋体" w:cs="Arial"/>
          <w:kern w:val="0"/>
          <w:szCs w:val="21"/>
        </w:rPr>
        <w:t>）保存基金财产管理业务活动的记录、账册、报表、代表基金签订的重大合同和其他相关资料；</w:t>
      </w:r>
    </w:p>
    <w:p w14:paraId="673824C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17</w:t>
      </w:r>
      <w:r>
        <w:rPr>
          <w:rFonts w:ascii="Arial" w:hAnsi="宋体" w:cs="Arial"/>
          <w:kern w:val="0"/>
          <w:szCs w:val="21"/>
        </w:rPr>
        <w:t>）依据《基金法》、基金合同及其他有关规定召集基金份额持有人大会或配合基金托管人、基金份额持有人依法召集基金份额持有人大会；</w:t>
      </w:r>
    </w:p>
    <w:p w14:paraId="6FE7C70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18</w:t>
      </w:r>
      <w:r>
        <w:rPr>
          <w:rFonts w:ascii="Arial" w:hAnsi="宋体" w:cs="Arial"/>
          <w:kern w:val="0"/>
          <w:szCs w:val="21"/>
        </w:rPr>
        <w:t>）以基金管理人名义，代表基金份额持有人利益行使诉讼权利或实施其他法律行为；</w:t>
      </w:r>
    </w:p>
    <w:p w14:paraId="29CB1E2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19</w:t>
      </w:r>
      <w:r>
        <w:rPr>
          <w:rFonts w:ascii="Arial" w:hAnsi="宋体" w:cs="Arial"/>
          <w:kern w:val="0"/>
          <w:szCs w:val="21"/>
        </w:rPr>
        <w:t>）组织并参加基金财产清算组，参与基金财产的保管、清理、估价、变现和分配；</w:t>
      </w:r>
    </w:p>
    <w:p w14:paraId="704F8FA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20</w:t>
      </w:r>
      <w:r>
        <w:rPr>
          <w:rFonts w:ascii="Arial" w:hAnsi="宋体" w:cs="Arial"/>
          <w:kern w:val="0"/>
          <w:szCs w:val="21"/>
        </w:rPr>
        <w:t>）因违反基金合同导致基金财产的损失或损害基金份额持有人的合法权益，应承担赔偿责任，其赔偿责任不因其退任而免除；</w:t>
      </w:r>
    </w:p>
    <w:p w14:paraId="37471EA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lastRenderedPageBreak/>
        <w:t>21</w:t>
      </w:r>
      <w:r>
        <w:rPr>
          <w:rFonts w:ascii="Arial" w:hAnsi="宋体" w:cs="Arial"/>
          <w:kern w:val="0"/>
          <w:szCs w:val="21"/>
        </w:rPr>
        <w:t>）基金托管人违反基金合同造成基金财产损失时，应为基金份额持有人利益向基金托管人追偿；</w:t>
      </w:r>
    </w:p>
    <w:p w14:paraId="3E70125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22</w:t>
      </w:r>
      <w:r>
        <w:rPr>
          <w:rFonts w:ascii="Arial" w:hAnsi="宋体" w:cs="Arial"/>
          <w:kern w:val="0"/>
          <w:szCs w:val="21"/>
        </w:rPr>
        <w:t>）基金管理人对其委托</w:t>
      </w:r>
      <w:r>
        <w:rPr>
          <w:rFonts w:ascii="Arial" w:hAnsi="宋体" w:cs="Arial"/>
          <w:color w:val="000000"/>
          <w:kern w:val="0"/>
          <w:szCs w:val="21"/>
        </w:rPr>
        <w:t>的投资顾问及其他第三方机构的行为</w:t>
      </w:r>
      <w:r>
        <w:rPr>
          <w:rFonts w:ascii="Arial" w:hAnsi="宋体" w:cs="Arial"/>
          <w:kern w:val="0"/>
          <w:szCs w:val="21"/>
        </w:rPr>
        <w:t>承担责任</w:t>
      </w:r>
      <w:r>
        <w:rPr>
          <w:rFonts w:ascii="Arial" w:hAnsi="宋体" w:cs="Arial" w:hint="eastAsia"/>
          <w:kern w:val="0"/>
          <w:szCs w:val="21"/>
        </w:rPr>
        <w:t>；</w:t>
      </w:r>
    </w:p>
    <w:p w14:paraId="6C7C380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23</w:t>
      </w:r>
      <w:r>
        <w:rPr>
          <w:rFonts w:ascii="Arial" w:hAnsi="宋体" w:cs="Arial"/>
          <w:kern w:val="0"/>
          <w:szCs w:val="21"/>
        </w:rPr>
        <w:t>）中国证监会规定的其他职责。</w:t>
      </w:r>
    </w:p>
    <w:p w14:paraId="747DFC4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2</w:t>
      </w:r>
      <w:r>
        <w:rPr>
          <w:rFonts w:ascii="Arial" w:hAnsi="宋体" w:cs="Arial" w:hint="eastAsia"/>
          <w:kern w:val="0"/>
          <w:szCs w:val="21"/>
        </w:rPr>
        <w:t>、</w:t>
      </w:r>
      <w:r>
        <w:rPr>
          <w:rFonts w:ascii="Arial" w:hAnsi="宋体" w:cs="Arial"/>
          <w:kern w:val="0"/>
          <w:szCs w:val="21"/>
        </w:rPr>
        <w:t>基金托管人</w:t>
      </w:r>
      <w:r>
        <w:rPr>
          <w:rFonts w:ascii="Arial" w:hAnsi="宋体" w:cs="Arial" w:hint="eastAsia"/>
          <w:kern w:val="0"/>
          <w:szCs w:val="21"/>
        </w:rPr>
        <w:t>的权利和义务</w:t>
      </w:r>
    </w:p>
    <w:p w14:paraId="2044B96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w:t>
      </w:r>
      <w:r>
        <w:rPr>
          <w:rFonts w:ascii="Arial" w:hAnsi="宋体" w:cs="Arial" w:hint="eastAsia"/>
          <w:kern w:val="0"/>
          <w:szCs w:val="21"/>
        </w:rPr>
        <w:t>1</w:t>
      </w:r>
      <w:r>
        <w:rPr>
          <w:rFonts w:ascii="Arial" w:hAnsi="宋体" w:cs="Arial" w:hint="eastAsia"/>
          <w:kern w:val="0"/>
          <w:szCs w:val="21"/>
        </w:rPr>
        <w:t>）</w:t>
      </w:r>
      <w:r>
        <w:rPr>
          <w:rFonts w:ascii="Arial" w:hAnsi="宋体" w:cs="Arial"/>
          <w:kern w:val="0"/>
          <w:szCs w:val="21"/>
        </w:rPr>
        <w:t>基金托管人的权利</w:t>
      </w:r>
    </w:p>
    <w:p w14:paraId="0789EE3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）依据法律法规和基金合同的规定安全保管基金财产；</w:t>
      </w:r>
    </w:p>
    <w:p w14:paraId="5183FA6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）依照基金合同的约定获得基金托管费；</w:t>
      </w:r>
    </w:p>
    <w:p w14:paraId="4F2B615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）监督基金管理人对本基金的投资运作；</w:t>
      </w:r>
    </w:p>
    <w:p w14:paraId="4E4251D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）在基金管理人职责终止时，提名新的基金管理人；</w:t>
      </w:r>
    </w:p>
    <w:p w14:paraId="6149D1D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）依据法律法规和基金合同的规定召集基金份额持有人大会；</w:t>
      </w:r>
    </w:p>
    <w:p w14:paraId="6804C65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）选择、更换境外托管人并与之签署有关协议；</w:t>
      </w:r>
    </w:p>
    <w:p w14:paraId="1A39637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）法律法规、基金合同规定的其他权利。</w:t>
      </w:r>
    </w:p>
    <w:p w14:paraId="26A911F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w:t>
      </w:r>
      <w:r>
        <w:rPr>
          <w:rFonts w:ascii="Arial" w:hAnsi="宋体" w:cs="Arial" w:hint="eastAsia"/>
          <w:kern w:val="0"/>
          <w:szCs w:val="21"/>
        </w:rPr>
        <w:t>2</w:t>
      </w:r>
      <w:r>
        <w:rPr>
          <w:rFonts w:ascii="Arial" w:hAnsi="宋体" w:cs="Arial" w:hint="eastAsia"/>
          <w:kern w:val="0"/>
          <w:szCs w:val="21"/>
        </w:rPr>
        <w:t>）</w:t>
      </w:r>
      <w:r>
        <w:rPr>
          <w:rFonts w:ascii="Arial" w:hAnsi="宋体" w:cs="Arial"/>
          <w:kern w:val="0"/>
          <w:szCs w:val="21"/>
        </w:rPr>
        <w:t>基金托管人的义务</w:t>
      </w:r>
    </w:p>
    <w:p w14:paraId="3F21F1E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）安全保管基金财产，</w:t>
      </w:r>
      <w:r>
        <w:rPr>
          <w:rFonts w:ascii="Arial" w:hAnsi="宋体" w:cs="Arial"/>
          <w:color w:val="000000"/>
          <w:szCs w:val="21"/>
        </w:rPr>
        <w:t>准时将公司行为信息通知基金管理人，确保基金及时收取所有应得收入</w:t>
      </w:r>
      <w:r>
        <w:rPr>
          <w:rFonts w:ascii="Arial" w:hAnsi="宋体" w:cs="Arial"/>
          <w:kern w:val="0"/>
          <w:szCs w:val="21"/>
        </w:rPr>
        <w:t>；</w:t>
      </w:r>
    </w:p>
    <w:p w14:paraId="1449792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）设立专门的基金托管部，具有符合要求的营业场所，配备足够的、合格的熟悉基金托管业务的专职人员，负责基金财产境内托管事宜；</w:t>
      </w:r>
    </w:p>
    <w:p w14:paraId="61BA291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）按规定开设基金财产的资金账户和证券账户；</w:t>
      </w:r>
    </w:p>
    <w:p w14:paraId="3DC6E8E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）除依据《基金法》、基金合同及其他有关规定外，不得为自己及任何第三人谋取利益；</w:t>
      </w:r>
    </w:p>
    <w:p w14:paraId="12E139A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）对所托管的不同基金财产分别设置账户，确保基金财产的完整和独立；</w:t>
      </w:r>
    </w:p>
    <w:p w14:paraId="656CEEA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）保管（或委托境外托管人）由基金管理人代表基金签订的与基金有关的重大合同及有关凭证；</w:t>
      </w:r>
    </w:p>
    <w:p w14:paraId="1F0BEDE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）保存基金托管业务活动的记录、账册、报表和其他相关资料；</w:t>
      </w:r>
    </w:p>
    <w:p w14:paraId="27B2BF7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）按照基金合同的约定，根据基金管理人的投资指令，及时办理清算、交割事宜；</w:t>
      </w:r>
      <w:r>
        <w:rPr>
          <w:rFonts w:ascii="Arial" w:hAnsi="Arial" w:cs="Arial"/>
          <w:kern w:val="0"/>
          <w:szCs w:val="21"/>
        </w:rPr>
        <w:t xml:space="preserve"> </w:t>
      </w:r>
    </w:p>
    <w:p w14:paraId="0F67039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9</w:t>
      </w:r>
      <w:r>
        <w:rPr>
          <w:rFonts w:ascii="Arial" w:hAnsi="宋体" w:cs="Arial"/>
          <w:kern w:val="0"/>
          <w:szCs w:val="21"/>
        </w:rPr>
        <w:t>）保守基金商业秘密。除《基金法》、基金合同及其他有关规定另有规定外，在基金信息公开披露前应予以保密，不得向他人泄露；</w:t>
      </w:r>
    </w:p>
    <w:p w14:paraId="7E01211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10</w:t>
      </w:r>
      <w:r>
        <w:rPr>
          <w:rFonts w:ascii="Arial" w:hAnsi="宋体" w:cs="Arial"/>
          <w:kern w:val="0"/>
          <w:szCs w:val="21"/>
        </w:rPr>
        <w:t>）办理与基金托管业务活动有关的信息披露事项；</w:t>
      </w:r>
    </w:p>
    <w:p w14:paraId="0C5ECDB7" w14:textId="0B6833BF"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11</w:t>
      </w:r>
      <w:r>
        <w:rPr>
          <w:rFonts w:ascii="Arial" w:hAnsi="宋体" w:cs="Arial"/>
          <w:kern w:val="0"/>
          <w:szCs w:val="21"/>
        </w:rPr>
        <w:t>）</w:t>
      </w:r>
      <w:r>
        <w:rPr>
          <w:rFonts w:ascii="Arial" w:hAnsi="宋体" w:cs="Arial"/>
          <w:color w:val="000000"/>
          <w:kern w:val="0"/>
          <w:szCs w:val="21"/>
        </w:rPr>
        <w:t>对基金财务会计报告、</w:t>
      </w:r>
      <w:r>
        <w:rPr>
          <w:rFonts w:ascii="Arial" w:hAnsi="宋体" w:cs="Arial" w:hint="eastAsia"/>
          <w:color w:val="000000"/>
          <w:kern w:val="0"/>
          <w:szCs w:val="21"/>
        </w:rPr>
        <w:t>季度报告、中期报告和年度报告</w:t>
      </w:r>
      <w:r>
        <w:rPr>
          <w:rFonts w:ascii="Arial" w:hAnsi="宋体" w:cs="Arial"/>
          <w:color w:val="000000"/>
          <w:kern w:val="0"/>
          <w:szCs w:val="21"/>
        </w:rPr>
        <w:t>出具意见，说明基金管理人在各重要方面的运作是否严格按照基金合同的规定进行；如果基金管理人有未执行基金合同规定的行为，还应当说明基金托管人是否采取了适当的措施；</w:t>
      </w:r>
      <w:r>
        <w:rPr>
          <w:rFonts w:ascii="Arial" w:hAnsi="Arial" w:cs="Arial"/>
          <w:color w:val="000000"/>
          <w:kern w:val="0"/>
          <w:szCs w:val="21"/>
        </w:rPr>
        <w:t xml:space="preserve"> </w:t>
      </w:r>
    </w:p>
    <w:p w14:paraId="2C06AA0B" w14:textId="77777777" w:rsidR="00F50C35" w:rsidRDefault="00FB66DA">
      <w:pPr>
        <w:adjustRightInd w:val="0"/>
        <w:snapToGrid w:val="0"/>
        <w:spacing w:line="360" w:lineRule="auto"/>
        <w:ind w:firstLine="420"/>
        <w:rPr>
          <w:rFonts w:ascii="Arial" w:hAnsi="Arial" w:cs="Arial"/>
          <w:color w:val="FF0000"/>
          <w:kern w:val="0"/>
          <w:szCs w:val="21"/>
        </w:rPr>
      </w:pPr>
      <w:r>
        <w:rPr>
          <w:rFonts w:ascii="Arial" w:hAnsi="Arial" w:cs="Arial"/>
          <w:color w:val="000000"/>
          <w:kern w:val="0"/>
          <w:szCs w:val="21"/>
        </w:rPr>
        <w:t>12</w:t>
      </w:r>
      <w:r>
        <w:rPr>
          <w:rFonts w:ascii="Arial" w:hAnsi="宋体" w:cs="Arial"/>
          <w:color w:val="000000"/>
          <w:kern w:val="0"/>
          <w:szCs w:val="21"/>
        </w:rPr>
        <w:t>）建立并保存基金份额持有人名册；</w:t>
      </w:r>
      <w:r>
        <w:rPr>
          <w:rFonts w:ascii="Arial" w:hAnsi="Arial" w:cs="Arial"/>
          <w:color w:val="FF0000"/>
          <w:kern w:val="0"/>
          <w:szCs w:val="21"/>
        </w:rPr>
        <w:t xml:space="preserve"> </w:t>
      </w:r>
    </w:p>
    <w:p w14:paraId="16B6233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13</w:t>
      </w:r>
      <w:r>
        <w:rPr>
          <w:rFonts w:ascii="Arial" w:hAnsi="宋体" w:cs="Arial"/>
          <w:kern w:val="0"/>
          <w:szCs w:val="21"/>
        </w:rPr>
        <w:t>）复核、审查基金管理人计算的</w:t>
      </w:r>
      <w:r>
        <w:rPr>
          <w:rFonts w:ascii="Arial" w:hAnsi="宋体"/>
          <w:color w:val="000000"/>
          <w:kern w:val="0"/>
        </w:rPr>
        <w:t>基金资产净</w:t>
      </w:r>
      <w:r>
        <w:rPr>
          <w:rFonts w:ascii="Arial" w:hAnsi="宋体" w:cs="Arial"/>
          <w:kern w:val="0"/>
          <w:szCs w:val="21"/>
        </w:rPr>
        <w:t>值、基金份额净值和基金份额申购、赎</w:t>
      </w:r>
      <w:r>
        <w:rPr>
          <w:rFonts w:ascii="Arial" w:hAnsi="宋体" w:cs="Arial"/>
          <w:kern w:val="0"/>
          <w:szCs w:val="21"/>
        </w:rPr>
        <w:lastRenderedPageBreak/>
        <w:t>回价格；</w:t>
      </w:r>
    </w:p>
    <w:p w14:paraId="6470D54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14</w:t>
      </w:r>
      <w:r>
        <w:rPr>
          <w:rFonts w:ascii="Arial" w:hAnsi="宋体" w:cs="Arial"/>
          <w:kern w:val="0"/>
          <w:szCs w:val="21"/>
        </w:rPr>
        <w:t>）按规定制作相关账册并与基金管理人核对；</w:t>
      </w:r>
    </w:p>
    <w:p w14:paraId="57B40E9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15</w:t>
      </w:r>
      <w:r>
        <w:rPr>
          <w:rFonts w:ascii="Arial" w:hAnsi="宋体" w:cs="Arial"/>
          <w:kern w:val="0"/>
          <w:szCs w:val="21"/>
        </w:rPr>
        <w:t>）依据基金管理人的指令或有关规定向基金份额持有人支付基金收益和赎回款项；</w:t>
      </w:r>
    </w:p>
    <w:p w14:paraId="31A191D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16</w:t>
      </w:r>
      <w:r>
        <w:rPr>
          <w:rFonts w:ascii="Arial" w:hAnsi="宋体" w:cs="Arial"/>
          <w:kern w:val="0"/>
          <w:szCs w:val="21"/>
        </w:rPr>
        <w:t>）按照规定召集基金份额持有人大会或配合基金份额持有人依法自行召集基金份额持有人大会；</w:t>
      </w:r>
    </w:p>
    <w:p w14:paraId="1E65127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17</w:t>
      </w:r>
      <w:r>
        <w:rPr>
          <w:rFonts w:ascii="Arial" w:hAnsi="宋体" w:cs="Arial"/>
          <w:kern w:val="0"/>
          <w:szCs w:val="21"/>
        </w:rPr>
        <w:t>）按照规定监督基金管理人的投资运作；</w:t>
      </w:r>
    </w:p>
    <w:p w14:paraId="26832B64"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18</w:t>
      </w:r>
      <w:r>
        <w:rPr>
          <w:rFonts w:ascii="Arial" w:hAnsi="宋体" w:cs="Arial"/>
          <w:kern w:val="0"/>
          <w:szCs w:val="21"/>
        </w:rPr>
        <w:t>）</w:t>
      </w:r>
      <w:r>
        <w:rPr>
          <w:rFonts w:ascii="Arial" w:hAnsi="宋体" w:cs="Arial"/>
          <w:color w:val="000000"/>
          <w:kern w:val="0"/>
          <w:szCs w:val="21"/>
        </w:rPr>
        <w:t>因过错违反基金合同导致基金财产损失，应承担赔偿责任，其责任不因其退任而免除；除法律法规另有规定外，基金托管人不承担连带责任；</w:t>
      </w:r>
    </w:p>
    <w:p w14:paraId="112456F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19</w:t>
      </w:r>
      <w:r>
        <w:rPr>
          <w:rFonts w:ascii="Arial" w:hAnsi="宋体" w:cs="Arial"/>
          <w:kern w:val="0"/>
          <w:szCs w:val="21"/>
        </w:rPr>
        <w:t>）基金管理人因违反基金合同造成基金财产损失时，应为基金向基金管理人追偿；</w:t>
      </w:r>
    </w:p>
    <w:p w14:paraId="3A29586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20</w:t>
      </w:r>
      <w:r>
        <w:rPr>
          <w:rFonts w:ascii="Arial" w:hAnsi="宋体" w:cs="Arial"/>
          <w:kern w:val="0"/>
          <w:szCs w:val="21"/>
        </w:rPr>
        <w:t>）对其委托第三方机构相关事项的法律后果承担责任。</w:t>
      </w:r>
      <w:r>
        <w:rPr>
          <w:rFonts w:ascii="Arial" w:hAnsi="宋体" w:cs="Arial"/>
          <w:szCs w:val="21"/>
        </w:rPr>
        <w:t>基金托管人委托的第三方机构不包括相关司法管辖区域内的证券登记、清算机构、第三方数据和信息来源机构、根据当地市场惯例无法向该服务提供方追偿的其他机构</w:t>
      </w:r>
      <w:r>
        <w:rPr>
          <w:rFonts w:ascii="Arial" w:hAnsi="宋体" w:cs="Arial" w:hint="eastAsia"/>
          <w:szCs w:val="21"/>
        </w:rPr>
        <w:t>；</w:t>
      </w:r>
    </w:p>
    <w:p w14:paraId="5F3198B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21</w:t>
      </w:r>
      <w:r>
        <w:rPr>
          <w:rFonts w:ascii="Arial" w:hAnsi="宋体" w:cs="Arial"/>
          <w:kern w:val="0"/>
          <w:szCs w:val="21"/>
        </w:rPr>
        <w:t>）国务院证券监督管理机构规定的其他职责。</w:t>
      </w:r>
    </w:p>
    <w:p w14:paraId="0CBBDBB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3</w:t>
      </w:r>
      <w:r>
        <w:rPr>
          <w:rFonts w:ascii="Arial" w:hAnsi="宋体" w:cs="Arial" w:hint="eastAsia"/>
          <w:kern w:val="0"/>
          <w:szCs w:val="21"/>
        </w:rPr>
        <w:t>、</w:t>
      </w:r>
      <w:r>
        <w:rPr>
          <w:rFonts w:ascii="Arial" w:hAnsi="宋体" w:cs="Arial"/>
          <w:kern w:val="0"/>
          <w:szCs w:val="21"/>
        </w:rPr>
        <w:t>基金份额持有人</w:t>
      </w:r>
      <w:r>
        <w:rPr>
          <w:rFonts w:ascii="Arial" w:hAnsi="宋体" w:cs="Arial" w:hint="eastAsia"/>
          <w:kern w:val="0"/>
          <w:szCs w:val="21"/>
        </w:rPr>
        <w:t>的权利和义务</w:t>
      </w:r>
    </w:p>
    <w:p w14:paraId="1DE93A1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w:t>
      </w:r>
      <w:r>
        <w:rPr>
          <w:rFonts w:ascii="Arial" w:hAnsi="宋体" w:cs="Arial" w:hint="eastAsia"/>
          <w:kern w:val="0"/>
          <w:szCs w:val="21"/>
        </w:rPr>
        <w:t>1</w:t>
      </w:r>
      <w:r>
        <w:rPr>
          <w:rFonts w:ascii="Arial" w:hAnsi="宋体" w:cs="Arial" w:hint="eastAsia"/>
          <w:kern w:val="0"/>
          <w:szCs w:val="21"/>
        </w:rPr>
        <w:t>）</w:t>
      </w:r>
      <w:r>
        <w:rPr>
          <w:rFonts w:ascii="Arial" w:hAnsi="宋体" w:cs="Arial"/>
          <w:kern w:val="0"/>
          <w:szCs w:val="21"/>
        </w:rPr>
        <w:t>基金份额持有人的权利</w:t>
      </w:r>
    </w:p>
    <w:p w14:paraId="1766AE8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）分享基金财产收益；</w:t>
      </w:r>
    </w:p>
    <w:p w14:paraId="5941EB3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）参与分配清算后的剩余基金财产；</w:t>
      </w:r>
    </w:p>
    <w:p w14:paraId="50E8D6E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）依法转让或者申请赎回其持有的基金份额；</w:t>
      </w:r>
      <w:r>
        <w:rPr>
          <w:rFonts w:ascii="Arial" w:hAnsi="Arial" w:cs="Arial"/>
          <w:kern w:val="0"/>
          <w:szCs w:val="21"/>
        </w:rPr>
        <w:t xml:space="preserve"> </w:t>
      </w:r>
    </w:p>
    <w:p w14:paraId="0F89FBF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）按照规定要求召开基金份额持有人大会；</w:t>
      </w:r>
      <w:r>
        <w:rPr>
          <w:rFonts w:ascii="Arial" w:hAnsi="Arial" w:cs="Arial"/>
          <w:kern w:val="0"/>
          <w:szCs w:val="21"/>
        </w:rPr>
        <w:t xml:space="preserve"> </w:t>
      </w:r>
    </w:p>
    <w:p w14:paraId="3B932F1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）出席或者委派代表出席基金份额持有人大会</w:t>
      </w:r>
      <w:r>
        <w:rPr>
          <w:rFonts w:ascii="Arial" w:hAnsi="Arial" w:cs="Arial"/>
          <w:kern w:val="0"/>
          <w:szCs w:val="21"/>
        </w:rPr>
        <w:t>,</w:t>
      </w:r>
      <w:r>
        <w:rPr>
          <w:rFonts w:ascii="Arial" w:hAnsi="宋体" w:cs="Arial"/>
          <w:kern w:val="0"/>
          <w:szCs w:val="21"/>
        </w:rPr>
        <w:t>对基金份额持有人大会审议事项行使表决权；</w:t>
      </w:r>
      <w:r>
        <w:rPr>
          <w:rFonts w:ascii="Arial" w:hAnsi="Arial" w:cs="Arial"/>
          <w:kern w:val="0"/>
          <w:szCs w:val="21"/>
        </w:rPr>
        <w:t xml:space="preserve"> </w:t>
      </w:r>
    </w:p>
    <w:p w14:paraId="18820D0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）查阅或者复制公开披露的基金信息资料；</w:t>
      </w:r>
      <w:r>
        <w:rPr>
          <w:rFonts w:ascii="Arial" w:hAnsi="Arial" w:cs="Arial"/>
          <w:kern w:val="0"/>
          <w:szCs w:val="21"/>
        </w:rPr>
        <w:t xml:space="preserve"> </w:t>
      </w:r>
    </w:p>
    <w:p w14:paraId="503980B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）监督基金管理人的投资运作；</w:t>
      </w:r>
    </w:p>
    <w:p w14:paraId="490B7313" w14:textId="77777777" w:rsidR="00F50C35" w:rsidRDefault="00FB66DA">
      <w:pPr>
        <w:pStyle w:val="20"/>
        <w:adjustRightInd w:val="0"/>
        <w:snapToGrid w:val="0"/>
        <w:spacing w:after="0" w:line="360" w:lineRule="auto"/>
        <w:rPr>
          <w:rFonts w:ascii="Arial" w:hAnsi="Arial" w:cs="Arial"/>
          <w:kern w:val="0"/>
          <w:szCs w:val="21"/>
        </w:rPr>
      </w:pPr>
      <w:r>
        <w:rPr>
          <w:rFonts w:ascii="Arial" w:hAnsi="Arial" w:cs="Arial"/>
          <w:kern w:val="0"/>
          <w:szCs w:val="21"/>
        </w:rPr>
        <w:t>8</w:t>
      </w:r>
      <w:r>
        <w:rPr>
          <w:rFonts w:ascii="Arial" w:hAnsi="宋体" w:cs="Arial"/>
          <w:kern w:val="0"/>
          <w:szCs w:val="21"/>
        </w:rPr>
        <w:t>）法律法规、基金合同规定的其他权利。</w:t>
      </w:r>
    </w:p>
    <w:p w14:paraId="574A792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hint="eastAsia"/>
          <w:kern w:val="0"/>
          <w:szCs w:val="21"/>
        </w:rPr>
        <w:t>2</w:t>
      </w:r>
      <w:r>
        <w:rPr>
          <w:rFonts w:ascii="Arial" w:hAnsi="Arial" w:cs="Arial" w:hint="eastAsia"/>
          <w:kern w:val="0"/>
          <w:szCs w:val="21"/>
        </w:rPr>
        <w:t>）</w:t>
      </w:r>
      <w:r>
        <w:rPr>
          <w:rFonts w:ascii="Arial" w:hAnsi="宋体" w:cs="Arial"/>
          <w:kern w:val="0"/>
          <w:szCs w:val="21"/>
        </w:rPr>
        <w:t>基金份额持有人的义务</w:t>
      </w:r>
    </w:p>
    <w:p w14:paraId="5F1640B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）遵守法律法规、基金合同；</w:t>
      </w:r>
    </w:p>
    <w:p w14:paraId="73BE19E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）缴纳基金认购、申购款项及基金合同规定的费用；</w:t>
      </w:r>
    </w:p>
    <w:p w14:paraId="5EF58AB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）在持有的基金份额范围内，承担基金亏损或者基金合同终止的有限责任；</w:t>
      </w:r>
    </w:p>
    <w:p w14:paraId="0CD669D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）不从事任何有损基金及其他基金份额持有人合法利益的活动；</w:t>
      </w:r>
    </w:p>
    <w:p w14:paraId="18A81AA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）执行基金份额持有人大会的决议；</w:t>
      </w:r>
    </w:p>
    <w:p w14:paraId="04134A9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6</w:t>
      </w:r>
      <w:r>
        <w:rPr>
          <w:rFonts w:ascii="Arial" w:hAnsi="宋体" w:cs="Arial"/>
          <w:kern w:val="0"/>
          <w:szCs w:val="21"/>
        </w:rPr>
        <w:t>）返还在基金交易过程中因任何原因获得的不当得利；</w:t>
      </w:r>
    </w:p>
    <w:p w14:paraId="7320649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7</w:t>
      </w:r>
      <w:r>
        <w:rPr>
          <w:rFonts w:ascii="Arial" w:hAnsi="宋体" w:cs="Arial"/>
          <w:kern w:val="0"/>
          <w:szCs w:val="21"/>
        </w:rPr>
        <w:t>）基金份额持有人应遵守基金管理人及其代理销售机构和注册登记机构的相关交易及业务规则；</w:t>
      </w:r>
    </w:p>
    <w:p w14:paraId="3CC0768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8</w:t>
      </w:r>
      <w:r>
        <w:rPr>
          <w:rFonts w:ascii="Arial" w:hAnsi="宋体" w:cs="Arial"/>
          <w:kern w:val="0"/>
          <w:szCs w:val="21"/>
        </w:rPr>
        <w:t>）法律法规及基金合同规定的其他义务。</w:t>
      </w:r>
    </w:p>
    <w:p w14:paraId="3E9032B9" w14:textId="77777777" w:rsidR="00F50C35" w:rsidRDefault="00F50C35">
      <w:pPr>
        <w:snapToGrid w:val="0"/>
        <w:spacing w:line="360" w:lineRule="auto"/>
      </w:pPr>
    </w:p>
    <w:p w14:paraId="3CF6AB97" w14:textId="77777777" w:rsidR="00F50C35" w:rsidRDefault="00FB66DA">
      <w:pPr>
        <w:pStyle w:val="2"/>
        <w:numPr>
          <w:ilvl w:val="0"/>
          <w:numId w:val="4"/>
        </w:numPr>
        <w:snapToGrid w:val="0"/>
        <w:spacing w:before="0" w:after="0" w:line="360" w:lineRule="auto"/>
        <w:rPr>
          <w:rFonts w:eastAsia="宋体" w:hAnsi="宋体" w:cs="Arial"/>
          <w:kern w:val="0"/>
          <w:sz w:val="21"/>
          <w:szCs w:val="21"/>
        </w:rPr>
      </w:pPr>
      <w:bookmarkStart w:id="101" w:name="_Toc253128720"/>
      <w:bookmarkStart w:id="102" w:name="_Toc266369096"/>
      <w:r>
        <w:rPr>
          <w:rFonts w:eastAsia="宋体" w:hAnsi="宋体" w:cs="Arial"/>
          <w:kern w:val="0"/>
          <w:sz w:val="21"/>
          <w:szCs w:val="21"/>
        </w:rPr>
        <w:t>基金份额持有人大会</w:t>
      </w:r>
      <w:r>
        <w:rPr>
          <w:rFonts w:eastAsia="宋体" w:hAnsi="宋体" w:cs="Arial" w:hint="eastAsia"/>
          <w:kern w:val="0"/>
          <w:sz w:val="21"/>
          <w:szCs w:val="21"/>
        </w:rPr>
        <w:t>召集、议事及表决的程序和规则</w:t>
      </w:r>
      <w:bookmarkEnd w:id="101"/>
      <w:bookmarkEnd w:id="102"/>
    </w:p>
    <w:p w14:paraId="5E21852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1</w:t>
      </w:r>
      <w:r>
        <w:rPr>
          <w:rFonts w:ascii="Arial" w:hAnsi="宋体" w:cs="Arial" w:hint="eastAsia"/>
          <w:kern w:val="0"/>
          <w:szCs w:val="21"/>
        </w:rPr>
        <w:t>、</w:t>
      </w:r>
      <w:r>
        <w:rPr>
          <w:rFonts w:ascii="Arial" w:hAnsi="宋体" w:cs="Arial"/>
          <w:kern w:val="0"/>
          <w:szCs w:val="21"/>
        </w:rPr>
        <w:t>本基金的基金份额持有人大会，由本基金的基金份额持有人组成。</w:t>
      </w:r>
    </w:p>
    <w:p w14:paraId="46FE76C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2</w:t>
      </w:r>
      <w:r>
        <w:rPr>
          <w:rFonts w:ascii="Arial" w:hAnsi="宋体" w:cs="Arial" w:hint="eastAsia"/>
          <w:kern w:val="0"/>
          <w:szCs w:val="21"/>
        </w:rPr>
        <w:t>、</w:t>
      </w:r>
      <w:r>
        <w:rPr>
          <w:rFonts w:ascii="Arial" w:hAnsi="宋体" w:cs="Arial"/>
          <w:kern w:val="0"/>
          <w:szCs w:val="21"/>
        </w:rPr>
        <w:t>有以下事由情形之一时，应召开基金份额持有人大会：</w:t>
      </w:r>
    </w:p>
    <w:p w14:paraId="2B1F4D97" w14:textId="77777777" w:rsidR="00F50C35" w:rsidRDefault="00FB66DA">
      <w:pPr>
        <w:numPr>
          <w:ilvl w:val="0"/>
          <w:numId w:val="6"/>
        </w:numPr>
        <w:tabs>
          <w:tab w:val="left" w:pos="993"/>
        </w:tabs>
        <w:adjustRightInd w:val="0"/>
        <w:snapToGrid w:val="0"/>
        <w:spacing w:line="360" w:lineRule="auto"/>
        <w:rPr>
          <w:rFonts w:ascii="Arial" w:hAnsi="Arial" w:cs="Arial"/>
          <w:b/>
          <w:kern w:val="0"/>
          <w:szCs w:val="21"/>
        </w:rPr>
      </w:pPr>
      <w:r>
        <w:rPr>
          <w:rFonts w:ascii="Arial" w:hAnsi="宋体" w:cs="Arial"/>
          <w:kern w:val="0"/>
          <w:szCs w:val="21"/>
        </w:rPr>
        <w:t>终止基金合同</w:t>
      </w:r>
      <w:r>
        <w:rPr>
          <w:rFonts w:ascii="Arial" w:hAnsi="宋体" w:cs="Arial"/>
          <w:color w:val="000000"/>
          <w:kern w:val="0"/>
          <w:szCs w:val="21"/>
        </w:rPr>
        <w:t>，但基金合同另有约定的除外；</w:t>
      </w:r>
    </w:p>
    <w:p w14:paraId="6AF07484" w14:textId="77777777" w:rsidR="00F50C35" w:rsidRDefault="00FB66DA">
      <w:pPr>
        <w:numPr>
          <w:ilvl w:val="0"/>
          <w:numId w:val="6"/>
        </w:numPr>
        <w:tabs>
          <w:tab w:val="left" w:pos="993"/>
        </w:tabs>
        <w:adjustRightInd w:val="0"/>
        <w:snapToGrid w:val="0"/>
        <w:spacing w:line="360" w:lineRule="auto"/>
        <w:rPr>
          <w:rFonts w:ascii="Arial" w:hAnsi="Arial" w:cs="Arial"/>
          <w:kern w:val="0"/>
          <w:szCs w:val="21"/>
        </w:rPr>
      </w:pPr>
      <w:r>
        <w:rPr>
          <w:rFonts w:ascii="Arial" w:hAnsi="宋体" w:cs="Arial"/>
          <w:kern w:val="0"/>
          <w:szCs w:val="21"/>
        </w:rPr>
        <w:t>转换基金运作方式；</w:t>
      </w:r>
    </w:p>
    <w:p w14:paraId="25B2E3EA" w14:textId="77777777" w:rsidR="00F50C35" w:rsidRDefault="00FB66DA">
      <w:pPr>
        <w:numPr>
          <w:ilvl w:val="0"/>
          <w:numId w:val="6"/>
        </w:numPr>
        <w:tabs>
          <w:tab w:val="left" w:pos="993"/>
        </w:tabs>
        <w:adjustRightInd w:val="0"/>
        <w:snapToGrid w:val="0"/>
        <w:spacing w:line="360" w:lineRule="auto"/>
        <w:ind w:left="142" w:firstLine="278"/>
        <w:rPr>
          <w:rFonts w:ascii="Arial" w:hAnsi="Arial" w:cs="Arial"/>
          <w:kern w:val="0"/>
          <w:szCs w:val="21"/>
        </w:rPr>
      </w:pPr>
      <w:r>
        <w:rPr>
          <w:rFonts w:ascii="Arial" w:hAnsi="宋体" w:cs="Arial"/>
          <w:kern w:val="0"/>
          <w:szCs w:val="21"/>
        </w:rPr>
        <w:t>提高基金管理人、基金托管人的报酬标准，但根据法律法规的要求提高该等报酬标准的除外；</w:t>
      </w:r>
    </w:p>
    <w:p w14:paraId="5ADE5A81" w14:textId="77777777" w:rsidR="00F50C35" w:rsidRDefault="00FB66DA">
      <w:pPr>
        <w:numPr>
          <w:ilvl w:val="0"/>
          <w:numId w:val="6"/>
        </w:numPr>
        <w:tabs>
          <w:tab w:val="left" w:pos="851"/>
          <w:tab w:val="left" w:pos="993"/>
        </w:tabs>
        <w:adjustRightInd w:val="0"/>
        <w:snapToGrid w:val="0"/>
        <w:spacing w:line="360" w:lineRule="auto"/>
        <w:ind w:left="142" w:firstLine="278"/>
        <w:rPr>
          <w:rFonts w:ascii="Arial" w:hAnsi="Arial" w:cs="Arial"/>
          <w:kern w:val="0"/>
          <w:szCs w:val="21"/>
        </w:rPr>
      </w:pPr>
      <w:r>
        <w:rPr>
          <w:rFonts w:ascii="Arial" w:hAnsi="宋体" w:cs="Arial"/>
          <w:kern w:val="0"/>
          <w:szCs w:val="21"/>
        </w:rPr>
        <w:t>更换基金管理人、基金托管人；</w:t>
      </w:r>
    </w:p>
    <w:p w14:paraId="1F42E02E" w14:textId="77777777" w:rsidR="00F50C35" w:rsidRDefault="00FB66DA">
      <w:pPr>
        <w:numPr>
          <w:ilvl w:val="0"/>
          <w:numId w:val="6"/>
        </w:numPr>
        <w:tabs>
          <w:tab w:val="left" w:pos="993"/>
        </w:tabs>
        <w:adjustRightInd w:val="0"/>
        <w:snapToGrid w:val="0"/>
        <w:spacing w:line="360" w:lineRule="auto"/>
        <w:ind w:left="142" w:firstLine="278"/>
        <w:rPr>
          <w:rFonts w:ascii="Arial" w:hAnsi="Arial" w:cs="Arial"/>
          <w:kern w:val="0"/>
          <w:szCs w:val="21"/>
        </w:rPr>
      </w:pPr>
      <w:r>
        <w:rPr>
          <w:rFonts w:ascii="Arial" w:hAnsi="宋体" w:cs="Arial"/>
          <w:kern w:val="0"/>
          <w:szCs w:val="21"/>
        </w:rPr>
        <w:t>变更基金类别；</w:t>
      </w:r>
    </w:p>
    <w:p w14:paraId="639F0BF7" w14:textId="77777777" w:rsidR="00F50C35" w:rsidRDefault="00FB66DA">
      <w:pPr>
        <w:numPr>
          <w:ilvl w:val="0"/>
          <w:numId w:val="6"/>
        </w:numPr>
        <w:tabs>
          <w:tab w:val="left" w:pos="993"/>
        </w:tabs>
        <w:adjustRightInd w:val="0"/>
        <w:snapToGrid w:val="0"/>
        <w:spacing w:line="360" w:lineRule="auto"/>
        <w:ind w:left="142" w:firstLine="278"/>
        <w:rPr>
          <w:rFonts w:ascii="Arial" w:hAnsi="Arial" w:cs="Arial"/>
          <w:kern w:val="0"/>
          <w:szCs w:val="21"/>
        </w:rPr>
      </w:pPr>
      <w:r>
        <w:rPr>
          <w:rFonts w:ascii="Arial" w:hAnsi="宋体" w:cs="Arial"/>
          <w:kern w:val="0"/>
          <w:szCs w:val="21"/>
        </w:rPr>
        <w:t>变更基金投资目标、范围或策略（</w:t>
      </w:r>
      <w:r>
        <w:rPr>
          <w:rFonts w:ascii="Arial" w:hAnsi="宋体" w:cs="Arial"/>
          <w:szCs w:val="21"/>
        </w:rPr>
        <w:t>法律法规和中国证监会另有规定的除外</w:t>
      </w:r>
      <w:r>
        <w:rPr>
          <w:rFonts w:ascii="Arial" w:hAnsi="宋体" w:cs="Arial"/>
          <w:kern w:val="0"/>
          <w:szCs w:val="21"/>
        </w:rPr>
        <w:t>）；</w:t>
      </w:r>
    </w:p>
    <w:p w14:paraId="679AF8F7" w14:textId="77777777" w:rsidR="00F50C35" w:rsidRDefault="00FB66DA">
      <w:pPr>
        <w:numPr>
          <w:ilvl w:val="0"/>
          <w:numId w:val="6"/>
        </w:numPr>
        <w:tabs>
          <w:tab w:val="left" w:pos="993"/>
        </w:tabs>
        <w:adjustRightInd w:val="0"/>
        <w:snapToGrid w:val="0"/>
        <w:spacing w:line="360" w:lineRule="auto"/>
        <w:ind w:left="142" w:firstLine="278"/>
        <w:rPr>
          <w:rFonts w:ascii="Arial" w:hAnsi="Arial" w:cs="Arial"/>
          <w:kern w:val="0"/>
          <w:szCs w:val="21"/>
        </w:rPr>
      </w:pPr>
      <w:r>
        <w:rPr>
          <w:rFonts w:ascii="Arial" w:hAnsi="宋体" w:cs="Arial"/>
          <w:kern w:val="0"/>
          <w:szCs w:val="21"/>
        </w:rPr>
        <w:t>变更基金份额持有人大会程序；</w:t>
      </w:r>
    </w:p>
    <w:p w14:paraId="3F4E0DB2" w14:textId="77777777" w:rsidR="00F50C35" w:rsidRDefault="00FB66DA">
      <w:pPr>
        <w:numPr>
          <w:ilvl w:val="0"/>
          <w:numId w:val="6"/>
        </w:numPr>
        <w:tabs>
          <w:tab w:val="left" w:pos="993"/>
        </w:tabs>
        <w:adjustRightInd w:val="0"/>
        <w:snapToGrid w:val="0"/>
        <w:spacing w:line="360" w:lineRule="auto"/>
        <w:ind w:left="142" w:firstLine="278"/>
        <w:rPr>
          <w:rFonts w:ascii="Arial" w:hAnsi="Arial" w:cs="Arial"/>
          <w:kern w:val="0"/>
          <w:szCs w:val="21"/>
        </w:rPr>
      </w:pPr>
      <w:r>
        <w:rPr>
          <w:rFonts w:ascii="Arial" w:hAnsi="宋体" w:cs="Arial"/>
          <w:kern w:val="0"/>
          <w:szCs w:val="21"/>
        </w:rPr>
        <w:t>本基金与其他基金合并；</w:t>
      </w:r>
    </w:p>
    <w:p w14:paraId="30704A12" w14:textId="77777777" w:rsidR="00F50C35" w:rsidRDefault="00FB66DA">
      <w:pPr>
        <w:numPr>
          <w:ilvl w:val="0"/>
          <w:numId w:val="6"/>
        </w:numPr>
        <w:tabs>
          <w:tab w:val="left" w:pos="993"/>
        </w:tabs>
        <w:adjustRightInd w:val="0"/>
        <w:snapToGrid w:val="0"/>
        <w:spacing w:line="360" w:lineRule="auto"/>
        <w:ind w:left="142" w:firstLine="278"/>
        <w:rPr>
          <w:rFonts w:ascii="Arial" w:hAnsi="Arial" w:cs="Arial"/>
          <w:kern w:val="0"/>
          <w:szCs w:val="21"/>
        </w:rPr>
      </w:pPr>
      <w:r>
        <w:rPr>
          <w:rFonts w:ascii="Arial" w:hAnsi="宋体" w:cs="Arial"/>
          <w:kern w:val="0"/>
          <w:szCs w:val="21"/>
        </w:rPr>
        <w:t>对基金合同当事人权利、义务产生重大影响，需召开基金份额持有人大会的变更基金合同等其他事项；</w:t>
      </w:r>
    </w:p>
    <w:p w14:paraId="5ED6574C"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w:t>
      </w:r>
      <w:r>
        <w:rPr>
          <w:rFonts w:ascii="Arial" w:hAnsi="Arial" w:cs="Arial"/>
          <w:kern w:val="0"/>
          <w:szCs w:val="21"/>
        </w:rPr>
        <w:t>10</w:t>
      </w:r>
      <w:r>
        <w:rPr>
          <w:rFonts w:ascii="Arial" w:hAnsi="宋体" w:cs="Arial"/>
          <w:kern w:val="0"/>
          <w:szCs w:val="21"/>
        </w:rPr>
        <w:t>）法律法规或中国证监会规定的其他应当召开基金份额持有人大会的事项。</w:t>
      </w:r>
    </w:p>
    <w:p w14:paraId="5FDFF8B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3</w:t>
      </w:r>
      <w:r>
        <w:rPr>
          <w:rFonts w:ascii="Arial" w:hAnsi="宋体" w:cs="Arial" w:hint="eastAsia"/>
          <w:kern w:val="0"/>
          <w:szCs w:val="21"/>
        </w:rPr>
        <w:t>、</w:t>
      </w:r>
      <w:r>
        <w:rPr>
          <w:rFonts w:ascii="Arial" w:hAnsi="宋体" w:cs="Arial"/>
          <w:kern w:val="0"/>
          <w:szCs w:val="21"/>
        </w:rPr>
        <w:t>以下情况不需召开基金份额持有人大会：</w:t>
      </w:r>
    </w:p>
    <w:p w14:paraId="2E566DB6" w14:textId="77777777" w:rsidR="00F50C35" w:rsidRDefault="00FB66DA">
      <w:pPr>
        <w:numPr>
          <w:ilvl w:val="0"/>
          <w:numId w:val="7"/>
        </w:numPr>
        <w:tabs>
          <w:tab w:val="left" w:pos="993"/>
        </w:tabs>
        <w:adjustRightInd w:val="0"/>
        <w:snapToGrid w:val="0"/>
        <w:spacing w:line="360" w:lineRule="auto"/>
        <w:ind w:left="0" w:firstLine="420"/>
        <w:rPr>
          <w:rFonts w:ascii="Arial" w:hAnsi="Arial" w:cs="Arial"/>
          <w:kern w:val="0"/>
          <w:szCs w:val="21"/>
        </w:rPr>
      </w:pPr>
      <w:r>
        <w:rPr>
          <w:rFonts w:ascii="Arial" w:hAnsi="宋体" w:cs="Arial"/>
          <w:kern w:val="0"/>
          <w:szCs w:val="21"/>
        </w:rPr>
        <w:t>调低基金管理费、基金托管费；</w:t>
      </w:r>
    </w:p>
    <w:p w14:paraId="44BBAD0B" w14:textId="77777777" w:rsidR="00F50C35" w:rsidRDefault="00FB66DA">
      <w:pPr>
        <w:numPr>
          <w:ilvl w:val="0"/>
          <w:numId w:val="7"/>
        </w:numPr>
        <w:tabs>
          <w:tab w:val="left" w:pos="993"/>
        </w:tabs>
        <w:adjustRightInd w:val="0"/>
        <w:snapToGrid w:val="0"/>
        <w:spacing w:line="360" w:lineRule="auto"/>
        <w:ind w:left="0" w:firstLine="420"/>
        <w:rPr>
          <w:rFonts w:ascii="Arial" w:hAnsi="Arial" w:cs="Arial"/>
          <w:kern w:val="0"/>
          <w:szCs w:val="21"/>
        </w:rPr>
      </w:pPr>
      <w:r>
        <w:rPr>
          <w:rFonts w:ascii="Arial" w:hAnsi="宋体" w:cs="Arial"/>
          <w:kern w:val="0"/>
          <w:szCs w:val="21"/>
        </w:rPr>
        <w:t>在法律法规和基金合同规定的范围内变更本基金的申购费率、调低赎回费率或变更收费方式；</w:t>
      </w:r>
    </w:p>
    <w:p w14:paraId="6EEA553C" w14:textId="77777777" w:rsidR="00F50C35" w:rsidRDefault="00FB66DA">
      <w:pPr>
        <w:numPr>
          <w:ilvl w:val="0"/>
          <w:numId w:val="7"/>
        </w:numPr>
        <w:tabs>
          <w:tab w:val="left" w:pos="993"/>
        </w:tabs>
        <w:adjustRightInd w:val="0"/>
        <w:snapToGrid w:val="0"/>
        <w:spacing w:line="360" w:lineRule="auto"/>
        <w:ind w:left="0" w:firstLine="420"/>
        <w:rPr>
          <w:rFonts w:ascii="Arial" w:hAnsi="Arial" w:cs="Arial"/>
          <w:kern w:val="0"/>
          <w:szCs w:val="21"/>
        </w:rPr>
      </w:pPr>
      <w:r>
        <w:rPr>
          <w:rFonts w:ascii="Arial" w:hAnsi="宋体" w:cs="Arial"/>
          <w:kern w:val="0"/>
          <w:szCs w:val="21"/>
        </w:rPr>
        <w:t>因相应的法律法规发生变动而应当对基金合同进行修改；</w:t>
      </w:r>
    </w:p>
    <w:p w14:paraId="2ED4E1A0" w14:textId="77777777" w:rsidR="00F50C35" w:rsidRDefault="00FB66DA">
      <w:pPr>
        <w:numPr>
          <w:ilvl w:val="0"/>
          <w:numId w:val="7"/>
        </w:numPr>
        <w:tabs>
          <w:tab w:val="left" w:pos="993"/>
        </w:tabs>
        <w:adjustRightInd w:val="0"/>
        <w:snapToGrid w:val="0"/>
        <w:spacing w:line="360" w:lineRule="auto"/>
        <w:ind w:left="0" w:firstLine="420"/>
        <w:rPr>
          <w:rFonts w:ascii="Arial" w:hAnsi="Arial" w:cs="Arial"/>
          <w:kern w:val="0"/>
          <w:szCs w:val="21"/>
        </w:rPr>
      </w:pPr>
      <w:r>
        <w:rPr>
          <w:rFonts w:ascii="Arial" w:hAnsi="宋体" w:cs="Arial"/>
          <w:kern w:val="0"/>
          <w:szCs w:val="21"/>
        </w:rPr>
        <w:t>对基金合同的修改不涉及基金合同当事人权利义务关系发生变化；</w:t>
      </w:r>
    </w:p>
    <w:p w14:paraId="37E0704C" w14:textId="77777777" w:rsidR="00F50C35" w:rsidRDefault="00FB66DA">
      <w:pPr>
        <w:numPr>
          <w:ilvl w:val="0"/>
          <w:numId w:val="7"/>
        </w:numPr>
        <w:tabs>
          <w:tab w:val="left" w:pos="851"/>
          <w:tab w:val="left" w:pos="993"/>
        </w:tabs>
        <w:adjustRightInd w:val="0"/>
        <w:snapToGrid w:val="0"/>
        <w:spacing w:line="360" w:lineRule="auto"/>
        <w:ind w:left="0" w:firstLine="420"/>
        <w:rPr>
          <w:rFonts w:ascii="Arial" w:hAnsi="Arial" w:cs="Arial"/>
          <w:kern w:val="0"/>
          <w:szCs w:val="21"/>
        </w:rPr>
      </w:pPr>
      <w:r>
        <w:rPr>
          <w:rFonts w:ascii="Arial" w:hAnsi="宋体" w:cs="Arial"/>
          <w:kern w:val="0"/>
          <w:szCs w:val="21"/>
        </w:rPr>
        <w:t>对基金合同的修改对基金份额持有人利益无实质性不利影响；</w:t>
      </w:r>
    </w:p>
    <w:p w14:paraId="3840DDCA" w14:textId="77777777" w:rsidR="00F50C35" w:rsidRDefault="00FB66DA">
      <w:pPr>
        <w:numPr>
          <w:ilvl w:val="0"/>
          <w:numId w:val="7"/>
        </w:numPr>
        <w:tabs>
          <w:tab w:val="left" w:pos="993"/>
        </w:tabs>
        <w:adjustRightInd w:val="0"/>
        <w:snapToGrid w:val="0"/>
        <w:spacing w:line="360" w:lineRule="auto"/>
        <w:ind w:left="0" w:firstLine="420"/>
        <w:rPr>
          <w:rFonts w:ascii="Arial" w:hAnsi="Arial" w:cs="Arial"/>
          <w:kern w:val="0"/>
          <w:szCs w:val="21"/>
        </w:rPr>
      </w:pPr>
      <w:r>
        <w:rPr>
          <w:rFonts w:ascii="Arial" w:hAnsi="宋体" w:cs="Arial"/>
          <w:kern w:val="0"/>
          <w:szCs w:val="21"/>
        </w:rPr>
        <w:t>除法律法规或基金合同规定应当召开基金份额持有人大会以外的其他情形。</w:t>
      </w:r>
    </w:p>
    <w:p w14:paraId="2B89617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4</w:t>
      </w:r>
      <w:r>
        <w:rPr>
          <w:rFonts w:ascii="Arial" w:hAnsi="宋体" w:cs="Arial" w:hint="eastAsia"/>
          <w:kern w:val="0"/>
          <w:szCs w:val="21"/>
        </w:rPr>
        <w:t>、</w:t>
      </w:r>
      <w:r>
        <w:rPr>
          <w:rFonts w:ascii="Arial" w:hAnsi="宋体" w:cs="Arial"/>
          <w:kern w:val="0"/>
          <w:szCs w:val="21"/>
        </w:rPr>
        <w:t>召集方式：</w:t>
      </w:r>
    </w:p>
    <w:p w14:paraId="506D700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除法律法规或基金合同另有约定外，基金份额持有人大会由基金管理人召集。</w:t>
      </w:r>
    </w:p>
    <w:p w14:paraId="116F3C7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基金托管人认为有必要召开基金份额持有人大会的，应当向基金管理人提出书面提议。基金管理人应当自收到书面提议之日起十日内决定是否召集，并书面告知基金托管人。</w:t>
      </w:r>
      <w:r>
        <w:rPr>
          <w:rFonts w:ascii="Arial" w:hAnsi="Arial" w:cs="Arial"/>
          <w:kern w:val="0"/>
          <w:szCs w:val="21"/>
        </w:rPr>
        <w:br/>
        <w:t xml:space="preserve">    </w:t>
      </w:r>
      <w:r>
        <w:rPr>
          <w:rFonts w:ascii="Arial" w:hAnsi="宋体" w:cs="Arial"/>
          <w:kern w:val="0"/>
          <w:szCs w:val="21"/>
        </w:rPr>
        <w:t>基金管理人决定召集的，应当自出具书面决定之日起六十日内召开；基金管理人决定不召集，基金托管人仍认为有必要召开的，应当自行召集。</w:t>
      </w:r>
    </w:p>
    <w:p w14:paraId="736F9A7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3</w:t>
      </w:r>
      <w:r>
        <w:rPr>
          <w:rFonts w:ascii="Arial" w:hAnsi="Arial" w:cs="Arial" w:hint="eastAsia"/>
          <w:kern w:val="0"/>
          <w:szCs w:val="21"/>
        </w:rPr>
        <w:t>）</w:t>
      </w:r>
      <w:r>
        <w:rPr>
          <w:rFonts w:ascii="Arial" w:hAnsi="宋体" w:cs="Arial"/>
          <w:kern w:val="0"/>
          <w:szCs w:val="21"/>
        </w:rPr>
        <w:t>代表基金份额百分之十以上的基金份额持有人认为有必要召开基金份额持有人大会的，应当向基金管理人提出书面提议。基金管理人应当自收到书面提议之日起十日内决定是否召集，并书面告知提出提议的基金份额持有人代表和基金托管人。</w:t>
      </w:r>
      <w:r>
        <w:rPr>
          <w:rFonts w:ascii="Arial" w:hAnsi="Arial" w:cs="Arial"/>
          <w:kern w:val="0"/>
          <w:szCs w:val="21"/>
        </w:rPr>
        <w:br/>
        <w:t xml:space="preserve">    </w:t>
      </w:r>
      <w:r>
        <w:rPr>
          <w:rFonts w:ascii="Arial" w:hAnsi="宋体" w:cs="Arial"/>
          <w:kern w:val="0"/>
          <w:szCs w:val="21"/>
        </w:rPr>
        <w:t>基金管理人决定召集的，应当自出具书面决定之日起六十日内召开；基金管理人决定不</w:t>
      </w:r>
      <w:r>
        <w:rPr>
          <w:rFonts w:ascii="Arial" w:hAnsi="宋体" w:cs="Arial"/>
          <w:kern w:val="0"/>
          <w:szCs w:val="21"/>
        </w:rPr>
        <w:lastRenderedPageBreak/>
        <w:t>召集，代表基金份额百分之十以上的基金份额持有人仍认为有必要召开的，应当向基金托管人提出书面提议。</w:t>
      </w:r>
      <w:r>
        <w:rPr>
          <w:rFonts w:ascii="Arial" w:hAnsi="Arial" w:cs="Arial"/>
          <w:kern w:val="0"/>
          <w:szCs w:val="21"/>
        </w:rPr>
        <w:br/>
        <w:t xml:space="preserve">    </w:t>
      </w:r>
      <w:r>
        <w:rPr>
          <w:rFonts w:ascii="Arial" w:hAnsi="宋体" w:cs="Arial"/>
          <w:kern w:val="0"/>
          <w:szCs w:val="21"/>
        </w:rPr>
        <w:t>基金托管人应当自收到书面提议之日起十日内决定是否召集，并书面告知提出提议的基金份额持有人代表和基金管理人；基金托管人决定召集的，应当自出具书面决定之日起六十日内召开。</w:t>
      </w:r>
    </w:p>
    <w:p w14:paraId="1B859D0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4</w:t>
      </w:r>
      <w:r>
        <w:rPr>
          <w:rFonts w:ascii="Arial" w:hAnsi="Arial" w:cs="Arial" w:hint="eastAsia"/>
          <w:kern w:val="0"/>
          <w:szCs w:val="21"/>
        </w:rPr>
        <w:t>）</w:t>
      </w:r>
      <w:r>
        <w:rPr>
          <w:rFonts w:ascii="Arial" w:hAnsi="宋体" w:cs="Arial"/>
          <w:kern w:val="0"/>
          <w:szCs w:val="21"/>
        </w:rPr>
        <w:t>代表基金份额百分之十以上的基金份额持有人就同一事项书面要求召开基金份额持有人大会，而基金管理人、基金托管人都不召集的，代表基金份额百分之十以上的基金份额持有人有权自行召集，并至少提前三十日报中国证监会备案。</w:t>
      </w:r>
    </w:p>
    <w:p w14:paraId="6FE5C84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5</w:t>
      </w:r>
      <w:r>
        <w:rPr>
          <w:rFonts w:ascii="Arial" w:hAnsi="Arial" w:cs="Arial" w:hint="eastAsia"/>
          <w:kern w:val="0"/>
          <w:szCs w:val="21"/>
        </w:rPr>
        <w:t>）</w:t>
      </w:r>
      <w:r>
        <w:rPr>
          <w:rFonts w:ascii="Arial" w:hAnsi="宋体" w:cs="Arial"/>
          <w:kern w:val="0"/>
          <w:szCs w:val="21"/>
        </w:rPr>
        <w:t>基金份额持有人依法自行召集基金份额持有人大会的，基金管理人、基金托管人应当配合，不得阻碍、干扰。</w:t>
      </w:r>
    </w:p>
    <w:p w14:paraId="5D40D7C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6</w:t>
      </w:r>
      <w:r>
        <w:rPr>
          <w:rFonts w:ascii="Arial" w:hAnsi="Arial" w:cs="Arial" w:hint="eastAsia"/>
          <w:kern w:val="0"/>
          <w:szCs w:val="21"/>
        </w:rPr>
        <w:t>）</w:t>
      </w:r>
      <w:r>
        <w:rPr>
          <w:rFonts w:ascii="Arial" w:hAnsi="宋体" w:cs="Arial"/>
          <w:kern w:val="0"/>
          <w:szCs w:val="21"/>
        </w:rPr>
        <w:t>基金份额持有人大会的召集人负责选择确定开会时间、地点、方式和权益登记日。</w:t>
      </w:r>
    </w:p>
    <w:p w14:paraId="1BA2EFE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5</w:t>
      </w:r>
      <w:r>
        <w:rPr>
          <w:rFonts w:ascii="Arial" w:hAnsi="宋体" w:cs="Arial" w:hint="eastAsia"/>
          <w:kern w:val="0"/>
          <w:szCs w:val="21"/>
        </w:rPr>
        <w:t>、</w:t>
      </w:r>
      <w:r>
        <w:rPr>
          <w:rFonts w:ascii="Arial" w:hAnsi="宋体" w:cs="Arial"/>
          <w:kern w:val="0"/>
          <w:szCs w:val="21"/>
        </w:rPr>
        <w:t>通知</w:t>
      </w:r>
    </w:p>
    <w:p w14:paraId="54D9EEAB" w14:textId="0CC50E96" w:rsidR="00F50C35" w:rsidRDefault="000161D9">
      <w:pPr>
        <w:adjustRightInd w:val="0"/>
        <w:snapToGrid w:val="0"/>
        <w:spacing w:line="360" w:lineRule="auto"/>
        <w:ind w:firstLine="420"/>
        <w:rPr>
          <w:rFonts w:ascii="Arial" w:hAnsi="Arial" w:cs="Arial"/>
          <w:kern w:val="0"/>
          <w:szCs w:val="21"/>
        </w:rPr>
      </w:pPr>
      <w:r>
        <w:rPr>
          <w:rFonts w:ascii="Arial" w:hAnsi="宋体" w:cs="Arial"/>
          <w:kern w:val="0"/>
          <w:szCs w:val="21"/>
        </w:rPr>
        <w:t>召开基金份额持有人大会，召集人应当于会议召开前</w:t>
      </w:r>
      <w:r>
        <w:rPr>
          <w:rFonts w:ascii="Arial" w:hAnsi="Arial" w:cs="Arial"/>
          <w:kern w:val="0"/>
          <w:szCs w:val="21"/>
        </w:rPr>
        <w:t>30</w:t>
      </w:r>
      <w:r>
        <w:rPr>
          <w:rFonts w:ascii="Arial" w:hAnsi="宋体" w:cs="Arial"/>
          <w:kern w:val="0"/>
          <w:szCs w:val="21"/>
        </w:rPr>
        <w:t>天在指定媒介上公告。基金份额持有人大会不得就未经公告的事项进行表决。基金份额持有人大会通知将至少载明以下内容：</w:t>
      </w:r>
    </w:p>
    <w:p w14:paraId="47A6051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会议召开的时间、地点、方式；</w:t>
      </w:r>
    </w:p>
    <w:p w14:paraId="471E1D92"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会议拟审议的主要事项；</w:t>
      </w:r>
    </w:p>
    <w:p w14:paraId="6961383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3</w:t>
      </w:r>
      <w:r>
        <w:rPr>
          <w:rFonts w:ascii="Arial" w:hAnsi="Arial" w:cs="Arial" w:hint="eastAsia"/>
          <w:kern w:val="0"/>
          <w:szCs w:val="21"/>
        </w:rPr>
        <w:t>）</w:t>
      </w:r>
      <w:r>
        <w:rPr>
          <w:rFonts w:ascii="Arial" w:hAnsi="宋体" w:cs="Arial"/>
          <w:kern w:val="0"/>
          <w:szCs w:val="21"/>
        </w:rPr>
        <w:t>投票委托书送达时间和地点；</w:t>
      </w:r>
    </w:p>
    <w:p w14:paraId="51B5749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4</w:t>
      </w:r>
      <w:r>
        <w:rPr>
          <w:rFonts w:ascii="Arial" w:hAnsi="Arial" w:cs="Arial" w:hint="eastAsia"/>
          <w:kern w:val="0"/>
          <w:szCs w:val="21"/>
        </w:rPr>
        <w:t>）</w:t>
      </w:r>
      <w:r>
        <w:rPr>
          <w:rFonts w:ascii="Arial" w:hAnsi="宋体" w:cs="Arial"/>
          <w:kern w:val="0"/>
          <w:szCs w:val="21"/>
        </w:rPr>
        <w:t>会务常设联系人姓名、电话；</w:t>
      </w:r>
    </w:p>
    <w:p w14:paraId="39466E97"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5</w:t>
      </w:r>
      <w:r>
        <w:rPr>
          <w:rFonts w:ascii="Arial" w:hAnsi="Arial" w:cs="Arial" w:hint="eastAsia"/>
          <w:kern w:val="0"/>
          <w:szCs w:val="21"/>
        </w:rPr>
        <w:t>）</w:t>
      </w:r>
      <w:r>
        <w:rPr>
          <w:rFonts w:ascii="Arial" w:hAnsi="宋体" w:cs="Arial"/>
          <w:kern w:val="0"/>
          <w:szCs w:val="21"/>
        </w:rPr>
        <w:t>权益登记日；</w:t>
      </w:r>
    </w:p>
    <w:p w14:paraId="5E0D775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6</w:t>
      </w:r>
      <w:r>
        <w:rPr>
          <w:rFonts w:ascii="Arial" w:hAnsi="Arial" w:cs="Arial" w:hint="eastAsia"/>
          <w:kern w:val="0"/>
          <w:szCs w:val="21"/>
        </w:rPr>
        <w:t>）</w:t>
      </w:r>
      <w:r>
        <w:rPr>
          <w:rFonts w:ascii="Arial" w:hAnsi="宋体" w:cs="Arial"/>
          <w:kern w:val="0"/>
          <w:szCs w:val="21"/>
        </w:rPr>
        <w:t>如采用通讯表决方式，则载明具体通讯方式、委托的公证机关及其联系方式和联系人、书面表达意见的寄交和收取方式、投票表决的截止日以及表决票的送达地址等内容。</w:t>
      </w:r>
    </w:p>
    <w:p w14:paraId="45A902D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6</w:t>
      </w:r>
      <w:r>
        <w:rPr>
          <w:rFonts w:ascii="Arial" w:hAnsi="宋体" w:cs="Arial" w:hint="eastAsia"/>
          <w:kern w:val="0"/>
          <w:szCs w:val="21"/>
        </w:rPr>
        <w:t>、</w:t>
      </w:r>
      <w:r>
        <w:rPr>
          <w:rFonts w:ascii="Arial" w:hAnsi="宋体" w:cs="Arial"/>
          <w:kern w:val="0"/>
          <w:szCs w:val="21"/>
        </w:rPr>
        <w:t>开会方式</w:t>
      </w:r>
    </w:p>
    <w:p w14:paraId="7FDE42E6"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份额持有人大会的召开方式包括现场开会和通讯方式开会。现场开会由基金份额持有人本人出席或通过授权委派其代理人出席，现场开会时基金管理人和基金托管人的授权代表应当出席，基金管理人或基金托管人不派代表出席的，不影响表决效力；通讯方式开会指按照基金合同的相关规定以通讯的书面方式进行表决。会议的召开方式由召集人确定，但决定基金管理人更换或基金托管人的更换、转换基金运作方式和提前终止基金合同事宜必须以现场开会方式召开基金份额持有人大会。</w:t>
      </w:r>
    </w:p>
    <w:p w14:paraId="0CB9612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现场开会同时符合以下条件时，可以进行基金份额持有人大会议程：</w:t>
      </w:r>
    </w:p>
    <w:p w14:paraId="3ECFCDE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亲自出席会议者持有基金份额的凭证和受托出席会议者出具的委托人持有基金份额的凭证和授权委托书等文件符合法律法规、本基金合同和会议通知的规定；</w:t>
      </w:r>
    </w:p>
    <w:p w14:paraId="451C245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经核对，汇总到会者出示的在权益登记日持有基金份额的凭证显示，全部有效凭证所代表的基金份额不少于权益登记日基金总份额的</w:t>
      </w:r>
      <w:r>
        <w:rPr>
          <w:rFonts w:ascii="Arial" w:hAnsi="Arial" w:cs="Arial"/>
          <w:kern w:val="0"/>
          <w:szCs w:val="21"/>
        </w:rPr>
        <w:t>50%</w:t>
      </w:r>
      <w:r>
        <w:rPr>
          <w:rFonts w:ascii="Arial" w:hAnsi="宋体" w:cs="Arial"/>
          <w:kern w:val="0"/>
          <w:szCs w:val="21"/>
        </w:rPr>
        <w:t>（含</w:t>
      </w:r>
      <w:r>
        <w:rPr>
          <w:rFonts w:ascii="Arial" w:hAnsi="Arial" w:cs="Arial"/>
          <w:kern w:val="0"/>
          <w:szCs w:val="21"/>
        </w:rPr>
        <w:t>50%</w:t>
      </w:r>
      <w:r>
        <w:rPr>
          <w:rFonts w:ascii="Arial" w:hAnsi="宋体" w:cs="Arial"/>
          <w:kern w:val="0"/>
          <w:szCs w:val="21"/>
        </w:rPr>
        <w:t>）。</w:t>
      </w:r>
    </w:p>
    <w:p w14:paraId="63AAE14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lastRenderedPageBreak/>
        <w:t>在</w:t>
      </w:r>
      <w:r>
        <w:rPr>
          <w:rFonts w:ascii="Arial" w:hAnsi="宋体" w:cs="Arial"/>
          <w:color w:val="000000"/>
          <w:kern w:val="0"/>
          <w:szCs w:val="21"/>
        </w:rPr>
        <w:t>同时</w:t>
      </w:r>
      <w:r>
        <w:rPr>
          <w:rFonts w:ascii="Arial" w:hAnsi="宋体" w:cs="Arial"/>
          <w:kern w:val="0"/>
          <w:szCs w:val="21"/>
        </w:rPr>
        <w:t>符合以下条件时，通讯开会的方式视为有效：</w:t>
      </w:r>
    </w:p>
    <w:p w14:paraId="2D90C85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召集人按基金合同规定公告会议通知后，在两个工作日内连续公布相关提示性公告；</w:t>
      </w:r>
    </w:p>
    <w:p w14:paraId="26638FB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召集人按照会议通知规定的方式收取基金份额持有人的书面表决意见；</w:t>
      </w:r>
    </w:p>
    <w:p w14:paraId="548E64C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3</w:t>
      </w:r>
      <w:r>
        <w:rPr>
          <w:rFonts w:ascii="Arial" w:hAnsi="Arial" w:cs="Arial" w:hint="eastAsia"/>
          <w:kern w:val="0"/>
          <w:szCs w:val="21"/>
        </w:rPr>
        <w:t>）</w:t>
      </w:r>
      <w:r>
        <w:rPr>
          <w:rFonts w:ascii="Arial" w:hAnsi="宋体" w:cs="Arial"/>
          <w:kern w:val="0"/>
          <w:szCs w:val="21"/>
        </w:rPr>
        <w:t>本人直接出具书面意见或授权他人代表出具书面意见的基金份额持有人所代表的基金份额不少于权益登记日基金总份额的</w:t>
      </w:r>
      <w:r>
        <w:rPr>
          <w:rFonts w:ascii="Arial" w:hAnsi="Arial" w:cs="Arial"/>
          <w:kern w:val="0"/>
          <w:szCs w:val="21"/>
        </w:rPr>
        <w:t>50%</w:t>
      </w:r>
      <w:r>
        <w:rPr>
          <w:rFonts w:ascii="Arial" w:hAnsi="宋体" w:cs="Arial"/>
          <w:kern w:val="0"/>
          <w:szCs w:val="21"/>
        </w:rPr>
        <w:t>（含</w:t>
      </w:r>
      <w:r>
        <w:rPr>
          <w:rFonts w:ascii="Arial" w:hAnsi="Arial" w:cs="Arial"/>
          <w:kern w:val="0"/>
          <w:szCs w:val="21"/>
        </w:rPr>
        <w:t>50%</w:t>
      </w:r>
      <w:r>
        <w:rPr>
          <w:rFonts w:ascii="Arial" w:hAnsi="宋体" w:cs="Arial"/>
          <w:kern w:val="0"/>
          <w:szCs w:val="21"/>
        </w:rPr>
        <w:t>）；</w:t>
      </w:r>
    </w:p>
    <w:p w14:paraId="75BE2B8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4</w:t>
      </w:r>
      <w:r>
        <w:rPr>
          <w:rFonts w:ascii="Arial" w:hAnsi="Arial" w:cs="Arial" w:hint="eastAsia"/>
          <w:kern w:val="0"/>
          <w:szCs w:val="21"/>
        </w:rPr>
        <w:t>）</w:t>
      </w:r>
      <w:r>
        <w:rPr>
          <w:rFonts w:ascii="Arial" w:hAnsi="宋体" w:cs="Arial"/>
          <w:kern w:val="0"/>
          <w:szCs w:val="21"/>
        </w:rPr>
        <w:t>直接出具书面意见的基金份额持有人或受托代表他人出具书面意见的其他代表，同时提交的持有基金份额的凭证和受托出席会议者出具的委托人持有基金份额的凭证和授权委托书等文件符合法律法规、基金合同和会议通知的规定；</w:t>
      </w:r>
    </w:p>
    <w:p w14:paraId="1B99653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5</w:t>
      </w:r>
      <w:r>
        <w:rPr>
          <w:rFonts w:ascii="Arial" w:hAnsi="Arial" w:cs="Arial" w:hint="eastAsia"/>
          <w:kern w:val="0"/>
          <w:szCs w:val="21"/>
        </w:rPr>
        <w:t>）</w:t>
      </w:r>
      <w:r>
        <w:rPr>
          <w:rFonts w:ascii="Arial" w:hAnsi="宋体" w:cs="Arial"/>
          <w:kern w:val="0"/>
          <w:szCs w:val="21"/>
        </w:rPr>
        <w:t>会议通知公布前已报中国证监会备案。</w:t>
      </w:r>
    </w:p>
    <w:p w14:paraId="66CDA4C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如果开会条件达不到上述的条件，则召集人可另行确定并公告重新表决的时间</w:t>
      </w:r>
      <w:r>
        <w:rPr>
          <w:rFonts w:ascii="Arial" w:hAnsi="Arial" w:cs="Arial"/>
          <w:kern w:val="0"/>
          <w:szCs w:val="21"/>
        </w:rPr>
        <w:t>（</w:t>
      </w:r>
      <w:r>
        <w:rPr>
          <w:rFonts w:ascii="Arial" w:hAnsi="宋体" w:cs="Arial"/>
          <w:kern w:val="0"/>
          <w:szCs w:val="21"/>
        </w:rPr>
        <w:t>至少应在</w:t>
      </w:r>
      <w:r>
        <w:rPr>
          <w:rFonts w:ascii="Arial" w:hAnsi="Arial" w:cs="Arial"/>
          <w:kern w:val="0"/>
          <w:szCs w:val="21"/>
        </w:rPr>
        <w:t>25</w:t>
      </w:r>
      <w:r>
        <w:rPr>
          <w:rFonts w:ascii="Arial" w:hAnsi="宋体" w:cs="Arial"/>
          <w:kern w:val="0"/>
          <w:szCs w:val="21"/>
        </w:rPr>
        <w:t>个工作日后</w:t>
      </w:r>
      <w:r>
        <w:rPr>
          <w:rFonts w:ascii="Arial" w:hAnsi="Arial" w:cs="Arial"/>
          <w:kern w:val="0"/>
          <w:szCs w:val="21"/>
        </w:rPr>
        <w:t>）</w:t>
      </w:r>
      <w:r>
        <w:rPr>
          <w:rFonts w:ascii="Arial" w:hAnsi="宋体" w:cs="Arial"/>
          <w:kern w:val="0"/>
          <w:szCs w:val="21"/>
        </w:rPr>
        <w:t>，且确定有权出席会议的基金份额持有人资格的权益登记日不变。</w:t>
      </w:r>
    </w:p>
    <w:p w14:paraId="7A38764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7</w:t>
      </w:r>
      <w:r>
        <w:rPr>
          <w:rFonts w:ascii="Arial" w:hAnsi="宋体" w:cs="Arial" w:hint="eastAsia"/>
          <w:kern w:val="0"/>
          <w:szCs w:val="21"/>
        </w:rPr>
        <w:t>、</w:t>
      </w:r>
      <w:r>
        <w:rPr>
          <w:rFonts w:ascii="Arial" w:hAnsi="宋体" w:cs="Arial"/>
          <w:kern w:val="0"/>
          <w:szCs w:val="21"/>
        </w:rPr>
        <w:t>议事内容与程序</w:t>
      </w:r>
    </w:p>
    <w:p w14:paraId="631DB2B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议事内容及提案权</w:t>
      </w:r>
    </w:p>
    <w:p w14:paraId="055F0B1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）议事内容限为本条前述第</w:t>
      </w:r>
      <w:r>
        <w:rPr>
          <w:rFonts w:ascii="Arial" w:hAnsi="宋体" w:cs="Arial" w:hint="eastAsia"/>
          <w:kern w:val="0"/>
          <w:szCs w:val="21"/>
        </w:rPr>
        <w:t>2</w:t>
      </w:r>
      <w:r>
        <w:rPr>
          <w:rFonts w:ascii="Arial" w:hAnsi="宋体" w:cs="Arial"/>
          <w:kern w:val="0"/>
          <w:szCs w:val="21"/>
        </w:rPr>
        <w:t>款规定的基金份额持有人大会召开事由范围内的事项</w:t>
      </w:r>
      <w:r>
        <w:rPr>
          <w:rFonts w:ascii="Arial" w:hAnsi="宋体" w:cs="Arial" w:hint="eastAsia"/>
          <w:kern w:val="0"/>
          <w:szCs w:val="21"/>
        </w:rPr>
        <w:t>；</w:t>
      </w:r>
    </w:p>
    <w:p w14:paraId="2A39A36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）基金管理人、基金托管人、代表基金份额</w:t>
      </w:r>
      <w:r>
        <w:rPr>
          <w:rFonts w:ascii="Arial" w:hAnsi="Arial" w:cs="Arial"/>
          <w:kern w:val="0"/>
          <w:szCs w:val="21"/>
        </w:rPr>
        <w:t>10%</w:t>
      </w:r>
      <w:r>
        <w:rPr>
          <w:rFonts w:ascii="Arial" w:hAnsi="宋体" w:cs="Arial"/>
          <w:kern w:val="0"/>
          <w:szCs w:val="21"/>
        </w:rPr>
        <w:t>以上的基金份额持有人可以在大会召集人发出会议通知前向大会召集人提交需由基金份额持有人大会审议表决的提案</w:t>
      </w:r>
      <w:r>
        <w:rPr>
          <w:rFonts w:ascii="Arial" w:hAnsi="宋体" w:cs="Arial" w:hint="eastAsia"/>
          <w:kern w:val="0"/>
          <w:szCs w:val="21"/>
        </w:rPr>
        <w:t>；</w:t>
      </w:r>
    </w:p>
    <w:p w14:paraId="003DD6A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）对于基金份额持有人提交的提案，大会召集人应当按照以下原则对提案进行审核：</w:t>
      </w:r>
    </w:p>
    <w:p w14:paraId="5F5F5A7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A</w:t>
      </w:r>
      <w:r>
        <w:rPr>
          <w:rFonts w:ascii="Arial" w:hAnsi="宋体" w:cs="Arial" w:hint="eastAsia"/>
          <w:kern w:val="0"/>
          <w:szCs w:val="21"/>
        </w:rPr>
        <w:t>．</w:t>
      </w:r>
      <w:r>
        <w:rPr>
          <w:rFonts w:ascii="Arial" w:hAnsi="宋体" w:cs="Arial"/>
          <w:kern w:val="0"/>
          <w:szCs w:val="21"/>
        </w:rPr>
        <w:t>关联性。大会召集人对于基金份额持有人提案涉及事项与基金有直接关系，并且不超出法律法规和基金合同规定的基金份额持有人大会职权范围的，应提交大会审议；对于不符合上述要求的，不提交基金份额持有人大会审议。如果召集人决定不将基金份额持有人提案提交大会表决，应当在该次基金份额持有人大会上进行解释和说明</w:t>
      </w:r>
      <w:r>
        <w:rPr>
          <w:rFonts w:ascii="Arial" w:hAnsi="宋体" w:cs="Arial" w:hint="eastAsia"/>
          <w:kern w:val="0"/>
          <w:szCs w:val="21"/>
        </w:rPr>
        <w:t>；</w:t>
      </w:r>
    </w:p>
    <w:p w14:paraId="681D823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 xml:space="preserve">B. </w:t>
      </w:r>
      <w:r>
        <w:rPr>
          <w:rFonts w:ascii="Arial" w:hAnsi="宋体" w:cs="Arial"/>
          <w:kern w:val="0"/>
          <w:szCs w:val="21"/>
        </w:rPr>
        <w:t>程序性。大会召集人可以对基金份额持有人的提案涉及的程序性问题作出决定。如将其提案进行分拆或合并表决，需征得原提案人同意；原提案人不同意变更的，大会主持人可以就程序性问题提请基金份额持有人大会作出决定，并按照基金份额持有人大会决定的程序进行审议</w:t>
      </w:r>
      <w:r>
        <w:rPr>
          <w:rFonts w:ascii="Arial" w:hAnsi="宋体" w:cs="Arial" w:hint="eastAsia"/>
          <w:kern w:val="0"/>
          <w:szCs w:val="21"/>
        </w:rPr>
        <w:t>；</w:t>
      </w:r>
    </w:p>
    <w:p w14:paraId="4F1A103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）单独或合并持有权益登记日基金总份额</w:t>
      </w:r>
      <w:r>
        <w:rPr>
          <w:rFonts w:ascii="Arial" w:hAnsi="Arial" w:cs="Arial"/>
          <w:kern w:val="0"/>
          <w:szCs w:val="21"/>
        </w:rPr>
        <w:t>10%</w:t>
      </w:r>
      <w:r>
        <w:rPr>
          <w:rFonts w:ascii="Arial" w:hAnsi="宋体" w:cs="Arial"/>
          <w:kern w:val="0"/>
          <w:szCs w:val="21"/>
        </w:rPr>
        <w:t>或以上的基金份额持有人提交基金份额持有人大会审议表决的提案，或基金管理人或基金托管人提交基金份额持有人大会审议表决的提案，未获得基金份额持有人大会审议通过，就同一提案再次提请基金份额持有人大会审议，其时间间隔不少于六个月。法律法规另有规定的除外</w:t>
      </w:r>
      <w:r>
        <w:rPr>
          <w:rFonts w:ascii="Arial" w:hAnsi="宋体" w:cs="Arial" w:hint="eastAsia"/>
          <w:kern w:val="0"/>
          <w:szCs w:val="21"/>
        </w:rPr>
        <w:t>；</w:t>
      </w:r>
    </w:p>
    <w:p w14:paraId="35ECCE58"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5</w:t>
      </w:r>
      <w:r>
        <w:rPr>
          <w:rFonts w:ascii="Arial" w:hAnsi="宋体" w:cs="Arial"/>
          <w:kern w:val="0"/>
          <w:szCs w:val="21"/>
        </w:rPr>
        <w:t>）基金份额持有人大会不得对未事先公告的议事内容进行表决。</w:t>
      </w:r>
    </w:p>
    <w:p w14:paraId="58B4E0EE"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议事程序</w:t>
      </w:r>
    </w:p>
    <w:p w14:paraId="2E25F7E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在现场开会的方式下，首先由召集人宣读提案，经讨论后进行表决，并形成大会决议，报经中国证监会核准或备案后生效；在通讯表决开会的方式下，首先由召集人在会议通知中</w:t>
      </w:r>
      <w:r>
        <w:rPr>
          <w:rFonts w:ascii="Arial" w:hAnsi="宋体" w:cs="Arial"/>
          <w:kern w:val="0"/>
          <w:szCs w:val="21"/>
        </w:rPr>
        <w:lastRenderedPageBreak/>
        <w:t>公布提案，在所通知的表决截止日期第二个工作日由大会聘请的公证机关的公证员统计全部有效表决并形成决议，报经中国证监会核准或备案后生效。</w:t>
      </w:r>
    </w:p>
    <w:p w14:paraId="01A54DC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8</w:t>
      </w:r>
      <w:r>
        <w:rPr>
          <w:rFonts w:ascii="Arial" w:hAnsi="宋体" w:cs="Arial" w:hint="eastAsia"/>
          <w:kern w:val="0"/>
          <w:szCs w:val="21"/>
        </w:rPr>
        <w:t>、</w:t>
      </w:r>
      <w:r>
        <w:rPr>
          <w:rFonts w:ascii="Arial" w:hAnsi="宋体" w:cs="Arial"/>
          <w:kern w:val="0"/>
          <w:szCs w:val="21"/>
        </w:rPr>
        <w:t>表决</w:t>
      </w:r>
    </w:p>
    <w:p w14:paraId="3DA505A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基金份额持有人所持每份基金份额享有平等的表决权</w:t>
      </w:r>
      <w:r>
        <w:rPr>
          <w:rFonts w:ascii="Arial" w:hAnsi="宋体" w:cs="Arial" w:hint="eastAsia"/>
          <w:kern w:val="0"/>
          <w:szCs w:val="21"/>
        </w:rPr>
        <w:t>；</w:t>
      </w:r>
    </w:p>
    <w:p w14:paraId="7ED7EE3A"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基金份额持有人大会决议分为一般决议和特别决议：</w:t>
      </w:r>
    </w:p>
    <w:p w14:paraId="3CDB22B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）特别决议</w:t>
      </w:r>
    </w:p>
    <w:p w14:paraId="3DCF222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对于特别决议应当经参加大会的基金份额持有人所持表决权的三分之二以上（含三分之二）通过。</w:t>
      </w:r>
    </w:p>
    <w:p w14:paraId="4E5D953F"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）一般决议</w:t>
      </w:r>
    </w:p>
    <w:p w14:paraId="77336760"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对于一般决议应当经参加大会的基金份额持有人所持表决权的百分之五十以上（含百分之五十）通过。</w:t>
      </w:r>
    </w:p>
    <w:p w14:paraId="0A11D7B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更换基金管理人或者基金托管人、转换基金运作方式或提前终止基金合同应当以特别决议通过方为有效。</w:t>
      </w:r>
    </w:p>
    <w:p w14:paraId="698E764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基金份额持有人大会采取记名方式进行投票表决。</w:t>
      </w:r>
    </w:p>
    <w:p w14:paraId="195B7A7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采取通讯方式进行表决时，符合会议通知规定的书面表决意见视为有效表决。</w:t>
      </w:r>
    </w:p>
    <w:p w14:paraId="65764C25"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基金份额持有人大会的各项提案或同一项提案内并列的各项议题应当分开审议、逐项表决。</w:t>
      </w:r>
    </w:p>
    <w:p w14:paraId="06541FA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3</w:t>
      </w:r>
      <w:r>
        <w:rPr>
          <w:rFonts w:ascii="Arial" w:hAnsi="Arial" w:cs="Arial" w:hint="eastAsia"/>
          <w:kern w:val="0"/>
          <w:szCs w:val="21"/>
        </w:rPr>
        <w:t>）</w:t>
      </w:r>
      <w:r>
        <w:rPr>
          <w:rFonts w:ascii="Arial" w:hAnsi="宋体" w:cs="Arial"/>
          <w:kern w:val="0"/>
          <w:szCs w:val="21"/>
        </w:rPr>
        <w:t>采取通讯方式进行表决时，符合法律法规、基金合同和会议通知规定的书面表决意见即视为有效的表决；表决意见模糊不清或相互矛盾的视为弃权表决，但应当计入出具书面意见的基金份额持有人所代表的基金份额总数。</w:t>
      </w:r>
    </w:p>
    <w:p w14:paraId="644E247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9</w:t>
      </w:r>
      <w:r>
        <w:rPr>
          <w:rFonts w:ascii="Arial" w:hAnsi="宋体" w:cs="Arial" w:hint="eastAsia"/>
          <w:kern w:val="0"/>
          <w:szCs w:val="21"/>
        </w:rPr>
        <w:t>、</w:t>
      </w:r>
      <w:r>
        <w:rPr>
          <w:rFonts w:ascii="Arial" w:hAnsi="宋体" w:cs="Arial"/>
          <w:kern w:val="0"/>
          <w:szCs w:val="21"/>
        </w:rPr>
        <w:t>计票</w:t>
      </w:r>
    </w:p>
    <w:p w14:paraId="24D93C2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现场开会</w:t>
      </w:r>
    </w:p>
    <w:p w14:paraId="3CE46421"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1</w:t>
      </w:r>
      <w:r>
        <w:rPr>
          <w:rFonts w:ascii="Arial" w:hAnsi="宋体" w:cs="Arial"/>
          <w:kern w:val="0"/>
          <w:szCs w:val="21"/>
        </w:rPr>
        <w:t>）基金份额持有人大会的主持人为召集人授权出席大会的代表，如大会由基金管理人或基金托管人召集，基金份额持有人大会的主持人应当在会议开始后宣布在出席会议的基金份额持有人中推举两名基金份额持有人代表与大会召集人授权的一名监督员</w:t>
      </w:r>
      <w:r>
        <w:rPr>
          <w:rFonts w:ascii="Arial" w:hAnsi="Arial" w:cs="Arial"/>
          <w:kern w:val="0"/>
          <w:szCs w:val="21"/>
        </w:rPr>
        <w:t>（</w:t>
      </w:r>
      <w:r>
        <w:rPr>
          <w:rFonts w:ascii="Arial" w:hAnsi="宋体" w:cs="Arial"/>
          <w:kern w:val="0"/>
          <w:szCs w:val="21"/>
        </w:rPr>
        <w:t>如果基金管理人为召集人，则监督员由基金托管人担任；如基金托管人为召集人，则监督员由基金托管人在出席会议的基金份额持有人中指定</w:t>
      </w:r>
      <w:r>
        <w:rPr>
          <w:rFonts w:ascii="Arial" w:hAnsi="Arial" w:cs="Arial"/>
          <w:kern w:val="0"/>
          <w:szCs w:val="21"/>
        </w:rPr>
        <w:t>）</w:t>
      </w:r>
      <w:r>
        <w:rPr>
          <w:rFonts w:ascii="Arial" w:hAnsi="宋体" w:cs="Arial"/>
          <w:kern w:val="0"/>
          <w:szCs w:val="21"/>
        </w:rPr>
        <w:t>共同担任监票人；如大会由基金份额持有人自行召集，基金份额持有人大会的主持人应当在会议开始后宣布在出席会议的基金份额持有人中推举三名基金份额持有人担任监票人</w:t>
      </w:r>
      <w:r>
        <w:rPr>
          <w:rFonts w:ascii="Arial" w:hAnsi="宋体" w:cs="Arial" w:hint="eastAsia"/>
          <w:kern w:val="0"/>
          <w:szCs w:val="21"/>
        </w:rPr>
        <w:t>；</w:t>
      </w:r>
    </w:p>
    <w:p w14:paraId="20E20AED"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2</w:t>
      </w:r>
      <w:r>
        <w:rPr>
          <w:rFonts w:ascii="Arial" w:hAnsi="宋体" w:cs="Arial"/>
          <w:kern w:val="0"/>
          <w:szCs w:val="21"/>
        </w:rPr>
        <w:t>）监票人应当在基金份额持有人表决后立即进行清点并由大会主持人当场公布计票结果</w:t>
      </w:r>
      <w:r>
        <w:rPr>
          <w:rFonts w:ascii="Arial" w:hAnsi="宋体" w:cs="Arial" w:hint="eastAsia"/>
          <w:kern w:val="0"/>
          <w:szCs w:val="21"/>
        </w:rPr>
        <w:t>；</w:t>
      </w:r>
    </w:p>
    <w:p w14:paraId="1AC9DDC6"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3</w:t>
      </w:r>
      <w:r>
        <w:rPr>
          <w:rFonts w:ascii="Arial" w:hAnsi="宋体" w:cs="Arial"/>
          <w:kern w:val="0"/>
          <w:szCs w:val="21"/>
        </w:rPr>
        <w:t>）如果会议主持人对于提交的表决结果有怀疑，可以对所投票数进行重新清点；如果会议主持人未进行重新清点，而出席会议的基金份额持有人或者基金份额持有人代理人对会议主持人宣布的表决结果有异议，其有权在宣布表决结果后立即要求重新清点，会议主持人</w:t>
      </w:r>
      <w:r>
        <w:rPr>
          <w:rFonts w:ascii="Arial" w:hAnsi="宋体" w:cs="Arial"/>
          <w:kern w:val="0"/>
          <w:szCs w:val="21"/>
        </w:rPr>
        <w:lastRenderedPageBreak/>
        <w:t>应当立即重新清点并公布重新清点结果。重新清点仅限一次</w:t>
      </w:r>
      <w:r>
        <w:rPr>
          <w:rFonts w:ascii="Arial" w:hAnsi="宋体" w:cs="Arial" w:hint="eastAsia"/>
          <w:kern w:val="0"/>
          <w:szCs w:val="21"/>
        </w:rPr>
        <w:t>；</w:t>
      </w:r>
    </w:p>
    <w:p w14:paraId="4D4DA6D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4</w:t>
      </w:r>
      <w:r>
        <w:rPr>
          <w:rFonts w:ascii="Arial" w:hAnsi="宋体" w:cs="Arial"/>
          <w:kern w:val="0"/>
          <w:szCs w:val="21"/>
        </w:rPr>
        <w:t>）在基金管理人或基金托管人担任召集人的情形下，如果在计票过程中基金管理人或者基金托管人拒不配合的，则参加会议的基金份额持有人有权推举三名基金份额持有人代表共同担任监票人进行计票。</w:t>
      </w:r>
    </w:p>
    <w:p w14:paraId="3706122B"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如召集人为基金管理人，还应另行书面通知基金托管人到指定地点对书面表决意见的计票进行监督；如召集人为基金托管人，则应另行书面通知基金管理人到指定地点对书面表决意见的计票进行监督；如召集人为基金份额持有人，则应另行书面通知基金管理人和基金托管人到指定地点对书面表决意见的计票进行监督。</w:t>
      </w:r>
    </w:p>
    <w:p w14:paraId="7EF3DED3"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通讯方式开会</w:t>
      </w:r>
    </w:p>
    <w:p w14:paraId="6CB8315F" w14:textId="77777777" w:rsidR="00F50C35" w:rsidRDefault="00FB66DA">
      <w:pPr>
        <w:adjustRightInd w:val="0"/>
        <w:snapToGrid w:val="0"/>
        <w:spacing w:line="360" w:lineRule="auto"/>
        <w:ind w:firstLineChars="200" w:firstLine="420"/>
        <w:rPr>
          <w:rStyle w:val="read"/>
          <w:rFonts w:ascii="Arial" w:hAnsi="Arial" w:cs="Arial"/>
          <w:szCs w:val="21"/>
        </w:rPr>
      </w:pPr>
      <w:r>
        <w:rPr>
          <w:rStyle w:val="read"/>
          <w:rFonts w:ascii="Arial" w:hAnsi="宋体" w:cs="Arial"/>
          <w:szCs w:val="21"/>
        </w:rPr>
        <w:t>在通讯方式开会的情况下，计票方式可采取如下方式：</w:t>
      </w:r>
    </w:p>
    <w:p w14:paraId="714AF8ED" w14:textId="77777777" w:rsidR="00F50C35" w:rsidRDefault="00FB66DA">
      <w:pPr>
        <w:adjustRightInd w:val="0"/>
        <w:snapToGrid w:val="0"/>
        <w:spacing w:line="360" w:lineRule="auto"/>
        <w:ind w:firstLine="420"/>
        <w:rPr>
          <w:rFonts w:ascii="Arial" w:hAnsi="Arial" w:cs="Arial"/>
          <w:kern w:val="0"/>
          <w:szCs w:val="21"/>
        </w:rPr>
      </w:pPr>
      <w:r>
        <w:rPr>
          <w:rStyle w:val="read"/>
          <w:rFonts w:ascii="Arial" w:hAnsi="宋体" w:cs="Arial"/>
          <w:szCs w:val="21"/>
        </w:rPr>
        <w:t>由大会召集人聘请的公证机关的公证员进行计票。</w:t>
      </w:r>
    </w:p>
    <w:p w14:paraId="643CA032"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10</w:t>
      </w:r>
      <w:r>
        <w:rPr>
          <w:rFonts w:ascii="Arial" w:hAnsi="宋体" w:cs="Arial" w:hint="eastAsia"/>
          <w:kern w:val="0"/>
          <w:szCs w:val="21"/>
        </w:rPr>
        <w:t>、</w:t>
      </w:r>
      <w:r>
        <w:rPr>
          <w:rFonts w:ascii="Arial" w:hAnsi="宋体" w:cs="Arial"/>
          <w:kern w:val="0"/>
          <w:szCs w:val="21"/>
        </w:rPr>
        <w:t>生效与公告</w:t>
      </w:r>
    </w:p>
    <w:p w14:paraId="04DA8100"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基金份额持有人大会按照《基金法》有关规定表决通过的事项，召集人应当自通过之日起五日内报中国证监会核准或者备案。基金份额持有人大会决定的事项自中国证监会依法核准或者出具无异议意见之日起生效</w:t>
      </w:r>
      <w:r>
        <w:rPr>
          <w:rFonts w:ascii="Arial" w:hAnsi="宋体" w:cs="Arial" w:hint="eastAsia"/>
          <w:kern w:val="0"/>
          <w:szCs w:val="21"/>
        </w:rPr>
        <w:t>；</w:t>
      </w:r>
    </w:p>
    <w:p w14:paraId="4D93808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生效的基金份额持有人大会决议对全体基金份额持有人、基金管理人、基金托管人均有法律约束力。基金管理人、基金托管人和基金份额持有人应当执行生效的基金份额持有人大会的决定</w:t>
      </w:r>
      <w:r>
        <w:rPr>
          <w:rFonts w:ascii="Arial" w:hAnsi="宋体" w:cs="Arial" w:hint="eastAsia"/>
          <w:kern w:val="0"/>
          <w:szCs w:val="21"/>
        </w:rPr>
        <w:t>；</w:t>
      </w:r>
    </w:p>
    <w:p w14:paraId="2EB6258A" w14:textId="7ECD5379"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hint="eastAsia"/>
          <w:kern w:val="0"/>
          <w:szCs w:val="21"/>
        </w:rPr>
        <w:t>（</w:t>
      </w:r>
      <w:r>
        <w:rPr>
          <w:rFonts w:ascii="Arial" w:hAnsi="Arial" w:cs="Arial"/>
          <w:kern w:val="0"/>
          <w:szCs w:val="21"/>
        </w:rPr>
        <w:t>3</w:t>
      </w:r>
      <w:r>
        <w:rPr>
          <w:rFonts w:ascii="Arial" w:hAnsi="Arial" w:cs="Arial" w:hint="eastAsia"/>
          <w:kern w:val="0"/>
          <w:szCs w:val="21"/>
        </w:rPr>
        <w:t>）</w:t>
      </w:r>
      <w:r>
        <w:rPr>
          <w:rFonts w:ascii="Arial" w:hAnsi="宋体" w:cs="Arial"/>
          <w:kern w:val="0"/>
          <w:szCs w:val="21"/>
        </w:rPr>
        <w:t>基金份额持有人大会决议应当自中国证监会核准或</w:t>
      </w:r>
      <w:r>
        <w:rPr>
          <w:rFonts w:ascii="Arial" w:hAnsi="宋体" w:cs="Arial"/>
          <w:color w:val="000000"/>
          <w:kern w:val="0"/>
          <w:szCs w:val="21"/>
        </w:rPr>
        <w:t>出具无异议意见后</w:t>
      </w:r>
      <w:r>
        <w:rPr>
          <w:rFonts w:ascii="Arial" w:hAnsi="Arial" w:cs="Arial"/>
          <w:color w:val="000000"/>
          <w:kern w:val="0"/>
          <w:szCs w:val="21"/>
        </w:rPr>
        <w:t>2</w:t>
      </w:r>
      <w:r>
        <w:rPr>
          <w:rFonts w:ascii="Arial" w:hAnsi="宋体" w:cs="Arial"/>
          <w:color w:val="000000"/>
          <w:kern w:val="0"/>
          <w:szCs w:val="21"/>
        </w:rPr>
        <w:t>日内，由基金份额持有人大会召集人在指定媒介公告</w:t>
      </w:r>
      <w:r>
        <w:rPr>
          <w:rFonts w:ascii="Arial" w:hAnsi="宋体" w:cs="Arial" w:hint="eastAsia"/>
          <w:color w:val="000000"/>
          <w:kern w:val="0"/>
          <w:szCs w:val="21"/>
        </w:rPr>
        <w:t>；</w:t>
      </w:r>
    </w:p>
    <w:p w14:paraId="1CCAF3F4"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4</w:t>
      </w:r>
      <w:r>
        <w:rPr>
          <w:rFonts w:ascii="Arial" w:hAnsi="Arial" w:cs="Arial" w:hint="eastAsia"/>
          <w:kern w:val="0"/>
          <w:szCs w:val="21"/>
        </w:rPr>
        <w:t>）</w:t>
      </w:r>
      <w:r>
        <w:rPr>
          <w:rFonts w:ascii="Arial" w:hAnsi="Arial" w:cs="Arial"/>
          <w:kern w:val="0"/>
          <w:szCs w:val="21"/>
        </w:rPr>
        <w:t>如果采用通讯方式进行表决，在公告基金份额持有人大会决议时，必须将公证书全文、公证机关、公证员姓名等一同公告。</w:t>
      </w:r>
    </w:p>
    <w:p w14:paraId="30FDA2CC"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11</w:t>
      </w:r>
      <w:r>
        <w:rPr>
          <w:rFonts w:ascii="Arial" w:hAnsi="Arial" w:cs="Arial" w:hint="eastAsia"/>
          <w:kern w:val="0"/>
          <w:szCs w:val="21"/>
        </w:rPr>
        <w:t>、</w:t>
      </w:r>
      <w:r>
        <w:rPr>
          <w:rFonts w:ascii="Arial" w:hAnsi="Arial" w:cs="Arial"/>
          <w:kern w:val="0"/>
          <w:szCs w:val="21"/>
        </w:rPr>
        <w:t>法律法规或监管机关对基金份额持有人大会另有规定的，从其规定。</w:t>
      </w:r>
    </w:p>
    <w:p w14:paraId="0D5B26B5" w14:textId="77777777" w:rsidR="00F50C35" w:rsidRDefault="00F50C35">
      <w:pPr>
        <w:adjustRightInd w:val="0"/>
        <w:snapToGrid w:val="0"/>
        <w:spacing w:line="360" w:lineRule="auto"/>
        <w:ind w:firstLine="420"/>
        <w:rPr>
          <w:rFonts w:ascii="Arial" w:hAnsi="Arial" w:cs="Arial"/>
          <w:b/>
          <w:kern w:val="0"/>
          <w:szCs w:val="21"/>
        </w:rPr>
      </w:pPr>
      <w:bookmarkStart w:id="103" w:name="_Toc266369097"/>
      <w:bookmarkStart w:id="104" w:name="_Toc253128721"/>
    </w:p>
    <w:p w14:paraId="7CE8A2E0" w14:textId="77777777" w:rsidR="00F50C35" w:rsidRDefault="00FB66DA">
      <w:pPr>
        <w:adjustRightInd w:val="0"/>
        <w:snapToGrid w:val="0"/>
        <w:spacing w:line="360" w:lineRule="auto"/>
        <w:ind w:firstLine="420"/>
        <w:rPr>
          <w:rFonts w:ascii="Arial" w:hAnsi="Arial" w:cs="Arial"/>
          <w:b/>
          <w:kern w:val="0"/>
          <w:szCs w:val="21"/>
        </w:rPr>
      </w:pPr>
      <w:r>
        <w:rPr>
          <w:rFonts w:ascii="Arial" w:hAnsi="Arial" w:cs="Arial" w:hint="eastAsia"/>
          <w:b/>
          <w:kern w:val="0"/>
          <w:szCs w:val="21"/>
        </w:rPr>
        <w:t>（三）</w:t>
      </w:r>
      <w:r>
        <w:rPr>
          <w:rFonts w:ascii="Arial" w:hAnsi="Arial" w:cs="Arial"/>
          <w:b/>
          <w:kern w:val="0"/>
          <w:szCs w:val="21"/>
        </w:rPr>
        <w:t>基金收益分配</w:t>
      </w:r>
      <w:r>
        <w:rPr>
          <w:rFonts w:ascii="Arial" w:hAnsi="Arial" w:cs="Arial" w:hint="eastAsia"/>
          <w:b/>
          <w:kern w:val="0"/>
          <w:szCs w:val="21"/>
        </w:rPr>
        <w:t>原则、执行方式</w:t>
      </w:r>
      <w:bookmarkEnd w:id="103"/>
      <w:bookmarkEnd w:id="104"/>
    </w:p>
    <w:p w14:paraId="03BD634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1</w:t>
      </w:r>
      <w:r>
        <w:rPr>
          <w:rFonts w:ascii="Arial" w:hAnsi="宋体" w:cs="Arial" w:hint="eastAsia"/>
          <w:kern w:val="0"/>
          <w:szCs w:val="21"/>
        </w:rPr>
        <w:t>、</w:t>
      </w:r>
      <w:r>
        <w:rPr>
          <w:rFonts w:ascii="Arial" w:hAnsi="宋体" w:cs="Arial"/>
          <w:kern w:val="0"/>
          <w:szCs w:val="21"/>
        </w:rPr>
        <w:t>收益分配原则</w:t>
      </w:r>
    </w:p>
    <w:p w14:paraId="1395CCCC"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szCs w:val="21"/>
        </w:rPr>
        <w:t>基金收益分配是指按规定将基金的可供分配利润按基金份额进行比例分配。</w:t>
      </w:r>
    </w:p>
    <w:p w14:paraId="74DE5E36"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w:t>
      </w:r>
      <w:r>
        <w:rPr>
          <w:rFonts w:ascii="Arial" w:hAnsi="Arial" w:cs="Arial"/>
          <w:szCs w:val="21"/>
        </w:rPr>
        <w:t>1</w:t>
      </w:r>
      <w:r>
        <w:rPr>
          <w:rFonts w:ascii="Arial" w:hAnsi="Arial" w:cs="Arial" w:hint="eastAsia"/>
          <w:szCs w:val="21"/>
        </w:rPr>
        <w:t>）</w:t>
      </w:r>
      <w:r>
        <w:rPr>
          <w:rFonts w:ascii="Arial" w:hAnsi="宋体" w:cs="Arial"/>
          <w:kern w:val="0"/>
          <w:szCs w:val="21"/>
        </w:rPr>
        <w:t>在符合有关基金分红条件的前提下，本基金每年收益分配次数最多为</w:t>
      </w:r>
      <w:r>
        <w:rPr>
          <w:rFonts w:ascii="Arial" w:hAnsi="Arial" w:cs="Arial"/>
          <w:kern w:val="0"/>
          <w:szCs w:val="21"/>
        </w:rPr>
        <w:t>4</w:t>
      </w:r>
      <w:r>
        <w:rPr>
          <w:rFonts w:ascii="Arial" w:hAnsi="宋体" w:cs="Arial"/>
          <w:kern w:val="0"/>
          <w:szCs w:val="21"/>
        </w:rPr>
        <w:t>次，每次分配比例不低于收益分配基准日可供分配利润的</w:t>
      </w:r>
      <w:r>
        <w:rPr>
          <w:rFonts w:ascii="Arial" w:hAnsi="Arial" w:cs="Arial"/>
          <w:kern w:val="0"/>
          <w:szCs w:val="21"/>
        </w:rPr>
        <w:t>20%</w:t>
      </w:r>
      <w:r>
        <w:rPr>
          <w:rFonts w:ascii="Arial" w:hAnsi="宋体" w:cs="Arial"/>
          <w:kern w:val="0"/>
          <w:szCs w:val="21"/>
        </w:rPr>
        <w:t>，若《基金合同》生效不满</w:t>
      </w:r>
      <w:r>
        <w:rPr>
          <w:rFonts w:ascii="Arial" w:hAnsi="Arial" w:cs="Arial"/>
          <w:kern w:val="0"/>
          <w:szCs w:val="21"/>
        </w:rPr>
        <w:t xml:space="preserve">3 </w:t>
      </w:r>
      <w:r>
        <w:rPr>
          <w:rFonts w:ascii="Arial" w:hAnsi="宋体" w:cs="Arial"/>
          <w:kern w:val="0"/>
          <w:szCs w:val="21"/>
        </w:rPr>
        <w:t>个月可不进行收益分配；</w:t>
      </w:r>
    </w:p>
    <w:p w14:paraId="11D12EFD"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w:t>
      </w:r>
      <w:r>
        <w:rPr>
          <w:rFonts w:ascii="Arial" w:hAnsi="Arial" w:cs="Arial"/>
          <w:szCs w:val="21"/>
        </w:rPr>
        <w:t>2</w:t>
      </w:r>
      <w:r>
        <w:rPr>
          <w:rFonts w:ascii="Arial" w:hAnsi="Arial" w:cs="Arial" w:hint="eastAsia"/>
          <w:szCs w:val="21"/>
        </w:rPr>
        <w:t>）</w:t>
      </w:r>
      <w:r>
        <w:rPr>
          <w:rFonts w:ascii="Arial" w:hAnsi="宋体" w:cs="Arial"/>
          <w:szCs w:val="21"/>
        </w:rPr>
        <w:t>本基金的每份基金份额享有同等分配权；</w:t>
      </w:r>
    </w:p>
    <w:p w14:paraId="21044CA5"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w:t>
      </w:r>
      <w:r>
        <w:rPr>
          <w:rFonts w:ascii="Arial" w:hAnsi="Arial" w:cs="Arial"/>
          <w:szCs w:val="21"/>
        </w:rPr>
        <w:t>3</w:t>
      </w:r>
      <w:r>
        <w:rPr>
          <w:rFonts w:ascii="Arial" w:hAnsi="Arial" w:cs="Arial" w:hint="eastAsia"/>
          <w:szCs w:val="21"/>
        </w:rPr>
        <w:t>）</w:t>
      </w:r>
      <w:r>
        <w:rPr>
          <w:rFonts w:ascii="Arial" w:hAnsi="宋体" w:cs="Arial"/>
          <w:szCs w:val="21"/>
        </w:rPr>
        <w:t>基金收益分配方式分为现金分红与红利再投资，投资者可选择获取现金红利或将现金红利自动转为基金份额进行再投资；若投资人不选择，本基金默认的收益分配方式是现金红利；</w:t>
      </w:r>
      <w:r>
        <w:rPr>
          <w:rFonts w:ascii="Arial" w:hAnsi="Arial" w:cs="Arial"/>
          <w:szCs w:val="21"/>
        </w:rPr>
        <w:t xml:space="preserve"> </w:t>
      </w:r>
    </w:p>
    <w:p w14:paraId="3CFD1A47"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lastRenderedPageBreak/>
        <w:t>（</w:t>
      </w:r>
      <w:r>
        <w:rPr>
          <w:rFonts w:ascii="Arial" w:hAnsi="Arial" w:cs="Arial"/>
          <w:szCs w:val="21"/>
        </w:rPr>
        <w:t>4</w:t>
      </w:r>
      <w:r>
        <w:rPr>
          <w:rFonts w:ascii="Arial" w:hAnsi="Arial" w:cs="Arial" w:hint="eastAsia"/>
          <w:szCs w:val="21"/>
        </w:rPr>
        <w:t>）</w:t>
      </w:r>
      <w:r>
        <w:rPr>
          <w:rFonts w:ascii="Arial" w:hAnsi="宋体" w:cs="Arial"/>
          <w:szCs w:val="21"/>
        </w:rPr>
        <w:t>基金收益分配基准日的基金份额净值减去每单位基金份额收益分配金额后不能低于面值；</w:t>
      </w:r>
    </w:p>
    <w:p w14:paraId="54E5E272"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w:t>
      </w:r>
      <w:r>
        <w:rPr>
          <w:rFonts w:ascii="Arial" w:hAnsi="Arial" w:cs="Arial"/>
          <w:szCs w:val="21"/>
        </w:rPr>
        <w:t>5</w:t>
      </w:r>
      <w:r>
        <w:rPr>
          <w:rFonts w:ascii="Arial" w:hAnsi="Arial" w:cs="Arial" w:hint="eastAsia"/>
          <w:szCs w:val="21"/>
        </w:rPr>
        <w:t>）</w:t>
      </w:r>
      <w:r>
        <w:rPr>
          <w:rFonts w:ascii="Arial" w:hAnsi="宋体" w:cs="Arial"/>
          <w:szCs w:val="21"/>
        </w:rPr>
        <w:t>基金收益分配的发放日距离收益分配基准日的时间不超过</w:t>
      </w:r>
      <w:r>
        <w:rPr>
          <w:rFonts w:ascii="Arial" w:hAnsi="Arial" w:cs="Arial"/>
          <w:szCs w:val="21"/>
        </w:rPr>
        <w:t>15</w:t>
      </w:r>
      <w:r>
        <w:rPr>
          <w:rFonts w:ascii="Arial" w:hAnsi="宋体" w:cs="Arial"/>
          <w:szCs w:val="21"/>
        </w:rPr>
        <w:t>个工作日；</w:t>
      </w:r>
    </w:p>
    <w:p w14:paraId="122D024A" w14:textId="77777777" w:rsidR="00F50C35" w:rsidRDefault="00FB66DA">
      <w:pPr>
        <w:adjustRightInd w:val="0"/>
        <w:snapToGrid w:val="0"/>
        <w:spacing w:line="360" w:lineRule="auto"/>
        <w:ind w:firstLineChars="200" w:firstLine="420"/>
        <w:rPr>
          <w:rFonts w:ascii="Arial" w:hAnsi="Arial" w:cs="Arial"/>
          <w:szCs w:val="21"/>
        </w:rPr>
      </w:pPr>
      <w:r>
        <w:rPr>
          <w:rFonts w:ascii="Arial" w:hAnsi="Arial" w:cs="Arial" w:hint="eastAsia"/>
          <w:szCs w:val="21"/>
        </w:rPr>
        <w:t>（</w:t>
      </w:r>
      <w:r>
        <w:rPr>
          <w:rFonts w:ascii="Arial" w:hAnsi="Arial" w:cs="Arial"/>
          <w:szCs w:val="21"/>
        </w:rPr>
        <w:t>6</w:t>
      </w:r>
      <w:r>
        <w:rPr>
          <w:rFonts w:ascii="Arial" w:hAnsi="Arial" w:cs="Arial" w:hint="eastAsia"/>
          <w:szCs w:val="21"/>
        </w:rPr>
        <w:t>）</w:t>
      </w:r>
      <w:r>
        <w:rPr>
          <w:rFonts w:ascii="Arial" w:hAnsi="宋体" w:cs="Arial"/>
          <w:szCs w:val="21"/>
        </w:rPr>
        <w:t>法律法规或监管机构另有规定的从其规定。</w:t>
      </w:r>
    </w:p>
    <w:p w14:paraId="63BD8050" w14:textId="2924A209" w:rsidR="00F50C35" w:rsidRDefault="00FB66DA">
      <w:pPr>
        <w:adjustRightInd w:val="0"/>
        <w:snapToGrid w:val="0"/>
        <w:spacing w:line="360" w:lineRule="auto"/>
        <w:ind w:firstLineChars="200" w:firstLine="420"/>
        <w:jc w:val="left"/>
        <w:rPr>
          <w:rFonts w:ascii="Arial" w:hAnsi="Arial" w:cs="Arial"/>
          <w:szCs w:val="21"/>
        </w:rPr>
      </w:pPr>
      <w:r>
        <w:rPr>
          <w:rFonts w:ascii="Arial" w:hAnsi="Arial" w:cs="Arial"/>
          <w:szCs w:val="21"/>
        </w:rPr>
        <w:t>在不影响投资者利益的情况下，基金管理人可在法律法规允许的前提下酌情调整以上基金收益分配原则，此项调整不需要召开基金份额持有人大会，但应于变更实施日前在指定媒介公告。</w:t>
      </w:r>
    </w:p>
    <w:p w14:paraId="77F0561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2</w:t>
      </w:r>
      <w:r>
        <w:rPr>
          <w:rFonts w:ascii="Arial" w:hAnsi="宋体" w:cs="Arial" w:hint="eastAsia"/>
          <w:kern w:val="0"/>
          <w:szCs w:val="21"/>
        </w:rPr>
        <w:t>、</w:t>
      </w:r>
      <w:r>
        <w:rPr>
          <w:rFonts w:ascii="Arial" w:hAnsi="宋体" w:cs="Arial"/>
          <w:kern w:val="0"/>
          <w:szCs w:val="21"/>
        </w:rPr>
        <w:t>收益分配方案</w:t>
      </w:r>
    </w:p>
    <w:p w14:paraId="5A230F03"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基金收益分配方案中载明</w:t>
      </w:r>
      <w:r>
        <w:rPr>
          <w:rFonts w:ascii="Arial" w:hAnsi="Arial" w:cs="Arial"/>
          <w:kern w:val="0"/>
          <w:szCs w:val="21"/>
        </w:rPr>
        <w:t>基金期末可供分配利润</w:t>
      </w:r>
      <w:r>
        <w:rPr>
          <w:rFonts w:ascii="Arial" w:hAnsi="宋体" w:cs="Arial"/>
          <w:kern w:val="0"/>
          <w:szCs w:val="21"/>
        </w:rPr>
        <w:t>、基金收益分配对象、分配时间、分配数额及比例、分配方式等内容。</w:t>
      </w:r>
    </w:p>
    <w:p w14:paraId="0E03C687"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3</w:t>
      </w:r>
      <w:r>
        <w:rPr>
          <w:rFonts w:ascii="Arial" w:hAnsi="宋体" w:cs="Arial" w:hint="eastAsia"/>
          <w:kern w:val="0"/>
          <w:szCs w:val="21"/>
        </w:rPr>
        <w:t>、</w:t>
      </w:r>
      <w:r>
        <w:rPr>
          <w:rFonts w:ascii="Arial" w:hAnsi="宋体" w:cs="Arial"/>
          <w:kern w:val="0"/>
          <w:szCs w:val="21"/>
        </w:rPr>
        <w:t>收益分配方案的确定与公告</w:t>
      </w:r>
    </w:p>
    <w:p w14:paraId="5C3F5B1E" w14:textId="37DA6B83" w:rsidR="00F50C35" w:rsidRDefault="000161D9">
      <w:pPr>
        <w:adjustRightInd w:val="0"/>
        <w:snapToGrid w:val="0"/>
        <w:spacing w:line="360" w:lineRule="auto"/>
        <w:ind w:firstLine="420"/>
        <w:rPr>
          <w:rFonts w:ascii="Arial" w:hAnsi="Arial" w:cs="Arial"/>
          <w:kern w:val="0"/>
          <w:szCs w:val="21"/>
        </w:rPr>
      </w:pPr>
      <w:r>
        <w:rPr>
          <w:rFonts w:ascii="Arial" w:hAnsi="宋体" w:cs="Arial"/>
          <w:kern w:val="0"/>
          <w:szCs w:val="21"/>
        </w:rPr>
        <w:t>基金收益分配方案由基金管理人拟定，并由基金托管人核实后确定，基金管理人按法律法规的规定公告</w:t>
      </w:r>
      <w:r>
        <w:rPr>
          <w:rFonts w:ascii="Arial" w:hAnsi="宋体" w:cs="Arial" w:hint="eastAsia"/>
          <w:kern w:val="0"/>
          <w:szCs w:val="21"/>
        </w:rPr>
        <w:t>。</w:t>
      </w:r>
      <w:r w:rsidR="00FB66DA">
        <w:rPr>
          <w:rFonts w:ascii="Arial" w:hAnsi="宋体" w:cs="Arial" w:hint="eastAsia"/>
          <w:kern w:val="0"/>
          <w:szCs w:val="21"/>
        </w:rPr>
        <w:t>4</w:t>
      </w:r>
      <w:r w:rsidR="00FB66DA">
        <w:rPr>
          <w:rFonts w:ascii="Arial" w:hAnsi="宋体" w:cs="Arial" w:hint="eastAsia"/>
          <w:kern w:val="0"/>
          <w:szCs w:val="21"/>
        </w:rPr>
        <w:t>、</w:t>
      </w:r>
      <w:r w:rsidR="00FB66DA">
        <w:rPr>
          <w:rFonts w:ascii="Arial" w:hAnsi="宋体" w:cs="Arial"/>
          <w:kern w:val="0"/>
          <w:szCs w:val="21"/>
        </w:rPr>
        <w:t>收益分配中发生的费用</w:t>
      </w:r>
    </w:p>
    <w:p w14:paraId="05977D19"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hint="eastAsia"/>
          <w:kern w:val="0"/>
          <w:szCs w:val="21"/>
        </w:rPr>
        <w:t>（</w:t>
      </w:r>
      <w:r>
        <w:rPr>
          <w:rFonts w:ascii="Arial" w:hAnsi="Arial" w:cs="Arial"/>
          <w:kern w:val="0"/>
          <w:szCs w:val="21"/>
        </w:rPr>
        <w:t>1</w:t>
      </w:r>
      <w:r>
        <w:rPr>
          <w:rFonts w:ascii="Arial" w:hAnsi="Arial" w:cs="Arial" w:hint="eastAsia"/>
          <w:kern w:val="0"/>
          <w:szCs w:val="21"/>
        </w:rPr>
        <w:t>）</w:t>
      </w:r>
      <w:r>
        <w:rPr>
          <w:rFonts w:ascii="Arial" w:hAnsi="宋体" w:cs="Arial"/>
          <w:kern w:val="0"/>
          <w:szCs w:val="21"/>
        </w:rPr>
        <w:t>收益分配采用红利再投资方式免收再投资的费用</w:t>
      </w:r>
      <w:r>
        <w:rPr>
          <w:rFonts w:ascii="Arial" w:hAnsi="宋体" w:cs="Arial" w:hint="eastAsia"/>
          <w:kern w:val="0"/>
          <w:szCs w:val="21"/>
        </w:rPr>
        <w:t>；</w:t>
      </w:r>
    </w:p>
    <w:p w14:paraId="1FA6CA7A" w14:textId="77777777" w:rsidR="00F50C35" w:rsidRDefault="00FB66DA">
      <w:pPr>
        <w:snapToGrid w:val="0"/>
        <w:spacing w:line="360" w:lineRule="auto"/>
        <w:ind w:firstLineChars="200" w:firstLine="420"/>
        <w:rPr>
          <w:rFonts w:ascii="Arial" w:hAnsi="宋体" w:cs="Arial"/>
          <w:kern w:val="0"/>
          <w:szCs w:val="21"/>
        </w:rPr>
      </w:pPr>
      <w:r>
        <w:rPr>
          <w:rFonts w:ascii="Arial" w:hAnsi="Arial" w:cs="Arial" w:hint="eastAsia"/>
          <w:kern w:val="0"/>
          <w:szCs w:val="21"/>
        </w:rPr>
        <w:t>（</w:t>
      </w:r>
      <w:r>
        <w:rPr>
          <w:rFonts w:ascii="Arial" w:hAnsi="Arial" w:cs="Arial"/>
          <w:kern w:val="0"/>
          <w:szCs w:val="21"/>
        </w:rPr>
        <w:t>2</w:t>
      </w:r>
      <w:r>
        <w:rPr>
          <w:rFonts w:ascii="Arial" w:hAnsi="Arial" w:cs="Arial" w:hint="eastAsia"/>
          <w:kern w:val="0"/>
          <w:szCs w:val="21"/>
        </w:rPr>
        <w:t>）</w:t>
      </w:r>
      <w:r>
        <w:rPr>
          <w:rFonts w:ascii="Arial" w:hAnsi="宋体" w:cs="Arial"/>
          <w:kern w:val="0"/>
          <w:szCs w:val="21"/>
        </w:rPr>
        <w:t>收益分配时发生的银行转账等手续费用由基金份额持有人自行承担。当投资者的现金红利小于一定金额，不足于支付银行转账或其他手续费用时，基金注册登记机构可将基金份额持有人的现金红利</w:t>
      </w:r>
      <w:r>
        <w:rPr>
          <w:rFonts w:ascii="Arial" w:hAnsi="宋体" w:cs="Arial"/>
          <w:color w:val="000000"/>
          <w:kern w:val="0"/>
          <w:szCs w:val="21"/>
        </w:rPr>
        <w:t>按除权后</w:t>
      </w:r>
      <w:r>
        <w:rPr>
          <w:rFonts w:ascii="Arial" w:hAnsi="宋体" w:cs="Arial"/>
          <w:kern w:val="0"/>
          <w:szCs w:val="21"/>
        </w:rPr>
        <w:t>的基金份额净值自动转为基金份额。红利再投资的计算方法，依照《业务规则》执行。</w:t>
      </w:r>
    </w:p>
    <w:p w14:paraId="5CB26C1B" w14:textId="77777777" w:rsidR="00F50C35" w:rsidRDefault="00F50C35">
      <w:pPr>
        <w:pStyle w:val="2"/>
        <w:snapToGrid w:val="0"/>
        <w:spacing w:before="0" w:after="0" w:line="360" w:lineRule="auto"/>
        <w:ind w:firstLineChars="202" w:firstLine="425"/>
        <w:rPr>
          <w:rFonts w:eastAsia="宋体" w:hAnsi="宋体" w:cs="Arial"/>
          <w:kern w:val="0"/>
          <w:sz w:val="21"/>
          <w:szCs w:val="21"/>
        </w:rPr>
      </w:pPr>
      <w:bookmarkStart w:id="105" w:name="_Toc266369098"/>
      <w:bookmarkStart w:id="106" w:name="_Toc253128722"/>
    </w:p>
    <w:p w14:paraId="43EA3414" w14:textId="77777777" w:rsidR="00F50C35" w:rsidRDefault="00FB66DA">
      <w:pPr>
        <w:pStyle w:val="2"/>
        <w:numPr>
          <w:ilvl w:val="0"/>
          <w:numId w:val="8"/>
        </w:numPr>
        <w:snapToGrid w:val="0"/>
        <w:spacing w:before="0" w:after="0" w:line="360" w:lineRule="auto"/>
        <w:rPr>
          <w:rFonts w:eastAsia="宋体" w:hAnsi="宋体" w:cs="Arial"/>
          <w:bCs w:val="0"/>
          <w:kern w:val="0"/>
          <w:sz w:val="21"/>
          <w:szCs w:val="21"/>
        </w:rPr>
      </w:pPr>
      <w:r>
        <w:rPr>
          <w:rFonts w:eastAsia="宋体" w:hAnsi="宋体" w:cs="Arial" w:hint="eastAsia"/>
          <w:bCs w:val="0"/>
          <w:kern w:val="0"/>
          <w:sz w:val="21"/>
          <w:szCs w:val="21"/>
        </w:rPr>
        <w:t>与基金财产管理、运用有关费用的提取、支付方式与比例</w:t>
      </w:r>
      <w:bookmarkEnd w:id="105"/>
      <w:bookmarkEnd w:id="106"/>
    </w:p>
    <w:p w14:paraId="0ADCCF2A"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hint="eastAsia"/>
          <w:kern w:val="0"/>
          <w:szCs w:val="21"/>
        </w:rPr>
        <w:t>1</w:t>
      </w:r>
      <w:r>
        <w:rPr>
          <w:rFonts w:ascii="Arial" w:hAnsi="宋体" w:cs="Arial" w:hint="eastAsia"/>
          <w:kern w:val="0"/>
          <w:szCs w:val="21"/>
        </w:rPr>
        <w:t>、基金费用计提方法、计提标准和支付方式</w:t>
      </w:r>
    </w:p>
    <w:p w14:paraId="54044750" w14:textId="77777777" w:rsidR="00F50C35" w:rsidRDefault="00FB66DA">
      <w:pPr>
        <w:adjustRightInd w:val="0"/>
        <w:snapToGrid w:val="0"/>
        <w:spacing w:line="360" w:lineRule="auto"/>
        <w:ind w:firstLine="420"/>
        <w:rPr>
          <w:rFonts w:ascii="Arial" w:hAnsi="宋体" w:cs="Arial"/>
          <w:kern w:val="0"/>
          <w:szCs w:val="21"/>
        </w:rPr>
      </w:pPr>
      <w:r>
        <w:rPr>
          <w:rFonts w:ascii="Arial" w:hAnsi="宋体" w:cs="Arial" w:hint="eastAsia"/>
          <w:kern w:val="0"/>
          <w:szCs w:val="21"/>
        </w:rPr>
        <w:t>（</w:t>
      </w:r>
      <w:r>
        <w:rPr>
          <w:rFonts w:ascii="Arial" w:hAnsi="宋体" w:cs="Arial"/>
          <w:kern w:val="0"/>
          <w:szCs w:val="21"/>
        </w:rPr>
        <w:t>1</w:t>
      </w:r>
      <w:r>
        <w:rPr>
          <w:rFonts w:ascii="Arial" w:hAnsi="宋体" w:cs="Arial" w:hint="eastAsia"/>
          <w:kern w:val="0"/>
          <w:szCs w:val="21"/>
        </w:rPr>
        <w:t>）</w:t>
      </w:r>
      <w:r>
        <w:rPr>
          <w:rFonts w:ascii="Arial" w:hAnsi="宋体" w:cs="Arial"/>
          <w:kern w:val="0"/>
          <w:szCs w:val="21"/>
        </w:rPr>
        <w:t>基金管理人的管理费</w:t>
      </w:r>
    </w:p>
    <w:p w14:paraId="4330A5B9"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t>基金管理人的基金管理费按</w:t>
      </w:r>
      <w:r>
        <w:rPr>
          <w:rFonts w:ascii="Arial" w:hAnsi="宋体" w:cs="Arial"/>
          <w:color w:val="000000"/>
          <w:kern w:val="0"/>
          <w:szCs w:val="21"/>
        </w:rPr>
        <w:t>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1.60%</w:t>
      </w:r>
      <w:r>
        <w:rPr>
          <w:rFonts w:ascii="Arial" w:hAnsi="宋体" w:cs="Arial"/>
          <w:color w:val="000000"/>
          <w:kern w:val="0"/>
          <w:szCs w:val="21"/>
        </w:rPr>
        <w:t>年费率计提。</w:t>
      </w:r>
    </w:p>
    <w:p w14:paraId="3C5285F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kern w:val="0"/>
          <w:szCs w:val="21"/>
        </w:rPr>
        <w:t>在通常情况下，基金管理费按前一日基金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1.60%</w:t>
      </w:r>
      <w:r>
        <w:rPr>
          <w:rFonts w:ascii="Arial" w:hAnsi="宋体" w:cs="Arial"/>
          <w:kern w:val="0"/>
          <w:szCs w:val="21"/>
        </w:rPr>
        <w:t>年费率计提。计算方法如下：</w:t>
      </w:r>
    </w:p>
    <w:p w14:paraId="44EB4EAB"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H</w:t>
      </w:r>
      <w:r>
        <w:rPr>
          <w:rFonts w:ascii="Arial" w:hAnsi="宋体" w:cs="Arial"/>
          <w:kern w:val="0"/>
          <w:szCs w:val="21"/>
        </w:rPr>
        <w:t>＝</w:t>
      </w:r>
      <w:r>
        <w:rPr>
          <w:rFonts w:ascii="Arial" w:hAnsi="Arial" w:cs="Arial"/>
          <w:kern w:val="0"/>
          <w:szCs w:val="21"/>
        </w:rPr>
        <w:t>E×</w:t>
      </w:r>
      <w:r>
        <w:rPr>
          <w:rFonts w:ascii="Arial" w:hAnsi="Arial" w:cs="Arial"/>
          <w:color w:val="000000"/>
          <w:kern w:val="0"/>
          <w:szCs w:val="21"/>
        </w:rPr>
        <w:t>1.60%</w:t>
      </w:r>
      <w:r>
        <w:rPr>
          <w:rFonts w:ascii="Arial" w:hAnsi="Arial" w:cs="Arial"/>
          <w:kern w:val="0"/>
          <w:szCs w:val="21"/>
        </w:rPr>
        <w:t>÷</w:t>
      </w:r>
      <w:r>
        <w:rPr>
          <w:rFonts w:ascii="Arial" w:hAnsi="宋体" w:cs="Arial"/>
          <w:kern w:val="0"/>
          <w:szCs w:val="21"/>
        </w:rPr>
        <w:t>当年天数</w:t>
      </w:r>
    </w:p>
    <w:p w14:paraId="1235D775" w14:textId="77777777" w:rsidR="00F50C35" w:rsidRDefault="00FB66DA">
      <w:pPr>
        <w:adjustRightInd w:val="0"/>
        <w:snapToGrid w:val="0"/>
        <w:spacing w:line="360" w:lineRule="auto"/>
        <w:ind w:firstLine="420"/>
        <w:rPr>
          <w:rFonts w:ascii="Arial" w:hAnsi="Arial" w:cs="Arial"/>
          <w:kern w:val="0"/>
          <w:szCs w:val="21"/>
        </w:rPr>
      </w:pPr>
      <w:r>
        <w:rPr>
          <w:rFonts w:ascii="Arial" w:hAnsi="Arial" w:cs="Arial"/>
          <w:kern w:val="0"/>
          <w:szCs w:val="21"/>
        </w:rPr>
        <w:t xml:space="preserve">H </w:t>
      </w:r>
      <w:r>
        <w:rPr>
          <w:rFonts w:ascii="Arial" w:hAnsi="宋体" w:cs="Arial"/>
          <w:kern w:val="0"/>
          <w:szCs w:val="21"/>
        </w:rPr>
        <w:t>为每日应计提的基金管理费</w:t>
      </w:r>
    </w:p>
    <w:p w14:paraId="3697551B"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kern w:val="0"/>
          <w:szCs w:val="21"/>
        </w:rPr>
        <w:t xml:space="preserve">E </w:t>
      </w:r>
      <w:r>
        <w:rPr>
          <w:rFonts w:ascii="Arial" w:hAnsi="宋体" w:cs="Arial"/>
          <w:kern w:val="0"/>
          <w:szCs w:val="21"/>
        </w:rPr>
        <w:t>为前一日</w:t>
      </w:r>
      <w:r>
        <w:rPr>
          <w:rFonts w:ascii="Arial" w:hAnsi="宋体" w:cs="Arial"/>
          <w:color w:val="000000"/>
          <w:kern w:val="0"/>
          <w:szCs w:val="21"/>
        </w:rPr>
        <w:t>基金</w:t>
      </w:r>
      <w:r>
        <w:rPr>
          <w:rFonts w:ascii="Arial" w:hAnsi="宋体" w:cs="Arial"/>
          <w:szCs w:val="21"/>
        </w:rPr>
        <w:t>资产</w:t>
      </w:r>
      <w:r>
        <w:rPr>
          <w:rFonts w:ascii="Arial" w:hAnsi="宋体" w:cs="Arial"/>
          <w:color w:val="000000"/>
          <w:kern w:val="0"/>
          <w:szCs w:val="21"/>
        </w:rPr>
        <w:t>净值</w:t>
      </w:r>
    </w:p>
    <w:p w14:paraId="66A8D016"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基金管理费每日计提，按月支付。由基金管理人向基金托管人发送基金管理费划付指令，基金托管人复核后于次月首日起</w:t>
      </w:r>
      <w:r>
        <w:rPr>
          <w:rFonts w:ascii="Arial" w:hAnsi="Arial" w:cs="Arial"/>
          <w:color w:val="000000"/>
          <w:kern w:val="0"/>
          <w:szCs w:val="21"/>
        </w:rPr>
        <w:t>5</w:t>
      </w:r>
      <w:r>
        <w:rPr>
          <w:rFonts w:ascii="Arial" w:hAnsi="宋体" w:cs="Arial"/>
          <w:color w:val="000000"/>
          <w:kern w:val="0"/>
          <w:szCs w:val="21"/>
        </w:rPr>
        <w:t>个工作日内从基金财产中一次性支付给基金管理人。</w:t>
      </w:r>
    </w:p>
    <w:p w14:paraId="7543CFAE"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hint="eastAsia"/>
          <w:color w:val="000000"/>
          <w:kern w:val="0"/>
          <w:szCs w:val="21"/>
        </w:rPr>
        <w:t>（</w:t>
      </w:r>
      <w:r>
        <w:rPr>
          <w:rFonts w:ascii="Arial" w:hAnsi="Arial" w:cs="Arial"/>
          <w:color w:val="000000"/>
          <w:kern w:val="0"/>
          <w:szCs w:val="21"/>
        </w:rPr>
        <w:t>2</w:t>
      </w:r>
      <w:r>
        <w:rPr>
          <w:rFonts w:ascii="Arial" w:hAnsi="Arial" w:cs="Arial" w:hint="eastAsia"/>
          <w:color w:val="000000"/>
          <w:kern w:val="0"/>
          <w:szCs w:val="21"/>
        </w:rPr>
        <w:t>）</w:t>
      </w:r>
      <w:r>
        <w:rPr>
          <w:rFonts w:ascii="Arial" w:hAnsi="宋体" w:cs="Arial"/>
          <w:color w:val="000000"/>
          <w:kern w:val="0"/>
          <w:szCs w:val="21"/>
        </w:rPr>
        <w:t>基金托管人的托管费</w:t>
      </w:r>
    </w:p>
    <w:p w14:paraId="4583316F"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color w:val="000000"/>
          <w:kern w:val="0"/>
          <w:szCs w:val="21"/>
        </w:rPr>
        <w:t>基金托管人的基金托管费（如基金托管人委托境外托管人，包括向其支付的相应服务费）按基金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0.30%</w:t>
      </w:r>
      <w:r>
        <w:rPr>
          <w:rFonts w:ascii="Arial" w:hAnsi="宋体" w:cs="Arial"/>
          <w:color w:val="000000"/>
          <w:kern w:val="0"/>
          <w:szCs w:val="21"/>
        </w:rPr>
        <w:t>年费率计提。</w:t>
      </w:r>
    </w:p>
    <w:p w14:paraId="550C4677"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宋体" w:cs="Arial"/>
          <w:kern w:val="0"/>
          <w:szCs w:val="21"/>
        </w:rPr>
        <w:t>在通常情况下</w:t>
      </w:r>
      <w:r>
        <w:rPr>
          <w:rFonts w:ascii="Arial" w:hAnsi="宋体" w:cs="Arial"/>
          <w:color w:val="000000"/>
          <w:kern w:val="0"/>
          <w:szCs w:val="21"/>
        </w:rPr>
        <w:t>，基金托管费按前一日基金</w:t>
      </w:r>
      <w:r>
        <w:rPr>
          <w:rFonts w:ascii="Arial" w:hAnsi="宋体" w:cs="Arial"/>
          <w:szCs w:val="21"/>
        </w:rPr>
        <w:t>资产</w:t>
      </w:r>
      <w:r>
        <w:rPr>
          <w:rFonts w:ascii="Arial" w:hAnsi="宋体" w:cs="Arial"/>
          <w:color w:val="000000"/>
          <w:kern w:val="0"/>
          <w:szCs w:val="21"/>
        </w:rPr>
        <w:t>净值的</w:t>
      </w:r>
      <w:r>
        <w:rPr>
          <w:rFonts w:ascii="Arial" w:hAnsi="Arial" w:cs="Arial"/>
          <w:color w:val="000000"/>
          <w:kern w:val="0"/>
          <w:szCs w:val="21"/>
        </w:rPr>
        <w:t>0.30%</w:t>
      </w:r>
      <w:r>
        <w:rPr>
          <w:rFonts w:ascii="Arial" w:hAnsi="宋体" w:cs="Arial"/>
          <w:color w:val="000000"/>
          <w:kern w:val="0"/>
          <w:szCs w:val="21"/>
        </w:rPr>
        <w:t>年费率计提。计算方法如</w:t>
      </w:r>
      <w:r>
        <w:rPr>
          <w:rFonts w:ascii="Arial" w:hAnsi="宋体" w:cs="Arial"/>
          <w:color w:val="000000"/>
          <w:kern w:val="0"/>
          <w:szCs w:val="21"/>
        </w:rPr>
        <w:lastRenderedPageBreak/>
        <w:t>下：</w:t>
      </w:r>
    </w:p>
    <w:p w14:paraId="52F82696"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H=E×0.30%÷</w:t>
      </w:r>
      <w:r>
        <w:rPr>
          <w:rFonts w:ascii="Arial" w:hAnsi="宋体" w:cs="Arial"/>
          <w:color w:val="000000"/>
          <w:kern w:val="0"/>
          <w:szCs w:val="21"/>
        </w:rPr>
        <w:t>当年天数</w:t>
      </w:r>
    </w:p>
    <w:p w14:paraId="14ED1CCA"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 xml:space="preserve">H </w:t>
      </w:r>
      <w:r>
        <w:rPr>
          <w:rFonts w:ascii="Arial" w:hAnsi="宋体" w:cs="Arial"/>
          <w:color w:val="000000"/>
          <w:kern w:val="0"/>
          <w:szCs w:val="21"/>
        </w:rPr>
        <w:t>为每日应计提的基金托管费</w:t>
      </w:r>
    </w:p>
    <w:p w14:paraId="6776321E" w14:textId="77777777" w:rsidR="00F50C35" w:rsidRDefault="00FB66DA">
      <w:pPr>
        <w:adjustRightInd w:val="0"/>
        <w:snapToGrid w:val="0"/>
        <w:spacing w:line="360" w:lineRule="auto"/>
        <w:ind w:firstLine="420"/>
        <w:rPr>
          <w:rFonts w:ascii="Arial" w:hAnsi="Arial" w:cs="Arial"/>
          <w:color w:val="000000"/>
          <w:kern w:val="0"/>
          <w:szCs w:val="21"/>
        </w:rPr>
      </w:pPr>
      <w:r>
        <w:rPr>
          <w:rFonts w:ascii="Arial" w:hAnsi="Arial" w:cs="Arial"/>
          <w:color w:val="000000"/>
          <w:kern w:val="0"/>
          <w:szCs w:val="21"/>
        </w:rPr>
        <w:t xml:space="preserve">E </w:t>
      </w:r>
      <w:r>
        <w:rPr>
          <w:rFonts w:ascii="Arial" w:hAnsi="宋体" w:cs="Arial"/>
          <w:color w:val="000000"/>
          <w:kern w:val="0"/>
          <w:szCs w:val="21"/>
        </w:rPr>
        <w:t>为前一日的基金</w:t>
      </w:r>
      <w:r>
        <w:rPr>
          <w:rFonts w:ascii="Arial" w:hAnsi="宋体" w:cs="Arial"/>
          <w:szCs w:val="21"/>
        </w:rPr>
        <w:t>资产</w:t>
      </w:r>
      <w:r>
        <w:rPr>
          <w:rFonts w:ascii="Arial" w:hAnsi="宋体" w:cs="Arial"/>
          <w:color w:val="000000"/>
          <w:kern w:val="0"/>
          <w:szCs w:val="21"/>
        </w:rPr>
        <w:t>净值</w:t>
      </w:r>
    </w:p>
    <w:p w14:paraId="3C6DA6B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color w:val="000000"/>
          <w:kern w:val="0"/>
          <w:szCs w:val="21"/>
        </w:rPr>
        <w:t>基金托管费每日计提，按月支付。由基金管</w:t>
      </w:r>
      <w:r>
        <w:rPr>
          <w:rFonts w:ascii="Arial" w:hAnsi="宋体" w:cs="Arial"/>
          <w:kern w:val="0"/>
          <w:szCs w:val="21"/>
        </w:rPr>
        <w:t>理人向基金托管人发送基金托管费划付指令，基金托管人复核后于次月首日起</w:t>
      </w:r>
      <w:r>
        <w:rPr>
          <w:rFonts w:ascii="Arial" w:hAnsi="Arial" w:cs="Arial"/>
          <w:kern w:val="0"/>
          <w:szCs w:val="21"/>
        </w:rPr>
        <w:t>5</w:t>
      </w:r>
      <w:r>
        <w:rPr>
          <w:rFonts w:ascii="Arial" w:hAnsi="宋体" w:cs="Arial"/>
          <w:kern w:val="0"/>
          <w:szCs w:val="21"/>
        </w:rPr>
        <w:t>个工作日内从基金财产中一次性支付给基金托管人。</w:t>
      </w:r>
    </w:p>
    <w:p w14:paraId="55A12041"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2</w:t>
      </w:r>
      <w:r>
        <w:rPr>
          <w:rFonts w:ascii="Arial" w:hAnsi="宋体" w:cs="Arial" w:hint="eastAsia"/>
          <w:kern w:val="0"/>
          <w:szCs w:val="21"/>
        </w:rPr>
        <w:t>、</w:t>
      </w:r>
      <w:r>
        <w:rPr>
          <w:rFonts w:ascii="Arial" w:hAnsi="宋体" w:cs="Arial"/>
          <w:kern w:val="0"/>
          <w:szCs w:val="21"/>
        </w:rPr>
        <w:t>不列入基金费用的项目</w:t>
      </w:r>
    </w:p>
    <w:p w14:paraId="215F47C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本条第（一）款约定以外的其他费用，基金管理人和基金托管人因未履行或未完全履行义务导致的费用支出或基金财产的损失，以及处理与基金运作无关的事项发生的费用等不列入基金费用。</w:t>
      </w:r>
    </w:p>
    <w:p w14:paraId="5F51D29E"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3</w:t>
      </w:r>
      <w:r>
        <w:rPr>
          <w:rFonts w:ascii="Arial" w:hAnsi="宋体" w:cs="Arial" w:hint="eastAsia"/>
          <w:kern w:val="0"/>
          <w:szCs w:val="21"/>
        </w:rPr>
        <w:t>、</w:t>
      </w:r>
      <w:r>
        <w:rPr>
          <w:rFonts w:ascii="Arial" w:hAnsi="宋体" w:cs="Arial"/>
          <w:kern w:val="0"/>
          <w:szCs w:val="21"/>
        </w:rPr>
        <w:t>基金费用调整</w:t>
      </w:r>
    </w:p>
    <w:p w14:paraId="6109E71D"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kern w:val="0"/>
          <w:szCs w:val="21"/>
        </w:rPr>
        <w:t>基金管理人和基金托管人可协商酌情调低基金管理费、基金托管费，无须召开基金份额持有人大会。</w:t>
      </w:r>
    </w:p>
    <w:p w14:paraId="53F43D11" w14:textId="3519C8A1" w:rsidR="00F50C35" w:rsidRDefault="00FB66DA">
      <w:pPr>
        <w:snapToGrid w:val="0"/>
        <w:spacing w:line="360" w:lineRule="auto"/>
        <w:ind w:firstLineChars="200" w:firstLine="420"/>
        <w:rPr>
          <w:rFonts w:ascii="Arial" w:hAnsi="Arial" w:cs="Arial"/>
        </w:rPr>
      </w:pPr>
      <w:r>
        <w:rPr>
          <w:rFonts w:ascii="Arial" w:hAnsi="Arial" w:cs="Arial"/>
        </w:rPr>
        <w:t>基金管理人必须最迟于新的费率实施日前</w:t>
      </w:r>
      <w:r>
        <w:rPr>
          <w:rFonts w:ascii="Arial" w:hAnsi="Arial" w:cs="Arial"/>
        </w:rPr>
        <w:t>2</w:t>
      </w:r>
      <w:r>
        <w:rPr>
          <w:rFonts w:ascii="Arial" w:hAnsi="Arial" w:cs="Arial"/>
        </w:rPr>
        <w:t>日在指定媒介公告。</w:t>
      </w:r>
    </w:p>
    <w:p w14:paraId="5BD7A6D7" w14:textId="77777777" w:rsidR="00F50C35" w:rsidRDefault="00FB66DA">
      <w:pPr>
        <w:pStyle w:val="2"/>
        <w:snapToGrid w:val="0"/>
        <w:spacing w:before="0" w:after="0" w:line="360" w:lineRule="auto"/>
        <w:ind w:firstLineChars="202" w:firstLine="425"/>
        <w:rPr>
          <w:rFonts w:eastAsia="宋体" w:hAnsi="宋体" w:cs="Arial"/>
          <w:kern w:val="0"/>
          <w:sz w:val="21"/>
          <w:szCs w:val="21"/>
        </w:rPr>
      </w:pPr>
      <w:bookmarkStart w:id="107" w:name="_Toc266369099"/>
      <w:bookmarkStart w:id="108" w:name="_Toc253128723"/>
      <w:r>
        <w:rPr>
          <w:rFonts w:eastAsia="宋体" w:hAnsi="宋体" w:cs="Arial" w:hint="eastAsia"/>
          <w:kern w:val="0"/>
          <w:sz w:val="21"/>
          <w:szCs w:val="21"/>
        </w:rPr>
        <w:t>（五）基金财产的投资方向和投资限制</w:t>
      </w:r>
      <w:bookmarkEnd w:id="107"/>
      <w:bookmarkEnd w:id="108"/>
    </w:p>
    <w:p w14:paraId="7B2874F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、投资范围</w:t>
      </w:r>
    </w:p>
    <w:p w14:paraId="5A1D543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本基金主要投资于具有良好流动性的境外相关金融工具。</w:t>
      </w:r>
    </w:p>
    <w:p w14:paraId="3235C73C"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主要投资范围具体包括：银行存款、可转让存单、银行承兑汇票、银行票据、商业票据、回购协议、短期政府债券等货币市场工具；政府债券、公司债券、可转换债券、住房按揭支持证券、资产支持证券等及经中国证监会认可的国际金融组织发行的证券；境外证券市场挂牌交易的普通股、优先股、全球存托凭证和美国存托凭证、房地产信托凭证；法律法规允许的、在已与中国证监会签署双边监管合作谅解备忘录的国家或地区证券监管机构登记注册的公募基金（包括</w:t>
      </w:r>
      <w:r>
        <w:rPr>
          <w:rFonts w:ascii="Arial" w:hAnsi="宋体" w:cs="Arial" w:hint="eastAsia"/>
          <w:color w:val="000000"/>
          <w:szCs w:val="21"/>
        </w:rPr>
        <w:t>ETF</w:t>
      </w:r>
      <w:r>
        <w:rPr>
          <w:rFonts w:ascii="Arial" w:hAnsi="宋体" w:cs="Arial" w:hint="eastAsia"/>
          <w:color w:val="000000"/>
          <w:szCs w:val="21"/>
        </w:rPr>
        <w:t>）；与固定收益、股权、信用、商品指数、基金等标的物挂钩的结构性投资产品；远期合约、互换及经中国证监会认可的境外交易所上市交易的权证、期权、期货等金融衍生产品；中国证监会允许基金投资的其他金融工具。</w:t>
      </w:r>
    </w:p>
    <w:p w14:paraId="5429142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如果法律法规或监管机构以后允许基金投资其他品种，本基金管理人在履行适当程序后，可以将其纳入本基金的投资范围。</w:t>
      </w:r>
    </w:p>
    <w:p w14:paraId="46F7D1D9"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本基金的基金投资（含</w:t>
      </w:r>
      <w:r>
        <w:rPr>
          <w:rFonts w:ascii="Arial" w:hAnsi="宋体" w:cs="Arial" w:hint="eastAsia"/>
          <w:color w:val="000000"/>
          <w:szCs w:val="21"/>
        </w:rPr>
        <w:t>ETF</w:t>
      </w:r>
      <w:r>
        <w:rPr>
          <w:rFonts w:ascii="Arial" w:hAnsi="宋体" w:cs="Arial" w:hint="eastAsia"/>
          <w:color w:val="000000"/>
          <w:szCs w:val="21"/>
        </w:rPr>
        <w:t>）比例不低于基金资产的</w:t>
      </w:r>
      <w:r>
        <w:rPr>
          <w:rFonts w:ascii="Arial" w:hAnsi="宋体" w:cs="Arial" w:hint="eastAsia"/>
          <w:color w:val="000000"/>
          <w:szCs w:val="21"/>
        </w:rPr>
        <w:t>60%</w:t>
      </w:r>
      <w:r>
        <w:rPr>
          <w:rFonts w:ascii="Arial" w:hAnsi="宋体" w:cs="Arial" w:hint="eastAsia"/>
          <w:color w:val="000000"/>
          <w:szCs w:val="21"/>
        </w:rPr>
        <w:t>，其中不低于</w:t>
      </w:r>
      <w:r>
        <w:rPr>
          <w:rFonts w:ascii="Arial" w:hAnsi="宋体" w:cs="Arial" w:hint="eastAsia"/>
          <w:color w:val="000000"/>
          <w:szCs w:val="21"/>
        </w:rPr>
        <w:t>80%</w:t>
      </w:r>
      <w:r>
        <w:rPr>
          <w:rFonts w:ascii="Arial" w:hAnsi="宋体" w:cs="Arial" w:hint="eastAsia"/>
          <w:color w:val="000000"/>
          <w:szCs w:val="21"/>
        </w:rPr>
        <w:t>投资于抗通胀相关主题的基金。除基金投资外的其他投资包括股票等权益类资产、债券等固定收益类资产、现金、货币市场工具、权证、期权、期货、远期、互换等金融衍生产品以及相关法律法规或中国证监会允许投资的其他金融工具投资比例合计不高于基金资产的</w:t>
      </w:r>
      <w:r>
        <w:rPr>
          <w:rFonts w:ascii="Arial" w:hAnsi="宋体" w:cs="Arial" w:hint="eastAsia"/>
          <w:color w:val="000000"/>
          <w:szCs w:val="21"/>
        </w:rPr>
        <w:t>40%</w:t>
      </w:r>
      <w:r>
        <w:rPr>
          <w:rFonts w:ascii="Arial" w:hAnsi="宋体" w:cs="Arial" w:hint="eastAsia"/>
          <w:color w:val="000000"/>
          <w:szCs w:val="21"/>
        </w:rPr>
        <w:t>，其中现金或者到期日在一年以内的政府债券不低于基金资产净值的</w:t>
      </w:r>
      <w:r>
        <w:rPr>
          <w:rFonts w:ascii="Arial" w:hAnsi="宋体" w:cs="Arial" w:hint="eastAsia"/>
          <w:color w:val="000000"/>
          <w:szCs w:val="21"/>
        </w:rPr>
        <w:t>5%</w:t>
      </w:r>
      <w:r>
        <w:rPr>
          <w:rFonts w:ascii="Arial" w:hAnsi="宋体" w:cs="Arial" w:hint="eastAsia"/>
          <w:color w:val="000000"/>
          <w:szCs w:val="21"/>
        </w:rPr>
        <w:t>，其中，现金不包括结算备付金、存出保证金、应收申购款等。抗通胀相关主题的基金主要包括大宗商品类</w:t>
      </w:r>
      <w:r>
        <w:rPr>
          <w:rFonts w:ascii="Arial" w:hAnsi="宋体" w:cs="Arial" w:hint="eastAsia"/>
          <w:color w:val="000000"/>
          <w:szCs w:val="21"/>
        </w:rPr>
        <w:t>ETF</w:t>
      </w:r>
      <w:r>
        <w:rPr>
          <w:rFonts w:ascii="Arial" w:hAnsi="宋体" w:cs="Arial" w:hint="eastAsia"/>
          <w:color w:val="000000"/>
          <w:szCs w:val="21"/>
        </w:rPr>
        <w:t>，可细分为跟踪大宗商品综合指数，跟踪分类大宗商品指数如贵金属类、农产品类、能源类和工</w:t>
      </w:r>
      <w:r>
        <w:rPr>
          <w:rFonts w:ascii="Arial" w:hAnsi="宋体" w:cs="Arial" w:hint="eastAsia"/>
          <w:color w:val="000000"/>
          <w:szCs w:val="21"/>
        </w:rPr>
        <w:lastRenderedPageBreak/>
        <w:t>业金属类等或单个商品的</w:t>
      </w:r>
      <w:r>
        <w:rPr>
          <w:rFonts w:ascii="Arial" w:hAnsi="宋体" w:cs="Arial" w:hint="eastAsia"/>
          <w:color w:val="000000"/>
          <w:szCs w:val="21"/>
        </w:rPr>
        <w:t>ETF</w:t>
      </w:r>
      <w:r>
        <w:rPr>
          <w:rFonts w:ascii="Arial" w:hAnsi="宋体" w:cs="Arial" w:hint="eastAsia"/>
          <w:color w:val="000000"/>
          <w:szCs w:val="21"/>
        </w:rPr>
        <w:t>；业绩比较基准</w:t>
      </w:r>
      <w:r>
        <w:rPr>
          <w:rFonts w:ascii="Arial" w:hAnsi="宋体" w:cs="Arial" w:hint="eastAsia"/>
          <w:color w:val="000000"/>
          <w:szCs w:val="21"/>
        </w:rPr>
        <w:t>90%</w:t>
      </w:r>
      <w:r>
        <w:rPr>
          <w:rFonts w:ascii="Arial" w:hAnsi="宋体" w:cs="Arial" w:hint="eastAsia"/>
          <w:color w:val="000000"/>
          <w:szCs w:val="21"/>
        </w:rPr>
        <w:t>以上是商品指数的共同基金；主要投资于通货膨胀保护债券的</w:t>
      </w:r>
      <w:r>
        <w:rPr>
          <w:rFonts w:ascii="Arial" w:hAnsi="宋体" w:cs="Arial" w:hint="eastAsia"/>
          <w:color w:val="000000"/>
          <w:szCs w:val="21"/>
        </w:rPr>
        <w:t>ETF</w:t>
      </w:r>
      <w:r>
        <w:rPr>
          <w:rFonts w:ascii="Arial" w:hAnsi="宋体" w:cs="Arial" w:hint="eastAsia"/>
          <w:color w:val="000000"/>
          <w:szCs w:val="21"/>
        </w:rPr>
        <w:t>或债券型基金；以及主要投资于自然资源类公司股票的</w:t>
      </w:r>
      <w:r>
        <w:rPr>
          <w:rFonts w:ascii="Arial" w:hAnsi="宋体" w:cs="Arial" w:hint="eastAsia"/>
          <w:color w:val="000000"/>
          <w:szCs w:val="21"/>
        </w:rPr>
        <w:t>ETF</w:t>
      </w:r>
      <w:r>
        <w:rPr>
          <w:rFonts w:ascii="Arial" w:hAnsi="宋体" w:cs="Arial" w:hint="eastAsia"/>
          <w:color w:val="000000"/>
          <w:szCs w:val="21"/>
        </w:rPr>
        <w:t>和共同基金。</w:t>
      </w:r>
    </w:p>
    <w:p w14:paraId="2C3A40F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若法律法规或监管机构允许，本基金在履行适当程序后，可以调整上述投资比例。</w:t>
      </w:r>
    </w:p>
    <w:p w14:paraId="51DAC9A6"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、投资限制</w:t>
      </w:r>
    </w:p>
    <w:p w14:paraId="5176CC8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w:t>
      </w:r>
      <w:r>
        <w:rPr>
          <w:rFonts w:ascii="Arial" w:hAnsi="宋体" w:cs="Arial" w:hint="eastAsia"/>
          <w:color w:val="000000"/>
          <w:szCs w:val="21"/>
        </w:rPr>
        <w:t>）本基金不得违反基金合同关于投资范围和投资比例的约定；</w:t>
      </w:r>
    </w:p>
    <w:p w14:paraId="559248F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2</w:t>
      </w:r>
      <w:r>
        <w:rPr>
          <w:rFonts w:ascii="Arial" w:hAnsi="宋体" w:cs="Arial" w:hint="eastAsia"/>
          <w:color w:val="000000"/>
          <w:szCs w:val="21"/>
        </w:rPr>
        <w:t>）本基金持有同一家银行的存款不得超过基金资产净值的</w:t>
      </w:r>
      <w:r>
        <w:rPr>
          <w:rFonts w:ascii="Arial" w:hAnsi="宋体" w:cs="Arial" w:hint="eastAsia"/>
          <w:color w:val="000000"/>
          <w:szCs w:val="21"/>
        </w:rPr>
        <w:t>20%</w:t>
      </w:r>
      <w:r>
        <w:rPr>
          <w:rFonts w:ascii="Arial" w:hAnsi="宋体" w:cs="Arial" w:hint="eastAsia"/>
          <w:color w:val="000000"/>
          <w:szCs w:val="21"/>
        </w:rPr>
        <w:t>。在基金托管账户的存款可以不受上述限制；</w:t>
      </w:r>
    </w:p>
    <w:p w14:paraId="6805FC5A"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3</w:t>
      </w:r>
      <w:r>
        <w:rPr>
          <w:rFonts w:ascii="Arial" w:hAnsi="宋体" w:cs="Arial" w:hint="eastAsia"/>
          <w:color w:val="000000"/>
          <w:szCs w:val="21"/>
        </w:rPr>
        <w:t>）本基金持有同一机构（政府、国际金融组织除外）发行的证券市值不得超过基金资产净值的</w:t>
      </w:r>
      <w:r>
        <w:rPr>
          <w:rFonts w:ascii="Arial" w:hAnsi="宋体" w:cs="Arial" w:hint="eastAsia"/>
          <w:color w:val="000000"/>
          <w:szCs w:val="21"/>
        </w:rPr>
        <w:t>10%</w:t>
      </w:r>
      <w:r>
        <w:rPr>
          <w:rFonts w:ascii="Arial" w:hAnsi="宋体" w:cs="Arial" w:hint="eastAsia"/>
          <w:color w:val="000000"/>
          <w:szCs w:val="21"/>
        </w:rPr>
        <w:t>；</w:t>
      </w:r>
    </w:p>
    <w:p w14:paraId="48AEF39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4</w:t>
      </w:r>
      <w:r>
        <w:rPr>
          <w:rFonts w:ascii="Arial" w:hAnsi="宋体" w:cs="Arial" w:hint="eastAsia"/>
          <w:color w:val="000000"/>
          <w:szCs w:val="21"/>
        </w:rPr>
        <w:t>）本基金持有与中国证监会签署双边监管合作谅解备忘录国家或地区以外的其他国家或地区证券市场挂牌交易的证券资产不得超过基金资产净值的</w:t>
      </w:r>
      <w:r>
        <w:rPr>
          <w:rFonts w:ascii="Arial" w:hAnsi="宋体" w:cs="Arial" w:hint="eastAsia"/>
          <w:color w:val="000000"/>
          <w:szCs w:val="21"/>
        </w:rPr>
        <w:t>10%</w:t>
      </w:r>
      <w:r>
        <w:rPr>
          <w:rFonts w:ascii="Arial" w:hAnsi="宋体" w:cs="Arial" w:hint="eastAsia"/>
          <w:color w:val="000000"/>
          <w:szCs w:val="21"/>
        </w:rPr>
        <w:t>，其中持有任一国家或地区市场的证券资产不得超过基金资产净值的</w:t>
      </w:r>
      <w:r>
        <w:rPr>
          <w:rFonts w:ascii="Arial" w:hAnsi="宋体" w:cs="Arial" w:hint="eastAsia"/>
          <w:color w:val="000000"/>
          <w:szCs w:val="21"/>
        </w:rPr>
        <w:t>3%</w:t>
      </w:r>
      <w:r>
        <w:rPr>
          <w:rFonts w:ascii="Arial" w:hAnsi="宋体" w:cs="Arial" w:hint="eastAsia"/>
          <w:color w:val="000000"/>
          <w:szCs w:val="21"/>
        </w:rPr>
        <w:t>；</w:t>
      </w:r>
    </w:p>
    <w:p w14:paraId="7AC4D5F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5</w:t>
      </w:r>
      <w:r>
        <w:rPr>
          <w:rFonts w:ascii="Arial" w:hAnsi="宋体" w:cs="Arial" w:hint="eastAsia"/>
          <w:color w:val="000000"/>
          <w:szCs w:val="21"/>
        </w:rPr>
        <w:t>）本基金与本基金管理人管理的全部基金持有同一机构具有投票权的证券总量不超过该机构发行的具有投票权证券总量的</w:t>
      </w:r>
      <w:r>
        <w:rPr>
          <w:rFonts w:ascii="Arial" w:hAnsi="宋体" w:cs="Arial" w:hint="eastAsia"/>
          <w:color w:val="000000"/>
          <w:szCs w:val="21"/>
        </w:rPr>
        <w:t>10%</w:t>
      </w:r>
      <w:r>
        <w:rPr>
          <w:rFonts w:ascii="Arial" w:hAnsi="宋体" w:cs="Arial" w:hint="eastAsia"/>
          <w:color w:val="000000"/>
          <w:szCs w:val="21"/>
        </w:rPr>
        <w:t>。同一机构境内外上市的总股本将合并计算，同时全球存托凭证和美国存托凭证所代表的基础证券将一并计算，并假设对持有的股本权证行使转换；</w:t>
      </w:r>
    </w:p>
    <w:p w14:paraId="6C50DE8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6</w:t>
      </w:r>
      <w:r>
        <w:rPr>
          <w:rFonts w:ascii="Arial" w:hAnsi="宋体" w:cs="Arial" w:hint="eastAsia"/>
          <w:color w:val="000000"/>
          <w:szCs w:val="21"/>
        </w:rPr>
        <w:t>）本基金持有非流动性资产市值不得超过基金资产净值的</w:t>
      </w:r>
      <w:r>
        <w:rPr>
          <w:rFonts w:ascii="Arial" w:hAnsi="宋体" w:cs="Arial" w:hint="eastAsia"/>
          <w:color w:val="000000"/>
          <w:szCs w:val="21"/>
        </w:rPr>
        <w:t>10%</w:t>
      </w:r>
      <w:r>
        <w:rPr>
          <w:rFonts w:ascii="Arial" w:hAnsi="宋体" w:cs="Arial" w:hint="eastAsia"/>
          <w:color w:val="000000"/>
          <w:szCs w:val="21"/>
        </w:rPr>
        <w:t>。前项非流动性资产是指法律或基金合同规定的流通受限证券以及中国证监会认定的其他资产；</w:t>
      </w:r>
    </w:p>
    <w:p w14:paraId="75751E9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7</w:t>
      </w:r>
      <w:r>
        <w:rPr>
          <w:rFonts w:ascii="Arial" w:hAnsi="宋体" w:cs="Arial" w:hint="eastAsia"/>
          <w:color w:val="000000"/>
          <w:szCs w:val="21"/>
        </w:rPr>
        <w:t>）同一基金管理人管理的全部基金持有任何一只境外基金，不得超过该境外基金总份额的</w:t>
      </w:r>
      <w:r>
        <w:rPr>
          <w:rFonts w:ascii="Arial" w:hAnsi="宋体" w:cs="Arial" w:hint="eastAsia"/>
          <w:color w:val="000000"/>
          <w:szCs w:val="21"/>
        </w:rPr>
        <w:t>20%</w:t>
      </w:r>
      <w:r>
        <w:rPr>
          <w:rFonts w:ascii="Arial" w:hAnsi="宋体" w:cs="Arial" w:hint="eastAsia"/>
          <w:color w:val="000000"/>
          <w:szCs w:val="21"/>
        </w:rPr>
        <w:t>；</w:t>
      </w:r>
    </w:p>
    <w:p w14:paraId="29230FA0"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8</w:t>
      </w:r>
      <w:r>
        <w:rPr>
          <w:rFonts w:ascii="Arial" w:hAnsi="宋体" w:cs="Arial" w:hint="eastAsia"/>
          <w:color w:val="000000"/>
          <w:szCs w:val="21"/>
        </w:rPr>
        <w:t>）关于投资基金的限制</w:t>
      </w:r>
    </w:p>
    <w:p w14:paraId="411B2A5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）每只境外基金投资比例不超过本基金资产净值的</w:t>
      </w:r>
      <w:r>
        <w:rPr>
          <w:rFonts w:ascii="Arial" w:hAnsi="宋体" w:cs="Arial" w:hint="eastAsia"/>
          <w:color w:val="000000"/>
          <w:szCs w:val="21"/>
        </w:rPr>
        <w:t>20%</w:t>
      </w:r>
      <w:r>
        <w:rPr>
          <w:rFonts w:ascii="Arial" w:hAnsi="宋体" w:cs="Arial" w:hint="eastAsia"/>
          <w:color w:val="000000"/>
          <w:szCs w:val="21"/>
        </w:rPr>
        <w:t>。本基金投资境外伞型基金的，该伞型基金应当视为一只基金；</w:t>
      </w:r>
    </w:p>
    <w:p w14:paraId="4A3434C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）基金中基金不得投资于以下基金：</w:t>
      </w:r>
    </w:p>
    <w:p w14:paraId="4FDA9D93"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A.</w:t>
      </w:r>
      <w:r>
        <w:rPr>
          <w:rFonts w:ascii="Arial" w:hAnsi="宋体" w:cs="Arial" w:hint="eastAsia"/>
          <w:color w:val="000000"/>
          <w:szCs w:val="21"/>
        </w:rPr>
        <w:t>其他基金中基金；</w:t>
      </w:r>
    </w:p>
    <w:p w14:paraId="10DBE8F9"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B.</w:t>
      </w:r>
      <w:r>
        <w:rPr>
          <w:rFonts w:ascii="Arial" w:hAnsi="宋体" w:cs="Arial" w:hint="eastAsia"/>
          <w:color w:val="000000"/>
          <w:szCs w:val="21"/>
        </w:rPr>
        <w:t>联接基金（</w:t>
      </w:r>
      <w:r>
        <w:rPr>
          <w:rFonts w:ascii="Arial" w:hAnsi="宋体" w:cs="Arial" w:hint="eastAsia"/>
          <w:color w:val="000000"/>
          <w:szCs w:val="21"/>
        </w:rPr>
        <w:t>A Feeder Fund</w:t>
      </w:r>
      <w:r>
        <w:rPr>
          <w:rFonts w:ascii="Arial" w:hAnsi="宋体" w:cs="Arial" w:hint="eastAsia"/>
          <w:color w:val="000000"/>
          <w:szCs w:val="21"/>
        </w:rPr>
        <w:t>）；</w:t>
      </w:r>
    </w:p>
    <w:p w14:paraId="5F85406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C.</w:t>
      </w:r>
      <w:r>
        <w:rPr>
          <w:rFonts w:ascii="Arial" w:hAnsi="宋体" w:cs="Arial" w:hint="eastAsia"/>
          <w:color w:val="000000"/>
          <w:szCs w:val="21"/>
        </w:rPr>
        <w:t>投资于前述两项基金的伞型基金子基金；</w:t>
      </w:r>
    </w:p>
    <w:p w14:paraId="1604356A"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9</w:t>
      </w:r>
      <w:r>
        <w:rPr>
          <w:rFonts w:ascii="Arial" w:hAnsi="宋体" w:cs="Arial" w:hint="eastAsia"/>
          <w:color w:val="000000"/>
          <w:szCs w:val="21"/>
        </w:rPr>
        <w:t>）本基金投资衍生品应当遵守下列规定：</w:t>
      </w:r>
    </w:p>
    <w:p w14:paraId="3A81EB5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）本基金的金融衍生品全部敞口不得高于基金资产净值的</w:t>
      </w:r>
      <w:r>
        <w:rPr>
          <w:rFonts w:ascii="Arial" w:hAnsi="宋体" w:cs="Arial" w:hint="eastAsia"/>
          <w:color w:val="000000"/>
          <w:szCs w:val="21"/>
        </w:rPr>
        <w:t>100%</w:t>
      </w:r>
      <w:r>
        <w:rPr>
          <w:rFonts w:ascii="Arial" w:hAnsi="宋体" w:cs="Arial" w:hint="eastAsia"/>
          <w:color w:val="000000"/>
          <w:szCs w:val="21"/>
        </w:rPr>
        <w:t>；</w:t>
      </w:r>
    </w:p>
    <w:p w14:paraId="252F300B"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）本基金投资期货支付的初始保证金、投资期权支付或收取的期权费、投资柜台交易衍生品支付的初始费用的总额不得高于基金资产净值的</w:t>
      </w:r>
      <w:r>
        <w:rPr>
          <w:rFonts w:ascii="Arial" w:hAnsi="宋体" w:cs="Arial" w:hint="eastAsia"/>
          <w:color w:val="000000"/>
          <w:szCs w:val="21"/>
        </w:rPr>
        <w:t>10%</w:t>
      </w:r>
      <w:r>
        <w:rPr>
          <w:rFonts w:ascii="Arial" w:hAnsi="宋体" w:cs="Arial" w:hint="eastAsia"/>
          <w:color w:val="000000"/>
          <w:szCs w:val="21"/>
        </w:rPr>
        <w:t>；</w:t>
      </w:r>
    </w:p>
    <w:p w14:paraId="1E52E6F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）本基金投资于远期合约、互换等柜台交易金融衍生品，应当符合以下要求：</w:t>
      </w:r>
    </w:p>
    <w:p w14:paraId="6D7485AC"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A.</w:t>
      </w:r>
      <w:r>
        <w:rPr>
          <w:rFonts w:ascii="Arial" w:hAnsi="宋体" w:cs="Arial" w:hint="eastAsia"/>
          <w:color w:val="000000"/>
          <w:szCs w:val="21"/>
        </w:rPr>
        <w:t>所有参与交易的对手方（中资商业银行除外）应当具有不低于中国证监会认可的信用</w:t>
      </w:r>
      <w:r>
        <w:rPr>
          <w:rFonts w:ascii="Arial" w:hAnsi="宋体" w:cs="Arial" w:hint="eastAsia"/>
          <w:color w:val="000000"/>
          <w:szCs w:val="21"/>
        </w:rPr>
        <w:lastRenderedPageBreak/>
        <w:t>评级机构评级；</w:t>
      </w:r>
    </w:p>
    <w:p w14:paraId="2A390AC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B.</w:t>
      </w:r>
      <w:r>
        <w:rPr>
          <w:rFonts w:ascii="Arial" w:hAnsi="宋体" w:cs="Arial" w:hint="eastAsia"/>
          <w:color w:val="000000"/>
          <w:szCs w:val="21"/>
        </w:rPr>
        <w:t>交易对手方应当至少每个工作日对交易进行估值，并且基金可在任何时候以公允价值终止交易；</w:t>
      </w:r>
    </w:p>
    <w:p w14:paraId="696022E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C.</w:t>
      </w:r>
      <w:r>
        <w:rPr>
          <w:rFonts w:ascii="Arial" w:hAnsi="宋体" w:cs="Arial" w:hint="eastAsia"/>
          <w:color w:val="000000"/>
          <w:szCs w:val="21"/>
        </w:rPr>
        <w:t>任一交易对手方的市值计价敞口不得超过基金资产净值的</w:t>
      </w:r>
      <w:r>
        <w:rPr>
          <w:rFonts w:ascii="Arial" w:hAnsi="宋体" w:cs="Arial" w:hint="eastAsia"/>
          <w:color w:val="000000"/>
          <w:szCs w:val="21"/>
        </w:rPr>
        <w:t>20%</w:t>
      </w:r>
      <w:r>
        <w:rPr>
          <w:rFonts w:ascii="Arial" w:hAnsi="宋体" w:cs="Arial" w:hint="eastAsia"/>
          <w:color w:val="000000"/>
          <w:szCs w:val="21"/>
        </w:rPr>
        <w:t>；</w:t>
      </w:r>
    </w:p>
    <w:p w14:paraId="2828D0B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4</w:t>
      </w:r>
      <w:r>
        <w:rPr>
          <w:rFonts w:ascii="Arial" w:hAnsi="宋体" w:cs="Arial" w:hint="eastAsia"/>
          <w:color w:val="000000"/>
          <w:szCs w:val="21"/>
        </w:rPr>
        <w:t>）本基金不得直接投资与实物商品相关的衍生品；</w:t>
      </w:r>
    </w:p>
    <w:p w14:paraId="40DCB90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基金管理人应当在本基金会计年度结束后</w:t>
      </w:r>
      <w:r>
        <w:rPr>
          <w:rFonts w:ascii="Arial" w:hAnsi="宋体" w:cs="Arial" w:hint="eastAsia"/>
          <w:color w:val="000000"/>
          <w:szCs w:val="21"/>
        </w:rPr>
        <w:t>60</w:t>
      </w:r>
      <w:r>
        <w:rPr>
          <w:rFonts w:ascii="Arial" w:hAnsi="宋体" w:cs="Arial" w:hint="eastAsia"/>
          <w:color w:val="000000"/>
          <w:szCs w:val="21"/>
        </w:rPr>
        <w:t>个工作日内向中国证监会提交包括衍生品头寸及风险分析年度报告；</w:t>
      </w:r>
    </w:p>
    <w:p w14:paraId="6EB4121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10</w:t>
      </w:r>
      <w:r>
        <w:rPr>
          <w:rFonts w:ascii="Arial" w:hAnsi="宋体" w:cs="Arial" w:hint="eastAsia"/>
          <w:color w:val="000000"/>
          <w:szCs w:val="21"/>
        </w:rPr>
        <w:t>）本基金可以参与证券借贷交易，并且应当遵守下列规定：</w:t>
      </w:r>
    </w:p>
    <w:p w14:paraId="0D280668"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）所有参与交易的对手方（中资商业银行除外）应当具有中国证监会认可的信用评级机构评级；</w:t>
      </w:r>
    </w:p>
    <w:p w14:paraId="538A80D9"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）应当采取市值计价制度进行调整以确保担保物市值不低于已借出证券市值的</w:t>
      </w:r>
      <w:r>
        <w:rPr>
          <w:rFonts w:ascii="Arial" w:hAnsi="宋体" w:cs="Arial" w:hint="eastAsia"/>
          <w:color w:val="000000"/>
          <w:szCs w:val="21"/>
        </w:rPr>
        <w:t>102%</w:t>
      </w:r>
      <w:r>
        <w:rPr>
          <w:rFonts w:ascii="Arial" w:hAnsi="宋体" w:cs="Arial" w:hint="eastAsia"/>
          <w:color w:val="000000"/>
          <w:szCs w:val="21"/>
        </w:rPr>
        <w:t>；</w:t>
      </w:r>
    </w:p>
    <w:p w14:paraId="037DE019"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）借方应当在交易期内及时向本基金支付已借出证券产生的所有股息、利息和分红。一旦借方违约，本基金根据协议和有关法律有权保留和处置担保物以满足索赔需要；</w:t>
      </w:r>
    </w:p>
    <w:p w14:paraId="0F0ADBB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4</w:t>
      </w:r>
      <w:r>
        <w:rPr>
          <w:rFonts w:ascii="Arial" w:hAnsi="宋体" w:cs="Arial" w:hint="eastAsia"/>
          <w:color w:val="000000"/>
          <w:szCs w:val="21"/>
        </w:rPr>
        <w:t>）除中国证监会另有规定外，担保物可以是以下金融工具或品种：</w:t>
      </w:r>
    </w:p>
    <w:p w14:paraId="2E9B39D8"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A.</w:t>
      </w:r>
      <w:r>
        <w:rPr>
          <w:rFonts w:ascii="Arial" w:hAnsi="宋体" w:cs="Arial" w:hint="eastAsia"/>
          <w:color w:val="000000"/>
          <w:szCs w:val="21"/>
        </w:rPr>
        <w:t>现金；</w:t>
      </w:r>
    </w:p>
    <w:p w14:paraId="1406E8D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B.</w:t>
      </w:r>
      <w:r>
        <w:rPr>
          <w:rFonts w:ascii="Arial" w:hAnsi="宋体" w:cs="Arial" w:hint="eastAsia"/>
          <w:color w:val="000000"/>
          <w:szCs w:val="21"/>
        </w:rPr>
        <w:t>存款证明；</w:t>
      </w:r>
    </w:p>
    <w:p w14:paraId="681E492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C.</w:t>
      </w:r>
      <w:r>
        <w:rPr>
          <w:rFonts w:ascii="Arial" w:hAnsi="宋体" w:cs="Arial" w:hint="eastAsia"/>
          <w:color w:val="000000"/>
          <w:szCs w:val="21"/>
        </w:rPr>
        <w:t>商业票据；</w:t>
      </w:r>
    </w:p>
    <w:p w14:paraId="6CE8617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D.</w:t>
      </w:r>
      <w:r>
        <w:rPr>
          <w:rFonts w:ascii="Arial" w:hAnsi="宋体" w:cs="Arial" w:hint="eastAsia"/>
          <w:color w:val="000000"/>
          <w:szCs w:val="21"/>
        </w:rPr>
        <w:t>政府债券；</w:t>
      </w:r>
    </w:p>
    <w:p w14:paraId="29EFC9FB"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E.</w:t>
      </w:r>
      <w:r>
        <w:rPr>
          <w:rFonts w:ascii="Arial" w:hAnsi="宋体" w:cs="Arial" w:hint="eastAsia"/>
          <w:color w:val="000000"/>
          <w:szCs w:val="21"/>
        </w:rPr>
        <w:t>中资商业银行或由不低于中国证监会认可的信用评级机构评级的境外金融机构（作为交易对手方或其关联方的除外）出具的不可撤销信用证；</w:t>
      </w:r>
    </w:p>
    <w:p w14:paraId="6F245B0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5</w:t>
      </w:r>
      <w:r>
        <w:rPr>
          <w:rFonts w:ascii="Arial" w:hAnsi="宋体" w:cs="Arial" w:hint="eastAsia"/>
          <w:color w:val="000000"/>
          <w:szCs w:val="21"/>
        </w:rPr>
        <w:t>）本基金有权在任何时候终止证券借贷交易并在正常市场惯例的合理期限内要求归还任一或所有已借出的证券；</w:t>
      </w:r>
    </w:p>
    <w:p w14:paraId="60C5FCC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11</w:t>
      </w:r>
      <w:r>
        <w:rPr>
          <w:rFonts w:ascii="Arial" w:hAnsi="宋体" w:cs="Arial" w:hint="eastAsia"/>
          <w:color w:val="000000"/>
          <w:szCs w:val="21"/>
        </w:rPr>
        <w:t>）本基金可以根据正常市场惯例参与正回购交易、逆回购交易，并且应当遵守下列规定：</w:t>
      </w:r>
    </w:p>
    <w:p w14:paraId="267E5BD8"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）所有参与正回购交易的对手方（中资商业银行除外）应当具有中国证监会认可的信用评级机构信用评级；</w:t>
      </w:r>
    </w:p>
    <w:p w14:paraId="58963E3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）参与正回购交易，应当采取市值计价制度对卖出收益进行调整以确保现金不低于已售出证券市值的</w:t>
      </w:r>
      <w:r>
        <w:rPr>
          <w:rFonts w:ascii="Arial" w:hAnsi="宋体" w:cs="Arial" w:hint="eastAsia"/>
          <w:color w:val="000000"/>
          <w:szCs w:val="21"/>
        </w:rPr>
        <w:t>102%</w:t>
      </w:r>
      <w:r>
        <w:rPr>
          <w:rFonts w:ascii="Arial" w:hAnsi="宋体" w:cs="Arial" w:hint="eastAsia"/>
          <w:color w:val="000000"/>
          <w:szCs w:val="21"/>
        </w:rPr>
        <w:t>。一旦买方违约，本基金根据协议和有关法律有权保留或处置卖出收益以满足索赔需要；</w:t>
      </w:r>
    </w:p>
    <w:p w14:paraId="16DEA306"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）买方应当在正回购交易期内及时向本基金支付售出证券产生的所有股息、利息和分红；</w:t>
      </w:r>
    </w:p>
    <w:p w14:paraId="7620D02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4</w:t>
      </w:r>
      <w:r>
        <w:rPr>
          <w:rFonts w:ascii="Arial" w:hAnsi="宋体" w:cs="Arial" w:hint="eastAsia"/>
          <w:color w:val="000000"/>
          <w:szCs w:val="21"/>
        </w:rPr>
        <w:t>）参与逆回购交易，应当对购入证券采取市值计价制度进行调整以确保已购入证券市值不低于支付现金的</w:t>
      </w:r>
      <w:r>
        <w:rPr>
          <w:rFonts w:ascii="Arial" w:hAnsi="宋体" w:cs="Arial" w:hint="eastAsia"/>
          <w:color w:val="000000"/>
          <w:szCs w:val="21"/>
        </w:rPr>
        <w:t>102%</w:t>
      </w:r>
      <w:r>
        <w:rPr>
          <w:rFonts w:ascii="Arial" w:hAnsi="宋体" w:cs="Arial" w:hint="eastAsia"/>
          <w:color w:val="000000"/>
          <w:szCs w:val="21"/>
        </w:rPr>
        <w:t>。一旦卖方违约，本基金根据协议和有关法律有权保留或处置已购入证券以满足索赔需要；</w:t>
      </w:r>
    </w:p>
    <w:p w14:paraId="63DD6F9B"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lastRenderedPageBreak/>
        <w:t>（</w:t>
      </w:r>
      <w:r>
        <w:rPr>
          <w:rFonts w:ascii="Arial" w:hAnsi="宋体" w:cs="Arial" w:hint="eastAsia"/>
          <w:color w:val="000000"/>
          <w:szCs w:val="21"/>
        </w:rPr>
        <w:t>12</w:t>
      </w:r>
      <w:r>
        <w:rPr>
          <w:rFonts w:ascii="Arial" w:hAnsi="宋体" w:cs="Arial" w:hint="eastAsia"/>
          <w:color w:val="000000"/>
          <w:szCs w:val="21"/>
        </w:rPr>
        <w:t>）基金参与证券借贷交易、正回购交易，所有已借出而未归还证券总市值或所有已售出而未回购证券总市值均不得超过基金总资产的</w:t>
      </w:r>
      <w:r>
        <w:rPr>
          <w:rFonts w:ascii="Arial" w:hAnsi="宋体" w:cs="Arial" w:hint="eastAsia"/>
          <w:color w:val="000000"/>
          <w:szCs w:val="21"/>
        </w:rPr>
        <w:t>50%</w:t>
      </w:r>
      <w:r>
        <w:rPr>
          <w:rFonts w:ascii="Arial" w:hAnsi="宋体" w:cs="Arial" w:hint="eastAsia"/>
          <w:color w:val="000000"/>
          <w:szCs w:val="21"/>
        </w:rPr>
        <w:t>。</w:t>
      </w:r>
    </w:p>
    <w:p w14:paraId="410F839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13</w:t>
      </w:r>
      <w:r>
        <w:rPr>
          <w:rFonts w:ascii="Arial" w:hAnsi="宋体" w:cs="Arial" w:hint="eastAsia"/>
          <w:color w:val="000000"/>
          <w:szCs w:val="21"/>
        </w:rPr>
        <w:t>）本基金如果参与境内投资，还应当遵守以下限制：</w:t>
      </w:r>
    </w:p>
    <w:p w14:paraId="0B393D56"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）本基金管理人管理的全部开放式基金持有一家上市公司发行的可流通股票，不得超过该上市公司可流通股票的</w:t>
      </w:r>
      <w:r>
        <w:rPr>
          <w:rFonts w:ascii="Arial" w:hAnsi="宋体" w:cs="Arial" w:hint="eastAsia"/>
          <w:color w:val="000000"/>
          <w:szCs w:val="21"/>
        </w:rPr>
        <w:t>15%</w:t>
      </w:r>
      <w:r>
        <w:rPr>
          <w:rFonts w:ascii="Arial" w:hAnsi="宋体" w:cs="Arial" w:hint="eastAsia"/>
          <w:color w:val="000000"/>
          <w:szCs w:val="21"/>
        </w:rPr>
        <w:t>；本基金管理人管理的全部投资组合持有一家上市公司发行的可流通股票，不得超过该上市公司可流通股票的</w:t>
      </w:r>
      <w:r>
        <w:rPr>
          <w:rFonts w:ascii="Arial" w:hAnsi="宋体" w:cs="Arial" w:hint="eastAsia"/>
          <w:color w:val="000000"/>
          <w:szCs w:val="21"/>
        </w:rPr>
        <w:t>30 %</w:t>
      </w:r>
      <w:r>
        <w:rPr>
          <w:rFonts w:ascii="Arial" w:hAnsi="宋体" w:cs="Arial" w:hint="eastAsia"/>
          <w:color w:val="000000"/>
          <w:szCs w:val="21"/>
        </w:rPr>
        <w:t>；</w:t>
      </w:r>
    </w:p>
    <w:p w14:paraId="2DF2C62A"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因证券市场波动、上市公司合并、基金规模变动等基金管理人之外的因素致使基金投资不符合本款投资比例的，基金管理人应当在</w:t>
      </w:r>
      <w:r>
        <w:rPr>
          <w:rFonts w:ascii="Arial" w:hAnsi="宋体" w:cs="Arial" w:hint="eastAsia"/>
          <w:color w:val="000000"/>
          <w:szCs w:val="21"/>
        </w:rPr>
        <w:t>10</w:t>
      </w:r>
      <w:r>
        <w:rPr>
          <w:rFonts w:ascii="Arial" w:hAnsi="宋体" w:cs="Arial" w:hint="eastAsia"/>
          <w:color w:val="000000"/>
          <w:szCs w:val="21"/>
        </w:rPr>
        <w:t>个工作日内进行调整；</w:t>
      </w:r>
      <w:r>
        <w:rPr>
          <w:rFonts w:ascii="Arial" w:hAnsi="宋体" w:cs="Arial" w:hint="eastAsia"/>
          <w:color w:val="000000"/>
          <w:szCs w:val="21"/>
        </w:rPr>
        <w:t xml:space="preserve"> </w:t>
      </w:r>
    </w:p>
    <w:p w14:paraId="55A8FC6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）本基金主动投资于流动性受限资产的市值合计不得超过本基金资产净值的</w:t>
      </w:r>
      <w:r>
        <w:rPr>
          <w:rFonts w:ascii="Arial" w:hAnsi="宋体" w:cs="Arial" w:hint="eastAsia"/>
          <w:color w:val="000000"/>
          <w:szCs w:val="21"/>
        </w:rPr>
        <w:t xml:space="preserve">15% </w:t>
      </w:r>
      <w:r>
        <w:rPr>
          <w:rFonts w:ascii="Arial" w:hAnsi="宋体" w:cs="Arial" w:hint="eastAsia"/>
          <w:color w:val="000000"/>
          <w:szCs w:val="21"/>
        </w:rPr>
        <w:t>；</w:t>
      </w:r>
    </w:p>
    <w:p w14:paraId="4EE77EF0"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因证券市场波动、上市公司股票停牌、基金规模变动等基金管理人之外的因素致使基金不符合前款所规定比例限制的，基金管理人不得主动新增流动性受限资产的投资；。</w:t>
      </w:r>
    </w:p>
    <w:p w14:paraId="21FDABA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14</w:t>
      </w:r>
      <w:r>
        <w:rPr>
          <w:rFonts w:ascii="Arial" w:hAnsi="宋体" w:cs="Arial" w:hint="eastAsia"/>
          <w:color w:val="000000"/>
          <w:szCs w:val="21"/>
        </w:rPr>
        <w:t>）本基金与私募类证券资管产品及中国证监会认定的其他主体为交易对手开展逆回购交易的，可接受质押品的资质要求应当与基金合同约定的投资范围保持一致；</w:t>
      </w:r>
    </w:p>
    <w:p w14:paraId="1BAE35A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上述比例限制计算，基金因参与证券借贷交易、正回购交易而持有的担保物、现金不得计入基金总资产。</w:t>
      </w:r>
    </w:p>
    <w:p w14:paraId="054D0C4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法律法规或监管部门对上述比例限制另有规定或设定其他本基金须遵循的比例限制的，从其规定。</w:t>
      </w:r>
    </w:p>
    <w:p w14:paraId="77DDCE7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、禁止行为</w:t>
      </w:r>
    </w:p>
    <w:p w14:paraId="1347C6E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为维护基金份额持有人的合法权益，基金财产不得用于下列投资或者活动：</w:t>
      </w:r>
    </w:p>
    <w:p w14:paraId="43A5C9E8"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w:t>
      </w:r>
      <w:r>
        <w:rPr>
          <w:rFonts w:ascii="Arial" w:hAnsi="宋体" w:cs="Arial" w:hint="eastAsia"/>
          <w:color w:val="000000"/>
          <w:szCs w:val="21"/>
        </w:rPr>
        <w:t>）购买不动产；</w:t>
      </w:r>
    </w:p>
    <w:p w14:paraId="4A3FA22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2</w:t>
      </w:r>
      <w:r>
        <w:rPr>
          <w:rFonts w:ascii="Arial" w:hAnsi="宋体" w:cs="Arial" w:hint="eastAsia"/>
          <w:color w:val="000000"/>
          <w:szCs w:val="21"/>
        </w:rPr>
        <w:t>）购买房地产抵押按揭；</w:t>
      </w:r>
    </w:p>
    <w:p w14:paraId="063C4F9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3</w:t>
      </w:r>
      <w:r>
        <w:rPr>
          <w:rFonts w:ascii="Arial" w:hAnsi="宋体" w:cs="Arial" w:hint="eastAsia"/>
          <w:color w:val="000000"/>
          <w:szCs w:val="21"/>
        </w:rPr>
        <w:t>）购买贵重金属或代表贵重金属的凭证；</w:t>
      </w:r>
    </w:p>
    <w:p w14:paraId="52C722A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4</w:t>
      </w:r>
      <w:r>
        <w:rPr>
          <w:rFonts w:ascii="Arial" w:hAnsi="宋体" w:cs="Arial" w:hint="eastAsia"/>
          <w:color w:val="000000"/>
          <w:szCs w:val="21"/>
        </w:rPr>
        <w:t>）购买实物商品；</w:t>
      </w:r>
    </w:p>
    <w:p w14:paraId="3C88909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5</w:t>
      </w:r>
      <w:r>
        <w:rPr>
          <w:rFonts w:ascii="Arial" w:hAnsi="宋体" w:cs="Arial" w:hint="eastAsia"/>
          <w:color w:val="000000"/>
          <w:szCs w:val="21"/>
        </w:rPr>
        <w:t>）除应付赎回、交易清算等临时用途以外，借入现金。该临时用途借入现金的比例不得超过本基金资产净值的</w:t>
      </w:r>
      <w:r>
        <w:rPr>
          <w:rFonts w:ascii="Arial" w:hAnsi="宋体" w:cs="Arial" w:hint="eastAsia"/>
          <w:color w:val="000000"/>
          <w:szCs w:val="21"/>
        </w:rPr>
        <w:t>10%</w:t>
      </w:r>
      <w:r>
        <w:rPr>
          <w:rFonts w:ascii="Arial" w:hAnsi="宋体" w:cs="Arial" w:hint="eastAsia"/>
          <w:color w:val="000000"/>
          <w:szCs w:val="21"/>
        </w:rPr>
        <w:t>；</w:t>
      </w:r>
    </w:p>
    <w:p w14:paraId="5E1F043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6</w:t>
      </w:r>
      <w:r>
        <w:rPr>
          <w:rFonts w:ascii="Arial" w:hAnsi="宋体" w:cs="Arial" w:hint="eastAsia"/>
          <w:color w:val="000000"/>
          <w:szCs w:val="21"/>
        </w:rPr>
        <w:t>）利用融资购买证券，但投资金融衍生品除外；</w:t>
      </w:r>
    </w:p>
    <w:p w14:paraId="66F156EB"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7</w:t>
      </w:r>
      <w:r>
        <w:rPr>
          <w:rFonts w:ascii="Arial" w:hAnsi="宋体" w:cs="Arial" w:hint="eastAsia"/>
          <w:color w:val="000000"/>
          <w:szCs w:val="21"/>
        </w:rPr>
        <w:t>）参与未持有基础资产的卖空交易；</w:t>
      </w:r>
    </w:p>
    <w:p w14:paraId="53A0644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8</w:t>
      </w:r>
      <w:r>
        <w:rPr>
          <w:rFonts w:ascii="Arial" w:hAnsi="宋体" w:cs="Arial" w:hint="eastAsia"/>
          <w:color w:val="000000"/>
          <w:szCs w:val="21"/>
        </w:rPr>
        <w:t>）从事证券承销业务；</w:t>
      </w:r>
    </w:p>
    <w:p w14:paraId="4B3357F3"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9</w:t>
      </w:r>
      <w:r>
        <w:rPr>
          <w:rFonts w:ascii="Arial" w:hAnsi="宋体" w:cs="Arial" w:hint="eastAsia"/>
          <w:color w:val="000000"/>
          <w:szCs w:val="21"/>
        </w:rPr>
        <w:t>）向他人贷款或者提供担保；</w:t>
      </w:r>
    </w:p>
    <w:p w14:paraId="0BC1D78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10</w:t>
      </w:r>
      <w:r>
        <w:rPr>
          <w:rFonts w:ascii="Arial" w:hAnsi="宋体" w:cs="Arial" w:hint="eastAsia"/>
          <w:color w:val="000000"/>
          <w:szCs w:val="21"/>
        </w:rPr>
        <w:t>）从事承担无限责任的投资；</w:t>
      </w:r>
    </w:p>
    <w:p w14:paraId="267700A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11</w:t>
      </w:r>
      <w:r>
        <w:rPr>
          <w:rFonts w:ascii="Arial" w:hAnsi="宋体" w:cs="Arial" w:hint="eastAsia"/>
          <w:color w:val="000000"/>
          <w:szCs w:val="21"/>
        </w:rPr>
        <w:t>）买卖其他基金份额，但是监管部门另有规定的除外；</w:t>
      </w:r>
    </w:p>
    <w:p w14:paraId="3E601A79"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12</w:t>
      </w:r>
      <w:r>
        <w:rPr>
          <w:rFonts w:ascii="Arial" w:hAnsi="宋体" w:cs="Arial" w:hint="eastAsia"/>
          <w:color w:val="000000"/>
          <w:szCs w:val="21"/>
        </w:rPr>
        <w:t>）向其基金管理人、基金托管人出资或者买卖其基金管理人、基金托管人、境外托管人发行的股票或者债券；</w:t>
      </w:r>
    </w:p>
    <w:p w14:paraId="07E462B6"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13</w:t>
      </w:r>
      <w:r>
        <w:rPr>
          <w:rFonts w:ascii="Arial" w:hAnsi="宋体" w:cs="Arial" w:hint="eastAsia"/>
          <w:color w:val="000000"/>
          <w:szCs w:val="21"/>
        </w:rPr>
        <w:t>）买卖与其基金管理人、基金托管人、境外托管人有控股关系的股东或者与其基</w:t>
      </w:r>
      <w:r>
        <w:rPr>
          <w:rFonts w:ascii="Arial" w:hAnsi="宋体" w:cs="Arial" w:hint="eastAsia"/>
          <w:color w:val="000000"/>
          <w:szCs w:val="21"/>
        </w:rPr>
        <w:lastRenderedPageBreak/>
        <w:t>金管理人、基金托管人有其他重大利害关系的公司发行的证券或者承销期内承销的证券；</w:t>
      </w:r>
    </w:p>
    <w:p w14:paraId="5FAB8FEB"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14</w:t>
      </w:r>
      <w:r>
        <w:rPr>
          <w:rFonts w:ascii="Arial" w:hAnsi="宋体" w:cs="Arial" w:hint="eastAsia"/>
          <w:color w:val="000000"/>
          <w:szCs w:val="21"/>
        </w:rPr>
        <w:t>）从事内幕交易、操纵证券交易价格及其他不正当的证券交易活动；</w:t>
      </w:r>
    </w:p>
    <w:p w14:paraId="53BD263A"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15</w:t>
      </w:r>
      <w:r>
        <w:rPr>
          <w:rFonts w:ascii="Arial" w:hAnsi="宋体" w:cs="Arial" w:hint="eastAsia"/>
          <w:color w:val="000000"/>
          <w:szCs w:val="21"/>
        </w:rPr>
        <w:t>）不公平对待不同客户或不同投资组合；</w:t>
      </w:r>
    </w:p>
    <w:p w14:paraId="1A70629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16</w:t>
      </w:r>
      <w:r>
        <w:rPr>
          <w:rFonts w:ascii="Arial" w:hAnsi="宋体" w:cs="Arial" w:hint="eastAsia"/>
          <w:color w:val="000000"/>
          <w:szCs w:val="21"/>
        </w:rPr>
        <w:t>）除法律法规规定以外，向任何第三方泄露客户资料；</w:t>
      </w:r>
    </w:p>
    <w:p w14:paraId="648283A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17</w:t>
      </w:r>
      <w:r>
        <w:rPr>
          <w:rFonts w:ascii="Arial" w:hAnsi="宋体" w:cs="Arial" w:hint="eastAsia"/>
          <w:color w:val="000000"/>
          <w:szCs w:val="21"/>
        </w:rPr>
        <w:t>）依照法律法规有关规定，由国务院证券监督管理机构规定禁止的其他活动。</w:t>
      </w:r>
    </w:p>
    <w:p w14:paraId="7E00BCB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4</w:t>
      </w:r>
      <w:r>
        <w:rPr>
          <w:rFonts w:ascii="Arial" w:hAnsi="宋体" w:cs="Arial" w:hint="eastAsia"/>
          <w:color w:val="000000"/>
          <w:szCs w:val="21"/>
        </w:rPr>
        <w:t>、</w:t>
      </w:r>
      <w:r>
        <w:rPr>
          <w:rFonts w:ascii="Arial" w:hAnsi="宋体" w:cs="Arial"/>
          <w:color w:val="000000"/>
          <w:szCs w:val="21"/>
        </w:rPr>
        <w:t>若法律法规或中国证监会的相关规定发生修改或变更，致使现行法律法规的投资禁止行为和投资组合比例限制被修改或取消，基金管理人在履行适当程序后，本基金可相应调整禁止行为和投资限制规定。</w:t>
      </w:r>
    </w:p>
    <w:p w14:paraId="7D546A4E" w14:textId="77777777" w:rsidR="00F50C35" w:rsidRDefault="00F50C35">
      <w:pPr>
        <w:adjustRightInd w:val="0"/>
        <w:snapToGrid w:val="0"/>
        <w:spacing w:line="360" w:lineRule="auto"/>
        <w:ind w:firstLine="420"/>
        <w:rPr>
          <w:rFonts w:ascii="Arial" w:hAnsi="宋体" w:cs="Arial"/>
          <w:b/>
          <w:color w:val="000000"/>
          <w:szCs w:val="21"/>
        </w:rPr>
      </w:pPr>
      <w:bookmarkStart w:id="109" w:name="_Toc266369100"/>
      <w:bookmarkStart w:id="110" w:name="_Toc253128724"/>
    </w:p>
    <w:p w14:paraId="2A7F2A99" w14:textId="77777777" w:rsidR="00F50C35" w:rsidRDefault="00FB66DA">
      <w:pPr>
        <w:adjustRightInd w:val="0"/>
        <w:snapToGrid w:val="0"/>
        <w:spacing w:line="360" w:lineRule="auto"/>
        <w:ind w:firstLine="420"/>
        <w:rPr>
          <w:rFonts w:ascii="Arial" w:hAnsi="宋体" w:cs="Arial"/>
          <w:b/>
          <w:color w:val="000000"/>
          <w:szCs w:val="21"/>
        </w:rPr>
      </w:pPr>
      <w:r>
        <w:rPr>
          <w:rFonts w:ascii="Arial" w:hAnsi="宋体" w:cs="Arial" w:hint="eastAsia"/>
          <w:b/>
          <w:color w:val="000000"/>
          <w:szCs w:val="21"/>
        </w:rPr>
        <w:t>（六）基金资产净值的计算方法和公告方式</w:t>
      </w:r>
      <w:bookmarkEnd w:id="109"/>
      <w:bookmarkEnd w:id="110"/>
    </w:p>
    <w:p w14:paraId="6B91F796"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w:t>
      </w:r>
      <w:r>
        <w:rPr>
          <w:rFonts w:ascii="Arial" w:hAnsi="宋体" w:cs="Arial"/>
          <w:color w:val="000000"/>
          <w:szCs w:val="21"/>
        </w:rPr>
        <w:t>基金资产净值</w:t>
      </w:r>
    </w:p>
    <w:p w14:paraId="59D424A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color w:val="000000"/>
          <w:szCs w:val="21"/>
        </w:rPr>
        <w:t>本基金基金资产净值是指基金资产总值减去负债后的价值。</w:t>
      </w:r>
    </w:p>
    <w:p w14:paraId="3A903CB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w:t>
      </w:r>
      <w:r>
        <w:rPr>
          <w:rFonts w:ascii="Arial" w:hAnsi="宋体" w:cs="Arial"/>
          <w:color w:val="000000"/>
          <w:szCs w:val="21"/>
        </w:rPr>
        <w:t>基金资产的估值方法</w:t>
      </w:r>
    </w:p>
    <w:p w14:paraId="4A753A73"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本基金按以下方式进行估值：</w:t>
      </w:r>
    </w:p>
    <w:p w14:paraId="0E503A0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w:t>
      </w:r>
      <w:r>
        <w:rPr>
          <w:rFonts w:ascii="Arial" w:hAnsi="宋体" w:cs="Arial" w:hint="eastAsia"/>
          <w:color w:val="000000"/>
          <w:szCs w:val="21"/>
        </w:rPr>
        <w:t>）已上市流通的有价证券的估值</w:t>
      </w:r>
    </w:p>
    <w:p w14:paraId="36CFCA4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上市流通的股票、债券、存托凭证和交易型开放式指数基金（</w:t>
      </w:r>
      <w:r>
        <w:rPr>
          <w:rFonts w:ascii="Arial" w:hAnsi="宋体" w:cs="Arial" w:hint="eastAsia"/>
          <w:color w:val="000000"/>
          <w:szCs w:val="21"/>
        </w:rPr>
        <w:t>ETF</w:t>
      </w:r>
      <w:r>
        <w:rPr>
          <w:rFonts w:ascii="Arial" w:hAnsi="宋体" w:cs="Arial" w:hint="eastAsia"/>
          <w:color w:val="000000"/>
          <w:szCs w:val="21"/>
        </w:rPr>
        <w:t>），以其估值日在证券交易所挂牌的市价（收盘价）估值，其中债券为净价（收盘价）估值；估值日无交易的，以最近交易日的市价（收盘价）估值。</w:t>
      </w:r>
    </w:p>
    <w:p w14:paraId="5C8F0F08"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2</w:t>
      </w:r>
      <w:r>
        <w:rPr>
          <w:rFonts w:ascii="Arial" w:hAnsi="宋体" w:cs="Arial" w:hint="eastAsia"/>
          <w:color w:val="000000"/>
          <w:szCs w:val="21"/>
        </w:rPr>
        <w:t>）处于未上市期间的有价证券应区分如下情况处理：</w:t>
      </w:r>
    </w:p>
    <w:p w14:paraId="77408390"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）送股、转增股、配股和增发新股，按估值日在证券交易所挂牌的同一股票的市价（收盘价）估值；该日无交易的，以最近交易日的市价（收盘价）估值；</w:t>
      </w:r>
    </w:p>
    <w:p w14:paraId="01042D78"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）首次发行未上市的股票，采用估值技术确定公允价值，在估值技术难以可靠计量的情况下，按成本估值；</w:t>
      </w:r>
    </w:p>
    <w:p w14:paraId="1850F55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）首次公开发行有明确锁定期的股票，同一股票在交易所上市后，按交易所上市的同一股票的估值方法估值。非公开发行且处于明确锁定期的股票，按监管机构或行业协会的有关规定确定公允价值；</w:t>
      </w:r>
    </w:p>
    <w:p w14:paraId="74E0CC8A"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4</w:t>
      </w:r>
      <w:r>
        <w:rPr>
          <w:rFonts w:ascii="Arial" w:hAnsi="宋体" w:cs="Arial" w:hint="eastAsia"/>
          <w:color w:val="000000"/>
          <w:szCs w:val="21"/>
        </w:rPr>
        <w:t>）对于首次发行未上市的债券按成本价估值；对于非上市债券，参照主要做市商或其他权威价格提供机构的报价进行估值。</w:t>
      </w:r>
    </w:p>
    <w:p w14:paraId="6F13CFD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3</w:t>
      </w:r>
      <w:r>
        <w:rPr>
          <w:rFonts w:ascii="Arial" w:hAnsi="宋体" w:cs="Arial" w:hint="eastAsia"/>
          <w:color w:val="000000"/>
          <w:szCs w:val="21"/>
        </w:rPr>
        <w:t>）开放式基金的估值以其在估值截止时间能取得的最新净值进行估值，开放式基金未公布估值日的净值的，以估值日前最新的净值进行估值。</w:t>
      </w:r>
    </w:p>
    <w:p w14:paraId="66195D8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4</w:t>
      </w:r>
      <w:r>
        <w:rPr>
          <w:rFonts w:ascii="Arial" w:hAnsi="宋体" w:cs="Arial" w:hint="eastAsia"/>
          <w:color w:val="000000"/>
          <w:szCs w:val="21"/>
        </w:rPr>
        <w:t>）配股权证，从配股除权日起到配股确认日止，如果收盘价高于配股价，按收盘价高于配股价的差额估值。收盘价等于或低于配股价，则估值为零。</w:t>
      </w:r>
    </w:p>
    <w:p w14:paraId="76259F3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5</w:t>
      </w:r>
      <w:r>
        <w:rPr>
          <w:rFonts w:ascii="Arial" w:hAnsi="宋体" w:cs="Arial" w:hint="eastAsia"/>
          <w:color w:val="000000"/>
          <w:szCs w:val="21"/>
        </w:rPr>
        <w:t>）基金持有的衍生工具等其他有价证券，上市交易的有价证券按估值日的收盘价估值；估值日没有交易的，按最近交易日的收盘价估值；未上市交易的，采用估值技术确定公</w:t>
      </w:r>
      <w:r>
        <w:rPr>
          <w:rFonts w:ascii="Arial" w:hAnsi="宋体" w:cs="Arial" w:hint="eastAsia"/>
          <w:color w:val="000000"/>
          <w:szCs w:val="21"/>
        </w:rPr>
        <w:lastRenderedPageBreak/>
        <w:t>允价值，在估值技术难以可靠计量的情况下，按成本估值；停止交易、但未行权的有价证券，采用估值技术确定公允价值。</w:t>
      </w:r>
    </w:p>
    <w:p w14:paraId="1C5AE4E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6</w:t>
      </w:r>
      <w:r>
        <w:rPr>
          <w:rFonts w:ascii="Arial" w:hAnsi="宋体" w:cs="Arial" w:hint="eastAsia"/>
          <w:color w:val="000000"/>
          <w:szCs w:val="21"/>
        </w:rPr>
        <w:t>）在任何情况下，基金管理人如采用上述第</w:t>
      </w:r>
      <w:r>
        <w:rPr>
          <w:rFonts w:ascii="Arial" w:hAnsi="宋体" w:cs="Arial" w:hint="eastAsia"/>
          <w:color w:val="000000"/>
          <w:szCs w:val="21"/>
        </w:rPr>
        <w:t>1-5</w:t>
      </w:r>
      <w:r>
        <w:rPr>
          <w:rFonts w:ascii="Arial" w:hAnsi="宋体" w:cs="Arial" w:hint="eastAsia"/>
          <w:color w:val="000000"/>
          <w:szCs w:val="21"/>
        </w:rPr>
        <w:t>项规定的方法对基金资产进行估值，均应被认为采用了适当的估值方法。</w:t>
      </w:r>
    </w:p>
    <w:p w14:paraId="660BD0D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7</w:t>
      </w:r>
      <w:r>
        <w:rPr>
          <w:rFonts w:ascii="Arial" w:hAnsi="宋体" w:cs="Arial" w:hint="eastAsia"/>
          <w:color w:val="000000"/>
          <w:szCs w:val="21"/>
        </w:rPr>
        <w:t>）如有确凿证据表明按上述方法进行估值不能客观反映其公允价值的，基金管理人可根据具体情况与基金托管人商定后，按最能反映公允价值的价格估值。</w:t>
      </w:r>
    </w:p>
    <w:p w14:paraId="6E58F73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8</w:t>
      </w:r>
      <w:r>
        <w:rPr>
          <w:rFonts w:ascii="Arial" w:hAnsi="宋体" w:cs="Arial" w:hint="eastAsia"/>
          <w:color w:val="000000"/>
          <w:szCs w:val="21"/>
        </w:rPr>
        <w:t>）相关法律法规以及监管部门有强制规定的，从其规定。如有新增事项，按国家最新规定估值。</w:t>
      </w:r>
    </w:p>
    <w:p w14:paraId="6611E58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9</w:t>
      </w:r>
      <w:r>
        <w:rPr>
          <w:rFonts w:ascii="Arial" w:hAnsi="宋体" w:cs="Arial" w:hint="eastAsia"/>
          <w:color w:val="000000"/>
          <w:szCs w:val="21"/>
        </w:rPr>
        <w:t>）估值中的汇率选取原则：</w:t>
      </w:r>
    </w:p>
    <w:p w14:paraId="579E79E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）估值计算中涉及中国人民银行或其授权机构公布人民币汇率中间价的货币，其对人民币汇率以估值日中国人民银行或其授权机构公布的人民币汇率中间价为准；</w:t>
      </w:r>
    </w:p>
    <w:p w14:paraId="75B860CC"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）其他货币对人民币的汇率采用美元作为中间货币进行换算，外汇币种与美元之间的兑换汇率将按照彭博（</w:t>
      </w:r>
      <w:r>
        <w:rPr>
          <w:rFonts w:ascii="Arial" w:hAnsi="宋体" w:cs="Arial" w:hint="eastAsia"/>
          <w:color w:val="000000"/>
          <w:szCs w:val="21"/>
        </w:rPr>
        <w:t>Bloomberg</w:t>
      </w:r>
      <w:r>
        <w:rPr>
          <w:rFonts w:ascii="Arial" w:hAnsi="宋体" w:cs="Arial" w:hint="eastAsia"/>
          <w:color w:val="000000"/>
          <w:szCs w:val="21"/>
        </w:rPr>
        <w:t>）金融终端提供的估值日的兑换价格为准。</w:t>
      </w:r>
    </w:p>
    <w:p w14:paraId="3D665AE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若无法取得上述汇率价格信息时，以管理人认可的托管银行或境外托管人所提供的合理公开外汇市埸交易价格为准。</w:t>
      </w:r>
    </w:p>
    <w:p w14:paraId="1ABB6129" w14:textId="037A9B81" w:rsidR="00F50C35" w:rsidRDefault="000161D9">
      <w:pPr>
        <w:adjustRightInd w:val="0"/>
        <w:snapToGrid w:val="0"/>
        <w:spacing w:line="360" w:lineRule="auto"/>
        <w:ind w:firstLine="420"/>
        <w:rPr>
          <w:rFonts w:ascii="Arial" w:hAnsi="宋体" w:cs="Arial"/>
          <w:color w:val="000000"/>
          <w:szCs w:val="21"/>
        </w:rPr>
      </w:pPr>
      <w:r>
        <w:rPr>
          <w:rFonts w:ascii="Arial" w:hAnsi="Arial" w:cs="Arial"/>
          <w:kern w:val="0"/>
          <w:szCs w:val="21"/>
        </w:rPr>
        <w:t>根据《基金法》，基金管理人计算并公告基金净值信息，基金托管人复核、审查基金管理人计算的基金净值</w:t>
      </w:r>
      <w:r>
        <w:rPr>
          <w:rFonts w:ascii="Arial" w:hAnsi="Arial" w:cs="Arial" w:hint="eastAsia"/>
          <w:kern w:val="0"/>
          <w:szCs w:val="21"/>
        </w:rPr>
        <w:t>信息</w:t>
      </w:r>
      <w:r>
        <w:rPr>
          <w:rFonts w:ascii="Arial" w:hAnsi="Arial" w:cs="Arial"/>
          <w:kern w:val="0"/>
          <w:szCs w:val="21"/>
        </w:rPr>
        <w:t>。因此，就与本基金有关的会计问题，如经相关各方在平等基础上充分讨论后，仍无法达成一致的意见，按照基金管理人对基金净值</w:t>
      </w:r>
      <w:r>
        <w:rPr>
          <w:rFonts w:ascii="Arial" w:hAnsi="Arial" w:cs="Arial" w:hint="eastAsia"/>
          <w:kern w:val="0"/>
          <w:szCs w:val="21"/>
        </w:rPr>
        <w:t>信息</w:t>
      </w:r>
      <w:r>
        <w:rPr>
          <w:rFonts w:ascii="Arial" w:hAnsi="Arial" w:cs="Arial"/>
          <w:kern w:val="0"/>
          <w:szCs w:val="21"/>
        </w:rPr>
        <w:t>的计算结果对外予以公布，基金托管人对此保留向中国证监会报告的权利。</w:t>
      </w:r>
    </w:p>
    <w:p w14:paraId="218B2FAC"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10</w:t>
      </w:r>
      <w:r>
        <w:rPr>
          <w:rFonts w:ascii="Arial" w:hAnsi="宋体" w:cs="Arial" w:hint="eastAsia"/>
          <w:color w:val="000000"/>
          <w:szCs w:val="21"/>
        </w:rPr>
        <w:t>）估值中的税收处理原则：</w:t>
      </w:r>
    </w:p>
    <w:p w14:paraId="73B0A1CA"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对于按照中国法律法规和基金投资所在地的法律法规规定应交纳的各项税金，本基金将按权责发生制原则进行估值；对于因税收规定调整或其他原因导致基金实际交纳税金与估算的应交税金有差异的，基金将在相关税金实际支付日进行相应的估值调整。</w:t>
      </w:r>
    </w:p>
    <w:p w14:paraId="5A3BA716"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color w:val="000000"/>
          <w:szCs w:val="21"/>
        </w:rPr>
        <w:t>（三）公告方式</w:t>
      </w:r>
    </w:p>
    <w:p w14:paraId="65D1E3F4" w14:textId="19F049AE" w:rsidR="000161D9" w:rsidRDefault="000161D9" w:rsidP="000161D9">
      <w:pPr>
        <w:pStyle w:val="af5"/>
        <w:autoSpaceDE w:val="0"/>
        <w:autoSpaceDN w:val="0"/>
        <w:adjustRightInd w:val="0"/>
        <w:snapToGrid w:val="0"/>
        <w:ind w:firstLineChars="0"/>
        <w:textAlignment w:val="bottom"/>
        <w:rPr>
          <w:rFonts w:ascii="Arial" w:hAnsi="Arial" w:cs="Arial"/>
          <w:szCs w:val="21"/>
        </w:rPr>
      </w:pPr>
      <w:r>
        <w:rPr>
          <w:rFonts w:ascii="Arial" w:hAnsi="宋体" w:cs="Arial"/>
          <w:szCs w:val="21"/>
        </w:rPr>
        <w:t>基金合同生效后，在开始办理基金份额申购或者赎回前，基金管理人应当至少每周在指定网站披露一次基金份额净值和基金份额累计净值。如本基金投资衍生品，应当在每个工作日计算并披露基金份额净值。</w:t>
      </w:r>
    </w:p>
    <w:p w14:paraId="40230299" w14:textId="74C4E9E2" w:rsidR="000161D9" w:rsidRDefault="000161D9" w:rsidP="000161D9">
      <w:pPr>
        <w:adjustRightInd w:val="0"/>
        <w:snapToGrid w:val="0"/>
        <w:spacing w:line="360" w:lineRule="auto"/>
        <w:ind w:firstLine="420"/>
        <w:rPr>
          <w:rFonts w:ascii="Arial" w:hAnsi="Arial" w:cs="Arial"/>
          <w:szCs w:val="21"/>
        </w:rPr>
      </w:pPr>
      <w:r>
        <w:rPr>
          <w:rFonts w:ascii="Arial" w:hAnsi="宋体" w:cs="Arial"/>
          <w:szCs w:val="21"/>
        </w:rPr>
        <w:t>在开始办理基金份额申购或赎回之后，基金管理人应当在</w:t>
      </w:r>
      <w:r>
        <w:rPr>
          <w:rFonts w:ascii="Arial" w:hAnsi="Arial" w:cs="Arial"/>
          <w:szCs w:val="21"/>
        </w:rPr>
        <w:t>T+2</w:t>
      </w:r>
      <w:r>
        <w:rPr>
          <w:rFonts w:ascii="Arial" w:hAnsi="宋体" w:cs="Arial"/>
          <w:szCs w:val="21"/>
        </w:rPr>
        <w:t>日（</w:t>
      </w:r>
      <w:r>
        <w:rPr>
          <w:rFonts w:ascii="Arial" w:hAnsi="Arial" w:cs="Arial"/>
          <w:szCs w:val="21"/>
        </w:rPr>
        <w:t>T</w:t>
      </w:r>
      <w:r>
        <w:rPr>
          <w:rFonts w:ascii="Arial" w:hAnsi="宋体" w:cs="Arial"/>
          <w:szCs w:val="21"/>
        </w:rPr>
        <w:t>日为开放日）</w:t>
      </w:r>
      <w:r>
        <w:rPr>
          <w:rFonts w:ascii="Arial" w:hAnsi="宋体" w:cs="Arial" w:hint="eastAsia"/>
          <w:szCs w:val="21"/>
        </w:rPr>
        <w:t>通过指定网站、销售机构网站或者营业网点披露开放日的基金份额净值和基金份额累计净值</w:t>
      </w:r>
      <w:r>
        <w:rPr>
          <w:rFonts w:ascii="Arial" w:hAnsi="宋体" w:cs="Arial"/>
          <w:szCs w:val="21"/>
        </w:rPr>
        <w:t>。</w:t>
      </w:r>
    </w:p>
    <w:p w14:paraId="0393C4BE" w14:textId="303E56A6" w:rsidR="00F50C35" w:rsidRDefault="000161D9" w:rsidP="000161D9">
      <w:pPr>
        <w:adjustRightInd w:val="0"/>
        <w:snapToGrid w:val="0"/>
        <w:spacing w:line="360" w:lineRule="auto"/>
        <w:ind w:firstLine="420"/>
        <w:rPr>
          <w:rFonts w:ascii="Arial" w:hAnsi="宋体" w:cs="Arial"/>
          <w:color w:val="000000"/>
          <w:szCs w:val="21"/>
        </w:rPr>
      </w:pPr>
      <w:r>
        <w:rPr>
          <w:rFonts w:ascii="Arial" w:hAnsi="宋体" w:cs="Arial"/>
          <w:szCs w:val="21"/>
        </w:rPr>
        <w:t>基金管理人应当</w:t>
      </w:r>
      <w:r>
        <w:rPr>
          <w:rFonts w:ascii="Arial" w:hAnsi="宋体" w:cs="Arial" w:hint="eastAsia"/>
          <w:szCs w:val="21"/>
        </w:rPr>
        <w:t>在不晚于半年度和年度最后</w:t>
      </w:r>
      <w:proofErr w:type="gramStart"/>
      <w:r>
        <w:rPr>
          <w:rFonts w:ascii="Arial" w:hAnsi="宋体" w:cs="Arial" w:hint="eastAsia"/>
          <w:szCs w:val="21"/>
        </w:rPr>
        <w:t>一</w:t>
      </w:r>
      <w:proofErr w:type="gramEnd"/>
      <w:r>
        <w:rPr>
          <w:rFonts w:ascii="Arial" w:hAnsi="宋体" w:cs="Arial" w:hint="eastAsia"/>
          <w:szCs w:val="21"/>
        </w:rPr>
        <w:t>日后的</w:t>
      </w:r>
      <w:r>
        <w:rPr>
          <w:rFonts w:ascii="Arial" w:hAnsi="宋体" w:cs="Arial" w:hint="eastAsia"/>
          <w:szCs w:val="21"/>
        </w:rPr>
        <w:t>2</w:t>
      </w:r>
      <w:r>
        <w:rPr>
          <w:rFonts w:ascii="Arial" w:hAnsi="宋体" w:cs="Arial" w:hint="eastAsia"/>
          <w:szCs w:val="21"/>
        </w:rPr>
        <w:t>个工作日，</w:t>
      </w:r>
      <w:r>
        <w:rPr>
          <w:rFonts w:ascii="Arial" w:hAnsi="宋体" w:cs="Arial" w:hint="eastAsia"/>
          <w:color w:val="000000"/>
          <w:szCs w:val="21"/>
        </w:rPr>
        <w:t>在指定网站披露半年度和年度最后一日的基金份额净值和基金份额累计净值</w:t>
      </w:r>
      <w:r>
        <w:rPr>
          <w:rFonts w:ascii="Arial" w:hAnsi="宋体" w:cs="Arial"/>
          <w:szCs w:val="21"/>
        </w:rPr>
        <w:t>。</w:t>
      </w:r>
    </w:p>
    <w:p w14:paraId="56EF5735" w14:textId="77777777" w:rsidR="00F50C35" w:rsidRDefault="00F50C35">
      <w:pPr>
        <w:adjustRightInd w:val="0"/>
        <w:snapToGrid w:val="0"/>
        <w:spacing w:line="360" w:lineRule="auto"/>
        <w:ind w:firstLine="420"/>
        <w:rPr>
          <w:rFonts w:ascii="Arial" w:hAnsi="宋体" w:cs="Arial"/>
          <w:b/>
          <w:color w:val="000000"/>
          <w:szCs w:val="21"/>
        </w:rPr>
      </w:pPr>
      <w:bookmarkStart w:id="111" w:name="_Toc253128725"/>
      <w:bookmarkStart w:id="112" w:name="_Toc266369101"/>
    </w:p>
    <w:p w14:paraId="36F17036" w14:textId="77777777" w:rsidR="00F50C35" w:rsidRDefault="00FB66DA">
      <w:pPr>
        <w:adjustRightInd w:val="0"/>
        <w:snapToGrid w:val="0"/>
        <w:spacing w:line="360" w:lineRule="auto"/>
        <w:ind w:firstLine="420"/>
        <w:rPr>
          <w:rFonts w:ascii="Arial" w:hAnsi="宋体" w:cs="Arial"/>
          <w:b/>
          <w:color w:val="000000"/>
          <w:szCs w:val="21"/>
        </w:rPr>
      </w:pPr>
      <w:r>
        <w:rPr>
          <w:rFonts w:ascii="Arial" w:hAnsi="宋体" w:cs="Arial" w:hint="eastAsia"/>
          <w:b/>
          <w:color w:val="000000"/>
          <w:szCs w:val="21"/>
        </w:rPr>
        <w:t>（七）基金合同解除和终止的事由、程序以及基金财产清算方式</w:t>
      </w:r>
      <w:bookmarkEnd w:id="111"/>
      <w:bookmarkEnd w:id="112"/>
    </w:p>
    <w:p w14:paraId="676A86E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w:t>
      </w:r>
      <w:r>
        <w:rPr>
          <w:rFonts w:ascii="Arial" w:hAnsi="宋体" w:cs="Arial"/>
          <w:color w:val="000000"/>
          <w:szCs w:val="21"/>
        </w:rPr>
        <w:t>基金合同的变更</w:t>
      </w:r>
    </w:p>
    <w:p w14:paraId="7CC744F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lastRenderedPageBreak/>
        <w:t>（</w:t>
      </w:r>
      <w:r>
        <w:rPr>
          <w:rFonts w:ascii="Arial" w:hAnsi="宋体" w:cs="Arial" w:hint="eastAsia"/>
          <w:color w:val="000000"/>
          <w:szCs w:val="21"/>
        </w:rPr>
        <w:t>1</w:t>
      </w:r>
      <w:r>
        <w:rPr>
          <w:rFonts w:ascii="Arial" w:hAnsi="宋体" w:cs="Arial" w:hint="eastAsia"/>
          <w:color w:val="000000"/>
          <w:szCs w:val="21"/>
        </w:rPr>
        <w:t>）变更基金合同涉及法律法规规定或本合同的约定应经基金份额持有人大会决议通过事项的，应召开基金份额持有人大会决议通过；</w:t>
      </w:r>
    </w:p>
    <w:p w14:paraId="03AD457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2</w:t>
      </w:r>
      <w:r>
        <w:rPr>
          <w:rFonts w:ascii="Arial" w:hAnsi="宋体" w:cs="Arial" w:hint="eastAsia"/>
          <w:color w:val="000000"/>
          <w:szCs w:val="21"/>
        </w:rPr>
        <w:t>）变更基金合同的基金份额持有人大会决议应报中国证监会核准或备案，并自中国证监会核准或出具无异议意见之日起生效；</w:t>
      </w:r>
    </w:p>
    <w:p w14:paraId="294DE32F"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3</w:t>
      </w:r>
      <w:r>
        <w:rPr>
          <w:rFonts w:ascii="Arial" w:hAnsi="宋体" w:cs="Arial" w:hint="eastAsia"/>
          <w:color w:val="000000"/>
          <w:szCs w:val="21"/>
        </w:rPr>
        <w:t>）但如因相应的法律法规发生变动并属于本基金合同必须遵照进行修改的情形，或者基金合同的修改不涉及本基金合同当事人权利义务关系发生变化或对基金份额持有人利益无实质性不利影响的，可不经基金份额持有人大会决议，而经基金管理人和基金托管人同意修改后公告，并报中国证监会备案。</w:t>
      </w:r>
    </w:p>
    <w:p w14:paraId="2C11417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w:t>
      </w:r>
      <w:r>
        <w:rPr>
          <w:rFonts w:ascii="Arial" w:hAnsi="宋体" w:cs="Arial"/>
          <w:color w:val="000000"/>
          <w:szCs w:val="21"/>
        </w:rPr>
        <w:t>基金合同的终止</w:t>
      </w:r>
    </w:p>
    <w:p w14:paraId="2D093F5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有下列情形之一的，本基金合同终止：</w:t>
      </w:r>
    </w:p>
    <w:p w14:paraId="56CF763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w:t>
      </w:r>
      <w:r>
        <w:rPr>
          <w:rFonts w:ascii="Arial" w:hAnsi="宋体" w:cs="Arial" w:hint="eastAsia"/>
          <w:color w:val="000000"/>
          <w:szCs w:val="21"/>
        </w:rPr>
        <w:t>）基金份额持有人大会决定终止；</w:t>
      </w:r>
    </w:p>
    <w:p w14:paraId="6FF63F9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2</w:t>
      </w:r>
      <w:r>
        <w:rPr>
          <w:rFonts w:ascii="Arial" w:hAnsi="宋体" w:cs="Arial" w:hint="eastAsia"/>
          <w:color w:val="000000"/>
          <w:szCs w:val="21"/>
        </w:rPr>
        <w:t>）因重大违法、违规行为，被中国证监会责令终止的；</w:t>
      </w:r>
    </w:p>
    <w:p w14:paraId="54F2857B"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3</w:t>
      </w:r>
      <w:r>
        <w:rPr>
          <w:rFonts w:ascii="Arial" w:hAnsi="宋体" w:cs="Arial" w:hint="eastAsia"/>
          <w:color w:val="000000"/>
          <w:szCs w:val="21"/>
        </w:rPr>
        <w:t>）基金管理人、基金托管人职责终止，在六个月内没有新基金管理人、基金托管人承接的；</w:t>
      </w:r>
    </w:p>
    <w:p w14:paraId="76F7A2D0"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4</w:t>
      </w:r>
      <w:r>
        <w:rPr>
          <w:rFonts w:ascii="Arial" w:hAnsi="宋体" w:cs="Arial" w:hint="eastAsia"/>
          <w:color w:val="000000"/>
          <w:szCs w:val="21"/>
        </w:rPr>
        <w:t>）法律法规和基金合同规定的其他情形。</w:t>
      </w:r>
    </w:p>
    <w:p w14:paraId="152DEB5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w:t>
      </w:r>
      <w:r>
        <w:rPr>
          <w:rFonts w:ascii="Arial" w:hAnsi="宋体" w:cs="Arial"/>
          <w:color w:val="000000"/>
          <w:szCs w:val="21"/>
        </w:rPr>
        <w:t>基金财产的清算</w:t>
      </w:r>
    </w:p>
    <w:p w14:paraId="1DA94FA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1</w:t>
      </w:r>
      <w:r>
        <w:rPr>
          <w:rFonts w:ascii="Arial" w:hAnsi="宋体" w:cs="Arial" w:hint="eastAsia"/>
          <w:color w:val="000000"/>
          <w:szCs w:val="21"/>
        </w:rPr>
        <w:t>）基金合同终止，基金管理人应当按法律法规和本基金合同的有关法律法规规定对基金财产进行清算。</w:t>
      </w:r>
    </w:p>
    <w:p w14:paraId="0362841B"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2</w:t>
      </w:r>
      <w:r>
        <w:rPr>
          <w:rFonts w:ascii="Arial" w:hAnsi="宋体" w:cs="Arial" w:hint="eastAsia"/>
          <w:color w:val="000000"/>
          <w:szCs w:val="21"/>
        </w:rPr>
        <w:t>）基金财产清算组</w:t>
      </w:r>
    </w:p>
    <w:p w14:paraId="7572B4A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自基金合同终止事由之日起三十个工作日内由基金管理人组织成立基金财产清算组，在基金财产清算组接管基金财产之前，基金管理人和基金托管人应按照基金合同和托管协议的规定继续履行保护基金财产安全的职责；</w:t>
      </w:r>
    </w:p>
    <w:p w14:paraId="4C8886DD" w14:textId="75309FF0"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w:t>
      </w:r>
      <w:r w:rsidR="000161D9">
        <w:rPr>
          <w:rFonts w:ascii="Arial" w:hAnsi="宋体" w:cs="Arial"/>
          <w:kern w:val="0"/>
          <w:szCs w:val="21"/>
        </w:rPr>
        <w:t>基金财产清算组成员由基金管理人、基金托管人、具有从事证券</w:t>
      </w:r>
      <w:r w:rsidR="000161D9">
        <w:rPr>
          <w:rFonts w:ascii="Arial" w:hAnsi="宋体" w:cs="Arial" w:hint="eastAsia"/>
          <w:kern w:val="0"/>
          <w:szCs w:val="21"/>
        </w:rPr>
        <w:t>、</w:t>
      </w:r>
      <w:r w:rsidR="000161D9">
        <w:rPr>
          <w:rFonts w:ascii="Arial" w:hAnsi="宋体" w:cs="Arial"/>
          <w:kern w:val="0"/>
          <w:szCs w:val="21"/>
        </w:rPr>
        <w:t>期货相关业务资格的注册会计师、律师以及中国证监会指定的人员组成。基金财产清算组可以聘用必要的工作人员</w:t>
      </w:r>
      <w:r>
        <w:rPr>
          <w:rFonts w:ascii="Arial" w:hAnsi="宋体" w:cs="Arial" w:hint="eastAsia"/>
          <w:color w:val="000000"/>
          <w:szCs w:val="21"/>
        </w:rPr>
        <w:t>；</w:t>
      </w:r>
    </w:p>
    <w:p w14:paraId="2CAAA839"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）基金财产清算组负责基金财产的保管、清理、估价、变现和分配。基金财产清算组可以依法进行必要的民事活动。</w:t>
      </w:r>
    </w:p>
    <w:p w14:paraId="2A0467A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3</w:t>
      </w:r>
      <w:r>
        <w:rPr>
          <w:rFonts w:ascii="Arial" w:hAnsi="宋体" w:cs="Arial" w:hint="eastAsia"/>
          <w:color w:val="000000"/>
          <w:szCs w:val="21"/>
        </w:rPr>
        <w:t>）清算程序</w:t>
      </w:r>
    </w:p>
    <w:p w14:paraId="060A30F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）基金合同终止情形发生后，由基金财产清算组统一接管基金财产；</w:t>
      </w:r>
    </w:p>
    <w:p w14:paraId="50043FE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）基金财产清算组根据基金财产的情况确定清算期限；</w:t>
      </w:r>
    </w:p>
    <w:p w14:paraId="4E145D2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）基金财产清算组对基金财产进行清理和确认；</w:t>
      </w:r>
    </w:p>
    <w:p w14:paraId="7E469202"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4</w:t>
      </w:r>
      <w:r>
        <w:rPr>
          <w:rFonts w:ascii="Arial" w:hAnsi="宋体" w:cs="Arial" w:hint="eastAsia"/>
          <w:color w:val="000000"/>
          <w:szCs w:val="21"/>
        </w:rPr>
        <w:t>）对基金财产进行评估和变现；</w:t>
      </w:r>
    </w:p>
    <w:p w14:paraId="745C45B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5</w:t>
      </w:r>
      <w:r>
        <w:rPr>
          <w:rFonts w:ascii="Arial" w:hAnsi="宋体" w:cs="Arial" w:hint="eastAsia"/>
          <w:color w:val="000000"/>
          <w:szCs w:val="21"/>
        </w:rPr>
        <w:t>）制作清算报告；</w:t>
      </w:r>
    </w:p>
    <w:p w14:paraId="12EA97F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6</w:t>
      </w:r>
      <w:r>
        <w:rPr>
          <w:rFonts w:ascii="Arial" w:hAnsi="宋体" w:cs="Arial" w:hint="eastAsia"/>
          <w:color w:val="000000"/>
          <w:szCs w:val="21"/>
        </w:rPr>
        <w:t>）聘请会计师事务所对清算报告进行外部审计，聘请律师事务所对清算报告出具法律</w:t>
      </w:r>
      <w:r>
        <w:rPr>
          <w:rFonts w:ascii="Arial" w:hAnsi="宋体" w:cs="Arial" w:hint="eastAsia"/>
          <w:color w:val="000000"/>
          <w:szCs w:val="21"/>
        </w:rPr>
        <w:lastRenderedPageBreak/>
        <w:t>意见书；</w:t>
      </w:r>
    </w:p>
    <w:p w14:paraId="4CD440D5"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7</w:t>
      </w:r>
      <w:r>
        <w:rPr>
          <w:rFonts w:ascii="Arial" w:hAnsi="宋体" w:cs="Arial" w:hint="eastAsia"/>
          <w:color w:val="000000"/>
          <w:szCs w:val="21"/>
        </w:rPr>
        <w:t>）将清算报告报中国证监会备案并公告；</w:t>
      </w:r>
    </w:p>
    <w:p w14:paraId="05C8196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8</w:t>
      </w:r>
      <w:r>
        <w:rPr>
          <w:rFonts w:ascii="Arial" w:hAnsi="宋体" w:cs="Arial" w:hint="eastAsia"/>
          <w:color w:val="000000"/>
          <w:szCs w:val="21"/>
        </w:rPr>
        <w:t>）对基金财产进行分配。</w:t>
      </w:r>
    </w:p>
    <w:p w14:paraId="6882443A"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4</w:t>
      </w:r>
      <w:r>
        <w:rPr>
          <w:rFonts w:ascii="Arial" w:hAnsi="宋体" w:cs="Arial" w:hint="eastAsia"/>
          <w:color w:val="000000"/>
          <w:szCs w:val="21"/>
        </w:rPr>
        <w:t>）清算费用</w:t>
      </w:r>
    </w:p>
    <w:p w14:paraId="6880426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清算费用是指基金财产清算组在进行基金清算过程中发生的所有合理费用，清算费用由基金财产清算组优先从基金财产中支付。</w:t>
      </w:r>
    </w:p>
    <w:p w14:paraId="1B815C3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5</w:t>
      </w:r>
      <w:r>
        <w:rPr>
          <w:rFonts w:ascii="Arial" w:hAnsi="宋体" w:cs="Arial" w:hint="eastAsia"/>
          <w:color w:val="000000"/>
          <w:szCs w:val="21"/>
        </w:rPr>
        <w:t>）基金剩余财产的分配</w:t>
      </w:r>
    </w:p>
    <w:p w14:paraId="4CBC67AD"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基金财产按下列顺序清偿：</w:t>
      </w:r>
    </w:p>
    <w:p w14:paraId="72E237A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1</w:t>
      </w:r>
      <w:r>
        <w:rPr>
          <w:rFonts w:ascii="Arial" w:hAnsi="宋体" w:cs="Arial" w:hint="eastAsia"/>
          <w:color w:val="000000"/>
          <w:szCs w:val="21"/>
        </w:rPr>
        <w:t>）支付清算费用；</w:t>
      </w:r>
    </w:p>
    <w:p w14:paraId="6B7EF443"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2</w:t>
      </w:r>
      <w:r>
        <w:rPr>
          <w:rFonts w:ascii="Arial" w:hAnsi="宋体" w:cs="Arial" w:hint="eastAsia"/>
          <w:color w:val="000000"/>
          <w:szCs w:val="21"/>
        </w:rPr>
        <w:t>）交纳所欠税款；</w:t>
      </w:r>
    </w:p>
    <w:p w14:paraId="006D9778"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3</w:t>
      </w:r>
      <w:r>
        <w:rPr>
          <w:rFonts w:ascii="Arial" w:hAnsi="宋体" w:cs="Arial" w:hint="eastAsia"/>
          <w:color w:val="000000"/>
          <w:szCs w:val="21"/>
        </w:rPr>
        <w:t>）清偿基金债务；</w:t>
      </w:r>
    </w:p>
    <w:p w14:paraId="07588414"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4</w:t>
      </w:r>
      <w:r>
        <w:rPr>
          <w:rFonts w:ascii="Arial" w:hAnsi="宋体" w:cs="Arial" w:hint="eastAsia"/>
          <w:color w:val="000000"/>
          <w:szCs w:val="21"/>
        </w:rPr>
        <w:t>）按基金份额持有人持有的基金份额比例进行分配。</w:t>
      </w:r>
    </w:p>
    <w:p w14:paraId="69CFB08E"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基金财产未按前款</w:t>
      </w:r>
      <w:r>
        <w:rPr>
          <w:rFonts w:ascii="Arial" w:hAnsi="宋体" w:cs="Arial" w:hint="eastAsia"/>
          <w:color w:val="000000"/>
          <w:szCs w:val="21"/>
        </w:rPr>
        <w:t>1</w:t>
      </w:r>
      <w:r>
        <w:rPr>
          <w:rFonts w:ascii="Arial" w:hAnsi="宋体" w:cs="Arial" w:hint="eastAsia"/>
          <w:color w:val="000000"/>
          <w:szCs w:val="21"/>
        </w:rPr>
        <w:t>）、</w:t>
      </w:r>
      <w:r>
        <w:rPr>
          <w:rFonts w:ascii="Arial" w:hAnsi="宋体" w:cs="Arial" w:hint="eastAsia"/>
          <w:color w:val="000000"/>
          <w:szCs w:val="21"/>
        </w:rPr>
        <w:t>2</w:t>
      </w:r>
      <w:r>
        <w:rPr>
          <w:rFonts w:ascii="Arial" w:hAnsi="宋体" w:cs="Arial" w:hint="eastAsia"/>
          <w:color w:val="000000"/>
          <w:szCs w:val="21"/>
        </w:rPr>
        <w:t>）、</w:t>
      </w:r>
      <w:r>
        <w:rPr>
          <w:rFonts w:ascii="Arial" w:hAnsi="宋体" w:cs="Arial" w:hint="eastAsia"/>
          <w:color w:val="000000"/>
          <w:szCs w:val="21"/>
        </w:rPr>
        <w:t>3</w:t>
      </w:r>
      <w:r>
        <w:rPr>
          <w:rFonts w:ascii="Arial" w:hAnsi="宋体" w:cs="Arial" w:hint="eastAsia"/>
          <w:color w:val="000000"/>
          <w:szCs w:val="21"/>
        </w:rPr>
        <w:t>）项规定清偿前，不分配给基金份额持有人。</w:t>
      </w:r>
    </w:p>
    <w:p w14:paraId="5FB53341"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6</w:t>
      </w:r>
      <w:r>
        <w:rPr>
          <w:rFonts w:ascii="Arial" w:hAnsi="宋体" w:cs="Arial" w:hint="eastAsia"/>
          <w:color w:val="000000"/>
          <w:szCs w:val="21"/>
        </w:rPr>
        <w:t>）基金财产清算的公告</w:t>
      </w:r>
    </w:p>
    <w:p w14:paraId="457C29EB" w14:textId="4748D2B2" w:rsidR="00F50C35" w:rsidRDefault="000161D9">
      <w:pPr>
        <w:adjustRightInd w:val="0"/>
        <w:snapToGrid w:val="0"/>
        <w:spacing w:line="360" w:lineRule="auto"/>
        <w:ind w:firstLine="420"/>
        <w:rPr>
          <w:rFonts w:ascii="Arial" w:hAnsi="宋体" w:cs="Arial"/>
          <w:color w:val="000000"/>
          <w:szCs w:val="21"/>
        </w:rPr>
      </w:pPr>
      <w:r>
        <w:rPr>
          <w:rFonts w:ascii="Arial" w:hAnsi="宋体" w:cs="Arial"/>
          <w:szCs w:val="21"/>
        </w:rPr>
        <w:t>基金财产清算</w:t>
      </w:r>
      <w:proofErr w:type="gramStart"/>
      <w:r>
        <w:rPr>
          <w:rFonts w:ascii="Arial" w:hAnsi="宋体" w:cs="Arial"/>
          <w:szCs w:val="21"/>
        </w:rPr>
        <w:t>组做出</w:t>
      </w:r>
      <w:proofErr w:type="gramEnd"/>
      <w:r>
        <w:rPr>
          <w:rFonts w:ascii="Arial" w:hAnsi="宋体" w:cs="Arial"/>
          <w:szCs w:val="21"/>
        </w:rPr>
        <w:t>的清算报告经</w:t>
      </w:r>
      <w:r>
        <w:rPr>
          <w:rFonts w:ascii="Arial" w:hAnsi="宋体" w:cs="Arial" w:hint="eastAsia"/>
          <w:szCs w:val="21"/>
        </w:rPr>
        <w:t>具有证券、期货相关业务资格的</w:t>
      </w:r>
      <w:r>
        <w:rPr>
          <w:rFonts w:ascii="Arial" w:hAnsi="宋体" w:cs="Arial"/>
          <w:szCs w:val="21"/>
        </w:rPr>
        <w:t>会计师事务所审计，律师事务所出具法律意见书后，报中国证监会备案并公告</w:t>
      </w:r>
      <w:r>
        <w:rPr>
          <w:rFonts w:ascii="Arial" w:hAnsi="宋体" w:cs="Arial" w:hint="eastAsia"/>
          <w:szCs w:val="21"/>
        </w:rPr>
        <w:t>，基金财产清算小组应当将清算报告登载在指定网站上，并将清算报告提示性公告登载在指定报刊上</w:t>
      </w:r>
      <w:r>
        <w:rPr>
          <w:rFonts w:ascii="Arial" w:hAnsi="宋体" w:cs="Arial"/>
          <w:szCs w:val="21"/>
        </w:rPr>
        <w:t>。</w:t>
      </w:r>
    </w:p>
    <w:p w14:paraId="4760E607" w14:textId="77777777" w:rsidR="00F50C35" w:rsidRDefault="00FB66DA">
      <w:pPr>
        <w:adjustRightInd w:val="0"/>
        <w:snapToGrid w:val="0"/>
        <w:spacing w:line="360" w:lineRule="auto"/>
        <w:ind w:firstLine="420"/>
        <w:rPr>
          <w:rFonts w:ascii="Arial" w:hAnsi="宋体" w:cs="Arial"/>
          <w:color w:val="000000"/>
          <w:szCs w:val="21"/>
        </w:rPr>
      </w:pPr>
      <w:r>
        <w:rPr>
          <w:rFonts w:ascii="Arial" w:hAnsi="宋体" w:cs="Arial" w:hint="eastAsia"/>
          <w:color w:val="000000"/>
          <w:szCs w:val="21"/>
        </w:rPr>
        <w:t>（</w:t>
      </w:r>
      <w:r>
        <w:rPr>
          <w:rFonts w:ascii="Arial" w:hAnsi="宋体" w:cs="Arial" w:hint="eastAsia"/>
          <w:color w:val="000000"/>
          <w:szCs w:val="21"/>
        </w:rPr>
        <w:t>7</w:t>
      </w:r>
      <w:r>
        <w:rPr>
          <w:rFonts w:ascii="Arial" w:hAnsi="宋体" w:cs="Arial" w:hint="eastAsia"/>
          <w:color w:val="000000"/>
          <w:szCs w:val="21"/>
        </w:rPr>
        <w:t>）基金财产清算账册及文件由基金托管人保存二十年以上。</w:t>
      </w:r>
    </w:p>
    <w:p w14:paraId="6B656339" w14:textId="77777777" w:rsidR="00F50C35" w:rsidRDefault="00F50C35">
      <w:pPr>
        <w:pStyle w:val="2"/>
        <w:snapToGrid w:val="0"/>
        <w:spacing w:before="0" w:after="0" w:line="360" w:lineRule="auto"/>
        <w:ind w:firstLineChars="202" w:firstLine="425"/>
        <w:rPr>
          <w:rFonts w:eastAsia="宋体" w:hAnsi="宋体" w:cs="Arial"/>
          <w:kern w:val="0"/>
          <w:sz w:val="21"/>
          <w:szCs w:val="21"/>
        </w:rPr>
      </w:pPr>
      <w:bookmarkStart w:id="113" w:name="_Toc253128726"/>
      <w:bookmarkStart w:id="114" w:name="_Toc266369102"/>
    </w:p>
    <w:p w14:paraId="2B9C62E4" w14:textId="77777777" w:rsidR="00F50C35" w:rsidRDefault="00FB66DA">
      <w:pPr>
        <w:pStyle w:val="2"/>
        <w:snapToGrid w:val="0"/>
        <w:spacing w:before="0" w:after="0" w:line="360" w:lineRule="auto"/>
        <w:ind w:firstLineChars="202" w:firstLine="425"/>
        <w:rPr>
          <w:rFonts w:eastAsia="宋体" w:hAnsi="宋体" w:cs="Arial"/>
          <w:kern w:val="0"/>
          <w:sz w:val="21"/>
          <w:szCs w:val="21"/>
        </w:rPr>
      </w:pPr>
      <w:r>
        <w:rPr>
          <w:rFonts w:eastAsia="宋体" w:hAnsi="宋体" w:cs="Arial" w:hint="eastAsia"/>
          <w:kern w:val="0"/>
          <w:sz w:val="21"/>
          <w:szCs w:val="21"/>
        </w:rPr>
        <w:t>（八）争议解决方式</w:t>
      </w:r>
      <w:bookmarkEnd w:id="113"/>
      <w:bookmarkEnd w:id="114"/>
    </w:p>
    <w:p w14:paraId="298A8EEF"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1</w:t>
      </w:r>
      <w:r>
        <w:rPr>
          <w:rFonts w:ascii="Arial" w:hAnsi="宋体" w:cs="Arial" w:hint="eastAsia"/>
          <w:kern w:val="0"/>
          <w:szCs w:val="21"/>
        </w:rPr>
        <w:t>、</w:t>
      </w:r>
      <w:r>
        <w:rPr>
          <w:rFonts w:ascii="Arial" w:hAnsi="宋体" w:cs="Arial"/>
          <w:kern w:val="0"/>
          <w:szCs w:val="21"/>
        </w:rPr>
        <w:t>本基金合同适用中华人民共和国法律并从其解释</w:t>
      </w:r>
      <w:r>
        <w:rPr>
          <w:rFonts w:ascii="Arial" w:hAnsi="宋体" w:cs="Arial" w:hint="eastAsia"/>
          <w:kern w:val="0"/>
          <w:szCs w:val="21"/>
        </w:rPr>
        <w:t>；</w:t>
      </w:r>
    </w:p>
    <w:p w14:paraId="439A32F4"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2</w:t>
      </w:r>
      <w:r>
        <w:rPr>
          <w:rFonts w:ascii="Arial" w:hAnsi="宋体" w:cs="Arial" w:hint="eastAsia"/>
          <w:kern w:val="0"/>
          <w:szCs w:val="21"/>
        </w:rPr>
        <w:t>、</w:t>
      </w:r>
      <w:r>
        <w:rPr>
          <w:rFonts w:ascii="Arial" w:hAnsi="宋体" w:cs="Arial"/>
          <w:kern w:val="0"/>
          <w:szCs w:val="21"/>
        </w:rPr>
        <w:t>本基金合同的当事人之间因本基金合同产生的或与本基金合同有关的争议应首先通过友好协商解决。但若自一方书面要求协商解决争议发生之日起</w:t>
      </w:r>
      <w:r>
        <w:rPr>
          <w:rFonts w:ascii="Arial" w:hAnsi="Arial" w:cs="Arial"/>
          <w:kern w:val="0"/>
          <w:szCs w:val="21"/>
        </w:rPr>
        <w:t>60</w:t>
      </w:r>
      <w:r>
        <w:rPr>
          <w:rFonts w:ascii="Arial" w:hAnsi="宋体" w:cs="Arial"/>
          <w:kern w:val="0"/>
          <w:szCs w:val="21"/>
        </w:rPr>
        <w:t>日内未能以协商方式解决的，则任何一方有权将争议提交位于北京的中国国际经济贸易仲裁委员会，根据当时有效的仲裁规则进行仲裁。仲裁裁决是终局的，对仲裁各方当事人均具有约束力</w:t>
      </w:r>
      <w:r>
        <w:rPr>
          <w:rFonts w:ascii="Arial" w:hAnsi="宋体" w:cs="Arial" w:hint="eastAsia"/>
          <w:kern w:val="0"/>
          <w:szCs w:val="21"/>
        </w:rPr>
        <w:t>；</w:t>
      </w:r>
    </w:p>
    <w:p w14:paraId="0DA1831A" w14:textId="77777777" w:rsidR="00F50C35" w:rsidRDefault="00FB66DA">
      <w:pPr>
        <w:adjustRightInd w:val="0"/>
        <w:snapToGrid w:val="0"/>
        <w:spacing w:line="360" w:lineRule="auto"/>
        <w:ind w:firstLine="420"/>
        <w:rPr>
          <w:rFonts w:ascii="Arial" w:hAnsi="Arial" w:cs="Arial"/>
          <w:kern w:val="0"/>
          <w:szCs w:val="21"/>
        </w:rPr>
      </w:pPr>
      <w:r>
        <w:rPr>
          <w:rFonts w:ascii="Arial" w:hAnsi="宋体" w:cs="Arial" w:hint="eastAsia"/>
          <w:kern w:val="0"/>
          <w:szCs w:val="21"/>
        </w:rPr>
        <w:t>3</w:t>
      </w:r>
      <w:r>
        <w:rPr>
          <w:rFonts w:ascii="Arial" w:hAnsi="宋体" w:cs="Arial" w:hint="eastAsia"/>
          <w:kern w:val="0"/>
          <w:szCs w:val="21"/>
        </w:rPr>
        <w:t>、</w:t>
      </w:r>
      <w:r>
        <w:rPr>
          <w:rFonts w:ascii="Arial" w:hAnsi="宋体" w:cs="Arial"/>
          <w:kern w:val="0"/>
          <w:szCs w:val="21"/>
        </w:rPr>
        <w:t>除争议所涉内容之外，本基金合同的其他部分应当由本基金合同当事人继续履行。</w:t>
      </w:r>
    </w:p>
    <w:p w14:paraId="082F225D" w14:textId="77777777" w:rsidR="00F50C35" w:rsidRDefault="00F50C35">
      <w:pPr>
        <w:pStyle w:val="2"/>
        <w:snapToGrid w:val="0"/>
        <w:spacing w:before="0" w:after="0" w:line="360" w:lineRule="auto"/>
        <w:ind w:firstLineChars="202" w:firstLine="425"/>
        <w:rPr>
          <w:rFonts w:eastAsia="宋体" w:hAnsi="宋体" w:cs="Arial"/>
          <w:kern w:val="0"/>
          <w:sz w:val="21"/>
          <w:szCs w:val="21"/>
        </w:rPr>
      </w:pPr>
      <w:bookmarkStart w:id="115" w:name="_Toc266369103"/>
      <w:bookmarkStart w:id="116" w:name="_Toc253128727"/>
    </w:p>
    <w:p w14:paraId="1345F9D1" w14:textId="77777777" w:rsidR="00F50C35" w:rsidRDefault="00FB66DA">
      <w:pPr>
        <w:pStyle w:val="2"/>
        <w:snapToGrid w:val="0"/>
        <w:spacing w:before="0" w:after="0" w:line="360" w:lineRule="auto"/>
        <w:ind w:firstLineChars="202" w:firstLine="425"/>
        <w:rPr>
          <w:rFonts w:eastAsia="宋体" w:hAnsi="宋体" w:cs="Arial"/>
          <w:kern w:val="0"/>
          <w:sz w:val="21"/>
          <w:szCs w:val="21"/>
        </w:rPr>
      </w:pPr>
      <w:r>
        <w:rPr>
          <w:rFonts w:eastAsia="宋体" w:hAnsi="宋体" w:cs="Arial" w:hint="eastAsia"/>
          <w:kern w:val="0"/>
          <w:sz w:val="21"/>
          <w:szCs w:val="21"/>
        </w:rPr>
        <w:t>（九）基金合同存放地和投资者取得基金合同的方式</w:t>
      </w:r>
      <w:bookmarkEnd w:id="115"/>
      <w:bookmarkEnd w:id="116"/>
    </w:p>
    <w:p w14:paraId="7E8D8AF5" w14:textId="77777777" w:rsidR="00F50C35" w:rsidRDefault="00FB66DA">
      <w:pPr>
        <w:snapToGrid w:val="0"/>
        <w:spacing w:line="360" w:lineRule="auto"/>
        <w:ind w:firstLineChars="200" w:firstLine="420"/>
        <w:rPr>
          <w:rFonts w:ascii="Arial" w:hAnsi="Arial" w:cs="Arial"/>
          <w:szCs w:val="21"/>
        </w:rPr>
      </w:pPr>
      <w:r>
        <w:rPr>
          <w:rFonts w:ascii="Arial" w:hAnsi="宋体" w:cs="Arial" w:hint="eastAsia"/>
          <w:kern w:val="0"/>
          <w:szCs w:val="21"/>
        </w:rPr>
        <w:t>基金合同可印制成册，存放在基金管理人和基金托管人住所，供投资者查阅，基金合同条款及内容应以基金合同正本为准。</w:t>
      </w:r>
    </w:p>
    <w:p w14:paraId="1718D683" w14:textId="77777777" w:rsidR="00F50C35" w:rsidRDefault="00F50C35">
      <w:pPr>
        <w:adjustRightInd w:val="0"/>
        <w:snapToGrid w:val="0"/>
        <w:spacing w:line="360" w:lineRule="auto"/>
        <w:ind w:firstLine="420"/>
        <w:rPr>
          <w:rFonts w:ascii="Arial" w:hAnsi="Arial" w:cs="Arial"/>
          <w:kern w:val="0"/>
          <w:szCs w:val="21"/>
        </w:rPr>
      </w:pPr>
    </w:p>
    <w:p w14:paraId="2EEA1CA8" w14:textId="77777777" w:rsidR="00F50C35" w:rsidRDefault="00F50C35">
      <w:pPr>
        <w:adjustRightInd w:val="0"/>
        <w:snapToGrid w:val="0"/>
        <w:spacing w:line="360" w:lineRule="auto"/>
        <w:rPr>
          <w:rFonts w:ascii="Arial" w:hAnsi="Arial" w:cs="Arial"/>
          <w:sz w:val="24"/>
        </w:rPr>
      </w:pPr>
    </w:p>
    <w:sectPr w:rsidR="00F50C35">
      <w:pgSz w:w="11906" w:h="16838"/>
      <w:pgMar w:top="1440" w:right="1800" w:bottom="1440" w:left="1800" w:header="851" w:footer="992" w:gutter="0"/>
      <w:cols w:space="425"/>
      <w:docGrid w:type="lines"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D95043A" w15:done="0"/>
  <w15:commentEx w15:paraId="48CFFCE3" w15:done="0"/>
  <w15:commentEx w15:paraId="6E2565CE" w15:done="0"/>
  <w15:commentEx w15:paraId="2BBF8BC5" w15:done="0"/>
  <w15:commentEx w15:paraId="6E61C8D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10447F" w14:textId="77777777" w:rsidR="00AD4969" w:rsidRDefault="00AD4969">
      <w:r>
        <w:separator/>
      </w:r>
    </w:p>
  </w:endnote>
  <w:endnote w:type="continuationSeparator" w:id="0">
    <w:p w14:paraId="04C86750" w14:textId="77777777" w:rsidR="00AD4969" w:rsidRDefault="00AD49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方正仿宋简体">
    <w:altName w:val="宋体"/>
    <w:charset w:val="86"/>
    <w:family w:val="auto"/>
    <w:pitch w:val="default"/>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46921E" w14:textId="77777777" w:rsidR="00F50C35" w:rsidRDefault="00FB66DA">
    <w:pPr>
      <w:pStyle w:val="ab"/>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14:paraId="7A605E63" w14:textId="77777777" w:rsidR="00F50C35" w:rsidRDefault="00F50C35">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6E2ABF" w14:textId="77777777" w:rsidR="00F50C35" w:rsidRDefault="00F50C35">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E2F3C0" w14:textId="77777777" w:rsidR="00F50C35" w:rsidRDefault="00FB66DA">
    <w:pPr>
      <w:pStyle w:val="ab"/>
      <w:jc w:val="center"/>
      <w:rPr>
        <w:rFonts w:ascii="Arial" w:hAnsi="Arial" w:cs="Arial"/>
        <w:szCs w:val="21"/>
      </w:rPr>
    </w:pPr>
    <w:r>
      <w:rPr>
        <w:rFonts w:ascii="Arial" w:hAnsi="Arial" w:cs="Arial"/>
        <w:kern w:val="0"/>
        <w:szCs w:val="21"/>
      </w:rPr>
      <w:fldChar w:fldCharType="begin"/>
    </w:r>
    <w:r>
      <w:rPr>
        <w:rFonts w:ascii="Arial" w:hAnsi="Arial" w:cs="Arial"/>
        <w:kern w:val="0"/>
        <w:szCs w:val="21"/>
      </w:rPr>
      <w:instrText xml:space="preserve"> PAGE </w:instrText>
    </w:r>
    <w:r>
      <w:rPr>
        <w:rFonts w:ascii="Arial" w:hAnsi="Arial" w:cs="Arial"/>
        <w:kern w:val="0"/>
        <w:szCs w:val="21"/>
      </w:rPr>
      <w:fldChar w:fldCharType="separate"/>
    </w:r>
    <w:r w:rsidR="00AD672F">
      <w:rPr>
        <w:rFonts w:ascii="Arial" w:hAnsi="Arial" w:cs="Arial"/>
        <w:noProof/>
        <w:kern w:val="0"/>
        <w:szCs w:val="21"/>
      </w:rPr>
      <w:t>58</w:t>
    </w:r>
    <w:r>
      <w:rPr>
        <w:rFonts w:ascii="Arial" w:hAnsi="Arial" w:cs="Arial"/>
        <w:kern w:val="0"/>
        <w:szCs w:val="21"/>
      </w:rPr>
      <w:fldChar w:fldCharType="end"/>
    </w:r>
    <w:r>
      <w:rPr>
        <w:rFonts w:ascii="Arial" w:hAnsi="Arial" w:cs="Arial"/>
        <w:kern w:val="0"/>
        <w:szCs w:val="21"/>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0F3216" w14:textId="77777777" w:rsidR="00AD4969" w:rsidRDefault="00AD4969">
      <w:r>
        <w:separator/>
      </w:r>
    </w:p>
  </w:footnote>
  <w:footnote w:type="continuationSeparator" w:id="0">
    <w:p w14:paraId="2B0AE1F9" w14:textId="77777777" w:rsidR="00AD4969" w:rsidRDefault="00AD49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769E9B" w14:textId="77777777" w:rsidR="00F50C35" w:rsidRDefault="00FB66DA">
    <w:pPr>
      <w:pStyle w:val="ac"/>
      <w:jc w:val="right"/>
    </w:pPr>
    <w:r>
      <w:rPr>
        <w:rFonts w:hint="eastAsia"/>
      </w:rPr>
      <w:t>基金合同</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808786" w14:textId="77777777" w:rsidR="00F50C35" w:rsidRDefault="00FB66DA">
    <w:pPr>
      <w:pStyle w:val="ac"/>
      <w:jc w:val="right"/>
    </w:pPr>
    <w:r>
      <w:rPr>
        <w:rFonts w:hint="eastAsia"/>
      </w:rPr>
      <w:t>基金合同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4732EC"/>
    <w:multiLevelType w:val="multilevel"/>
    <w:tmpl w:val="134732EC"/>
    <w:lvl w:ilvl="0">
      <w:start w:val="1"/>
      <w:numFmt w:val="decimal"/>
      <w:lvlText w:val="（%1）"/>
      <w:lvlJc w:val="left"/>
      <w:pPr>
        <w:ind w:left="840" w:hanging="420"/>
      </w:pPr>
      <w:rPr>
        <w:rFonts w:hint="eastAsia"/>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19271F3E"/>
    <w:multiLevelType w:val="multilevel"/>
    <w:tmpl w:val="19271F3E"/>
    <w:lvl w:ilvl="0">
      <w:start w:val="4"/>
      <w:numFmt w:val="japaneseCounting"/>
      <w:lvlText w:val="（%1）"/>
      <w:lvlJc w:val="left"/>
      <w:pPr>
        <w:ind w:left="1145" w:hanging="720"/>
      </w:pPr>
      <w:rPr>
        <w:rFonts w:hint="default"/>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abstractNum w:abstractNumId="2">
    <w:nsid w:val="1C552771"/>
    <w:multiLevelType w:val="multilevel"/>
    <w:tmpl w:val="1C552771"/>
    <w:lvl w:ilvl="0">
      <w:start w:val="1"/>
      <w:numFmt w:val="decimal"/>
      <w:lvlText w:val="（%1）"/>
      <w:lvlJc w:val="left"/>
      <w:pPr>
        <w:ind w:left="780" w:hanging="36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
    <w:nsid w:val="1F693C38"/>
    <w:multiLevelType w:val="multilevel"/>
    <w:tmpl w:val="1F693C38"/>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4">
    <w:nsid w:val="20F22470"/>
    <w:multiLevelType w:val="multilevel"/>
    <w:tmpl w:val="20F22470"/>
    <w:lvl w:ilvl="0">
      <w:start w:val="1"/>
      <w:numFmt w:val="bullet"/>
      <w:pStyle w:val="ParaChar"/>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5">
    <w:nsid w:val="37131FD0"/>
    <w:multiLevelType w:val="multilevel"/>
    <w:tmpl w:val="37131FD0"/>
    <w:lvl w:ilvl="0">
      <w:start w:val="1"/>
      <w:numFmt w:val="decimal"/>
      <w:lvlText w:val="%1、"/>
      <w:lvlJc w:val="left"/>
      <w:pPr>
        <w:ind w:left="780" w:hanging="360"/>
      </w:pPr>
      <w:rPr>
        <w:rFonts w:hAnsi="Arial"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
    <w:nsid w:val="52B53CBD"/>
    <w:multiLevelType w:val="multilevel"/>
    <w:tmpl w:val="52B53CBD"/>
    <w:lvl w:ilvl="0">
      <w:start w:val="1"/>
      <w:numFmt w:val="japaneseCounting"/>
      <w:lvlText w:val="（%1）"/>
      <w:lvlJc w:val="left"/>
      <w:pPr>
        <w:ind w:left="1145" w:hanging="720"/>
      </w:pPr>
      <w:rPr>
        <w:rFonts w:hint="default"/>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abstractNum w:abstractNumId="7">
    <w:nsid w:val="66A93C81"/>
    <w:multiLevelType w:val="multilevel"/>
    <w:tmpl w:val="66A93C81"/>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4"/>
  </w:num>
  <w:num w:numId="2">
    <w:abstractNumId w:val="7"/>
  </w:num>
  <w:num w:numId="3">
    <w:abstractNumId w:val="3"/>
  </w:num>
  <w:num w:numId="4">
    <w:abstractNumId w:val="6"/>
  </w:num>
  <w:num w:numId="5">
    <w:abstractNumId w:val="5"/>
  </w:num>
  <w:num w:numId="6">
    <w:abstractNumId w:val="0"/>
  </w:num>
  <w:num w:numId="7">
    <w:abstractNumId w:val="2"/>
  </w:num>
  <w:num w:numId="8">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符筱">
    <w15:presenceInfo w15:providerId="None" w15:userId="符筱"/>
  </w15:person>
  <w15:person w15:author="YuanTai">
    <w15:presenceInfo w15:providerId="None" w15:userId="YuanTai"/>
  </w15:person>
  <w15:person w15:author="汤玲">
    <w15:presenceInfo w15:providerId="None" w15:userId="汤玲"/>
  </w15:person>
  <w15:person w15:author="YuanTai信披修改">
    <w15:presenceInfo w15:providerId="None" w15:userId="YuanTai信披修改"/>
  </w15:person>
  <w15:person w15:author="YuanTai1220">
    <w15:presenceInfo w15:providerId="None" w15:userId="YuanTai12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oNotTrackMove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642157"/>
    <w:rsid w:val="0000013B"/>
    <w:rsid w:val="00000CAA"/>
    <w:rsid w:val="00003AF8"/>
    <w:rsid w:val="000124F6"/>
    <w:rsid w:val="000161D9"/>
    <w:rsid w:val="0001660A"/>
    <w:rsid w:val="00016BD2"/>
    <w:rsid w:val="00017F71"/>
    <w:rsid w:val="0002265E"/>
    <w:rsid w:val="00031D8A"/>
    <w:rsid w:val="0003402B"/>
    <w:rsid w:val="000365D0"/>
    <w:rsid w:val="0004160D"/>
    <w:rsid w:val="00042D86"/>
    <w:rsid w:val="00043EAC"/>
    <w:rsid w:val="00044A56"/>
    <w:rsid w:val="00053790"/>
    <w:rsid w:val="000545B6"/>
    <w:rsid w:val="000556A2"/>
    <w:rsid w:val="000562C9"/>
    <w:rsid w:val="00057D2E"/>
    <w:rsid w:val="00067317"/>
    <w:rsid w:val="00071C1E"/>
    <w:rsid w:val="00074B84"/>
    <w:rsid w:val="000756C5"/>
    <w:rsid w:val="0007738E"/>
    <w:rsid w:val="000774B9"/>
    <w:rsid w:val="000877B0"/>
    <w:rsid w:val="00091CEE"/>
    <w:rsid w:val="000A1AA6"/>
    <w:rsid w:val="000A334F"/>
    <w:rsid w:val="000A5540"/>
    <w:rsid w:val="000B0CE5"/>
    <w:rsid w:val="000B3F34"/>
    <w:rsid w:val="000B555C"/>
    <w:rsid w:val="000C1851"/>
    <w:rsid w:val="000D1F87"/>
    <w:rsid w:val="000D2341"/>
    <w:rsid w:val="000E500F"/>
    <w:rsid w:val="000F381B"/>
    <w:rsid w:val="000F4561"/>
    <w:rsid w:val="000F6F96"/>
    <w:rsid w:val="000F7196"/>
    <w:rsid w:val="00100E0C"/>
    <w:rsid w:val="00103756"/>
    <w:rsid w:val="001049FF"/>
    <w:rsid w:val="00105B22"/>
    <w:rsid w:val="001067BC"/>
    <w:rsid w:val="00111378"/>
    <w:rsid w:val="00112AFF"/>
    <w:rsid w:val="00113D48"/>
    <w:rsid w:val="00117FDB"/>
    <w:rsid w:val="00120144"/>
    <w:rsid w:val="001222AA"/>
    <w:rsid w:val="00122E4B"/>
    <w:rsid w:val="00132FBA"/>
    <w:rsid w:val="00136600"/>
    <w:rsid w:val="00137849"/>
    <w:rsid w:val="00137AAA"/>
    <w:rsid w:val="00141025"/>
    <w:rsid w:val="00141AF0"/>
    <w:rsid w:val="00142DC0"/>
    <w:rsid w:val="001447A1"/>
    <w:rsid w:val="001517D6"/>
    <w:rsid w:val="001623B8"/>
    <w:rsid w:val="00163270"/>
    <w:rsid w:val="0016781A"/>
    <w:rsid w:val="00167D89"/>
    <w:rsid w:val="00174B7F"/>
    <w:rsid w:val="00182733"/>
    <w:rsid w:val="00182777"/>
    <w:rsid w:val="00182F51"/>
    <w:rsid w:val="001849B5"/>
    <w:rsid w:val="00186E67"/>
    <w:rsid w:val="0019058A"/>
    <w:rsid w:val="00190E62"/>
    <w:rsid w:val="001A0899"/>
    <w:rsid w:val="001A2861"/>
    <w:rsid w:val="001B044B"/>
    <w:rsid w:val="001C17A2"/>
    <w:rsid w:val="001C2E45"/>
    <w:rsid w:val="001D149D"/>
    <w:rsid w:val="001D3D92"/>
    <w:rsid w:val="001E5056"/>
    <w:rsid w:val="001F0BF9"/>
    <w:rsid w:val="001F5AE3"/>
    <w:rsid w:val="001F6F22"/>
    <w:rsid w:val="002016C0"/>
    <w:rsid w:val="00201C66"/>
    <w:rsid w:val="00202776"/>
    <w:rsid w:val="002030D4"/>
    <w:rsid w:val="00204CF9"/>
    <w:rsid w:val="00211E67"/>
    <w:rsid w:val="00214E72"/>
    <w:rsid w:val="00220A4D"/>
    <w:rsid w:val="00220FC3"/>
    <w:rsid w:val="0023055E"/>
    <w:rsid w:val="002316F4"/>
    <w:rsid w:val="00233FF4"/>
    <w:rsid w:val="00237518"/>
    <w:rsid w:val="00243808"/>
    <w:rsid w:val="00244AD6"/>
    <w:rsid w:val="0025391A"/>
    <w:rsid w:val="00257765"/>
    <w:rsid w:val="0026317A"/>
    <w:rsid w:val="00267ECD"/>
    <w:rsid w:val="002720DB"/>
    <w:rsid w:val="00273059"/>
    <w:rsid w:val="00274585"/>
    <w:rsid w:val="00275892"/>
    <w:rsid w:val="00276CDC"/>
    <w:rsid w:val="0028195D"/>
    <w:rsid w:val="00281BFD"/>
    <w:rsid w:val="00290819"/>
    <w:rsid w:val="002953CE"/>
    <w:rsid w:val="00295402"/>
    <w:rsid w:val="00296FF2"/>
    <w:rsid w:val="002971B5"/>
    <w:rsid w:val="0029796F"/>
    <w:rsid w:val="002A0478"/>
    <w:rsid w:val="002A6B1B"/>
    <w:rsid w:val="002A6D0D"/>
    <w:rsid w:val="002B0430"/>
    <w:rsid w:val="002C2910"/>
    <w:rsid w:val="002D6808"/>
    <w:rsid w:val="002D6A1C"/>
    <w:rsid w:val="002E3900"/>
    <w:rsid w:val="002E567E"/>
    <w:rsid w:val="002E5F9E"/>
    <w:rsid w:val="002E6AB4"/>
    <w:rsid w:val="002F1EBF"/>
    <w:rsid w:val="002F5FBE"/>
    <w:rsid w:val="0030322F"/>
    <w:rsid w:val="00304AD8"/>
    <w:rsid w:val="00307CCA"/>
    <w:rsid w:val="00310725"/>
    <w:rsid w:val="003179E3"/>
    <w:rsid w:val="00321940"/>
    <w:rsid w:val="00330068"/>
    <w:rsid w:val="003341CB"/>
    <w:rsid w:val="003349DE"/>
    <w:rsid w:val="00346659"/>
    <w:rsid w:val="0035156B"/>
    <w:rsid w:val="00352F20"/>
    <w:rsid w:val="003543D6"/>
    <w:rsid w:val="003567E6"/>
    <w:rsid w:val="00360725"/>
    <w:rsid w:val="003623F2"/>
    <w:rsid w:val="00373ABB"/>
    <w:rsid w:val="003744DB"/>
    <w:rsid w:val="00375DFD"/>
    <w:rsid w:val="00377FCE"/>
    <w:rsid w:val="00386F88"/>
    <w:rsid w:val="00387158"/>
    <w:rsid w:val="003906D1"/>
    <w:rsid w:val="003953E9"/>
    <w:rsid w:val="0039716B"/>
    <w:rsid w:val="00397502"/>
    <w:rsid w:val="003A5DC3"/>
    <w:rsid w:val="003B0504"/>
    <w:rsid w:val="003B1242"/>
    <w:rsid w:val="003B3CA9"/>
    <w:rsid w:val="003C1372"/>
    <w:rsid w:val="003C2AE9"/>
    <w:rsid w:val="003C3592"/>
    <w:rsid w:val="003C54D1"/>
    <w:rsid w:val="003D2828"/>
    <w:rsid w:val="003D59DF"/>
    <w:rsid w:val="003D7B56"/>
    <w:rsid w:val="003E39BB"/>
    <w:rsid w:val="003E6AC0"/>
    <w:rsid w:val="003E6CEA"/>
    <w:rsid w:val="003F2ADB"/>
    <w:rsid w:val="003F3512"/>
    <w:rsid w:val="003F62E3"/>
    <w:rsid w:val="003F6AC7"/>
    <w:rsid w:val="003F7BA3"/>
    <w:rsid w:val="004020CE"/>
    <w:rsid w:val="00410CF0"/>
    <w:rsid w:val="004114A4"/>
    <w:rsid w:val="00417879"/>
    <w:rsid w:val="004221F5"/>
    <w:rsid w:val="004242D3"/>
    <w:rsid w:val="004249B2"/>
    <w:rsid w:val="00430B72"/>
    <w:rsid w:val="00431F7F"/>
    <w:rsid w:val="00433DAA"/>
    <w:rsid w:val="00441533"/>
    <w:rsid w:val="00447AE5"/>
    <w:rsid w:val="00452849"/>
    <w:rsid w:val="0046500C"/>
    <w:rsid w:val="00465AC0"/>
    <w:rsid w:val="004715F9"/>
    <w:rsid w:val="0047261B"/>
    <w:rsid w:val="004734E0"/>
    <w:rsid w:val="004752C6"/>
    <w:rsid w:val="00485DC9"/>
    <w:rsid w:val="00486229"/>
    <w:rsid w:val="00491477"/>
    <w:rsid w:val="00495DD4"/>
    <w:rsid w:val="00497623"/>
    <w:rsid w:val="004977AE"/>
    <w:rsid w:val="00497AD4"/>
    <w:rsid w:val="004A416F"/>
    <w:rsid w:val="004A5855"/>
    <w:rsid w:val="004B05E2"/>
    <w:rsid w:val="004B32CE"/>
    <w:rsid w:val="004B4D72"/>
    <w:rsid w:val="004B4F8E"/>
    <w:rsid w:val="004B6141"/>
    <w:rsid w:val="004B70A0"/>
    <w:rsid w:val="004C037E"/>
    <w:rsid w:val="004C6F94"/>
    <w:rsid w:val="004D0D44"/>
    <w:rsid w:val="004D1920"/>
    <w:rsid w:val="004D2128"/>
    <w:rsid w:val="004D3CCC"/>
    <w:rsid w:val="004D3DE7"/>
    <w:rsid w:val="004E075F"/>
    <w:rsid w:val="004E32F7"/>
    <w:rsid w:val="004F3436"/>
    <w:rsid w:val="0050257D"/>
    <w:rsid w:val="00504126"/>
    <w:rsid w:val="00506E55"/>
    <w:rsid w:val="0051677E"/>
    <w:rsid w:val="005169F6"/>
    <w:rsid w:val="00520097"/>
    <w:rsid w:val="00523598"/>
    <w:rsid w:val="00531C13"/>
    <w:rsid w:val="0053605F"/>
    <w:rsid w:val="0054492F"/>
    <w:rsid w:val="00547E06"/>
    <w:rsid w:val="00550102"/>
    <w:rsid w:val="00550C8D"/>
    <w:rsid w:val="0055179E"/>
    <w:rsid w:val="0055316D"/>
    <w:rsid w:val="00554A44"/>
    <w:rsid w:val="0055679D"/>
    <w:rsid w:val="005570CE"/>
    <w:rsid w:val="00557CDE"/>
    <w:rsid w:val="00566A2E"/>
    <w:rsid w:val="00566C10"/>
    <w:rsid w:val="00567B1F"/>
    <w:rsid w:val="00576308"/>
    <w:rsid w:val="005770F1"/>
    <w:rsid w:val="0057750D"/>
    <w:rsid w:val="00581264"/>
    <w:rsid w:val="00590839"/>
    <w:rsid w:val="00594D32"/>
    <w:rsid w:val="00596DC9"/>
    <w:rsid w:val="00597117"/>
    <w:rsid w:val="005A0284"/>
    <w:rsid w:val="005A1701"/>
    <w:rsid w:val="005A4E06"/>
    <w:rsid w:val="005A5B70"/>
    <w:rsid w:val="005A63EB"/>
    <w:rsid w:val="005B15FF"/>
    <w:rsid w:val="005B1BE5"/>
    <w:rsid w:val="005B1BED"/>
    <w:rsid w:val="005B3972"/>
    <w:rsid w:val="005B498C"/>
    <w:rsid w:val="005C3D73"/>
    <w:rsid w:val="005D22C6"/>
    <w:rsid w:val="005D3452"/>
    <w:rsid w:val="005D39B7"/>
    <w:rsid w:val="005D4BCC"/>
    <w:rsid w:val="005D5F43"/>
    <w:rsid w:val="005E2618"/>
    <w:rsid w:val="005F07C7"/>
    <w:rsid w:val="005F4467"/>
    <w:rsid w:val="005F4A75"/>
    <w:rsid w:val="005F62BB"/>
    <w:rsid w:val="005F757C"/>
    <w:rsid w:val="00602AC5"/>
    <w:rsid w:val="00603699"/>
    <w:rsid w:val="00604F27"/>
    <w:rsid w:val="00607B1C"/>
    <w:rsid w:val="00607BDE"/>
    <w:rsid w:val="0061308A"/>
    <w:rsid w:val="00622CE0"/>
    <w:rsid w:val="00623794"/>
    <w:rsid w:val="00642157"/>
    <w:rsid w:val="00645801"/>
    <w:rsid w:val="00646AD2"/>
    <w:rsid w:val="00647AD3"/>
    <w:rsid w:val="006518BE"/>
    <w:rsid w:val="006559A4"/>
    <w:rsid w:val="00660CF5"/>
    <w:rsid w:val="00663C13"/>
    <w:rsid w:val="00666DAC"/>
    <w:rsid w:val="00671519"/>
    <w:rsid w:val="00671C5B"/>
    <w:rsid w:val="006729F8"/>
    <w:rsid w:val="006828BB"/>
    <w:rsid w:val="006A5D16"/>
    <w:rsid w:val="006B1974"/>
    <w:rsid w:val="006C089D"/>
    <w:rsid w:val="006E172E"/>
    <w:rsid w:val="006E17E4"/>
    <w:rsid w:val="006E2C9E"/>
    <w:rsid w:val="006E2E2C"/>
    <w:rsid w:val="006E354F"/>
    <w:rsid w:val="006E6154"/>
    <w:rsid w:val="006E6278"/>
    <w:rsid w:val="006E7FC8"/>
    <w:rsid w:val="006F127B"/>
    <w:rsid w:val="006F4F0B"/>
    <w:rsid w:val="006F515F"/>
    <w:rsid w:val="006F5577"/>
    <w:rsid w:val="00703767"/>
    <w:rsid w:val="0071027F"/>
    <w:rsid w:val="007201D7"/>
    <w:rsid w:val="007237F3"/>
    <w:rsid w:val="00732644"/>
    <w:rsid w:val="00734812"/>
    <w:rsid w:val="00735473"/>
    <w:rsid w:val="00736B98"/>
    <w:rsid w:val="00740001"/>
    <w:rsid w:val="00742B3C"/>
    <w:rsid w:val="00747BE2"/>
    <w:rsid w:val="00753F6E"/>
    <w:rsid w:val="00757B4A"/>
    <w:rsid w:val="00757DF3"/>
    <w:rsid w:val="00762BA3"/>
    <w:rsid w:val="00763C26"/>
    <w:rsid w:val="0076663F"/>
    <w:rsid w:val="00766F55"/>
    <w:rsid w:val="00767E4D"/>
    <w:rsid w:val="00770C64"/>
    <w:rsid w:val="00775C7C"/>
    <w:rsid w:val="00776247"/>
    <w:rsid w:val="00781710"/>
    <w:rsid w:val="00784A05"/>
    <w:rsid w:val="00784A62"/>
    <w:rsid w:val="0078715A"/>
    <w:rsid w:val="00796099"/>
    <w:rsid w:val="0079646D"/>
    <w:rsid w:val="007A2EB8"/>
    <w:rsid w:val="007A2FE8"/>
    <w:rsid w:val="007A40D4"/>
    <w:rsid w:val="007A72B5"/>
    <w:rsid w:val="007B181D"/>
    <w:rsid w:val="007B40F5"/>
    <w:rsid w:val="007C0A7D"/>
    <w:rsid w:val="007C4441"/>
    <w:rsid w:val="007C71D8"/>
    <w:rsid w:val="007C7673"/>
    <w:rsid w:val="007C76AD"/>
    <w:rsid w:val="007D333A"/>
    <w:rsid w:val="007D6553"/>
    <w:rsid w:val="007D7723"/>
    <w:rsid w:val="007E5E45"/>
    <w:rsid w:val="007E6996"/>
    <w:rsid w:val="007F0916"/>
    <w:rsid w:val="007F1209"/>
    <w:rsid w:val="007F1549"/>
    <w:rsid w:val="00800F53"/>
    <w:rsid w:val="00804A32"/>
    <w:rsid w:val="00805712"/>
    <w:rsid w:val="00805CFF"/>
    <w:rsid w:val="00806710"/>
    <w:rsid w:val="008121FB"/>
    <w:rsid w:val="00822D7F"/>
    <w:rsid w:val="008370DE"/>
    <w:rsid w:val="0085071B"/>
    <w:rsid w:val="00851903"/>
    <w:rsid w:val="00853A0D"/>
    <w:rsid w:val="00860131"/>
    <w:rsid w:val="008616A7"/>
    <w:rsid w:val="00867B62"/>
    <w:rsid w:val="0087182B"/>
    <w:rsid w:val="00871C30"/>
    <w:rsid w:val="008725EF"/>
    <w:rsid w:val="00874712"/>
    <w:rsid w:val="00875E98"/>
    <w:rsid w:val="00880826"/>
    <w:rsid w:val="00880DAD"/>
    <w:rsid w:val="00884CF4"/>
    <w:rsid w:val="00885756"/>
    <w:rsid w:val="00885985"/>
    <w:rsid w:val="00896C22"/>
    <w:rsid w:val="00897E43"/>
    <w:rsid w:val="008A42AE"/>
    <w:rsid w:val="008A451F"/>
    <w:rsid w:val="008C2CA0"/>
    <w:rsid w:val="008C6844"/>
    <w:rsid w:val="008C72D6"/>
    <w:rsid w:val="008D0587"/>
    <w:rsid w:val="008D2AE8"/>
    <w:rsid w:val="008D6573"/>
    <w:rsid w:val="008D76CB"/>
    <w:rsid w:val="008E3850"/>
    <w:rsid w:val="008E6F7F"/>
    <w:rsid w:val="008E7C7E"/>
    <w:rsid w:val="008F31A6"/>
    <w:rsid w:val="009033E6"/>
    <w:rsid w:val="009047B8"/>
    <w:rsid w:val="00907536"/>
    <w:rsid w:val="0091639D"/>
    <w:rsid w:val="009225E8"/>
    <w:rsid w:val="00923F27"/>
    <w:rsid w:val="00924A78"/>
    <w:rsid w:val="0092633E"/>
    <w:rsid w:val="009275BF"/>
    <w:rsid w:val="00936B06"/>
    <w:rsid w:val="00937EF3"/>
    <w:rsid w:val="00940D74"/>
    <w:rsid w:val="009436A3"/>
    <w:rsid w:val="00951674"/>
    <w:rsid w:val="00953203"/>
    <w:rsid w:val="0096291E"/>
    <w:rsid w:val="00962E05"/>
    <w:rsid w:val="00962F51"/>
    <w:rsid w:val="00966988"/>
    <w:rsid w:val="00972211"/>
    <w:rsid w:val="00975BF5"/>
    <w:rsid w:val="00975D86"/>
    <w:rsid w:val="0098331F"/>
    <w:rsid w:val="009838DF"/>
    <w:rsid w:val="00984D45"/>
    <w:rsid w:val="0098757F"/>
    <w:rsid w:val="00997457"/>
    <w:rsid w:val="009A1E38"/>
    <w:rsid w:val="009A556D"/>
    <w:rsid w:val="009A5D23"/>
    <w:rsid w:val="009A5E2C"/>
    <w:rsid w:val="009B0367"/>
    <w:rsid w:val="009B24C5"/>
    <w:rsid w:val="009B3325"/>
    <w:rsid w:val="009C4826"/>
    <w:rsid w:val="009C6ECA"/>
    <w:rsid w:val="009C7452"/>
    <w:rsid w:val="009D686C"/>
    <w:rsid w:val="009D6CBD"/>
    <w:rsid w:val="009D7366"/>
    <w:rsid w:val="009E3400"/>
    <w:rsid w:val="009E3BC9"/>
    <w:rsid w:val="009E3FF7"/>
    <w:rsid w:val="009E7670"/>
    <w:rsid w:val="009F3BF0"/>
    <w:rsid w:val="009F5819"/>
    <w:rsid w:val="00A03DFE"/>
    <w:rsid w:val="00A069F0"/>
    <w:rsid w:val="00A13057"/>
    <w:rsid w:val="00A1500D"/>
    <w:rsid w:val="00A201FE"/>
    <w:rsid w:val="00A2305E"/>
    <w:rsid w:val="00A23C45"/>
    <w:rsid w:val="00A27288"/>
    <w:rsid w:val="00A316B9"/>
    <w:rsid w:val="00A33B78"/>
    <w:rsid w:val="00A411B1"/>
    <w:rsid w:val="00A4434D"/>
    <w:rsid w:val="00A51191"/>
    <w:rsid w:val="00A52271"/>
    <w:rsid w:val="00A5463A"/>
    <w:rsid w:val="00A5558F"/>
    <w:rsid w:val="00A638FD"/>
    <w:rsid w:val="00A640D7"/>
    <w:rsid w:val="00A718D0"/>
    <w:rsid w:val="00A9189C"/>
    <w:rsid w:val="00A93076"/>
    <w:rsid w:val="00A95050"/>
    <w:rsid w:val="00A95BEE"/>
    <w:rsid w:val="00A9641E"/>
    <w:rsid w:val="00A97806"/>
    <w:rsid w:val="00A97CB4"/>
    <w:rsid w:val="00A97ED4"/>
    <w:rsid w:val="00AA00EC"/>
    <w:rsid w:val="00AA3077"/>
    <w:rsid w:val="00AA338E"/>
    <w:rsid w:val="00AA428C"/>
    <w:rsid w:val="00AB0231"/>
    <w:rsid w:val="00AB4AF2"/>
    <w:rsid w:val="00AC49D7"/>
    <w:rsid w:val="00AC6FF4"/>
    <w:rsid w:val="00AD2546"/>
    <w:rsid w:val="00AD4969"/>
    <w:rsid w:val="00AD672F"/>
    <w:rsid w:val="00AE2DA9"/>
    <w:rsid w:val="00AE38C5"/>
    <w:rsid w:val="00AF13B9"/>
    <w:rsid w:val="00AF195D"/>
    <w:rsid w:val="00B01724"/>
    <w:rsid w:val="00B0737B"/>
    <w:rsid w:val="00B1739A"/>
    <w:rsid w:val="00B22BC1"/>
    <w:rsid w:val="00B25567"/>
    <w:rsid w:val="00B255C5"/>
    <w:rsid w:val="00B260E0"/>
    <w:rsid w:val="00B26A26"/>
    <w:rsid w:val="00B3056B"/>
    <w:rsid w:val="00B41373"/>
    <w:rsid w:val="00B421BD"/>
    <w:rsid w:val="00B4529B"/>
    <w:rsid w:val="00B53122"/>
    <w:rsid w:val="00B53A94"/>
    <w:rsid w:val="00B5452B"/>
    <w:rsid w:val="00B55819"/>
    <w:rsid w:val="00B61E3C"/>
    <w:rsid w:val="00B62BE8"/>
    <w:rsid w:val="00B63FA4"/>
    <w:rsid w:val="00B70748"/>
    <w:rsid w:val="00B73096"/>
    <w:rsid w:val="00B74261"/>
    <w:rsid w:val="00B77E02"/>
    <w:rsid w:val="00B80EF7"/>
    <w:rsid w:val="00B811F6"/>
    <w:rsid w:val="00B90D95"/>
    <w:rsid w:val="00B92776"/>
    <w:rsid w:val="00BA464C"/>
    <w:rsid w:val="00BB4CE8"/>
    <w:rsid w:val="00BB5F43"/>
    <w:rsid w:val="00BB6238"/>
    <w:rsid w:val="00BB6512"/>
    <w:rsid w:val="00BC1343"/>
    <w:rsid w:val="00BC3952"/>
    <w:rsid w:val="00BC47FF"/>
    <w:rsid w:val="00BD197E"/>
    <w:rsid w:val="00BD32AF"/>
    <w:rsid w:val="00BD398C"/>
    <w:rsid w:val="00BD3D00"/>
    <w:rsid w:val="00BD3DB7"/>
    <w:rsid w:val="00BD5257"/>
    <w:rsid w:val="00BD567B"/>
    <w:rsid w:val="00BE2A59"/>
    <w:rsid w:val="00C00541"/>
    <w:rsid w:val="00C024CA"/>
    <w:rsid w:val="00C0556B"/>
    <w:rsid w:val="00C07607"/>
    <w:rsid w:val="00C11B0D"/>
    <w:rsid w:val="00C129A1"/>
    <w:rsid w:val="00C15C3E"/>
    <w:rsid w:val="00C26174"/>
    <w:rsid w:val="00C2709F"/>
    <w:rsid w:val="00C27791"/>
    <w:rsid w:val="00C31E64"/>
    <w:rsid w:val="00C34FE9"/>
    <w:rsid w:val="00C42715"/>
    <w:rsid w:val="00C4643E"/>
    <w:rsid w:val="00C561FB"/>
    <w:rsid w:val="00C5677F"/>
    <w:rsid w:val="00C64875"/>
    <w:rsid w:val="00C70ACF"/>
    <w:rsid w:val="00C71524"/>
    <w:rsid w:val="00C800AE"/>
    <w:rsid w:val="00C85603"/>
    <w:rsid w:val="00C85EA0"/>
    <w:rsid w:val="00C86863"/>
    <w:rsid w:val="00C86AAE"/>
    <w:rsid w:val="00C86D3A"/>
    <w:rsid w:val="00C86F04"/>
    <w:rsid w:val="00C91A70"/>
    <w:rsid w:val="00C94A9E"/>
    <w:rsid w:val="00C959FC"/>
    <w:rsid w:val="00C96910"/>
    <w:rsid w:val="00CC07B4"/>
    <w:rsid w:val="00CC65AF"/>
    <w:rsid w:val="00CE47EE"/>
    <w:rsid w:val="00CE6FF5"/>
    <w:rsid w:val="00D0082F"/>
    <w:rsid w:val="00D04B03"/>
    <w:rsid w:val="00D17EC4"/>
    <w:rsid w:val="00D215FA"/>
    <w:rsid w:val="00D219ED"/>
    <w:rsid w:val="00D250F1"/>
    <w:rsid w:val="00D26B26"/>
    <w:rsid w:val="00D3351F"/>
    <w:rsid w:val="00D3561A"/>
    <w:rsid w:val="00D37256"/>
    <w:rsid w:val="00D400A3"/>
    <w:rsid w:val="00D40971"/>
    <w:rsid w:val="00D41BE3"/>
    <w:rsid w:val="00D41D5C"/>
    <w:rsid w:val="00D479E7"/>
    <w:rsid w:val="00D52654"/>
    <w:rsid w:val="00D577DF"/>
    <w:rsid w:val="00D5799F"/>
    <w:rsid w:val="00D6052B"/>
    <w:rsid w:val="00D62333"/>
    <w:rsid w:val="00D64CBD"/>
    <w:rsid w:val="00D66014"/>
    <w:rsid w:val="00D67546"/>
    <w:rsid w:val="00D74E08"/>
    <w:rsid w:val="00D756A9"/>
    <w:rsid w:val="00D76A5C"/>
    <w:rsid w:val="00D961F9"/>
    <w:rsid w:val="00D96E44"/>
    <w:rsid w:val="00DA626B"/>
    <w:rsid w:val="00DA6ECE"/>
    <w:rsid w:val="00DB1DBF"/>
    <w:rsid w:val="00DC7D80"/>
    <w:rsid w:val="00DD7C35"/>
    <w:rsid w:val="00DE4E53"/>
    <w:rsid w:val="00DE73B7"/>
    <w:rsid w:val="00DF0967"/>
    <w:rsid w:val="00DF286B"/>
    <w:rsid w:val="00DF627F"/>
    <w:rsid w:val="00E07AE1"/>
    <w:rsid w:val="00E07F5B"/>
    <w:rsid w:val="00E12047"/>
    <w:rsid w:val="00E20701"/>
    <w:rsid w:val="00E3093D"/>
    <w:rsid w:val="00E349CC"/>
    <w:rsid w:val="00E36B5B"/>
    <w:rsid w:val="00E45F04"/>
    <w:rsid w:val="00E517FA"/>
    <w:rsid w:val="00E53072"/>
    <w:rsid w:val="00E65F5F"/>
    <w:rsid w:val="00E70312"/>
    <w:rsid w:val="00E717B7"/>
    <w:rsid w:val="00E7191B"/>
    <w:rsid w:val="00E74AF6"/>
    <w:rsid w:val="00E81DEE"/>
    <w:rsid w:val="00E84D98"/>
    <w:rsid w:val="00E85C2B"/>
    <w:rsid w:val="00E862ED"/>
    <w:rsid w:val="00E86B1B"/>
    <w:rsid w:val="00E875F3"/>
    <w:rsid w:val="00E93390"/>
    <w:rsid w:val="00E940E1"/>
    <w:rsid w:val="00E9662D"/>
    <w:rsid w:val="00EA0FB3"/>
    <w:rsid w:val="00EA10B4"/>
    <w:rsid w:val="00EA1C6E"/>
    <w:rsid w:val="00EB1F4A"/>
    <w:rsid w:val="00EB586E"/>
    <w:rsid w:val="00EB7A02"/>
    <w:rsid w:val="00EC160F"/>
    <w:rsid w:val="00EC7097"/>
    <w:rsid w:val="00EC7D20"/>
    <w:rsid w:val="00ED0942"/>
    <w:rsid w:val="00ED0B89"/>
    <w:rsid w:val="00ED1E26"/>
    <w:rsid w:val="00ED3C48"/>
    <w:rsid w:val="00ED440B"/>
    <w:rsid w:val="00ED475F"/>
    <w:rsid w:val="00ED77A8"/>
    <w:rsid w:val="00EE52E2"/>
    <w:rsid w:val="00EE5D95"/>
    <w:rsid w:val="00EF3BC6"/>
    <w:rsid w:val="00EF4CDA"/>
    <w:rsid w:val="00EF72D0"/>
    <w:rsid w:val="00F01914"/>
    <w:rsid w:val="00F05012"/>
    <w:rsid w:val="00F05712"/>
    <w:rsid w:val="00F06727"/>
    <w:rsid w:val="00F06A13"/>
    <w:rsid w:val="00F23E4D"/>
    <w:rsid w:val="00F259EF"/>
    <w:rsid w:val="00F25D3E"/>
    <w:rsid w:val="00F331CE"/>
    <w:rsid w:val="00F341BA"/>
    <w:rsid w:val="00F503CD"/>
    <w:rsid w:val="00F50C35"/>
    <w:rsid w:val="00F57865"/>
    <w:rsid w:val="00F61ECC"/>
    <w:rsid w:val="00F64BA2"/>
    <w:rsid w:val="00F7772C"/>
    <w:rsid w:val="00F77BCA"/>
    <w:rsid w:val="00F828BE"/>
    <w:rsid w:val="00F84FCF"/>
    <w:rsid w:val="00F87B1E"/>
    <w:rsid w:val="00F94B69"/>
    <w:rsid w:val="00FA10E2"/>
    <w:rsid w:val="00FA5B46"/>
    <w:rsid w:val="00FB0A49"/>
    <w:rsid w:val="00FB0F0E"/>
    <w:rsid w:val="00FB66DA"/>
    <w:rsid w:val="00FB72B1"/>
    <w:rsid w:val="00FB7E2F"/>
    <w:rsid w:val="00FC02EE"/>
    <w:rsid w:val="00FC03BC"/>
    <w:rsid w:val="00FC088E"/>
    <w:rsid w:val="00FC3303"/>
    <w:rsid w:val="00FC3BCB"/>
    <w:rsid w:val="00FC57E9"/>
    <w:rsid w:val="00FD4E63"/>
    <w:rsid w:val="00FD66FB"/>
    <w:rsid w:val="00FD69A3"/>
    <w:rsid w:val="00FD6FF0"/>
    <w:rsid w:val="00FD74EF"/>
    <w:rsid w:val="00FE404E"/>
    <w:rsid w:val="00FE536E"/>
    <w:rsid w:val="20AD0AF4"/>
    <w:rsid w:val="24705FE0"/>
    <w:rsid w:val="26FC6E6E"/>
    <w:rsid w:val="2C6273DA"/>
    <w:rsid w:val="5FCA3FF8"/>
    <w:rsid w:val="690C6D74"/>
    <w:rsid w:val="7BE640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EDE7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caption" w:qFormat="1"/>
    <w:lsdException w:name="footnote reference" w:qFormat="1"/>
    <w:lsdException w:name="annotation reference" w:qFormat="1"/>
    <w:lsdException w:name="page number"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Body Text" w:qFormat="1"/>
    <w:lsdException w:name="Body Text Indent" w:qFormat="1"/>
    <w:lsdException w:name="Subtitle" w:semiHidden="0" w:unhideWhenUsed="0" w:qFormat="1"/>
    <w:lsdException w:name="Salutation" w:semiHidden="0" w:unhideWhenUsed="0"/>
    <w:lsdException w:name="Date" w:semiHidden="0" w:unhideWhenUsed="0"/>
    <w:lsdException w:name="Body Text First Indent" w:semiHidden="0" w:unhideWhenUsed="0" w:qFormat="1"/>
    <w:lsdException w:name="Body Text Indent 2" w:qFormat="1"/>
    <w:lsdException w:name="Body Text Indent 3" w:qFormat="1"/>
    <w:lsdException w:name="Hyperlink" w:uiPriority="99" w:qFormat="1"/>
    <w:lsdException w:name="FollowedHyperlink" w:qFormat="1"/>
    <w:lsdException w:name="Strong" w:semiHidden="0" w:unhideWhenUsed="0" w:qFormat="1"/>
    <w:lsdException w:name="Emphasis" w:semiHidden="0" w:uiPriority="20" w:unhideWhenUsed="0" w:qFormat="1"/>
    <w:lsdException w:name="Document Map" w:qFormat="1"/>
    <w:lsdException w:name="HTML Top of Form" w:uiPriority="99"/>
    <w:lsdException w:name="HTML Bottom of Form" w:uiPriority="99"/>
    <w:lsdException w:name="Normal (Web)" w:qFormat="1"/>
    <w:lsdException w:name="Normal Table" w:uiPriority="99" w:qFormat="1"/>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keepLines/>
      <w:spacing w:before="340" w:after="330" w:line="578" w:lineRule="auto"/>
      <w:jc w:val="center"/>
      <w:outlineLvl w:val="0"/>
    </w:pPr>
    <w:rPr>
      <w:b/>
      <w:bCs/>
      <w:kern w:val="44"/>
      <w:sz w:val="30"/>
      <w:szCs w:val="44"/>
    </w:rPr>
  </w:style>
  <w:style w:type="paragraph" w:styleId="2">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6" w:lineRule="auto"/>
      <w:outlineLvl w:val="2"/>
    </w:pPr>
    <w:rPr>
      <w:b/>
      <w:bCs/>
      <w:sz w:val="32"/>
      <w:szCs w:val="32"/>
    </w:rPr>
  </w:style>
  <w:style w:type="paragraph" w:styleId="4">
    <w:name w:val="heading 4"/>
    <w:basedOn w:val="a"/>
    <w:next w:val="a"/>
    <w:link w:val="4Char"/>
    <w:qFormat/>
    <w:pPr>
      <w:keepNext/>
      <w:keepLines/>
      <w:spacing w:before="280" w:after="290" w:line="376" w:lineRule="auto"/>
      <w:outlineLvl w:val="3"/>
    </w:pPr>
    <w:rPr>
      <w:rFonts w:ascii="Cambria" w:hAnsi="Cambria"/>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semiHidden/>
    <w:qFormat/>
    <w:rPr>
      <w:b/>
      <w:bCs/>
    </w:rPr>
  </w:style>
  <w:style w:type="paragraph" w:styleId="a4">
    <w:name w:val="annotation text"/>
    <w:basedOn w:val="a"/>
    <w:link w:val="Char"/>
    <w:qFormat/>
    <w:pPr>
      <w:jc w:val="left"/>
    </w:pPr>
  </w:style>
  <w:style w:type="paragraph" w:styleId="7">
    <w:name w:val="toc 7"/>
    <w:basedOn w:val="a"/>
    <w:next w:val="a"/>
    <w:semiHidden/>
    <w:qFormat/>
    <w:pPr>
      <w:ind w:left="1260"/>
      <w:jc w:val="left"/>
    </w:pPr>
    <w:rPr>
      <w:rFonts w:ascii="Calibri" w:hAnsi="Calibri"/>
      <w:sz w:val="18"/>
      <w:szCs w:val="18"/>
    </w:rPr>
  </w:style>
  <w:style w:type="paragraph" w:styleId="a5">
    <w:name w:val="Body Text First Indent"/>
    <w:basedOn w:val="a6"/>
    <w:qFormat/>
    <w:pPr>
      <w:ind w:firstLineChars="100" w:firstLine="420"/>
    </w:pPr>
  </w:style>
  <w:style w:type="paragraph" w:styleId="a6">
    <w:name w:val="Body Text"/>
    <w:basedOn w:val="a"/>
    <w:qFormat/>
    <w:pPr>
      <w:spacing w:after="120"/>
    </w:pPr>
  </w:style>
  <w:style w:type="paragraph" w:styleId="a7">
    <w:name w:val="Normal Indent"/>
    <w:basedOn w:val="a"/>
    <w:qFormat/>
    <w:pPr>
      <w:ind w:firstLine="420"/>
    </w:pPr>
    <w:rPr>
      <w:szCs w:val="20"/>
    </w:rPr>
  </w:style>
  <w:style w:type="paragraph" w:styleId="a8">
    <w:name w:val="Document Map"/>
    <w:basedOn w:val="a"/>
    <w:semiHidden/>
    <w:qFormat/>
    <w:pPr>
      <w:shd w:val="clear" w:color="auto" w:fill="000080"/>
    </w:pPr>
  </w:style>
  <w:style w:type="paragraph" w:styleId="a9">
    <w:name w:val="Body Text Indent"/>
    <w:basedOn w:val="a"/>
    <w:qFormat/>
    <w:pPr>
      <w:spacing w:before="60" w:after="60" w:line="400" w:lineRule="exact"/>
      <w:ind w:firstLineChars="200" w:firstLine="480"/>
    </w:pPr>
    <w:rPr>
      <w:rFonts w:ascii="宋体" w:hAnsi="宋体"/>
      <w:kern w:val="0"/>
      <w:sz w:val="24"/>
      <w:szCs w:val="20"/>
    </w:rPr>
  </w:style>
  <w:style w:type="paragraph" w:styleId="5">
    <w:name w:val="toc 5"/>
    <w:basedOn w:val="a"/>
    <w:next w:val="a"/>
    <w:semiHidden/>
    <w:qFormat/>
    <w:pPr>
      <w:ind w:left="840"/>
      <w:jc w:val="left"/>
    </w:pPr>
    <w:rPr>
      <w:rFonts w:ascii="Calibri" w:hAnsi="Calibri"/>
      <w:sz w:val="18"/>
      <w:szCs w:val="18"/>
    </w:rPr>
  </w:style>
  <w:style w:type="paragraph" w:styleId="30">
    <w:name w:val="toc 3"/>
    <w:basedOn w:val="a"/>
    <w:next w:val="a"/>
    <w:semiHidden/>
    <w:qFormat/>
    <w:pPr>
      <w:ind w:left="420"/>
      <w:jc w:val="left"/>
    </w:pPr>
    <w:rPr>
      <w:rFonts w:ascii="Calibri" w:hAnsi="Calibri"/>
      <w:i/>
      <w:iCs/>
      <w:sz w:val="20"/>
      <w:szCs w:val="20"/>
    </w:rPr>
  </w:style>
  <w:style w:type="paragraph" w:styleId="8">
    <w:name w:val="toc 8"/>
    <w:basedOn w:val="a"/>
    <w:next w:val="a"/>
    <w:semiHidden/>
    <w:qFormat/>
    <w:pPr>
      <w:ind w:left="1470"/>
      <w:jc w:val="left"/>
    </w:pPr>
    <w:rPr>
      <w:rFonts w:ascii="Calibri" w:hAnsi="Calibri"/>
      <w:sz w:val="18"/>
      <w:szCs w:val="18"/>
    </w:rPr>
  </w:style>
  <w:style w:type="paragraph" w:styleId="20">
    <w:name w:val="Body Text Indent 2"/>
    <w:basedOn w:val="a"/>
    <w:qFormat/>
    <w:pPr>
      <w:spacing w:after="120" w:line="480" w:lineRule="auto"/>
      <w:ind w:leftChars="200" w:left="420"/>
    </w:pPr>
  </w:style>
  <w:style w:type="paragraph" w:styleId="aa">
    <w:name w:val="Balloon Text"/>
    <w:basedOn w:val="a"/>
    <w:semiHidden/>
    <w:qFormat/>
    <w:rPr>
      <w:sz w:val="18"/>
      <w:szCs w:val="18"/>
    </w:rPr>
  </w:style>
  <w:style w:type="paragraph" w:styleId="ab">
    <w:name w:val="footer"/>
    <w:basedOn w:val="a"/>
    <w:qFormat/>
    <w:pPr>
      <w:tabs>
        <w:tab w:val="center" w:pos="4153"/>
        <w:tab w:val="right" w:pos="8306"/>
      </w:tabs>
      <w:snapToGrid w:val="0"/>
      <w:jc w:val="left"/>
    </w:pPr>
    <w:rPr>
      <w:sz w:val="18"/>
      <w:szCs w:val="18"/>
    </w:rPr>
  </w:style>
  <w:style w:type="paragraph" w:styleId="ac">
    <w:name w:val="header"/>
    <w:basedOn w:val="a"/>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120" w:after="120"/>
      <w:jc w:val="left"/>
    </w:pPr>
    <w:rPr>
      <w:rFonts w:ascii="Calibri" w:hAnsi="Calibri"/>
      <w:b/>
      <w:bCs/>
      <w:caps/>
      <w:sz w:val="20"/>
      <w:szCs w:val="20"/>
    </w:rPr>
  </w:style>
  <w:style w:type="paragraph" w:styleId="40">
    <w:name w:val="toc 4"/>
    <w:basedOn w:val="a"/>
    <w:next w:val="a"/>
    <w:semiHidden/>
    <w:qFormat/>
    <w:pPr>
      <w:ind w:left="630"/>
      <w:jc w:val="left"/>
    </w:pPr>
    <w:rPr>
      <w:rFonts w:ascii="Calibri" w:hAnsi="Calibri"/>
      <w:sz w:val="18"/>
      <w:szCs w:val="18"/>
    </w:rPr>
  </w:style>
  <w:style w:type="paragraph" w:styleId="ad">
    <w:name w:val="footnote text"/>
    <w:basedOn w:val="a"/>
    <w:semiHidden/>
    <w:qFormat/>
    <w:pPr>
      <w:snapToGrid w:val="0"/>
      <w:jc w:val="left"/>
    </w:pPr>
    <w:rPr>
      <w:sz w:val="18"/>
      <w:szCs w:val="18"/>
    </w:rPr>
  </w:style>
  <w:style w:type="paragraph" w:styleId="6">
    <w:name w:val="toc 6"/>
    <w:basedOn w:val="a"/>
    <w:next w:val="a"/>
    <w:semiHidden/>
    <w:qFormat/>
    <w:pPr>
      <w:ind w:left="1050"/>
      <w:jc w:val="left"/>
    </w:pPr>
    <w:rPr>
      <w:rFonts w:ascii="Calibri" w:hAnsi="Calibri"/>
      <w:sz w:val="18"/>
      <w:szCs w:val="18"/>
    </w:rPr>
  </w:style>
  <w:style w:type="paragraph" w:styleId="31">
    <w:name w:val="Body Text Indent 3"/>
    <w:basedOn w:val="a"/>
    <w:qFormat/>
    <w:pPr>
      <w:ind w:firstLine="210"/>
    </w:pPr>
    <w:rPr>
      <w:bCs/>
    </w:rPr>
  </w:style>
  <w:style w:type="paragraph" w:styleId="21">
    <w:name w:val="toc 2"/>
    <w:basedOn w:val="a"/>
    <w:next w:val="a"/>
    <w:uiPriority w:val="39"/>
    <w:qFormat/>
    <w:pPr>
      <w:ind w:left="210"/>
      <w:jc w:val="left"/>
    </w:pPr>
    <w:rPr>
      <w:rFonts w:ascii="Calibri" w:hAnsi="Calibri"/>
      <w:smallCaps/>
      <w:sz w:val="20"/>
      <w:szCs w:val="20"/>
    </w:rPr>
  </w:style>
  <w:style w:type="paragraph" w:styleId="9">
    <w:name w:val="toc 9"/>
    <w:basedOn w:val="a"/>
    <w:next w:val="a"/>
    <w:semiHidden/>
    <w:qFormat/>
    <w:pPr>
      <w:ind w:left="1680"/>
      <w:jc w:val="left"/>
    </w:pPr>
    <w:rPr>
      <w:rFonts w:ascii="Calibri" w:hAnsi="Calibri"/>
      <w:sz w:val="18"/>
      <w:szCs w:val="18"/>
    </w:rPr>
  </w:style>
  <w:style w:type="paragraph" w:styleId="ae">
    <w:name w:val="Normal (Web)"/>
    <w:basedOn w:val="a"/>
    <w:qFormat/>
    <w:pPr>
      <w:widowControl/>
      <w:spacing w:before="100" w:beforeAutospacing="1" w:after="100" w:afterAutospacing="1"/>
      <w:jc w:val="left"/>
    </w:pPr>
    <w:rPr>
      <w:rFonts w:ascii="宋体" w:hAnsi="宋体"/>
      <w:kern w:val="0"/>
      <w:sz w:val="24"/>
    </w:rPr>
  </w:style>
  <w:style w:type="character" w:styleId="af">
    <w:name w:val="page number"/>
    <w:basedOn w:val="a0"/>
    <w:qFormat/>
  </w:style>
  <w:style w:type="character" w:styleId="af0">
    <w:name w:val="FollowedHyperlink"/>
    <w:basedOn w:val="a0"/>
    <w:qFormat/>
    <w:rPr>
      <w:color w:val="800080" w:themeColor="followedHyperlink"/>
      <w:u w:val="single"/>
    </w:rPr>
  </w:style>
  <w:style w:type="character" w:styleId="af1">
    <w:name w:val="Emphasis"/>
    <w:uiPriority w:val="20"/>
    <w:qFormat/>
    <w:rPr>
      <w:color w:val="CC0000"/>
    </w:rPr>
  </w:style>
  <w:style w:type="character" w:styleId="af2">
    <w:name w:val="Hyperlink"/>
    <w:uiPriority w:val="99"/>
    <w:qFormat/>
    <w:rPr>
      <w:color w:val="0000FF"/>
      <w:u w:val="single"/>
    </w:rPr>
  </w:style>
  <w:style w:type="character" w:styleId="af3">
    <w:name w:val="annotation reference"/>
    <w:qFormat/>
    <w:rPr>
      <w:sz w:val="21"/>
      <w:szCs w:val="21"/>
    </w:rPr>
  </w:style>
  <w:style w:type="character" w:styleId="af4">
    <w:name w:val="footnote reference"/>
    <w:semiHidden/>
    <w:qFormat/>
    <w:rPr>
      <w:vertAlign w:val="superscript"/>
    </w:rPr>
  </w:style>
  <w:style w:type="character" w:customStyle="1" w:styleId="read">
    <w:name w:val="read"/>
    <w:basedOn w:val="a0"/>
    <w:qFormat/>
  </w:style>
  <w:style w:type="character" w:customStyle="1" w:styleId="Style34">
    <w:name w:val="_Style 34"/>
    <w:qFormat/>
    <w:rPr>
      <w:color w:val="800080"/>
      <w:u w:val="single"/>
    </w:rPr>
  </w:style>
  <w:style w:type="character" w:customStyle="1" w:styleId="text1">
    <w:name w:val="text1"/>
    <w:qFormat/>
    <w:rPr>
      <w:rFonts w:ascii="Arial" w:hAnsi="Arial" w:cs="Arial" w:hint="default"/>
      <w:sz w:val="20"/>
      <w:szCs w:val="20"/>
    </w:rPr>
  </w:style>
  <w:style w:type="paragraph" w:customStyle="1" w:styleId="af5">
    <w:name w:val="正文所"/>
    <w:basedOn w:val="a"/>
    <w:qFormat/>
    <w:pPr>
      <w:spacing w:line="360" w:lineRule="auto"/>
      <w:ind w:firstLineChars="200" w:firstLine="420"/>
    </w:pPr>
  </w:style>
  <w:style w:type="paragraph" w:customStyle="1" w:styleId="Char0">
    <w:name w:val="Char"/>
    <w:basedOn w:val="a"/>
    <w:qFormat/>
  </w:style>
  <w:style w:type="paragraph" w:customStyle="1" w:styleId="ParaChar">
    <w:name w:val="默认段落字体 Para Char"/>
    <w:basedOn w:val="a"/>
    <w:qFormat/>
    <w:pPr>
      <w:numPr>
        <w:numId w:val="1"/>
      </w:numPr>
    </w:pPr>
    <w:rPr>
      <w:sz w:val="24"/>
    </w:rPr>
  </w:style>
  <w:style w:type="paragraph" w:customStyle="1" w:styleId="CharCharChar">
    <w:name w:val="Char Char Char"/>
    <w:basedOn w:val="a"/>
    <w:qFormat/>
  </w:style>
  <w:style w:type="character" w:customStyle="1" w:styleId="4Char">
    <w:name w:val="标题 4 Char"/>
    <w:link w:val="4"/>
    <w:semiHidden/>
    <w:qFormat/>
    <w:rPr>
      <w:rFonts w:ascii="Cambria" w:eastAsia="宋体" w:hAnsi="Cambria" w:cs="Times New Roman"/>
      <w:b/>
      <w:bCs/>
      <w:kern w:val="2"/>
      <w:sz w:val="28"/>
      <w:szCs w:val="28"/>
    </w:rPr>
  </w:style>
  <w:style w:type="paragraph" w:customStyle="1" w:styleId="11">
    <w:name w:val="列出段落1"/>
    <w:basedOn w:val="a"/>
    <w:uiPriority w:val="34"/>
    <w:qFormat/>
    <w:pPr>
      <w:adjustRightInd w:val="0"/>
      <w:snapToGrid w:val="0"/>
      <w:spacing w:line="360" w:lineRule="auto"/>
      <w:ind w:firstLineChars="200" w:firstLine="420"/>
    </w:pPr>
    <w:rPr>
      <w:rFonts w:ascii="Arial" w:hAnsi="Arial"/>
      <w:sz w:val="24"/>
      <w:szCs w:val="20"/>
    </w:rPr>
  </w:style>
  <w:style w:type="paragraph" w:customStyle="1" w:styleId="12">
    <w:name w:val="修订1"/>
    <w:hidden/>
    <w:uiPriority w:val="99"/>
    <w:semiHidden/>
    <w:qFormat/>
    <w:rPr>
      <w:kern w:val="2"/>
      <w:sz w:val="21"/>
      <w:szCs w:val="24"/>
    </w:rPr>
  </w:style>
  <w:style w:type="paragraph" w:customStyle="1" w:styleId="CharCharCharCharCharChar1CharCharChar">
    <w:name w:val="Char Char Char Char Char Char1 Char Char Char"/>
    <w:basedOn w:val="a"/>
    <w:qFormat/>
    <w:pPr>
      <w:autoSpaceDE w:val="0"/>
      <w:autoSpaceDN w:val="0"/>
      <w:adjustRightInd w:val="0"/>
      <w:jc w:val="left"/>
      <w:textAlignment w:val="baseline"/>
    </w:pPr>
    <w:rPr>
      <w:rFonts w:eastAsia="方正仿宋简体"/>
      <w:sz w:val="32"/>
      <w:szCs w:val="20"/>
    </w:rPr>
  </w:style>
  <w:style w:type="character" w:customStyle="1" w:styleId="2Char">
    <w:name w:val="标题 2 Char"/>
    <w:link w:val="2"/>
    <w:qFormat/>
    <w:rPr>
      <w:rFonts w:ascii="Arial" w:eastAsia="黑体" w:hAnsi="Arial"/>
      <w:b/>
      <w:bCs/>
      <w:kern w:val="2"/>
      <w:sz w:val="32"/>
      <w:szCs w:val="32"/>
    </w:rPr>
  </w:style>
  <w:style w:type="character" w:customStyle="1" w:styleId="Char">
    <w:name w:val="批注文字 Char"/>
    <w:link w:val="a4"/>
    <w:qFormat/>
    <w:rPr>
      <w:kern w:val="2"/>
      <w:sz w:val="21"/>
      <w:szCs w:val="24"/>
    </w:rPr>
  </w:style>
  <w:style w:type="paragraph" w:customStyle="1" w:styleId="Char1">
    <w:name w:val="Char1"/>
    <w:basedOn w:val="a"/>
    <w:qFormat/>
  </w:style>
  <w:style w:type="paragraph" w:customStyle="1" w:styleId="CharCharChar1">
    <w:name w:val="Char Char Char1"/>
    <w:basedOn w:val="a"/>
    <w:qFormat/>
  </w:style>
  <w:style w:type="paragraph" w:customStyle="1" w:styleId="CharCharCharCharCharChar1CharCharChar1">
    <w:name w:val="Char Char Char Char Char Char1 Char Char Char1"/>
    <w:basedOn w:val="a"/>
    <w:qFormat/>
    <w:pPr>
      <w:autoSpaceDE w:val="0"/>
      <w:autoSpaceDN w:val="0"/>
      <w:adjustRightInd w:val="0"/>
      <w:jc w:val="left"/>
      <w:textAlignment w:val="baseline"/>
    </w:pPr>
    <w:rPr>
      <w:rFonts w:eastAsia="方正仿宋简体"/>
      <w:sz w:val="32"/>
      <w:szCs w:val="20"/>
    </w:rPr>
  </w:style>
  <w:style w:type="character" w:customStyle="1" w:styleId="13">
    <w:name w:val="已访问的超链接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caption" w:qFormat="1"/>
    <w:lsdException w:name="footnote reference" w:qFormat="1"/>
    <w:lsdException w:name="annotation reference" w:qFormat="1"/>
    <w:lsdException w:name="page number"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Body Text" w:qFormat="1"/>
    <w:lsdException w:name="Body Text Indent" w:qFormat="1"/>
    <w:lsdException w:name="Subtitle" w:semiHidden="0" w:unhideWhenUsed="0" w:qFormat="1"/>
    <w:lsdException w:name="Salutation" w:semiHidden="0" w:unhideWhenUsed="0"/>
    <w:lsdException w:name="Date" w:semiHidden="0" w:unhideWhenUsed="0"/>
    <w:lsdException w:name="Body Text First Indent" w:semiHidden="0" w:unhideWhenUsed="0" w:qFormat="1"/>
    <w:lsdException w:name="Body Text Indent 2" w:qFormat="1"/>
    <w:lsdException w:name="Body Text Indent 3" w:qFormat="1"/>
    <w:lsdException w:name="Hyperlink" w:uiPriority="99" w:qFormat="1"/>
    <w:lsdException w:name="FollowedHyperlink" w:qFormat="1"/>
    <w:lsdException w:name="Strong" w:semiHidden="0" w:unhideWhenUsed="0" w:qFormat="1"/>
    <w:lsdException w:name="Emphasis" w:semiHidden="0" w:uiPriority="20" w:unhideWhenUsed="0" w:qFormat="1"/>
    <w:lsdException w:name="Document Map" w:qFormat="1"/>
    <w:lsdException w:name="HTML Top of Form" w:uiPriority="99"/>
    <w:lsdException w:name="HTML Bottom of Form" w:uiPriority="99"/>
    <w:lsdException w:name="Normal (Web)" w:qFormat="1"/>
    <w:lsdException w:name="Normal Table" w:uiPriority="99" w:qFormat="1"/>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qFormat/>
    <w:pPr>
      <w:keepNext/>
      <w:keepLines/>
      <w:spacing w:before="340" w:after="330" w:line="578" w:lineRule="auto"/>
      <w:jc w:val="center"/>
      <w:outlineLvl w:val="0"/>
    </w:pPr>
    <w:rPr>
      <w:b/>
      <w:bCs/>
      <w:kern w:val="44"/>
      <w:sz w:val="30"/>
      <w:szCs w:val="44"/>
    </w:rPr>
  </w:style>
  <w:style w:type="paragraph" w:styleId="2">
    <w:name w:val="heading 2"/>
    <w:basedOn w:val="a"/>
    <w:next w:val="a"/>
    <w:link w:val="2Char"/>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6" w:lineRule="auto"/>
      <w:outlineLvl w:val="2"/>
    </w:pPr>
    <w:rPr>
      <w:b/>
      <w:bCs/>
      <w:sz w:val="32"/>
      <w:szCs w:val="32"/>
    </w:rPr>
  </w:style>
  <w:style w:type="paragraph" w:styleId="4">
    <w:name w:val="heading 4"/>
    <w:basedOn w:val="a"/>
    <w:next w:val="a"/>
    <w:link w:val="4Char"/>
    <w:qFormat/>
    <w:pPr>
      <w:keepNext/>
      <w:keepLines/>
      <w:spacing w:before="280" w:after="290" w:line="376" w:lineRule="auto"/>
      <w:outlineLvl w:val="3"/>
    </w:pPr>
    <w:rPr>
      <w:rFonts w:ascii="Cambria" w:hAnsi="Cambria"/>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semiHidden/>
    <w:qFormat/>
    <w:rPr>
      <w:b/>
      <w:bCs/>
    </w:rPr>
  </w:style>
  <w:style w:type="paragraph" w:styleId="a4">
    <w:name w:val="annotation text"/>
    <w:basedOn w:val="a"/>
    <w:link w:val="Char"/>
    <w:qFormat/>
    <w:pPr>
      <w:jc w:val="left"/>
    </w:pPr>
  </w:style>
  <w:style w:type="paragraph" w:styleId="7">
    <w:name w:val="toc 7"/>
    <w:basedOn w:val="a"/>
    <w:next w:val="a"/>
    <w:semiHidden/>
    <w:qFormat/>
    <w:pPr>
      <w:ind w:left="1260"/>
      <w:jc w:val="left"/>
    </w:pPr>
    <w:rPr>
      <w:rFonts w:ascii="Calibri" w:hAnsi="Calibri"/>
      <w:sz w:val="18"/>
      <w:szCs w:val="18"/>
    </w:rPr>
  </w:style>
  <w:style w:type="paragraph" w:styleId="a5">
    <w:name w:val="Body Text First Indent"/>
    <w:basedOn w:val="a6"/>
    <w:qFormat/>
    <w:pPr>
      <w:ind w:firstLineChars="100" w:firstLine="420"/>
    </w:pPr>
  </w:style>
  <w:style w:type="paragraph" w:styleId="a6">
    <w:name w:val="Body Text"/>
    <w:basedOn w:val="a"/>
    <w:qFormat/>
    <w:pPr>
      <w:spacing w:after="120"/>
    </w:pPr>
  </w:style>
  <w:style w:type="paragraph" w:styleId="a7">
    <w:name w:val="Normal Indent"/>
    <w:basedOn w:val="a"/>
    <w:qFormat/>
    <w:pPr>
      <w:ind w:firstLine="420"/>
    </w:pPr>
    <w:rPr>
      <w:szCs w:val="20"/>
    </w:rPr>
  </w:style>
  <w:style w:type="paragraph" w:styleId="a8">
    <w:name w:val="Document Map"/>
    <w:basedOn w:val="a"/>
    <w:semiHidden/>
    <w:qFormat/>
    <w:pPr>
      <w:shd w:val="clear" w:color="auto" w:fill="000080"/>
    </w:pPr>
  </w:style>
  <w:style w:type="paragraph" w:styleId="a9">
    <w:name w:val="Body Text Indent"/>
    <w:basedOn w:val="a"/>
    <w:qFormat/>
    <w:pPr>
      <w:spacing w:before="60" w:after="60" w:line="400" w:lineRule="exact"/>
      <w:ind w:firstLineChars="200" w:firstLine="480"/>
    </w:pPr>
    <w:rPr>
      <w:rFonts w:ascii="宋体" w:hAnsi="宋体"/>
      <w:kern w:val="0"/>
      <w:sz w:val="24"/>
      <w:szCs w:val="20"/>
    </w:rPr>
  </w:style>
  <w:style w:type="paragraph" w:styleId="5">
    <w:name w:val="toc 5"/>
    <w:basedOn w:val="a"/>
    <w:next w:val="a"/>
    <w:semiHidden/>
    <w:qFormat/>
    <w:pPr>
      <w:ind w:left="840"/>
      <w:jc w:val="left"/>
    </w:pPr>
    <w:rPr>
      <w:rFonts w:ascii="Calibri" w:hAnsi="Calibri"/>
      <w:sz w:val="18"/>
      <w:szCs w:val="18"/>
    </w:rPr>
  </w:style>
  <w:style w:type="paragraph" w:styleId="30">
    <w:name w:val="toc 3"/>
    <w:basedOn w:val="a"/>
    <w:next w:val="a"/>
    <w:semiHidden/>
    <w:qFormat/>
    <w:pPr>
      <w:ind w:left="420"/>
      <w:jc w:val="left"/>
    </w:pPr>
    <w:rPr>
      <w:rFonts w:ascii="Calibri" w:hAnsi="Calibri"/>
      <w:i/>
      <w:iCs/>
      <w:sz w:val="20"/>
      <w:szCs w:val="20"/>
    </w:rPr>
  </w:style>
  <w:style w:type="paragraph" w:styleId="8">
    <w:name w:val="toc 8"/>
    <w:basedOn w:val="a"/>
    <w:next w:val="a"/>
    <w:semiHidden/>
    <w:qFormat/>
    <w:pPr>
      <w:ind w:left="1470"/>
      <w:jc w:val="left"/>
    </w:pPr>
    <w:rPr>
      <w:rFonts w:ascii="Calibri" w:hAnsi="Calibri"/>
      <w:sz w:val="18"/>
      <w:szCs w:val="18"/>
    </w:rPr>
  </w:style>
  <w:style w:type="paragraph" w:styleId="20">
    <w:name w:val="Body Text Indent 2"/>
    <w:basedOn w:val="a"/>
    <w:qFormat/>
    <w:pPr>
      <w:spacing w:after="120" w:line="480" w:lineRule="auto"/>
      <w:ind w:leftChars="200" w:left="420"/>
    </w:pPr>
  </w:style>
  <w:style w:type="paragraph" w:styleId="aa">
    <w:name w:val="Balloon Text"/>
    <w:basedOn w:val="a"/>
    <w:semiHidden/>
    <w:qFormat/>
    <w:rPr>
      <w:sz w:val="18"/>
      <w:szCs w:val="18"/>
    </w:rPr>
  </w:style>
  <w:style w:type="paragraph" w:styleId="ab">
    <w:name w:val="footer"/>
    <w:basedOn w:val="a"/>
    <w:qFormat/>
    <w:pPr>
      <w:tabs>
        <w:tab w:val="center" w:pos="4153"/>
        <w:tab w:val="right" w:pos="8306"/>
      </w:tabs>
      <w:snapToGrid w:val="0"/>
      <w:jc w:val="left"/>
    </w:pPr>
    <w:rPr>
      <w:sz w:val="18"/>
      <w:szCs w:val="18"/>
    </w:rPr>
  </w:style>
  <w:style w:type="paragraph" w:styleId="ac">
    <w:name w:val="header"/>
    <w:basedOn w:val="a"/>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120" w:after="120"/>
      <w:jc w:val="left"/>
    </w:pPr>
    <w:rPr>
      <w:rFonts w:ascii="Calibri" w:hAnsi="Calibri"/>
      <w:b/>
      <w:bCs/>
      <w:caps/>
      <w:sz w:val="20"/>
      <w:szCs w:val="20"/>
    </w:rPr>
  </w:style>
  <w:style w:type="paragraph" w:styleId="40">
    <w:name w:val="toc 4"/>
    <w:basedOn w:val="a"/>
    <w:next w:val="a"/>
    <w:semiHidden/>
    <w:qFormat/>
    <w:pPr>
      <w:ind w:left="630"/>
      <w:jc w:val="left"/>
    </w:pPr>
    <w:rPr>
      <w:rFonts w:ascii="Calibri" w:hAnsi="Calibri"/>
      <w:sz w:val="18"/>
      <w:szCs w:val="18"/>
    </w:rPr>
  </w:style>
  <w:style w:type="paragraph" w:styleId="ad">
    <w:name w:val="footnote text"/>
    <w:basedOn w:val="a"/>
    <w:semiHidden/>
    <w:qFormat/>
    <w:pPr>
      <w:snapToGrid w:val="0"/>
      <w:jc w:val="left"/>
    </w:pPr>
    <w:rPr>
      <w:sz w:val="18"/>
      <w:szCs w:val="18"/>
    </w:rPr>
  </w:style>
  <w:style w:type="paragraph" w:styleId="6">
    <w:name w:val="toc 6"/>
    <w:basedOn w:val="a"/>
    <w:next w:val="a"/>
    <w:semiHidden/>
    <w:qFormat/>
    <w:pPr>
      <w:ind w:left="1050"/>
      <w:jc w:val="left"/>
    </w:pPr>
    <w:rPr>
      <w:rFonts w:ascii="Calibri" w:hAnsi="Calibri"/>
      <w:sz w:val="18"/>
      <w:szCs w:val="18"/>
    </w:rPr>
  </w:style>
  <w:style w:type="paragraph" w:styleId="31">
    <w:name w:val="Body Text Indent 3"/>
    <w:basedOn w:val="a"/>
    <w:qFormat/>
    <w:pPr>
      <w:ind w:firstLine="210"/>
    </w:pPr>
    <w:rPr>
      <w:bCs/>
    </w:rPr>
  </w:style>
  <w:style w:type="paragraph" w:styleId="21">
    <w:name w:val="toc 2"/>
    <w:basedOn w:val="a"/>
    <w:next w:val="a"/>
    <w:uiPriority w:val="39"/>
    <w:qFormat/>
    <w:pPr>
      <w:ind w:left="210"/>
      <w:jc w:val="left"/>
    </w:pPr>
    <w:rPr>
      <w:rFonts w:ascii="Calibri" w:hAnsi="Calibri"/>
      <w:smallCaps/>
      <w:sz w:val="20"/>
      <w:szCs w:val="20"/>
    </w:rPr>
  </w:style>
  <w:style w:type="paragraph" w:styleId="9">
    <w:name w:val="toc 9"/>
    <w:basedOn w:val="a"/>
    <w:next w:val="a"/>
    <w:semiHidden/>
    <w:qFormat/>
    <w:pPr>
      <w:ind w:left="1680"/>
      <w:jc w:val="left"/>
    </w:pPr>
    <w:rPr>
      <w:rFonts w:ascii="Calibri" w:hAnsi="Calibri"/>
      <w:sz w:val="18"/>
      <w:szCs w:val="18"/>
    </w:rPr>
  </w:style>
  <w:style w:type="paragraph" w:styleId="ae">
    <w:name w:val="Normal (Web)"/>
    <w:basedOn w:val="a"/>
    <w:qFormat/>
    <w:pPr>
      <w:widowControl/>
      <w:spacing w:before="100" w:beforeAutospacing="1" w:after="100" w:afterAutospacing="1"/>
      <w:jc w:val="left"/>
    </w:pPr>
    <w:rPr>
      <w:rFonts w:ascii="宋体" w:hAnsi="宋体"/>
      <w:kern w:val="0"/>
      <w:sz w:val="24"/>
    </w:rPr>
  </w:style>
  <w:style w:type="character" w:styleId="af">
    <w:name w:val="page number"/>
    <w:basedOn w:val="a0"/>
    <w:qFormat/>
  </w:style>
  <w:style w:type="character" w:styleId="af0">
    <w:name w:val="FollowedHyperlink"/>
    <w:basedOn w:val="a0"/>
    <w:qFormat/>
    <w:rPr>
      <w:color w:val="800080" w:themeColor="followedHyperlink"/>
      <w:u w:val="single"/>
    </w:rPr>
  </w:style>
  <w:style w:type="character" w:styleId="af1">
    <w:name w:val="Emphasis"/>
    <w:uiPriority w:val="20"/>
    <w:qFormat/>
    <w:rPr>
      <w:color w:val="CC0000"/>
    </w:rPr>
  </w:style>
  <w:style w:type="character" w:styleId="af2">
    <w:name w:val="Hyperlink"/>
    <w:uiPriority w:val="99"/>
    <w:qFormat/>
    <w:rPr>
      <w:color w:val="0000FF"/>
      <w:u w:val="single"/>
    </w:rPr>
  </w:style>
  <w:style w:type="character" w:styleId="af3">
    <w:name w:val="annotation reference"/>
    <w:qFormat/>
    <w:rPr>
      <w:sz w:val="21"/>
      <w:szCs w:val="21"/>
    </w:rPr>
  </w:style>
  <w:style w:type="character" w:styleId="af4">
    <w:name w:val="footnote reference"/>
    <w:semiHidden/>
    <w:qFormat/>
    <w:rPr>
      <w:vertAlign w:val="superscript"/>
    </w:rPr>
  </w:style>
  <w:style w:type="character" w:customStyle="1" w:styleId="read">
    <w:name w:val="read"/>
    <w:basedOn w:val="a0"/>
    <w:qFormat/>
  </w:style>
  <w:style w:type="character" w:customStyle="1" w:styleId="Style34">
    <w:name w:val="_Style 34"/>
    <w:qFormat/>
    <w:rPr>
      <w:color w:val="800080"/>
      <w:u w:val="single"/>
    </w:rPr>
  </w:style>
  <w:style w:type="character" w:customStyle="1" w:styleId="text1">
    <w:name w:val="text1"/>
    <w:qFormat/>
    <w:rPr>
      <w:rFonts w:ascii="Arial" w:hAnsi="Arial" w:cs="Arial" w:hint="default"/>
      <w:sz w:val="20"/>
      <w:szCs w:val="20"/>
    </w:rPr>
  </w:style>
  <w:style w:type="paragraph" w:customStyle="1" w:styleId="af5">
    <w:name w:val="正文所"/>
    <w:basedOn w:val="a"/>
    <w:qFormat/>
    <w:pPr>
      <w:spacing w:line="360" w:lineRule="auto"/>
      <w:ind w:firstLineChars="200" w:firstLine="420"/>
    </w:pPr>
  </w:style>
  <w:style w:type="paragraph" w:customStyle="1" w:styleId="Char0">
    <w:name w:val="Char"/>
    <w:basedOn w:val="a"/>
    <w:qFormat/>
  </w:style>
  <w:style w:type="paragraph" w:customStyle="1" w:styleId="ParaChar">
    <w:name w:val="默认段落字体 Para Char"/>
    <w:basedOn w:val="a"/>
    <w:qFormat/>
    <w:pPr>
      <w:numPr>
        <w:numId w:val="1"/>
      </w:numPr>
    </w:pPr>
    <w:rPr>
      <w:sz w:val="24"/>
    </w:rPr>
  </w:style>
  <w:style w:type="paragraph" w:customStyle="1" w:styleId="CharCharChar">
    <w:name w:val="Char Char Char"/>
    <w:basedOn w:val="a"/>
    <w:qFormat/>
  </w:style>
  <w:style w:type="character" w:customStyle="1" w:styleId="4Char">
    <w:name w:val="标题 4 Char"/>
    <w:link w:val="4"/>
    <w:semiHidden/>
    <w:qFormat/>
    <w:rPr>
      <w:rFonts w:ascii="Cambria" w:eastAsia="宋体" w:hAnsi="Cambria" w:cs="Times New Roman"/>
      <w:b/>
      <w:bCs/>
      <w:kern w:val="2"/>
      <w:sz w:val="28"/>
      <w:szCs w:val="28"/>
    </w:rPr>
  </w:style>
  <w:style w:type="paragraph" w:customStyle="1" w:styleId="11">
    <w:name w:val="列出段落1"/>
    <w:basedOn w:val="a"/>
    <w:uiPriority w:val="34"/>
    <w:qFormat/>
    <w:pPr>
      <w:adjustRightInd w:val="0"/>
      <w:snapToGrid w:val="0"/>
      <w:spacing w:line="360" w:lineRule="auto"/>
      <w:ind w:firstLineChars="200" w:firstLine="420"/>
    </w:pPr>
    <w:rPr>
      <w:rFonts w:ascii="Arial" w:hAnsi="Arial"/>
      <w:sz w:val="24"/>
      <w:szCs w:val="20"/>
    </w:rPr>
  </w:style>
  <w:style w:type="paragraph" w:customStyle="1" w:styleId="12">
    <w:name w:val="修订1"/>
    <w:hidden/>
    <w:uiPriority w:val="99"/>
    <w:semiHidden/>
    <w:qFormat/>
    <w:rPr>
      <w:kern w:val="2"/>
      <w:sz w:val="21"/>
      <w:szCs w:val="24"/>
    </w:rPr>
  </w:style>
  <w:style w:type="paragraph" w:customStyle="1" w:styleId="CharCharCharCharCharChar1CharCharChar">
    <w:name w:val="Char Char Char Char Char Char1 Char Char Char"/>
    <w:basedOn w:val="a"/>
    <w:qFormat/>
    <w:pPr>
      <w:autoSpaceDE w:val="0"/>
      <w:autoSpaceDN w:val="0"/>
      <w:adjustRightInd w:val="0"/>
      <w:jc w:val="left"/>
      <w:textAlignment w:val="baseline"/>
    </w:pPr>
    <w:rPr>
      <w:rFonts w:eastAsia="方正仿宋简体"/>
      <w:sz w:val="32"/>
      <w:szCs w:val="20"/>
    </w:rPr>
  </w:style>
  <w:style w:type="character" w:customStyle="1" w:styleId="2Char">
    <w:name w:val="标题 2 Char"/>
    <w:link w:val="2"/>
    <w:qFormat/>
    <w:rPr>
      <w:rFonts w:ascii="Arial" w:eastAsia="黑体" w:hAnsi="Arial"/>
      <w:b/>
      <w:bCs/>
      <w:kern w:val="2"/>
      <w:sz w:val="32"/>
      <w:szCs w:val="32"/>
    </w:rPr>
  </w:style>
  <w:style w:type="character" w:customStyle="1" w:styleId="Char">
    <w:name w:val="批注文字 Char"/>
    <w:link w:val="a4"/>
    <w:qFormat/>
    <w:rPr>
      <w:kern w:val="2"/>
      <w:sz w:val="21"/>
      <w:szCs w:val="24"/>
    </w:rPr>
  </w:style>
  <w:style w:type="paragraph" w:customStyle="1" w:styleId="Char1">
    <w:name w:val="Char1"/>
    <w:basedOn w:val="a"/>
    <w:qFormat/>
  </w:style>
  <w:style w:type="paragraph" w:customStyle="1" w:styleId="CharCharChar1">
    <w:name w:val="Char Char Char1"/>
    <w:basedOn w:val="a"/>
    <w:qFormat/>
  </w:style>
  <w:style w:type="paragraph" w:customStyle="1" w:styleId="CharCharCharCharCharChar1CharCharChar1">
    <w:name w:val="Char Char Char Char Char Char1 Char Char Char1"/>
    <w:basedOn w:val="a"/>
    <w:qFormat/>
    <w:pPr>
      <w:autoSpaceDE w:val="0"/>
      <w:autoSpaceDN w:val="0"/>
      <w:adjustRightInd w:val="0"/>
      <w:jc w:val="left"/>
      <w:textAlignment w:val="baseline"/>
    </w:pPr>
    <w:rPr>
      <w:rFonts w:eastAsia="方正仿宋简体"/>
      <w:sz w:val="32"/>
      <w:szCs w:val="20"/>
    </w:rPr>
  </w:style>
  <w:style w:type="character" w:customStyle="1" w:styleId="13">
    <w:name w:val="已访问的超链接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microsoft.com/office/2011/relationships/people" Target="peop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footer" Target="footer1.xml"/><Relationship Id="rId19" Type="http://schemas.microsoft.com/office/2011/relationships/commentsExtended" Target="commentsExtended.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64770D-2D4C-4E40-96BD-58805A72B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77</Pages>
  <Words>8966</Words>
  <Characters>51109</Characters>
  <Application>Microsoft Office Word</Application>
  <DocSecurity>0</DocSecurity>
  <Lines>425</Lines>
  <Paragraphs>119</Paragraphs>
  <ScaleCrop>false</ScaleCrop>
  <Company/>
  <LinksUpToDate>false</LinksUpToDate>
  <CharactersWithSpaces>59956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友邦华泰盛世中国股票型证券投资基金基金合同</dc:title>
  <dc:creator>产品部</dc:creator>
  <cp:lastModifiedBy>符筱</cp:lastModifiedBy>
  <cp:revision>26</cp:revision>
  <cp:lastPrinted>2011-03-11T06:33:00Z</cp:lastPrinted>
  <dcterms:created xsi:type="dcterms:W3CDTF">2011-03-07T08:39:00Z</dcterms:created>
  <dcterms:modified xsi:type="dcterms:W3CDTF">2019-12-27T06:49:00Z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