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cstheme="majorEastAsia"/>
          <w:b/>
          <w:bCs/>
          <w:sz w:val="44"/>
          <w:szCs w:val="44"/>
          <w:lang w:eastAsia="zh-CN"/>
        </w:rPr>
        <w:t>供需矛盾不大，</w:t>
      </w:r>
      <w:r>
        <w:rPr>
          <w:rFonts w:hint="eastAsia" w:asciiTheme="majorEastAsia" w:hAnsiTheme="majorEastAsia" w:eastAsiaTheme="majorEastAsia" w:cstheme="majorEastAsia"/>
          <w:b/>
          <w:bCs/>
          <w:sz w:val="44"/>
          <w:szCs w:val="44"/>
          <w:lang w:val="en-US" w:eastAsia="zh-CN"/>
        </w:rPr>
        <w:t>沪铜明年大概率宽幅震荡</w:t>
      </w:r>
    </w:p>
    <w:p>
      <w:pPr>
        <w:bidi w:val="0"/>
        <w:rPr>
          <w:rFonts w:hint="default"/>
          <w:lang w:val="en-US" w:eastAsia="zh-CN"/>
        </w:rPr>
      </w:pPr>
      <w:r>
        <w:drawing>
          <wp:anchor distT="0" distB="0" distL="114300" distR="114300" simplePos="0" relativeHeight="251659264" behindDoc="0" locked="0" layoutInCell="1" allowOverlap="1">
            <wp:simplePos x="0" y="0"/>
            <wp:positionH relativeFrom="column">
              <wp:posOffset>299085</wp:posOffset>
            </wp:positionH>
            <wp:positionV relativeFrom="paragraph">
              <wp:posOffset>166370</wp:posOffset>
            </wp:positionV>
            <wp:extent cx="2040255" cy="1021715"/>
            <wp:effectExtent l="0" t="0" r="171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lang w:val="en-US" w:eastAsia="zh-CN"/>
        </w:rPr>
        <w:t xml:space="preserve">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900" w:firstLineChars="500"/>
        <w:rPr>
          <w:rStyle w:val="6"/>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6"/>
          <w:rFonts w:hint="eastAsia" w:ascii="宋体" w:hAnsi="宋体" w:eastAsia="宋体" w:cs="宋体"/>
          <w:sz w:val="18"/>
          <w:szCs w:val="18"/>
          <w:lang w:val="en-US" w:eastAsia="zh-CN"/>
        </w:rPr>
        <w:fldChar w:fldCharType="begin"/>
      </w:r>
      <w:r>
        <w:rPr>
          <w:rStyle w:val="6"/>
          <w:rFonts w:hint="eastAsia" w:ascii="宋体" w:hAnsi="宋体" w:eastAsia="宋体" w:cs="宋体"/>
          <w:sz w:val="18"/>
          <w:szCs w:val="18"/>
          <w:lang w:val="en-US" w:eastAsia="zh-CN"/>
        </w:rPr>
        <w:instrText xml:space="preserve"> HYPERLINK "mailto:yangxiaoxia@hhqh.com.cn" </w:instrText>
      </w:r>
      <w:r>
        <w:rPr>
          <w:rStyle w:val="6"/>
          <w:rFonts w:hint="eastAsia" w:ascii="宋体" w:hAnsi="宋体" w:eastAsia="宋体" w:cs="宋体"/>
          <w:sz w:val="18"/>
          <w:szCs w:val="18"/>
          <w:lang w:val="en-US" w:eastAsia="zh-CN"/>
        </w:rPr>
        <w:fldChar w:fldCharType="separate"/>
      </w:r>
      <w:r>
        <w:rPr>
          <w:rStyle w:val="6"/>
          <w:rFonts w:hint="eastAsia" w:ascii="宋体" w:hAnsi="宋体" w:eastAsia="宋体" w:cs="宋体"/>
          <w:sz w:val="18"/>
          <w:szCs w:val="18"/>
          <w:lang w:val="en-US" w:eastAsia="zh-CN"/>
        </w:rPr>
        <w:t>duanxiaoqiang@hhqh.com.cn</w:t>
      </w:r>
      <w:r>
        <w:rPr>
          <w:rStyle w:val="6"/>
          <w:rFonts w:hint="eastAsia" w:ascii="宋体" w:hAnsi="宋体" w:eastAsia="宋体" w:cs="宋体"/>
          <w:sz w:val="18"/>
          <w:szCs w:val="18"/>
          <w:lang w:val="en-US" w:eastAsia="zh-CN"/>
        </w:rPr>
        <w:fldChar w:fldCharType="end"/>
      </w:r>
    </w:p>
    <w:p>
      <w:pPr>
        <w:ind w:firstLine="900" w:firstLineChars="500"/>
        <w:rPr>
          <w:rStyle w:val="6"/>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pPr>
      <w:r>
        <w:drawing>
          <wp:inline distT="0" distB="0" distL="114300" distR="114300">
            <wp:extent cx="5267325" cy="2765425"/>
            <wp:effectExtent l="0" t="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325" cy="27654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lang w:val="en-US" w:eastAsia="zh-CN"/>
        </w:rPr>
      </w:pPr>
      <w:r>
        <w:rPr>
          <w:rFonts w:hint="eastAsia"/>
          <w:lang w:eastAsia="zh-CN"/>
        </w:rPr>
        <w:t>伦铜指数</w:t>
      </w:r>
      <w:r>
        <w:rPr>
          <w:rFonts w:hint="eastAsia"/>
          <w:lang w:val="en-US" w:eastAsia="zh-CN"/>
        </w:rPr>
        <w:t>2019年走势</w:t>
      </w:r>
    </w:p>
    <w:p>
      <w:pPr>
        <w:bidi w:val="0"/>
        <w:rPr>
          <w:rFonts w:hint="default" w:asciiTheme="minorHAnsi" w:hAnsiTheme="minorHAnsi" w:eastAsiaTheme="minorEastAsia" w:cstheme="minorBidi"/>
          <w:kern w:val="2"/>
          <w:sz w:val="21"/>
          <w:szCs w:val="24"/>
          <w:lang w:val="en-US" w:eastAsia="zh-CN" w:bidi="ar-SA"/>
        </w:rPr>
      </w:pPr>
    </w:p>
    <w:p>
      <w:pPr>
        <w:tabs>
          <w:tab w:val="left" w:pos="696"/>
        </w:tabs>
        <w:bidi w:val="0"/>
        <w:jc w:val="left"/>
        <w:rPr>
          <w:rFonts w:hint="eastAsia" w:asciiTheme="minorEastAsia" w:hAnsiTheme="minorEastAsia" w:cstheme="minorEastAsia"/>
          <w:sz w:val="28"/>
          <w:szCs w:val="28"/>
          <w:lang w:val="en-US" w:eastAsia="zh-CN"/>
        </w:rPr>
      </w:pPr>
      <w:r>
        <w:rPr>
          <w:rFonts w:hint="eastAsia" w:cstheme="minorBidi"/>
          <w:b/>
          <w:bCs/>
          <w:kern w:val="2"/>
          <w:sz w:val="28"/>
          <w:szCs w:val="28"/>
          <w:lang w:val="en-US" w:eastAsia="zh-CN" w:bidi="ar-SA"/>
        </w:rPr>
        <w:t>摘要：</w:t>
      </w:r>
      <w:r>
        <w:rPr>
          <w:rFonts w:hint="eastAsia" w:asciiTheme="minorEastAsia" w:hAnsiTheme="minorEastAsia" w:eastAsiaTheme="minorEastAsia" w:cstheme="minorEastAsia"/>
          <w:sz w:val="28"/>
          <w:szCs w:val="28"/>
        </w:rPr>
        <w:t>中美达成第一阶段协议，</w:t>
      </w:r>
      <w:r>
        <w:rPr>
          <w:rFonts w:hint="eastAsia" w:asciiTheme="minorEastAsia" w:hAnsiTheme="minorEastAsia" w:eastAsiaTheme="minorEastAsia" w:cstheme="minorEastAsia"/>
          <w:kern w:val="2"/>
          <w:sz w:val="28"/>
          <w:szCs w:val="28"/>
          <w:lang w:val="en-US" w:eastAsia="zh-CN" w:bidi="ar-SA"/>
        </w:rPr>
        <w:t>全球宏观经济预期好转，摩根大通11月全球制造业PMI连续反弹4个月并且重现扩张</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国内终端需求边际回暖，汽车产销降幅持续收窄，随着年末基建投资发力，市场对中国铜消费回暖预期有所增强</w:t>
      </w:r>
      <w:r>
        <w:rPr>
          <w:rFonts w:hint="eastAsia" w:asciiTheme="minorEastAsia" w:hAnsiTheme="minorEastAsia" w:cstheme="minorEastAsia"/>
          <w:kern w:val="2"/>
          <w:sz w:val="28"/>
          <w:szCs w:val="28"/>
          <w:lang w:val="en-US" w:eastAsia="zh-CN" w:bidi="ar-SA"/>
        </w:rPr>
        <w:t>；供给端</w:t>
      </w:r>
      <w:r>
        <w:rPr>
          <w:rFonts w:hint="eastAsia" w:asciiTheme="minorEastAsia" w:hAnsiTheme="minorEastAsia" w:eastAsiaTheme="minorEastAsia" w:cstheme="minorEastAsia"/>
          <w:kern w:val="2"/>
          <w:sz w:val="28"/>
          <w:szCs w:val="28"/>
          <w:lang w:val="en-US" w:eastAsia="zh-CN" w:bidi="ar-SA"/>
        </w:rPr>
        <w:t>近日由于原料供应紧张，硫酸压力环保等，我国民企冶炼厂减产基本确定，但国有冶炼厂是否减产仍需继续关注</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明年全年原料端供应环比有所改善，但仍需要持续关注智利当地的生产情况</w:t>
      </w:r>
      <w:r>
        <w:rPr>
          <w:rFonts w:hint="eastAsia" w:asciiTheme="minorEastAsia" w:hAnsiTheme="minorEastAsia" w:cstheme="minorEastAsia"/>
          <w:sz w:val="28"/>
          <w:szCs w:val="28"/>
          <w:lang w:eastAsia="zh-CN"/>
        </w:rPr>
        <w:t>，同时，铜库存一直在低位徘徊，上半年对铜价有较好的支撑。</w:t>
      </w:r>
      <w:bookmarkStart w:id="0" w:name="_GoBack"/>
      <w:bookmarkEnd w:id="0"/>
    </w:p>
    <w:p>
      <w:pPr>
        <w:bidi w:val="0"/>
        <w:rPr>
          <w:rFonts w:hint="default" w:asciiTheme="minorHAnsi" w:hAnsiTheme="minorHAnsi" w:eastAsiaTheme="minorEastAsia" w:cstheme="minorBidi"/>
          <w:kern w:val="2"/>
          <w:sz w:val="21"/>
          <w:szCs w:val="24"/>
          <w:lang w:val="en-US" w:eastAsia="zh-CN" w:bidi="ar-SA"/>
        </w:rPr>
      </w:pPr>
    </w:p>
    <w:p>
      <w:pPr>
        <w:numPr>
          <w:ilvl w:val="0"/>
          <w:numId w:val="1"/>
        </w:numPr>
        <w:bidi w:val="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宏观面</w:t>
      </w:r>
    </w:p>
    <w:p>
      <w:pPr>
        <w:numPr>
          <w:numId w:val="0"/>
        </w:numPr>
        <w:bidi w:val="0"/>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w:t>
      </w:r>
      <w:r>
        <w:rPr>
          <w:rFonts w:hint="eastAsia" w:asciiTheme="minorEastAsia" w:hAnsiTheme="minorEastAsia" w:eastAsiaTheme="minorEastAsia" w:cstheme="minorEastAsia"/>
          <w:b/>
          <w:bCs/>
          <w:sz w:val="28"/>
          <w:szCs w:val="28"/>
          <w:lang w:val="en-US" w:eastAsia="zh-CN"/>
        </w:rPr>
        <w:t>我国经济</w:t>
      </w:r>
    </w:p>
    <w:p>
      <w:pPr>
        <w:numPr>
          <w:ilvl w:val="0"/>
          <w:numId w:val="0"/>
        </w:numPr>
        <w:bidi w:val="0"/>
        <w:ind w:firstLine="560" w:firstLineChars="200"/>
        <w:jc w:val="left"/>
        <w:rPr>
          <w:rFonts w:hint="eastAsia" w:asciiTheme="minorEastAsia" w:hAnsiTheme="minorEastAsia" w:eastAsiaTheme="minorEastAsia" w:cstheme="minorEastAsia"/>
          <w:i w:val="0"/>
          <w:caps w:val="0"/>
          <w:color w:val="000000"/>
          <w:spacing w:val="0"/>
          <w:sz w:val="28"/>
          <w:szCs w:val="28"/>
          <w:shd w:val="clear" w:fill="FFFFFF"/>
        </w:rPr>
      </w:pPr>
      <w:r>
        <w:rPr>
          <w:rFonts w:hint="eastAsia" w:asciiTheme="minorEastAsia" w:hAnsiTheme="minorEastAsia" w:eastAsiaTheme="minorEastAsia" w:cstheme="minorEastAsia"/>
          <w:i w:val="0"/>
          <w:caps w:val="0"/>
          <w:color w:val="000000"/>
          <w:spacing w:val="0"/>
          <w:sz w:val="28"/>
          <w:szCs w:val="28"/>
          <w:shd w:val="clear" w:fill="FFFFFF"/>
        </w:rPr>
        <w:t>统计局公布数据显示, 11月工业增加值同比 6.2%,前值4.7%;社零</w:t>
      </w:r>
      <w:r>
        <w:rPr>
          <w:rFonts w:hint="eastAsia" w:asciiTheme="minorEastAsia" w:hAnsiTheme="minorEastAsia" w:eastAsiaTheme="minorEastAsia" w:cstheme="minorEastAsia"/>
          <w:i w:val="0"/>
          <w:caps w:val="0"/>
          <w:color w:val="000000"/>
          <w:spacing w:val="0"/>
          <w:sz w:val="28"/>
          <w:szCs w:val="28"/>
          <w:shd w:val="clear" w:fill="FFFFFF"/>
        </w:rPr>
        <w:t>增速 8.0%, 前值 7.2%;固定资产投资增速 5.2%, 与前值持平。</w:t>
      </w:r>
    </w:p>
    <w:p>
      <w:pPr>
        <w:numPr>
          <w:ilvl w:val="0"/>
          <w:numId w:val="0"/>
        </w:numPr>
        <w:bidi w:val="0"/>
        <w:jc w:val="left"/>
        <w:rPr>
          <w:rFonts w:hint="eastAsia" w:asciiTheme="minorEastAsia" w:hAnsiTheme="minorEastAsia" w:cstheme="minorEastAsia"/>
          <w:i w:val="0"/>
          <w:caps w:val="0"/>
          <w:color w:val="000000"/>
          <w:spacing w:val="0"/>
          <w:sz w:val="28"/>
          <w:szCs w:val="28"/>
          <w:shd w:val="clear" w:fill="FFFFFF"/>
          <w:lang w:eastAsia="zh-CN"/>
        </w:rPr>
      </w:pPr>
      <w:r>
        <w:rPr>
          <w:rFonts w:hint="eastAsia" w:asciiTheme="minorEastAsia" w:hAnsiTheme="minorEastAsia" w:cstheme="minorEastAsia"/>
          <w:i w:val="0"/>
          <w:caps w:val="0"/>
          <w:color w:val="000000"/>
          <w:spacing w:val="0"/>
          <w:sz w:val="28"/>
          <w:szCs w:val="28"/>
          <w:shd w:val="clear" w:fill="FFFFFF"/>
          <w:lang w:eastAsia="zh-CN"/>
        </w:rPr>
        <w:t>整体看</w:t>
      </w:r>
      <w:r>
        <w:rPr>
          <w:rFonts w:hint="eastAsia" w:asciiTheme="minorEastAsia" w:hAnsiTheme="minorEastAsia" w:eastAsiaTheme="minorEastAsia" w:cstheme="minorEastAsia"/>
          <w:i w:val="0"/>
          <w:caps w:val="0"/>
          <w:color w:val="000000"/>
          <w:spacing w:val="0"/>
          <w:sz w:val="28"/>
          <w:szCs w:val="28"/>
          <w:shd w:val="clear" w:fill="FFFFFF"/>
        </w:rPr>
        <w:t>需求企稳,生产改善</w:t>
      </w:r>
      <w:r>
        <w:rPr>
          <w:rFonts w:hint="eastAsia" w:asciiTheme="minorEastAsia" w:hAnsiTheme="minorEastAsia" w:cstheme="minorEastAsia"/>
          <w:i w:val="0"/>
          <w:caps w:val="0"/>
          <w:color w:val="000000"/>
          <w:spacing w:val="0"/>
          <w:sz w:val="28"/>
          <w:szCs w:val="28"/>
          <w:shd w:val="clear" w:fill="FFFFFF"/>
          <w:lang w:eastAsia="zh-CN"/>
        </w:rPr>
        <w:t>，主要体现在以下几方面。</w:t>
      </w:r>
    </w:p>
    <w:p>
      <w:pPr>
        <w:numPr>
          <w:ilvl w:val="0"/>
          <w:numId w:val="0"/>
        </w:numPr>
        <w:bidi w:val="0"/>
        <w:ind w:firstLine="560" w:firstLineChars="200"/>
        <w:jc w:val="left"/>
        <w:rPr>
          <w:rFonts w:hint="eastAsia" w:asciiTheme="minorEastAsia" w:hAnsiTheme="minorEastAsia" w:cstheme="minorEastAsia"/>
          <w:i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caps w:val="0"/>
          <w:color w:val="000000"/>
          <w:spacing w:val="0"/>
          <w:sz w:val="28"/>
          <w:szCs w:val="28"/>
          <w:shd w:val="clear" w:fill="FFFFFF"/>
        </w:rPr>
        <w:t>第一,边际改善</w:t>
      </w:r>
      <w:r>
        <w:rPr>
          <w:rFonts w:hint="eastAsia" w:asciiTheme="minorEastAsia" w:hAnsiTheme="minorEastAsia" w:cstheme="minorEastAsia"/>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000000"/>
          <w:spacing w:val="0"/>
          <w:sz w:val="28"/>
          <w:szCs w:val="28"/>
          <w:shd w:val="clear" w:fill="FFFFFF"/>
        </w:rPr>
        <w:t>无论是从生产端还是需求端,当月同比数据改善比较明显,累计同比由于包含过去1-10月的经济状况,因此改善不够明显。其中,有两个数据值得关注:一是汽车。11月汽车消费当月同比收窄至-1.8%,汽车制造业增加值当月同比升至 7.7%,汽车制造业固定资产投资累计同比稳定在-0.4%,进口当中汽车与汽车底盘进口金额当月同比也大幅改善,表明从销售、生产、投资来看,汽车整体确实在改善。二是进口</w:t>
      </w:r>
      <w:r>
        <w:rPr>
          <w:rFonts w:hint="eastAsia" w:asciiTheme="minorEastAsia" w:hAnsiTheme="minorEastAsia" w:cstheme="minorEastAsia"/>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000000"/>
          <w:spacing w:val="0"/>
          <w:sz w:val="28"/>
          <w:szCs w:val="28"/>
          <w:shd w:val="clear" w:fill="FFFFFF"/>
        </w:rPr>
        <w:t xml:space="preserve">进口的当月同比由负转正,且呈现出量升价稳的态势,表明内需确实企稳回升。我们判断,未来进口改善可能持续。 </w:t>
      </w:r>
      <w:r>
        <w:rPr>
          <w:rFonts w:hint="eastAsia" w:asciiTheme="minorEastAsia" w:hAnsiTheme="minorEastAsia" w:cstheme="minorEastAsia"/>
          <w:i w:val="0"/>
          <w:caps w:val="0"/>
          <w:color w:val="000000"/>
          <w:spacing w:val="0"/>
          <w:sz w:val="28"/>
          <w:szCs w:val="28"/>
          <w:shd w:val="clear" w:fill="FFFFFF"/>
          <w:lang w:val="en-US" w:eastAsia="zh-CN"/>
        </w:rPr>
        <w:t xml:space="preserve"> </w:t>
      </w:r>
    </w:p>
    <w:p>
      <w:pPr>
        <w:numPr>
          <w:ilvl w:val="0"/>
          <w:numId w:val="0"/>
        </w:numPr>
        <w:bidi w:val="0"/>
        <w:ind w:firstLine="560" w:firstLineChars="200"/>
        <w:jc w:val="left"/>
        <w:rPr>
          <w:rFonts w:hint="eastAsia" w:asciiTheme="minorEastAsia" w:hAnsiTheme="minorEastAsia" w:eastAsiaTheme="minorEastAsia" w:cstheme="minorEastAsia"/>
          <w:i w:val="0"/>
          <w:caps w:val="0"/>
          <w:color w:val="000000"/>
          <w:spacing w:val="0"/>
          <w:sz w:val="28"/>
          <w:szCs w:val="28"/>
          <w:shd w:val="clear" w:fill="FFFFFF"/>
        </w:rPr>
      </w:pPr>
      <w:r>
        <w:rPr>
          <w:rFonts w:hint="eastAsia" w:asciiTheme="minorEastAsia" w:hAnsiTheme="minorEastAsia" w:eastAsiaTheme="minorEastAsia" w:cstheme="minorEastAsia"/>
          <w:i w:val="0"/>
          <w:caps w:val="0"/>
          <w:color w:val="000000"/>
          <w:spacing w:val="0"/>
          <w:sz w:val="28"/>
          <w:szCs w:val="28"/>
          <w:shd w:val="clear" w:fill="FFFFFF"/>
        </w:rPr>
        <w:t>第二,逆周期调节</w:t>
      </w:r>
      <w:r>
        <w:rPr>
          <w:rFonts w:hint="eastAsia" w:asciiTheme="minorEastAsia" w:hAnsiTheme="minorEastAsia" w:cstheme="minorEastAsia"/>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000000"/>
          <w:spacing w:val="0"/>
          <w:sz w:val="28"/>
          <w:szCs w:val="28"/>
          <w:shd w:val="clear" w:fill="FFFFFF"/>
        </w:rPr>
        <w:t xml:space="preserve">逆周期政策效果突出表现为基建投资增速上行以及社融和信贷增量的超预期,基建投资增速升至3.5%,而新增信贷1.4万亿、新增社融1.8万亿,整体均超季节性。未来在建安投资回落时,经济下行压力加大,基建投资将作为稳增长的主要发力点对下行的经济作逆周期调节。 </w:t>
      </w:r>
    </w:p>
    <w:p>
      <w:pPr>
        <w:numPr>
          <w:ilvl w:val="0"/>
          <w:numId w:val="0"/>
        </w:numPr>
        <w:bidi w:val="0"/>
        <w:ind w:firstLine="560" w:firstLineChars="200"/>
        <w:jc w:val="left"/>
        <w:rPr>
          <w:rFonts w:hint="eastAsia" w:asciiTheme="minorEastAsia" w:hAnsiTheme="minorEastAsia" w:eastAsiaTheme="minorEastAsia" w:cstheme="minorEastAsia"/>
          <w:i w:val="0"/>
          <w:caps w:val="0"/>
          <w:color w:val="000000"/>
          <w:spacing w:val="0"/>
          <w:sz w:val="28"/>
          <w:szCs w:val="28"/>
          <w:shd w:val="clear" w:fill="FFFFFF"/>
        </w:rPr>
      </w:pPr>
      <w:r>
        <w:rPr>
          <w:rFonts w:hint="eastAsia" w:asciiTheme="minorEastAsia" w:hAnsiTheme="minorEastAsia" w:eastAsiaTheme="minorEastAsia" w:cstheme="minorEastAsia"/>
          <w:i w:val="0"/>
          <w:caps w:val="0"/>
          <w:color w:val="000000"/>
          <w:spacing w:val="0"/>
          <w:sz w:val="28"/>
          <w:szCs w:val="28"/>
          <w:shd w:val="clear" w:fill="FFFFFF"/>
        </w:rPr>
        <w:t>第三,地产的隐忧</w:t>
      </w:r>
      <w:r>
        <w:rPr>
          <w:rFonts w:hint="eastAsia" w:asciiTheme="minorEastAsia" w:hAnsiTheme="minorEastAsia" w:cstheme="minorEastAsia"/>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000000"/>
          <w:spacing w:val="0"/>
          <w:sz w:val="28"/>
          <w:szCs w:val="28"/>
          <w:shd w:val="clear" w:fill="FFFFFF"/>
        </w:rPr>
        <w:t xml:space="preserve">今年年初,多数机构预测地产投资将面临较大下行压力,但今年地产投资较去年是回升的,并且一直保持在高位,主要原因在于建安投资具有韧性(增速仍高达 10.2%),未来随着竣工面积上升,建安投资将开始下降,销售低迷将导致地产下行的风险可能集中在明年释放。 </w:t>
      </w:r>
    </w:p>
    <w:p>
      <w:pPr>
        <w:numPr>
          <w:ilvl w:val="0"/>
          <w:numId w:val="0"/>
        </w:numPr>
        <w:bidi w:val="0"/>
        <w:ind w:firstLine="560" w:firstLineChars="200"/>
        <w:jc w:val="left"/>
        <w:rPr>
          <w:rFonts w:hint="eastAsia" w:asciiTheme="minorEastAsia" w:hAnsiTheme="minorEastAsia" w:eastAsiaTheme="minorEastAsia" w:cstheme="minorEastAsia"/>
          <w:i w:val="0"/>
          <w:caps w:val="0"/>
          <w:color w:val="000000"/>
          <w:spacing w:val="0"/>
          <w:sz w:val="28"/>
          <w:szCs w:val="28"/>
          <w:shd w:val="clear" w:fill="FFFFFF"/>
        </w:rPr>
      </w:pPr>
      <w:r>
        <w:rPr>
          <w:rFonts w:hint="eastAsia" w:asciiTheme="minorEastAsia" w:hAnsiTheme="minorEastAsia" w:eastAsiaTheme="minorEastAsia" w:cstheme="minorEastAsia"/>
          <w:i w:val="0"/>
          <w:caps w:val="0"/>
          <w:color w:val="000000"/>
          <w:spacing w:val="0"/>
          <w:sz w:val="28"/>
          <w:szCs w:val="28"/>
          <w:shd w:val="clear" w:fill="FFFFFF"/>
        </w:rPr>
        <w:t>第四,制造业投资仍弱,但制造业增加值转好。11月制造业累计同比降至 2.5%,但增加值累计同比改善。</w:t>
      </w:r>
    </w:p>
    <w:p>
      <w:pPr>
        <w:numPr>
          <w:ilvl w:val="0"/>
          <w:numId w:val="0"/>
        </w:numPr>
        <w:bidi w:val="0"/>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2、欧美经济</w:t>
      </w:r>
    </w:p>
    <w:p>
      <w:pPr>
        <w:keepNext w:val="0"/>
        <w:keepLines w:val="0"/>
        <w:pageBreakBefore w:val="0"/>
        <w:widowControl w:val="0"/>
        <w:kinsoku/>
        <w:wordWrap/>
        <w:overflowPunct/>
        <w:topLinePunct w:val="0"/>
        <w:autoSpaceDE/>
        <w:autoSpaceDN/>
        <w:bidi w:val="0"/>
        <w:adjustRightInd/>
        <w:snapToGrid/>
        <w:spacing w:line="240" w:lineRule="atLeast"/>
        <w:ind w:firstLine="454" w:firstLineChars="0"/>
        <w:jc w:val="left"/>
        <w:textAlignment w:val="auto"/>
      </w:pPr>
      <w:r>
        <w:rPr>
          <w:rFonts w:hint="eastAsia" w:asciiTheme="minorEastAsia" w:hAnsiTheme="minorEastAsia" w:eastAsiaTheme="minorEastAsia" w:cstheme="minorEastAsia"/>
          <w:sz w:val="28"/>
          <w:szCs w:val="28"/>
        </w:rPr>
        <w:t>12 月美联储全票同意维持联邦基金利率在1.5%-1.75%区间变，点阵图显示2020年将维持利率不变。美联储在决议声明中删除“前景不确定性依旧存在”的措辞，小幅下调通胀和失业率预期，对经济和通胀的预期走势更加乐观。随后鲍 威尔在发布会上称：需看到通胀明显上升，才会考虑加息。联储对未来经济预期乐观与持续表现强劲的就业市场有关。11月美国新增非农就业高达26.6万人，远超市场预期的18.7万人，新增非农就业连续两个月超预 期增长;与此同时，美国11月失业率3.5%，较上月降低0.1个百分点，为1969 年以来最低水平。</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新近公布数据也指示美国经济在逐步好转。12月美国Markit制造业PMI指数 52.5，较上月回落0.1个百分点，维持在较高水平；12月美国消费者信心指数99.2，连续四个月上涨，表现强劲。去年四季度以来美国经济持续回落，回头来看，这或许和联储过于激进的货 币政策相关。今年以来经历了三次降息以后，美国的利率又回到有助于经济恢复的水平上，市场对经济的预期开始逐步转向乐观，经济数据也在不断确认这一情况。 尽管近期美国在政治层面出现扰动，但经济数据转好可能仍会延续。美国时间12月18日，美国众议院通过了针对特朗普的两条弹劾条款，特拉普成为美国历史上第三位被弹劾的总统，但该弹劾的最终成功需获得由共和党占多数的参议院 2/3以上议员通过，这或许意味着弹劾几乎难以成功。</w:t>
      </w:r>
    </w:p>
    <w:p>
      <w:pPr>
        <w:bidi w:val="0"/>
        <w:ind w:firstLine="576"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月13日，英国大选中，现任首相约翰逊所在的保守党赢得下议院650个席位中的365席，获得议会绝对多数，这意味着无协议脱欧风险将大幅降低，协议脱欧将成为未来的主要方向。英国大选后，英镑明显升值，英国富时100指数当天大幅上涨2.25%。往后看，随着中美贸易战的阶段性缓和、全球主要央行货币政策效果的显现以及英国脱欧不确定性的降低，外部环境对中国市场的拖累将进一步降低，国内市场的变化将更多取决于自身的经济金融状况。</w:t>
      </w:r>
    </w:p>
    <w:p>
      <w:pPr>
        <w:numPr>
          <w:ilvl w:val="0"/>
          <w:numId w:val="0"/>
        </w:numPr>
        <w:bidi w:val="0"/>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3、贸易争端</w:t>
      </w:r>
    </w:p>
    <w:p>
      <w:pPr>
        <w:bidi w:val="0"/>
        <w:ind w:firstLine="576" w:firstLineChars="0"/>
        <w:jc w:val="left"/>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回顾2019年全年，由于</w:t>
      </w:r>
      <w:r>
        <w:rPr>
          <w:rFonts w:hint="eastAsia" w:asciiTheme="minorEastAsia" w:hAnsiTheme="minorEastAsia" w:cstheme="minorEastAsia"/>
          <w:sz w:val="28"/>
          <w:szCs w:val="28"/>
          <w:lang w:eastAsia="zh-CN"/>
        </w:rPr>
        <w:t>贸</w:t>
      </w:r>
      <w:r>
        <w:rPr>
          <w:rFonts w:hint="eastAsia" w:asciiTheme="minorEastAsia" w:hAnsiTheme="minorEastAsia" w:eastAsiaTheme="minorEastAsia" w:cstheme="minorEastAsia"/>
          <w:sz w:val="28"/>
          <w:szCs w:val="28"/>
        </w:rPr>
        <w:t>易摩擦导致出口下滑的阴影始终笼罩，国内经济压力渐显，出口作为经济支柱的三驾马车之一，今年对经济增长形成拖累。1-10月份国内累计出口金额为2.04万亿美元，同比进入负增长区间，而去年同期增速为12.42%。其中，欧盟、美国和日本是中国主要的对外出口国，中国对美国出口占三个主要出口地的46%。而美国于8月2日宣布将于9月1日对国内3000亿元商品加征10%的征税，随后宣布将其中部分产品征税推迟至12月15日，从对美出口数据可以看出在双方</w:t>
      </w:r>
      <w:r>
        <w:rPr>
          <w:rFonts w:hint="eastAsia" w:asciiTheme="minorEastAsia" w:hAnsiTheme="minorEastAsia" w:cstheme="minorEastAsia"/>
          <w:sz w:val="28"/>
          <w:szCs w:val="28"/>
          <w:lang w:eastAsia="zh-CN"/>
        </w:rPr>
        <w:t>贸</w:t>
      </w:r>
      <w:r>
        <w:rPr>
          <w:rFonts w:hint="eastAsia" w:asciiTheme="minorEastAsia" w:hAnsiTheme="minorEastAsia" w:eastAsiaTheme="minorEastAsia" w:cstheme="minorEastAsia"/>
          <w:sz w:val="28"/>
          <w:szCs w:val="28"/>
        </w:rPr>
        <w:t>易摩擦下，对美国出口的货物受到的影响最大，1-10月份中国向美国出口3478亿美元，同比下滑11.3%；而1-10月份出口至欧盟的累计金额为3528亿美元，同比增加5.1%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但随着2020年美国总统大选的来临，特朗普为求连任，双方</w:t>
      </w:r>
      <w:r>
        <w:rPr>
          <w:rFonts w:hint="eastAsia" w:asciiTheme="minorEastAsia" w:hAnsiTheme="minorEastAsia" w:cstheme="minorEastAsia"/>
          <w:sz w:val="28"/>
          <w:szCs w:val="28"/>
          <w:lang w:eastAsia="zh-CN"/>
        </w:rPr>
        <w:t>磋商</w:t>
      </w:r>
      <w:r>
        <w:rPr>
          <w:rFonts w:hint="eastAsia" w:asciiTheme="minorEastAsia" w:hAnsiTheme="minorEastAsia" w:eastAsiaTheme="minorEastAsia" w:cstheme="minorEastAsia"/>
          <w:sz w:val="28"/>
          <w:szCs w:val="28"/>
        </w:rPr>
        <w:t>中美达成第一阶段协议，如：美国取消上调2500亿美元商品的征税、国内同意加大进口农产品等，预计直至大选前，双方</w:t>
      </w:r>
      <w:r>
        <w:rPr>
          <w:rFonts w:hint="eastAsia" w:asciiTheme="minorEastAsia" w:hAnsiTheme="minorEastAsia" w:cstheme="minorEastAsia"/>
          <w:sz w:val="28"/>
          <w:szCs w:val="28"/>
          <w:lang w:eastAsia="zh-CN"/>
        </w:rPr>
        <w:t>贸</w:t>
      </w:r>
      <w:r>
        <w:rPr>
          <w:rFonts w:hint="eastAsia" w:asciiTheme="minorEastAsia" w:hAnsiTheme="minorEastAsia" w:eastAsiaTheme="minorEastAsia" w:cstheme="minorEastAsia"/>
          <w:sz w:val="28"/>
          <w:szCs w:val="28"/>
        </w:rPr>
        <w:t>易紧张的格局将得到一定的缓解，投资者原先的悲观情绪得到释放</w:t>
      </w:r>
      <w:r>
        <w:rPr>
          <w:rFonts w:hint="eastAsia" w:asciiTheme="minorEastAsia" w:hAnsiTheme="minorEastAsia" w:cstheme="minorEastAsia"/>
          <w:sz w:val="28"/>
          <w:szCs w:val="28"/>
          <w:lang w:eastAsia="zh-CN"/>
        </w:rPr>
        <w:t>。</w:t>
      </w:r>
    </w:p>
    <w:p>
      <w:pPr>
        <w:bidi w:val="0"/>
        <w:ind w:firstLine="576" w:firstLineChars="0"/>
        <w:jc w:val="left"/>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cstheme="minorEastAsia"/>
          <w:b/>
          <w:bCs/>
          <w:sz w:val="32"/>
          <w:szCs w:val="32"/>
          <w:lang w:eastAsia="zh-CN"/>
        </w:rPr>
        <w:t>二、供给面</w:t>
      </w:r>
    </w:p>
    <w:p>
      <w:pPr>
        <w:keepNext w:val="0"/>
        <w:keepLines w:val="0"/>
        <w:pageBreakBefore w:val="0"/>
        <w:widowControl w:val="0"/>
        <w:tabs>
          <w:tab w:val="left" w:pos="711"/>
        </w:tabs>
        <w:kinsoku/>
        <w:wordWrap/>
        <w:overflowPunct/>
        <w:topLinePunct w:val="0"/>
        <w:autoSpaceDE/>
        <w:autoSpaceDN/>
        <w:bidi w:val="0"/>
        <w:adjustRightInd/>
        <w:snapToGrid/>
        <w:spacing w:line="240" w:lineRule="atLeast"/>
        <w:ind w:firstLine="562" w:firstLineChars="200"/>
        <w:jc w:val="left"/>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1、国内铜矿供给情况</w:t>
      </w:r>
    </w:p>
    <w:p>
      <w:pPr>
        <w:keepNext w:val="0"/>
        <w:keepLines w:val="0"/>
        <w:pageBreakBefore w:val="0"/>
        <w:widowControl w:val="0"/>
        <w:tabs>
          <w:tab w:val="left" w:pos="711"/>
        </w:tabs>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内铜精矿产量约160万金属吨左右，约占全球铜精矿产量8%，并且国内的铜精矿规模较小，且品位较低，除了江铜德兴一个年产量超过10万吨金属矿坑外，其他产量都较小，因此国内铜精矿供给弹性较小，边际变化量可忽略不计，近年来国内仅有多宝山二期的铜矿有一定的增量，明年预计该矿山增量为1.5至2万吨；西部矿业的玉龙铜矿预计明年10月底能投产，但因为接近年底，估计明年新增铜产量仅有1万吨。但国内矿山增量对比国内冶炼厂投产的增速明显不对称，因此铜精矿仍然以进口矿为主。国内1-10月铜精矿产量131.7万吨，去年同期122.7万吨，同比增加5.64%，国内铜矿产量同比提高的原因是2018年国家严查环保导致去年基数较低，增速有所恢复。</w:t>
      </w:r>
    </w:p>
    <w:p>
      <w:pPr>
        <w:keepNext w:val="0"/>
        <w:keepLines w:val="0"/>
        <w:pageBreakBefore w:val="0"/>
        <w:widowControl w:val="0"/>
        <w:tabs>
          <w:tab w:val="left" w:pos="711"/>
        </w:tabs>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智利在10月初由于交通费用价格上涨引发了全国性罢工，虽然暂时仅有安托法加斯塔下调了其年度生产计划约1万吨，其他矿山企业均声称目前生产没有影响。通过比对年初Las Bambas的情况来看，2月初Las Bambas附近的社区堵路导致了该矿区的主要供应耗尽，最终导致了4月初选矿厂被迫关闭、矿区二季度铜产量下滑17%的现象，而当时交通运输的堵塞仅仅持续了2个月的时间就带来了如此大的影响，截至目前智利罢工的问题已经维持了1个多月，智利政府也因此取消了原定于11月举行的APEC领导人会议和12月的气候大会，可见当地问题正愈演愈烈。</w:t>
      </w:r>
    </w:p>
    <w:p>
      <w:pPr>
        <w:keepNext w:val="0"/>
        <w:keepLines w:val="0"/>
        <w:pageBreakBefore w:val="0"/>
        <w:widowControl w:val="0"/>
        <w:tabs>
          <w:tab w:val="left" w:pos="711"/>
        </w:tabs>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全球来看，国内矿山增量较低，明年铜矿增量将有48.5万吨。并且Cerro Verde、Antamina、Phu Kham等矿山因品位下降将分别降低2-3万吨。综合来看，明年铜矿增速预计在2%，同比今年增加39万吨，明年全年原料端供应环比有所改善，但仍需要持续关注智利当地的生产情况。</w:t>
      </w:r>
    </w:p>
    <w:p>
      <w:pPr>
        <w:bidi w:val="0"/>
        <w:jc w:val="left"/>
      </w:pPr>
      <w:r>
        <w:drawing>
          <wp:inline distT="0" distB="0" distL="114300" distR="114300">
            <wp:extent cx="5267325" cy="19431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325" cy="1943100"/>
                    </a:xfrm>
                    <a:prstGeom prst="rect">
                      <a:avLst/>
                    </a:prstGeom>
                    <a:noFill/>
                    <a:ln>
                      <a:noFill/>
                    </a:ln>
                  </pic:spPr>
                </pic:pic>
              </a:graphicData>
            </a:graphic>
          </wp:inline>
        </w:drawing>
      </w:r>
    </w:p>
    <w:p>
      <w:pPr>
        <w:bidi w:val="0"/>
        <w:jc w:val="left"/>
      </w:pPr>
    </w:p>
    <w:p>
      <w:pPr>
        <w:numPr>
          <w:ilvl w:val="0"/>
          <w:numId w:val="2"/>
        </w:numPr>
        <w:bidi w:val="0"/>
        <w:jc w:val="left"/>
        <w:rPr>
          <w:rFonts w:hint="eastAsia" w:asciiTheme="minorEastAsia" w:hAnsi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我国铜冶炼</w:t>
      </w:r>
      <w:r>
        <w:rPr>
          <w:rFonts w:hint="eastAsia" w:asciiTheme="minorEastAsia" w:hAnsiTheme="minorEastAsia" w:cstheme="minorEastAsia"/>
          <w:b/>
          <w:bCs/>
          <w:sz w:val="28"/>
          <w:szCs w:val="28"/>
          <w:lang w:val="en-US" w:eastAsia="zh-CN"/>
        </w:rPr>
        <w:t>状况</w:t>
      </w:r>
    </w:p>
    <w:p>
      <w:pPr>
        <w:numPr>
          <w:numId w:val="0"/>
        </w:num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据报道，中国10家大型冶炼厂准备12月26日在福建召开季度座谈会，或将商讨联合减产事宜，多位接近国内大型铜冶炼企业的人士，基本确认了国内10家大型铜冶炼企业计划联合减产消息的真实性，不过，也有熟悉国内主流铜冶炼企业的人士表示，实际联合减产的效果可能低于市场预期。</w:t>
      </w:r>
    </w:p>
    <w:p>
      <w:pPr>
        <w:numPr>
          <w:numId w:val="0"/>
        </w:num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国铜原料谈判小组CSPT，将于本月26日在福州召开会议，计划可能商谈2020年铜冶炼企业减产计划，减产量及减产时间；以此希望能缓解国内硫酸库存压力以及冶炼企业运行压力。中国铜原料谈判小组CSPT目前有13家铜企成员，其精炼总产能共计750万吨，占全国精炼总产能68%左右，进口铜精矿总量占全国铜精矿进口量的82%。小组在2007年联合减产过一次，减产10-15%。在今年三季度中国冶炼厂与国外矿山敲定了2020年度长单TC基准价为62美元。据分析国内冶炼厂冶炼成本平均约65美元上下，若按照此TC计算，将会有大量冶炼厂出现亏损，实际目前冶炼成本已处于盈亏边缘，尤其是一些小型冶炼厂实际的现货TC或更低一些。我们可以看到2019年现货TC一路走低，是远低于长单TC基准价的，甚至今年下半年已长期处于62美元以下。</w:t>
      </w:r>
    </w:p>
    <w:p>
      <w:pPr>
        <w:bidi w:val="0"/>
        <w:ind w:firstLine="561" w:firstLineChars="0"/>
        <w:jc w:val="left"/>
      </w:pPr>
      <w:r>
        <w:rPr>
          <w:rFonts w:hint="eastAsia" w:asciiTheme="minorEastAsia" w:hAnsiTheme="minorEastAsia" w:eastAsiaTheme="minorEastAsia" w:cstheme="minorEastAsia"/>
          <w:kern w:val="2"/>
          <w:sz w:val="28"/>
          <w:szCs w:val="28"/>
          <w:lang w:val="en-US" w:eastAsia="zh-CN" w:bidi="ar-SA"/>
        </w:rPr>
        <w:t>除了加工费以外，硫酸这个衍生品也是冶炼厂利润来源之一。硫酸价格从2018年三季度以来持续下跌，目前已跌至2017年以来的最低点附近，且硫酸库存居高不下也是打压价格的重要因素，今年最高时硫酸库存曾达到85万吨以上，虽然之后有所升降，但目前仍在80万吨上下浮动。若以往加工费低于盈亏平衡线时，衍生品硫酸还能为冶炼厂带来较可观利润，但现在TC与硫酸价同时大幅下降，暂且不说利润，而是面临着大幅亏损的局面，这种情况下迫不得已的减产或是自救最好的方法。</w:t>
      </w:r>
      <w:r>
        <w:rPr>
          <w:rFonts w:ascii="宋体" w:hAnsi="宋体" w:eastAsia="宋体" w:cs="宋体"/>
          <w:sz w:val="24"/>
          <w:szCs w:val="24"/>
        </w:rPr>
        <w:br w:type="textWrapping"/>
      </w:r>
      <w:r>
        <w:drawing>
          <wp:inline distT="0" distB="0" distL="114300" distR="114300">
            <wp:extent cx="5351145" cy="2522220"/>
            <wp:effectExtent l="0" t="0" r="190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351145" cy="2522220"/>
                    </a:xfrm>
                    <a:prstGeom prst="rect">
                      <a:avLst/>
                    </a:prstGeom>
                    <a:noFill/>
                    <a:ln>
                      <a:noFill/>
                    </a:ln>
                  </pic:spPr>
                </pic:pic>
              </a:graphicData>
            </a:graphic>
          </wp:inline>
        </w:drawing>
      </w:r>
    </w:p>
    <w:p>
      <w:pPr>
        <w:bidi w:val="0"/>
        <w:ind w:firstLine="561" w:firstLineChars="0"/>
        <w:jc w:val="left"/>
        <w:rPr>
          <w:rFonts w:hint="eastAsia"/>
          <w:lang w:val="en-US" w:eastAsia="zh-CN"/>
        </w:rPr>
      </w:pPr>
      <w:r>
        <w:rPr>
          <w:rFonts w:hint="eastAsia"/>
          <w:lang w:val="en-US" w:eastAsia="zh-CN"/>
        </w:rPr>
        <w:t>2019年现货TC走势</w:t>
      </w:r>
    </w:p>
    <w:p>
      <w:pPr>
        <w:bidi w:val="0"/>
        <w:rPr>
          <w:rFonts w:hint="default" w:asciiTheme="minorHAnsi" w:hAnsiTheme="minorHAnsi" w:eastAsiaTheme="minorEastAsia" w:cstheme="minorBidi"/>
          <w:kern w:val="2"/>
          <w:sz w:val="21"/>
          <w:szCs w:val="24"/>
          <w:lang w:val="en-US" w:eastAsia="zh-CN" w:bidi="ar-SA"/>
        </w:rPr>
      </w:pP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近两次CSPT减产发生在2007年与2015年。2007年因冶炼产能增加与进口铜数量居高不下导致铜精矿加工费持续下滑，使得国内冶炼厂产生亏损。2015年因铜价下跌，国内铜生产企业亏损扩大。而2007年最终减产政策决定联合减产20%-15%，约20—30万吨的电解铜。2015年最终减产政策决定联合减少精铜产量35万吨。在以往减产协议实施后都不同幅度的提振了铜价。对冶炼厂而言明年减产或许是大概率事件，但具体政策与执行度还需持续跟踪。对铜价而言中国冶炼厂减产一定是一个大利好。铜矿，铜冶炼，铜消费这条商品链上，目前矿端增速在放缓明年产量也存在不确定性，如果加上冶炼端减产，就目前的铜价而言，上涨是可以期待的。</w:t>
      </w:r>
    </w:p>
    <w:p>
      <w:pPr>
        <w:bidi w:val="0"/>
        <w:ind w:firstLine="200" w:firstLineChars="200"/>
        <w:jc w:val="left"/>
        <w:rPr>
          <w:rFonts w:hint="eastAsia" w:asciiTheme="minorEastAsia" w:hAnsiTheme="minorEastAsia" w:eastAsiaTheme="minorEastAsia" w:cstheme="minorEastAsia"/>
          <w:kern w:val="2"/>
          <w:sz w:val="10"/>
          <w:szCs w:val="10"/>
          <w:lang w:val="en-US" w:eastAsia="zh-CN" w:bidi="ar-SA"/>
        </w:rPr>
      </w:pPr>
    </w:p>
    <w:p>
      <w:pPr>
        <w:numPr>
          <w:numId w:val="0"/>
        </w:numPr>
        <w:bidi w:val="0"/>
        <w:ind w:leftChars="0"/>
        <w:jc w:val="left"/>
        <w:rPr>
          <w:rFonts w:hint="eastAsia" w:asciiTheme="minorEastAsia" w:hAnsi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三、需求面</w:t>
      </w: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从需求端来看，今年消费较往年疲软，但未如市场忧虑那样，实际上部分行业需求略好于市场的预期，消费端仍有一定支撑。</w:t>
      </w: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1、房地产业</w:t>
      </w: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2019</w:t>
      </w:r>
      <w:r>
        <w:rPr>
          <w:rFonts w:hint="eastAsia" w:asciiTheme="minorEastAsia" w:hAnsiTheme="minorEastAsia" w:eastAsiaTheme="minorEastAsia" w:cstheme="minorEastAsia"/>
          <w:kern w:val="2"/>
          <w:sz w:val="28"/>
          <w:szCs w:val="28"/>
          <w:lang w:val="en-US" w:eastAsia="zh-CN" w:bidi="ar-SA"/>
        </w:rPr>
        <w:t>年</w:t>
      </w:r>
      <w:r>
        <w:rPr>
          <w:rFonts w:hint="default"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11</w:t>
      </w:r>
      <w:r>
        <w:rPr>
          <w:rFonts w:hint="eastAsia" w:asciiTheme="minorEastAsia" w:hAnsiTheme="minorEastAsia" w:eastAsiaTheme="minorEastAsia" w:cstheme="minorEastAsia"/>
          <w:kern w:val="2"/>
          <w:sz w:val="28"/>
          <w:szCs w:val="28"/>
          <w:lang w:val="en-US" w:eastAsia="zh-CN" w:bidi="ar-SA"/>
        </w:rPr>
        <w:t>月份，全国房地产开发投资</w:t>
      </w:r>
      <w:r>
        <w:rPr>
          <w:rFonts w:hint="default" w:asciiTheme="minorEastAsia" w:hAnsiTheme="minorEastAsia" w:eastAsiaTheme="minorEastAsia" w:cstheme="minorEastAsia"/>
          <w:kern w:val="2"/>
          <w:sz w:val="28"/>
          <w:szCs w:val="28"/>
          <w:lang w:val="en-US" w:eastAsia="zh-CN" w:bidi="ar-SA"/>
        </w:rPr>
        <w:t>121265</w:t>
      </w:r>
      <w:r>
        <w:rPr>
          <w:rFonts w:hint="eastAsia" w:asciiTheme="minorEastAsia" w:hAnsiTheme="minorEastAsia" w:eastAsiaTheme="minorEastAsia" w:cstheme="minorEastAsia"/>
          <w:kern w:val="2"/>
          <w:sz w:val="28"/>
          <w:szCs w:val="28"/>
          <w:lang w:val="en-US" w:eastAsia="zh-CN" w:bidi="ar-SA"/>
        </w:rPr>
        <w:t>亿元，同比增长</w:t>
      </w:r>
      <w:r>
        <w:rPr>
          <w:rFonts w:hint="default" w:asciiTheme="minorEastAsia" w:hAnsiTheme="minorEastAsia" w:eastAsiaTheme="minorEastAsia" w:cstheme="minorEastAsia"/>
          <w:kern w:val="2"/>
          <w:sz w:val="28"/>
          <w:szCs w:val="28"/>
          <w:lang w:val="en-US" w:eastAsia="zh-CN" w:bidi="ar-SA"/>
        </w:rPr>
        <w:t>10.2%</w:t>
      </w:r>
      <w:r>
        <w:rPr>
          <w:rFonts w:hint="eastAsia" w:asciiTheme="minorEastAsia" w:hAnsiTheme="minorEastAsia" w:eastAsiaTheme="minorEastAsia" w:cstheme="minorEastAsia"/>
          <w:kern w:val="2"/>
          <w:sz w:val="28"/>
          <w:szCs w:val="28"/>
          <w:lang w:val="en-US" w:eastAsia="zh-CN" w:bidi="ar-SA"/>
        </w:rPr>
        <w:t>，增速比</w:t>
      </w:r>
      <w:r>
        <w:rPr>
          <w:rFonts w:hint="default"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10</w:t>
      </w:r>
      <w:r>
        <w:rPr>
          <w:rFonts w:hint="eastAsia" w:asciiTheme="minorEastAsia" w:hAnsiTheme="minorEastAsia" w:eastAsiaTheme="minorEastAsia" w:cstheme="minorEastAsia"/>
          <w:kern w:val="2"/>
          <w:sz w:val="28"/>
          <w:szCs w:val="28"/>
          <w:lang w:val="en-US" w:eastAsia="zh-CN" w:bidi="ar-SA"/>
        </w:rPr>
        <w:t>月份回落</w:t>
      </w:r>
      <w:r>
        <w:rPr>
          <w:rFonts w:hint="default" w:asciiTheme="minorEastAsia" w:hAnsiTheme="minorEastAsia" w:eastAsiaTheme="minorEastAsia" w:cstheme="minorEastAsia"/>
          <w:kern w:val="2"/>
          <w:sz w:val="28"/>
          <w:szCs w:val="28"/>
          <w:lang w:val="en-US" w:eastAsia="zh-CN" w:bidi="ar-SA"/>
        </w:rPr>
        <w:t>0.1</w:t>
      </w:r>
      <w:r>
        <w:rPr>
          <w:rFonts w:hint="eastAsia" w:asciiTheme="minorEastAsia" w:hAnsiTheme="minorEastAsia" w:eastAsiaTheme="minorEastAsia" w:cstheme="minorEastAsia"/>
          <w:kern w:val="2"/>
          <w:sz w:val="28"/>
          <w:szCs w:val="28"/>
          <w:lang w:val="en-US" w:eastAsia="zh-CN" w:bidi="ar-SA"/>
        </w:rPr>
        <w:t>个百分点。其中，住宅投资</w:t>
      </w:r>
      <w:r>
        <w:rPr>
          <w:rFonts w:hint="default" w:asciiTheme="minorEastAsia" w:hAnsiTheme="minorEastAsia" w:eastAsiaTheme="minorEastAsia" w:cstheme="minorEastAsia"/>
          <w:kern w:val="2"/>
          <w:sz w:val="28"/>
          <w:szCs w:val="28"/>
          <w:lang w:val="en-US" w:eastAsia="zh-CN" w:bidi="ar-SA"/>
        </w:rPr>
        <w:t>89232</w:t>
      </w:r>
      <w:r>
        <w:rPr>
          <w:rFonts w:hint="eastAsia" w:asciiTheme="minorEastAsia" w:hAnsiTheme="minorEastAsia" w:eastAsiaTheme="minorEastAsia" w:cstheme="minorEastAsia"/>
          <w:kern w:val="2"/>
          <w:sz w:val="28"/>
          <w:szCs w:val="28"/>
          <w:lang w:val="en-US" w:eastAsia="zh-CN" w:bidi="ar-SA"/>
        </w:rPr>
        <w:t>亿元，增长</w:t>
      </w:r>
      <w:r>
        <w:rPr>
          <w:rFonts w:hint="default" w:asciiTheme="minorEastAsia" w:hAnsiTheme="minorEastAsia" w:eastAsiaTheme="minorEastAsia" w:cstheme="minorEastAsia"/>
          <w:kern w:val="2"/>
          <w:sz w:val="28"/>
          <w:szCs w:val="28"/>
          <w:lang w:val="en-US" w:eastAsia="zh-CN" w:bidi="ar-SA"/>
        </w:rPr>
        <w:t>14.4%</w:t>
      </w:r>
      <w:r>
        <w:rPr>
          <w:rFonts w:hint="eastAsia" w:asciiTheme="minorEastAsia" w:hAnsiTheme="minorEastAsia" w:eastAsiaTheme="minorEastAsia" w:cstheme="minorEastAsia"/>
          <w:kern w:val="2"/>
          <w:sz w:val="28"/>
          <w:szCs w:val="28"/>
          <w:lang w:val="en-US" w:eastAsia="zh-CN" w:bidi="ar-SA"/>
        </w:rPr>
        <w:t>，增速回落</w:t>
      </w:r>
      <w:r>
        <w:rPr>
          <w:rFonts w:hint="default" w:asciiTheme="minorEastAsia" w:hAnsiTheme="minorEastAsia" w:eastAsiaTheme="minorEastAsia" w:cstheme="minorEastAsia"/>
          <w:kern w:val="2"/>
          <w:sz w:val="28"/>
          <w:szCs w:val="28"/>
          <w:lang w:val="en-US" w:eastAsia="zh-CN" w:bidi="ar-SA"/>
        </w:rPr>
        <w:t>0.2</w:t>
      </w:r>
      <w:r>
        <w:rPr>
          <w:rFonts w:hint="eastAsia" w:asciiTheme="minorEastAsia" w:hAnsiTheme="minorEastAsia" w:eastAsiaTheme="minorEastAsia" w:cstheme="minorEastAsia"/>
          <w:kern w:val="2"/>
          <w:sz w:val="28"/>
          <w:szCs w:val="28"/>
          <w:lang w:val="en-US" w:eastAsia="zh-CN" w:bidi="ar-SA"/>
        </w:rPr>
        <w:t>个百分点。</w:t>
      </w:r>
      <w:r>
        <w:rPr>
          <w:rFonts w:hint="default"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11</w:t>
      </w:r>
      <w:r>
        <w:rPr>
          <w:rFonts w:hint="eastAsia" w:asciiTheme="minorEastAsia" w:hAnsiTheme="minorEastAsia" w:eastAsiaTheme="minorEastAsia" w:cstheme="minorEastAsia"/>
          <w:kern w:val="2"/>
          <w:sz w:val="28"/>
          <w:szCs w:val="28"/>
          <w:lang w:val="en-US" w:eastAsia="zh-CN" w:bidi="ar-SA"/>
        </w:rPr>
        <w:t>月份，房地产开发企业房屋施工面积</w:t>
      </w:r>
      <w:r>
        <w:rPr>
          <w:rFonts w:hint="default" w:asciiTheme="minorEastAsia" w:hAnsiTheme="minorEastAsia" w:eastAsiaTheme="minorEastAsia" w:cstheme="minorEastAsia"/>
          <w:kern w:val="2"/>
          <w:sz w:val="28"/>
          <w:szCs w:val="28"/>
          <w:lang w:val="en-US" w:eastAsia="zh-CN" w:bidi="ar-SA"/>
        </w:rPr>
        <w:t>874814</w:t>
      </w:r>
      <w:r>
        <w:rPr>
          <w:rFonts w:hint="eastAsia" w:asciiTheme="minorEastAsia" w:hAnsiTheme="minorEastAsia" w:eastAsiaTheme="minorEastAsia" w:cstheme="minorEastAsia"/>
          <w:kern w:val="2"/>
          <w:sz w:val="28"/>
          <w:szCs w:val="28"/>
          <w:lang w:val="en-US" w:eastAsia="zh-CN" w:bidi="ar-SA"/>
        </w:rPr>
        <w:t>万平方米，同比增长</w:t>
      </w:r>
      <w:r>
        <w:rPr>
          <w:rFonts w:hint="default" w:asciiTheme="minorEastAsia" w:hAnsiTheme="minorEastAsia" w:eastAsiaTheme="minorEastAsia" w:cstheme="minorEastAsia"/>
          <w:kern w:val="2"/>
          <w:sz w:val="28"/>
          <w:szCs w:val="28"/>
          <w:lang w:val="en-US" w:eastAsia="zh-CN" w:bidi="ar-SA"/>
        </w:rPr>
        <w:t>8.7%</w:t>
      </w:r>
      <w:r>
        <w:rPr>
          <w:rFonts w:hint="eastAsia" w:asciiTheme="minorEastAsia" w:hAnsiTheme="minorEastAsia" w:eastAsiaTheme="minorEastAsia" w:cstheme="minorEastAsia"/>
          <w:kern w:val="2"/>
          <w:sz w:val="28"/>
          <w:szCs w:val="28"/>
          <w:lang w:val="en-US" w:eastAsia="zh-CN" w:bidi="ar-SA"/>
        </w:rPr>
        <w:t>，增速比</w:t>
      </w:r>
      <w:r>
        <w:rPr>
          <w:rFonts w:hint="default"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10</w:t>
      </w:r>
      <w:r>
        <w:rPr>
          <w:rFonts w:hint="eastAsia" w:asciiTheme="minorEastAsia" w:hAnsiTheme="minorEastAsia" w:eastAsiaTheme="minorEastAsia" w:cstheme="minorEastAsia"/>
          <w:kern w:val="2"/>
          <w:sz w:val="28"/>
          <w:szCs w:val="28"/>
          <w:lang w:val="en-US" w:eastAsia="zh-CN" w:bidi="ar-SA"/>
        </w:rPr>
        <w:t>月份回落</w:t>
      </w:r>
      <w:r>
        <w:rPr>
          <w:rFonts w:hint="default" w:asciiTheme="minorEastAsia" w:hAnsiTheme="minorEastAsia" w:eastAsiaTheme="minorEastAsia" w:cstheme="minorEastAsia"/>
          <w:kern w:val="2"/>
          <w:sz w:val="28"/>
          <w:szCs w:val="28"/>
          <w:lang w:val="en-US" w:eastAsia="zh-CN" w:bidi="ar-SA"/>
        </w:rPr>
        <w:t>0.3</w:t>
      </w:r>
      <w:r>
        <w:rPr>
          <w:rFonts w:hint="eastAsia" w:asciiTheme="minorEastAsia" w:hAnsiTheme="minorEastAsia" w:eastAsiaTheme="minorEastAsia" w:cstheme="minorEastAsia"/>
          <w:kern w:val="2"/>
          <w:sz w:val="28"/>
          <w:szCs w:val="28"/>
          <w:lang w:val="en-US" w:eastAsia="zh-CN" w:bidi="ar-SA"/>
        </w:rPr>
        <w:t>个百分点。其中，住宅施工面积</w:t>
      </w:r>
      <w:r>
        <w:rPr>
          <w:rFonts w:hint="default" w:asciiTheme="minorEastAsia" w:hAnsiTheme="minorEastAsia" w:eastAsiaTheme="minorEastAsia" w:cstheme="minorEastAsia"/>
          <w:kern w:val="2"/>
          <w:sz w:val="28"/>
          <w:szCs w:val="28"/>
          <w:lang w:val="en-US" w:eastAsia="zh-CN" w:bidi="ar-SA"/>
        </w:rPr>
        <w:t>613566</w:t>
      </w:r>
      <w:r>
        <w:rPr>
          <w:rFonts w:hint="eastAsia" w:asciiTheme="minorEastAsia" w:hAnsiTheme="minorEastAsia" w:eastAsiaTheme="minorEastAsia" w:cstheme="minorEastAsia"/>
          <w:kern w:val="2"/>
          <w:sz w:val="28"/>
          <w:szCs w:val="28"/>
          <w:lang w:val="en-US" w:eastAsia="zh-CN" w:bidi="ar-SA"/>
        </w:rPr>
        <w:t>万平方米，增长</w:t>
      </w:r>
      <w:r>
        <w:rPr>
          <w:rFonts w:hint="default" w:asciiTheme="minorEastAsia" w:hAnsiTheme="minorEastAsia" w:eastAsiaTheme="minorEastAsia" w:cstheme="minorEastAsia"/>
          <w:kern w:val="2"/>
          <w:sz w:val="28"/>
          <w:szCs w:val="28"/>
          <w:lang w:val="en-US" w:eastAsia="zh-CN" w:bidi="ar-SA"/>
        </w:rPr>
        <w:t>10.1%</w:t>
      </w:r>
      <w:r>
        <w:rPr>
          <w:rFonts w:hint="eastAsia" w:asciiTheme="minorEastAsia" w:hAnsiTheme="minorEastAsia" w:eastAsiaTheme="minorEastAsia" w:cstheme="minorEastAsia"/>
          <w:kern w:val="2"/>
          <w:sz w:val="28"/>
          <w:szCs w:val="28"/>
          <w:lang w:val="en-US" w:eastAsia="zh-CN" w:bidi="ar-SA"/>
        </w:rPr>
        <w:t>。房屋新开工面积</w:t>
      </w:r>
      <w:r>
        <w:rPr>
          <w:rFonts w:hint="default" w:asciiTheme="minorEastAsia" w:hAnsiTheme="minorEastAsia" w:eastAsiaTheme="minorEastAsia" w:cstheme="minorEastAsia"/>
          <w:kern w:val="2"/>
          <w:sz w:val="28"/>
          <w:szCs w:val="28"/>
          <w:lang w:val="en-US" w:eastAsia="zh-CN" w:bidi="ar-SA"/>
        </w:rPr>
        <w:t>205194</w:t>
      </w:r>
      <w:r>
        <w:rPr>
          <w:rFonts w:hint="eastAsia" w:asciiTheme="minorEastAsia" w:hAnsiTheme="minorEastAsia" w:eastAsiaTheme="minorEastAsia" w:cstheme="minorEastAsia"/>
          <w:kern w:val="2"/>
          <w:sz w:val="28"/>
          <w:szCs w:val="28"/>
          <w:lang w:val="en-US" w:eastAsia="zh-CN" w:bidi="ar-SA"/>
        </w:rPr>
        <w:t>万平方米，增长</w:t>
      </w:r>
      <w:r>
        <w:rPr>
          <w:rFonts w:hint="default" w:asciiTheme="minorEastAsia" w:hAnsiTheme="minorEastAsia" w:eastAsiaTheme="minorEastAsia" w:cstheme="minorEastAsia"/>
          <w:kern w:val="2"/>
          <w:sz w:val="28"/>
          <w:szCs w:val="28"/>
          <w:lang w:val="en-US" w:eastAsia="zh-CN" w:bidi="ar-SA"/>
        </w:rPr>
        <w:t>8.6%</w:t>
      </w:r>
      <w:r>
        <w:rPr>
          <w:rFonts w:hint="eastAsia" w:asciiTheme="minorEastAsia" w:hAnsiTheme="minorEastAsia" w:eastAsiaTheme="minorEastAsia" w:cstheme="minorEastAsia"/>
          <w:kern w:val="2"/>
          <w:sz w:val="28"/>
          <w:szCs w:val="28"/>
          <w:lang w:val="en-US" w:eastAsia="zh-CN" w:bidi="ar-SA"/>
        </w:rPr>
        <w:t>，增速回落</w:t>
      </w:r>
      <w:r>
        <w:rPr>
          <w:rFonts w:hint="default" w:asciiTheme="minorEastAsia" w:hAnsiTheme="minorEastAsia" w:eastAsiaTheme="minorEastAsia" w:cstheme="minorEastAsia"/>
          <w:kern w:val="2"/>
          <w:sz w:val="28"/>
          <w:szCs w:val="28"/>
          <w:lang w:val="en-US" w:eastAsia="zh-CN" w:bidi="ar-SA"/>
        </w:rPr>
        <w:t>1.4</w:t>
      </w:r>
      <w:r>
        <w:rPr>
          <w:rFonts w:hint="eastAsia" w:asciiTheme="minorEastAsia" w:hAnsiTheme="minorEastAsia" w:eastAsiaTheme="minorEastAsia" w:cstheme="minorEastAsia"/>
          <w:kern w:val="2"/>
          <w:sz w:val="28"/>
          <w:szCs w:val="28"/>
          <w:lang w:val="en-US" w:eastAsia="zh-CN" w:bidi="ar-SA"/>
        </w:rPr>
        <w:t>个百分点。其中，住宅新开工面积</w:t>
      </w:r>
      <w:r>
        <w:rPr>
          <w:rFonts w:hint="default" w:asciiTheme="minorEastAsia" w:hAnsiTheme="minorEastAsia" w:eastAsiaTheme="minorEastAsia" w:cstheme="minorEastAsia"/>
          <w:kern w:val="2"/>
          <w:sz w:val="28"/>
          <w:szCs w:val="28"/>
          <w:lang w:val="en-US" w:eastAsia="zh-CN" w:bidi="ar-SA"/>
        </w:rPr>
        <w:t>151447</w:t>
      </w:r>
      <w:r>
        <w:rPr>
          <w:rFonts w:hint="eastAsia" w:asciiTheme="minorEastAsia" w:hAnsiTheme="minorEastAsia" w:eastAsiaTheme="minorEastAsia" w:cstheme="minorEastAsia"/>
          <w:kern w:val="2"/>
          <w:sz w:val="28"/>
          <w:szCs w:val="28"/>
          <w:lang w:val="en-US" w:eastAsia="zh-CN" w:bidi="ar-SA"/>
        </w:rPr>
        <w:t>万平方米，增长</w:t>
      </w:r>
      <w:r>
        <w:rPr>
          <w:rFonts w:hint="default" w:asciiTheme="minorEastAsia" w:hAnsiTheme="minorEastAsia" w:eastAsiaTheme="minorEastAsia" w:cstheme="minorEastAsia"/>
          <w:kern w:val="2"/>
          <w:sz w:val="28"/>
          <w:szCs w:val="28"/>
          <w:lang w:val="en-US" w:eastAsia="zh-CN" w:bidi="ar-SA"/>
        </w:rPr>
        <w:t>9.3%</w:t>
      </w:r>
      <w:r>
        <w:rPr>
          <w:rFonts w:hint="eastAsia" w:asciiTheme="minorEastAsia" w:hAnsiTheme="minorEastAsia" w:eastAsiaTheme="minorEastAsia" w:cstheme="minorEastAsia"/>
          <w:kern w:val="2"/>
          <w:sz w:val="28"/>
          <w:szCs w:val="28"/>
          <w:lang w:val="en-US" w:eastAsia="zh-CN" w:bidi="ar-SA"/>
        </w:rPr>
        <w:t>。房屋竣工面积</w:t>
      </w:r>
      <w:r>
        <w:rPr>
          <w:rFonts w:hint="default" w:asciiTheme="minorEastAsia" w:hAnsiTheme="minorEastAsia" w:eastAsiaTheme="minorEastAsia" w:cstheme="minorEastAsia"/>
          <w:kern w:val="2"/>
          <w:sz w:val="28"/>
          <w:szCs w:val="28"/>
          <w:lang w:val="en-US" w:eastAsia="zh-CN" w:bidi="ar-SA"/>
        </w:rPr>
        <w:t>63846</w:t>
      </w:r>
      <w:r>
        <w:rPr>
          <w:rFonts w:hint="eastAsia" w:asciiTheme="minorEastAsia" w:hAnsiTheme="minorEastAsia" w:eastAsiaTheme="minorEastAsia" w:cstheme="minorEastAsia"/>
          <w:kern w:val="2"/>
          <w:sz w:val="28"/>
          <w:szCs w:val="28"/>
          <w:lang w:val="en-US" w:eastAsia="zh-CN" w:bidi="ar-SA"/>
        </w:rPr>
        <w:t>万平方米，下降</w:t>
      </w:r>
      <w:r>
        <w:rPr>
          <w:rFonts w:hint="default" w:asciiTheme="minorEastAsia" w:hAnsiTheme="minorEastAsia" w:eastAsiaTheme="minorEastAsia" w:cstheme="minorEastAsia"/>
          <w:kern w:val="2"/>
          <w:sz w:val="28"/>
          <w:szCs w:val="28"/>
          <w:lang w:val="en-US" w:eastAsia="zh-CN" w:bidi="ar-SA"/>
        </w:rPr>
        <w:t>4.5%</w:t>
      </w:r>
      <w:r>
        <w:rPr>
          <w:rFonts w:hint="eastAsia" w:asciiTheme="minorEastAsia" w:hAnsiTheme="minorEastAsia" w:eastAsiaTheme="minorEastAsia" w:cstheme="minorEastAsia"/>
          <w:kern w:val="2"/>
          <w:sz w:val="28"/>
          <w:szCs w:val="28"/>
          <w:lang w:val="en-US" w:eastAsia="zh-CN" w:bidi="ar-SA"/>
        </w:rPr>
        <w:t>，降幅收窄</w:t>
      </w:r>
      <w:r>
        <w:rPr>
          <w:rFonts w:hint="default" w:asciiTheme="minorEastAsia" w:hAnsiTheme="minorEastAsia" w:eastAsiaTheme="minorEastAsia" w:cstheme="minorEastAsia"/>
          <w:kern w:val="2"/>
          <w:sz w:val="28"/>
          <w:szCs w:val="28"/>
          <w:lang w:val="en-US" w:eastAsia="zh-CN" w:bidi="ar-SA"/>
        </w:rPr>
        <w:t>1.0</w:t>
      </w:r>
      <w:r>
        <w:rPr>
          <w:rFonts w:hint="eastAsia" w:asciiTheme="minorEastAsia" w:hAnsiTheme="minorEastAsia" w:eastAsiaTheme="minorEastAsia" w:cstheme="minorEastAsia"/>
          <w:kern w:val="2"/>
          <w:sz w:val="28"/>
          <w:szCs w:val="28"/>
          <w:lang w:val="en-US" w:eastAsia="zh-CN" w:bidi="ar-SA"/>
        </w:rPr>
        <w:t>个百分点。其中，住宅竣工面积</w:t>
      </w:r>
      <w:r>
        <w:rPr>
          <w:rFonts w:hint="default" w:asciiTheme="minorEastAsia" w:hAnsiTheme="minorEastAsia" w:eastAsiaTheme="minorEastAsia" w:cstheme="minorEastAsia"/>
          <w:kern w:val="2"/>
          <w:sz w:val="28"/>
          <w:szCs w:val="28"/>
          <w:lang w:val="en-US" w:eastAsia="zh-CN" w:bidi="ar-SA"/>
        </w:rPr>
        <w:t>45274</w:t>
      </w:r>
      <w:r>
        <w:rPr>
          <w:rFonts w:hint="eastAsia" w:asciiTheme="minorEastAsia" w:hAnsiTheme="minorEastAsia" w:eastAsiaTheme="minorEastAsia" w:cstheme="minorEastAsia"/>
          <w:kern w:val="2"/>
          <w:sz w:val="28"/>
          <w:szCs w:val="28"/>
          <w:lang w:val="en-US" w:eastAsia="zh-CN" w:bidi="ar-SA"/>
        </w:rPr>
        <w:t>万平方米，下降</w:t>
      </w:r>
      <w:r>
        <w:rPr>
          <w:rFonts w:hint="default" w:asciiTheme="minorEastAsia" w:hAnsiTheme="minorEastAsia" w:eastAsiaTheme="minorEastAsia" w:cstheme="minorEastAsia"/>
          <w:kern w:val="2"/>
          <w:sz w:val="28"/>
          <w:szCs w:val="28"/>
          <w:lang w:val="en-US" w:eastAsia="zh-CN" w:bidi="ar-SA"/>
        </w:rPr>
        <w:t>4.0%</w:t>
      </w:r>
      <w:r>
        <w:rPr>
          <w:rFonts w:hint="eastAsia" w:asciiTheme="minorEastAsia" w:hAnsiTheme="minorEastAsia" w:eastAsiaTheme="minorEastAsia" w:cstheme="minorEastAsia"/>
          <w:kern w:val="2"/>
          <w:sz w:val="28"/>
          <w:szCs w:val="28"/>
          <w:lang w:val="en-US" w:eastAsia="zh-CN" w:bidi="ar-SA"/>
        </w:rPr>
        <w:t>。</w:t>
      </w:r>
    </w:p>
    <w:p>
      <w:pPr>
        <w:bidi w:val="0"/>
        <w:jc w:val="left"/>
      </w:pPr>
      <w:r>
        <w:drawing>
          <wp:inline distT="0" distB="0" distL="114300" distR="114300">
            <wp:extent cx="5272405" cy="3139440"/>
            <wp:effectExtent l="0" t="0" r="444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2405" cy="3139440"/>
                    </a:xfrm>
                    <a:prstGeom prst="rect">
                      <a:avLst/>
                    </a:prstGeom>
                    <a:noFill/>
                    <a:ln>
                      <a:noFill/>
                    </a:ln>
                  </pic:spPr>
                </pic:pic>
              </a:graphicData>
            </a:graphic>
          </wp:inline>
        </w:drawing>
      </w:r>
    </w:p>
    <w:p>
      <w:pPr>
        <w:bidi w:val="0"/>
        <w:ind w:firstLine="420" w:firstLineChars="200"/>
        <w:jc w:val="left"/>
        <w:rPr>
          <w:rFonts w:hint="eastAsia" w:eastAsiaTheme="minorEastAsia"/>
          <w:lang w:val="en-US" w:eastAsia="zh-CN"/>
        </w:rPr>
      </w:pPr>
      <w:r>
        <w:rPr>
          <w:rFonts w:hint="eastAsia"/>
          <w:lang w:eastAsia="zh-CN"/>
        </w:rPr>
        <w:t>数据来源：国家统计局</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2、电网投资难达年度目标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电力消费是拉动铜需求的关键点，跟踪往年电网数据，观察到电网的集中投资建设多集中在年末。前期国网预计2019年国网投资将达到8126亿元，较2018年实际投资同比增长4.84%。但2019 年1—10月，电网基本建设投资完成额累计值仅为3415亿元，累计同比下降 10.5%，仅完成年度目标的42%。且近日国家电网发布通知称要进一步</w:t>
      </w:r>
      <w:r>
        <w:rPr>
          <w:rFonts w:hint="eastAsia" w:asciiTheme="minorEastAsia" w:hAnsiTheme="minorEastAsia" w:eastAsiaTheme="minorEastAsia" w:cstheme="minorEastAsia"/>
          <w:kern w:val="2"/>
          <w:sz w:val="28"/>
          <w:szCs w:val="28"/>
          <w:lang w:val="en-US" w:eastAsia="zh-CN" w:bidi="ar-SA"/>
        </w:rPr>
        <w:t>严格控制电网投资，因此预计今年将难以达成年度目标。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en-US" w:eastAsia="zh-CN" w:bidi="ar-SA"/>
        </w:rPr>
        <w:t>汽车行业静待拐点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从国内汽车行业运行情况来看，10月汽车销量环比延续着9月的增长趋势，同比降幅则持续收窄。10 月汽车产销量分别完成 229.5 万辆和 228.4 万辆，比9月分别增长 3.9%和 0.6%，比上年同期分别下降 1.7%和 4%，产销量降幅比9月收窄分别为 1.2%和 4.5%。自2018年以来，库存预警指数长期位于警戒线之上，2019年四季度开始得到明显改善。2019年10月经销商库存预警指数为62.4，同比下降6.73%。在低基数效应影响下，11月终端销量增速有望继续改善。后期全国范围内将继续推行汽车限购政策的放宽，具体措施的出台有利于带动行业需求的复苏。但汽车行业的运行形势出现反转，仍需耐心等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en-US" w:eastAsia="zh-CN" w:bidi="ar-SA"/>
        </w:rPr>
        <w:t>空调行业继续回暖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10月空调销量延续着9月的回暖趋势。根据产业在线数据，10月空调总销量 772 万台，同比提升 3.1%，其中内销 506.6 万台，同比增长1.4%，出口265.4 万台，同比增长6.4%。2019 年 1—10 月空调累计总销量 13072.5 万台，同比下降1%，其中内销 8058.5万台，同比下降 0.6%，出口5014 万台，同比下滑 1.5%。内销方面，在经历了8—9月新年开盘经销商集中提货后，10月内销继续上升。鉴于2018年11—12月内销出货基数较低，且双十一期间龙头企业加大了电商促销力度，预计今年11—12月有望延续前期涨势，并推动全年空调内销出货实现正增长。外销方面，二季度表现疲软对全年数据构成拖累，二季度后海外需求及贸易政策未出现重大变化，海外订单企稳，目前出口保持稳健，11—12月出口订单有望继续温和增长。中期来看，空调内销在明年有望继续回暖。一方面， 2020年是家电下乡十年，潜在更新需求将上新台阶。另一方面，气候观测报告预计明年为中国炎夏，这将促发空调的更新需求，将2019年中国南方凉夏未释放的和明年炎夏要释放的更新需求释放出。因此，预计明年家用空调内销同比增速将明显提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560" w:firstLineChars="200"/>
        <w:textAlignment w:val="auto"/>
        <w:rPr>
          <w:rFonts w:hint="eastAsia" w:asciiTheme="minorEastAsia" w:hAnsiTheme="minorEastAsia" w:eastAsiaTheme="minorEastAsia" w:cstheme="minorEastAsia"/>
          <w:kern w:val="2"/>
          <w:sz w:val="28"/>
          <w:szCs w:val="28"/>
          <w:lang w:val="en-US" w:eastAsia="zh-CN" w:bidi="ar-SA"/>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b/>
          <w:bCs/>
          <w:kern w:val="2"/>
          <w:sz w:val="32"/>
          <w:szCs w:val="32"/>
          <w:lang w:val="en-US" w:eastAsia="zh-CN" w:bidi="ar-SA"/>
        </w:rPr>
        <w:t>四、后市行情研判</w:t>
      </w:r>
    </w:p>
    <w:p>
      <w:pPr>
        <w:tabs>
          <w:tab w:val="left" w:pos="696"/>
        </w:tabs>
        <w:bidi w:val="0"/>
        <w:jc w:val="left"/>
        <w:rPr>
          <w:rFonts w:hint="eastAsia" w:asciiTheme="minorEastAsia" w:hAnsiTheme="minorEastAsia" w:eastAsiaTheme="minorEastAsia" w:cstheme="minorEastAsia"/>
          <w:kern w:val="2"/>
          <w:sz w:val="28"/>
          <w:szCs w:val="28"/>
          <w:lang w:val="en-US" w:eastAsia="zh-CN" w:bidi="ar-SA"/>
        </w:rPr>
      </w:pPr>
      <w:r>
        <w:rPr>
          <w:rFonts w:hint="eastAsia"/>
          <w:lang w:val="en-US" w:eastAsia="zh-CN"/>
        </w:rPr>
        <w:tab/>
      </w:r>
      <w:r>
        <w:rPr>
          <w:rFonts w:hint="eastAsia" w:asciiTheme="minorEastAsia" w:hAnsiTheme="minorEastAsia" w:eastAsiaTheme="minorEastAsia" w:cstheme="minorEastAsia"/>
          <w:sz w:val="28"/>
          <w:szCs w:val="28"/>
        </w:rPr>
        <w:t>中美达成第一阶段协议，</w:t>
      </w:r>
      <w:r>
        <w:rPr>
          <w:rFonts w:hint="eastAsia" w:asciiTheme="minorEastAsia" w:hAnsiTheme="minorEastAsia" w:eastAsiaTheme="minorEastAsia" w:cstheme="minorEastAsia"/>
          <w:kern w:val="2"/>
          <w:sz w:val="28"/>
          <w:szCs w:val="28"/>
          <w:lang w:val="en-US" w:eastAsia="zh-CN" w:bidi="ar-SA"/>
        </w:rPr>
        <w:t>全球宏观经济预期好转，摩根大通11月全球制造业PMI连续反弹4个月并且重现扩张</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国内终端需求边际回暖，汽车产销降幅持续收窄，随着年末基建投资发力，市场对中国铜消费回暖预期有所增强</w:t>
      </w:r>
      <w:r>
        <w:rPr>
          <w:rFonts w:hint="eastAsia" w:asciiTheme="minorEastAsia" w:hAnsiTheme="minorEastAsia" w:cstheme="minorEastAsia"/>
          <w:kern w:val="2"/>
          <w:sz w:val="28"/>
          <w:szCs w:val="28"/>
          <w:lang w:val="en-US" w:eastAsia="zh-CN" w:bidi="ar-SA"/>
        </w:rPr>
        <w:t>；供给端</w:t>
      </w:r>
      <w:r>
        <w:rPr>
          <w:rFonts w:hint="eastAsia" w:asciiTheme="minorEastAsia" w:hAnsiTheme="minorEastAsia" w:eastAsiaTheme="minorEastAsia" w:cstheme="minorEastAsia"/>
          <w:kern w:val="2"/>
          <w:sz w:val="28"/>
          <w:szCs w:val="28"/>
          <w:lang w:val="en-US" w:eastAsia="zh-CN" w:bidi="ar-SA"/>
        </w:rPr>
        <w:t>近日由于原料供应紧张，硫酸压力环保等，我国民企冶炼厂减产基本确定，但国有冶炼厂是否减产仍需继续关注</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明年全年原料端供应环比有所改善，但仍需要持续关注智利当地的生产情况</w:t>
      </w:r>
      <w:r>
        <w:rPr>
          <w:rFonts w:hint="eastAsia" w:asciiTheme="minorEastAsia" w:hAnsiTheme="minorEastAsia" w:cstheme="minorEastAsia"/>
          <w:sz w:val="28"/>
          <w:szCs w:val="28"/>
          <w:lang w:eastAsia="zh-CN"/>
        </w:rPr>
        <w:t>，同时，铜库存一直在低位徘徊，上半年对铜价有较好的支撑。</w:t>
      </w:r>
    </w:p>
    <w:p>
      <w:pPr>
        <w:tabs>
          <w:tab w:val="left" w:pos="696"/>
        </w:tabs>
        <w:bidi w:val="0"/>
        <w:jc w:val="left"/>
      </w:pPr>
      <w:r>
        <w:drawing>
          <wp:inline distT="0" distB="0" distL="114300" distR="114300">
            <wp:extent cx="5269230" cy="2536190"/>
            <wp:effectExtent l="0" t="0" r="762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9230" cy="2536190"/>
                    </a:xfrm>
                    <a:prstGeom prst="rect">
                      <a:avLst/>
                    </a:prstGeom>
                    <a:noFill/>
                    <a:ln>
                      <a:noFill/>
                    </a:ln>
                  </pic:spPr>
                </pic:pic>
              </a:graphicData>
            </a:graphic>
          </wp:inline>
        </w:drawing>
      </w:r>
    </w:p>
    <w:p>
      <w:pPr>
        <w:tabs>
          <w:tab w:val="left" w:pos="696"/>
        </w:tabs>
        <w:bidi w:val="0"/>
        <w:ind w:firstLine="420" w:firstLineChars="200"/>
        <w:jc w:val="left"/>
        <w:rPr>
          <w:rFonts w:hint="eastAsia"/>
          <w:lang w:val="en-US" w:eastAsia="zh-CN"/>
        </w:rPr>
      </w:pPr>
      <w:r>
        <w:rPr>
          <w:rFonts w:hint="eastAsia"/>
          <w:lang w:eastAsia="zh-CN"/>
        </w:rPr>
        <w:t>沪铜指数</w:t>
      </w:r>
      <w:r>
        <w:rPr>
          <w:rFonts w:hint="eastAsia"/>
          <w:lang w:val="en-US" w:eastAsia="zh-CN"/>
        </w:rPr>
        <w:t>2019年走势</w:t>
      </w:r>
    </w:p>
    <w:p>
      <w:pPr>
        <w:tabs>
          <w:tab w:val="left" w:pos="696"/>
        </w:tabs>
        <w:bidi w:val="0"/>
        <w:jc w:val="left"/>
      </w:pPr>
      <w:r>
        <w:drawing>
          <wp:inline distT="0" distB="0" distL="114300" distR="114300">
            <wp:extent cx="5268595" cy="2685415"/>
            <wp:effectExtent l="0" t="0" r="825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68595" cy="2685415"/>
                    </a:xfrm>
                    <a:prstGeom prst="rect">
                      <a:avLst/>
                    </a:prstGeom>
                    <a:noFill/>
                    <a:ln>
                      <a:noFill/>
                    </a:ln>
                  </pic:spPr>
                </pic:pic>
              </a:graphicData>
            </a:graphic>
          </wp:inline>
        </w:drawing>
      </w:r>
    </w:p>
    <w:p>
      <w:pPr>
        <w:tabs>
          <w:tab w:val="left" w:pos="696"/>
        </w:tabs>
        <w:bidi w:val="0"/>
        <w:ind w:firstLine="420" w:firstLineChars="200"/>
        <w:jc w:val="left"/>
        <w:rPr>
          <w:rFonts w:hint="eastAsia" w:eastAsiaTheme="minorEastAsia"/>
          <w:lang w:val="en-US" w:eastAsia="zh-CN"/>
        </w:rPr>
      </w:pPr>
      <w:r>
        <w:rPr>
          <w:rFonts w:hint="eastAsia"/>
          <w:lang w:eastAsia="zh-CN"/>
        </w:rPr>
        <w:t>沪铜周线图</w:t>
      </w:r>
    </w:p>
    <w:p>
      <w:pPr>
        <w:tabs>
          <w:tab w:val="left" w:pos="696"/>
        </w:tabs>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盘面看沪铜伦铜到了一年来的底部区域，在此区域盘整近6个月，沪铜整体看在46000--48000之间围绕60日线上下波动，经过长时间的窄</w:t>
      </w:r>
      <w:r>
        <w:rPr>
          <w:rFonts w:hint="eastAsia" w:asciiTheme="minorEastAsia" w:hAnsiTheme="minorEastAsia" w:eastAsiaTheme="minorEastAsia" w:cstheme="minorEastAsia"/>
          <w:kern w:val="2"/>
          <w:sz w:val="28"/>
          <w:szCs w:val="28"/>
          <w:lang w:val="en-US" w:eastAsia="zh-CN" w:bidi="ar-SA"/>
        </w:rPr>
        <w:t>幅震荡各条均线也逐渐紧密粘合，从形态上看正在酝酿一波较大的行情，12月9日期铜突破窄幅震荡平台位后，</w:t>
      </w:r>
      <w:r>
        <w:rPr>
          <w:rFonts w:hint="eastAsia" w:asciiTheme="minorEastAsia" w:hAnsiTheme="minorEastAsia" w:cstheme="minorEastAsia"/>
          <w:kern w:val="2"/>
          <w:sz w:val="28"/>
          <w:szCs w:val="28"/>
          <w:lang w:val="en-US" w:eastAsia="zh-CN" w:bidi="ar-SA"/>
        </w:rPr>
        <w:t>12月上涨走势</w:t>
      </w:r>
      <w:r>
        <w:rPr>
          <w:rFonts w:hint="eastAsia" w:asciiTheme="minorEastAsia" w:hAnsiTheme="minorEastAsia" w:eastAsiaTheme="minorEastAsia" w:cstheme="minorEastAsia"/>
          <w:kern w:val="2"/>
          <w:sz w:val="28"/>
          <w:szCs w:val="28"/>
          <w:lang w:val="en-US" w:eastAsia="zh-CN" w:bidi="ar-SA"/>
        </w:rPr>
        <w:t>较好，预计2020年初行情会持续。</w:t>
      </w:r>
    </w:p>
    <w:p>
      <w:pPr>
        <w:tabs>
          <w:tab w:val="left" w:pos="696"/>
        </w:tabs>
        <w:bidi w:val="0"/>
        <w:ind w:firstLine="560" w:firstLineChars="200"/>
        <w:jc w:val="left"/>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基本面和技术面都支持2020年初的上涨行情，但下半年走势可能震荡，纵观2020全年</w:t>
      </w:r>
      <w:r>
        <w:rPr>
          <w:rFonts w:hint="eastAsia" w:asciiTheme="minorEastAsia" w:hAnsiTheme="minorEastAsia" w:cstheme="minorEastAsia"/>
          <w:kern w:val="2"/>
          <w:sz w:val="28"/>
          <w:szCs w:val="28"/>
          <w:lang w:val="en-US" w:eastAsia="zh-CN" w:bidi="ar-SA"/>
        </w:rPr>
        <w:t>大概</w:t>
      </w:r>
      <w:r>
        <w:rPr>
          <w:rFonts w:hint="eastAsia" w:asciiTheme="minorEastAsia" w:hAnsiTheme="minorEastAsia" w:eastAsiaTheme="minorEastAsia" w:cstheme="minorEastAsia"/>
          <w:kern w:val="2"/>
          <w:sz w:val="28"/>
          <w:szCs w:val="28"/>
          <w:lang w:val="en-US" w:eastAsia="zh-CN" w:bidi="ar-SA"/>
        </w:rPr>
        <w:t>走势是大幅度震荡在</w:t>
      </w:r>
      <w:r>
        <w:rPr>
          <w:rFonts w:hint="eastAsia" w:asciiTheme="minorEastAsia" w:hAnsiTheme="minorEastAsia" w:cstheme="minorEastAsia"/>
          <w:kern w:val="2"/>
          <w:sz w:val="28"/>
          <w:szCs w:val="28"/>
          <w:lang w:val="en-US" w:eastAsia="zh-CN" w:bidi="ar-SA"/>
        </w:rPr>
        <w:t>46000--56000之间。</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6"/>
          <w:rFonts w:hint="eastAsia"/>
          <w:sz w:val="24"/>
          <w:szCs w:val="24"/>
        </w:rPr>
        <w:t>http://www.hhqh.com.cn</w:t>
      </w:r>
      <w:r>
        <w:rPr>
          <w:rFonts w:hint="eastAsia"/>
          <w:sz w:val="24"/>
          <w:szCs w:val="24"/>
        </w:rPr>
        <w:fldChar w:fldCharType="end"/>
      </w:r>
    </w:p>
    <w:p>
      <w:pPr>
        <w:tabs>
          <w:tab w:val="left" w:pos="681"/>
        </w:tabs>
        <w:bidi w:val="0"/>
        <w:jc w:val="left"/>
        <w:rPr>
          <w:rFonts w:hint="default"/>
          <w:lang w:val="en-US" w:eastAsia="zh-CN"/>
        </w:rPr>
      </w:pPr>
      <w:r>
        <w:rPr>
          <w:rFonts w:hint="eastAsia"/>
          <w:sz w:val="21"/>
          <w:szCs w:val="21"/>
        </w:rPr>
        <w:t>和合期货有限公司经营范围包括：商品期货经纪业务、金融期货经纪业务、期货投资咨询业务、公开募集证券投资基金销售业务。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F8471"/>
    <w:multiLevelType w:val="singleLevel"/>
    <w:tmpl w:val="D0BF8471"/>
    <w:lvl w:ilvl="0" w:tentative="0">
      <w:start w:val="1"/>
      <w:numFmt w:val="chineseCounting"/>
      <w:suff w:val="nothing"/>
      <w:lvlText w:val="%1、"/>
      <w:lvlJc w:val="left"/>
      <w:rPr>
        <w:rFonts w:hint="eastAsia"/>
      </w:rPr>
    </w:lvl>
  </w:abstractNum>
  <w:abstractNum w:abstractNumId="1">
    <w:nsid w:val="6BD6CCE1"/>
    <w:multiLevelType w:val="singleLevel"/>
    <w:tmpl w:val="6BD6CCE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D30BD"/>
    <w:rsid w:val="02DD2587"/>
    <w:rsid w:val="089D30BD"/>
    <w:rsid w:val="0E5540B1"/>
    <w:rsid w:val="101478AF"/>
    <w:rsid w:val="154B068F"/>
    <w:rsid w:val="166F368E"/>
    <w:rsid w:val="201351DB"/>
    <w:rsid w:val="290D4882"/>
    <w:rsid w:val="2C4F57AF"/>
    <w:rsid w:val="2FBE0846"/>
    <w:rsid w:val="2FE73E15"/>
    <w:rsid w:val="32911068"/>
    <w:rsid w:val="34F71D68"/>
    <w:rsid w:val="399C48A0"/>
    <w:rsid w:val="3C511805"/>
    <w:rsid w:val="3CB37D57"/>
    <w:rsid w:val="3FAC0491"/>
    <w:rsid w:val="478D3ACC"/>
    <w:rsid w:val="4A206B6C"/>
    <w:rsid w:val="4B385507"/>
    <w:rsid w:val="4D34750D"/>
    <w:rsid w:val="4F2914AE"/>
    <w:rsid w:val="54FF073F"/>
    <w:rsid w:val="554E1FA2"/>
    <w:rsid w:val="5A5A0668"/>
    <w:rsid w:val="5B0816B4"/>
    <w:rsid w:val="5BF01651"/>
    <w:rsid w:val="5E7B7691"/>
    <w:rsid w:val="6059348D"/>
    <w:rsid w:val="615E10C9"/>
    <w:rsid w:val="638C32E2"/>
    <w:rsid w:val="63B500F3"/>
    <w:rsid w:val="6438131E"/>
    <w:rsid w:val="6583125E"/>
    <w:rsid w:val="697759D7"/>
    <w:rsid w:val="6E3F0214"/>
    <w:rsid w:val="6EFB6033"/>
    <w:rsid w:val="7187186F"/>
    <w:rsid w:val="72671B72"/>
    <w:rsid w:val="7A1F4A0A"/>
    <w:rsid w:val="7B400B6A"/>
    <w:rsid w:val="7CD50B5B"/>
    <w:rsid w:val="7FD9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bdr w:val="none" w:color="auto" w:sz="0" w:space="0"/>
    </w:rPr>
  </w:style>
  <w:style w:type="character" w:styleId="6">
    <w:name w:val="Hyperlink"/>
    <w:basedOn w:val="4"/>
    <w:qFormat/>
    <w:uiPriority w:val="0"/>
    <w:rPr>
      <w:color w:val="0000FF"/>
      <w:u w:val="single"/>
    </w:rPr>
  </w:style>
  <w:style w:type="character" w:customStyle="1" w:styleId="7">
    <w:name w:val="bsharetext"/>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2019-12-27T01:15:00Z</dcterms:created>
  <dc:creator>Administrator</dc:creator>
  <cp:lastModifiedBy>Administrator</cp:lastModifiedBy>
  <dcterms:modified xsi:type="dcterms:W3CDTF">2019-12-27T06:06:21Z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