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0"/>
          <w:szCs w:val="30"/>
          <w:lang w:val="en-US" w:eastAsia="zh-CN"/>
        </w:rPr>
      </w:pPr>
      <w:r>
        <w:rPr>
          <w:rFonts w:hint="eastAsia"/>
          <w:b/>
          <w:bCs/>
          <w:sz w:val="30"/>
          <w:szCs w:val="30"/>
          <w:lang w:val="en-US" w:eastAsia="zh-CN"/>
        </w:rPr>
        <w:t>和合期货沪金周报（20191209--20191213）</w:t>
      </w:r>
    </w:p>
    <w:p>
      <w:pPr>
        <w:jc w:val="both"/>
        <w:rPr>
          <w:rFonts w:hint="eastAsia"/>
          <w:b/>
          <w:bCs/>
          <w:sz w:val="28"/>
          <w:szCs w:val="28"/>
          <w:lang w:val="en-US" w:eastAsia="zh-CN"/>
        </w:rPr>
      </w:pPr>
      <w:r>
        <w:drawing>
          <wp:anchor distT="0" distB="0" distL="114300" distR="114300" simplePos="0" relativeHeight="251659264" behindDoc="0" locked="0" layoutInCell="1" allowOverlap="1">
            <wp:simplePos x="0" y="0"/>
            <wp:positionH relativeFrom="column">
              <wp:posOffset>308610</wp:posOffset>
            </wp:positionH>
            <wp:positionV relativeFrom="paragraph">
              <wp:posOffset>309245</wp:posOffset>
            </wp:positionV>
            <wp:extent cx="2040255" cy="1021715"/>
            <wp:effectExtent l="0" t="0" r="17145" b="69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tretch>
                      <a:fillRect/>
                    </a:stretch>
                  </pic:blipFill>
                  <pic:spPr>
                    <a:xfrm>
                      <a:off x="0" y="0"/>
                      <a:ext cx="2040255" cy="1021715"/>
                    </a:xfrm>
                    <a:prstGeom prst="rect">
                      <a:avLst/>
                    </a:prstGeom>
                    <a:noFill/>
                    <a:ln w="9525">
                      <a:noFill/>
                    </a:ln>
                  </pic:spPr>
                </pic:pic>
              </a:graphicData>
            </a:graphic>
          </wp:anchor>
        </w:drawing>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lang w:eastAsia="zh-CN"/>
        </w:rPr>
        <w:t>段晓强</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从业资格证号：</w:t>
      </w:r>
      <w:r>
        <w:rPr>
          <w:rFonts w:hint="eastAsia" w:ascii="微软雅黑" w:hAnsi="微软雅黑" w:eastAsia="微软雅黑" w:cs="微软雅黑"/>
          <w:b w:val="0"/>
          <w:i w:val="0"/>
          <w:caps w:val="0"/>
          <w:color w:val="auto"/>
          <w:spacing w:val="0"/>
          <w:sz w:val="18"/>
          <w:szCs w:val="18"/>
          <w:shd w:val="clear" w:fill="FFFFFF"/>
          <w:lang w:val="en-US" w:eastAsia="zh-CN"/>
        </w:rPr>
        <w:t>F3037792</w:t>
      </w:r>
      <w:r>
        <w:rPr>
          <w:rFonts w:hint="eastAsia" w:ascii="微软雅黑" w:hAnsi="微软雅黑" w:eastAsia="微软雅黑" w:cs="微软雅黑"/>
          <w:b w:val="0"/>
          <w:i w:val="0"/>
          <w:caps w:val="0"/>
          <w:color w:val="auto"/>
          <w:spacing w:val="0"/>
          <w:sz w:val="18"/>
          <w:szCs w:val="18"/>
          <w:shd w:val="clear" w:fill="FFFFFF"/>
        </w:rPr>
        <w:br w:type="textWrapping"/>
      </w:r>
      <w:r>
        <w:rPr>
          <w:rFonts w:hint="eastAsia" w:ascii="微软雅黑" w:hAnsi="微软雅黑" w:eastAsia="微软雅黑" w:cs="微软雅黑"/>
          <w:b w:val="0"/>
          <w:i w:val="0"/>
          <w:caps w:val="0"/>
          <w:color w:val="auto"/>
          <w:spacing w:val="0"/>
          <w:sz w:val="18"/>
          <w:szCs w:val="18"/>
          <w:shd w:val="clear" w:fill="FFFFFF"/>
          <w:lang w:val="en-US" w:eastAsia="zh-CN"/>
        </w:rPr>
        <w:t xml:space="preserve">          </w:t>
      </w:r>
      <w:r>
        <w:rPr>
          <w:rFonts w:hint="eastAsia" w:ascii="微软雅黑" w:hAnsi="微软雅黑" w:eastAsia="微软雅黑" w:cs="微软雅黑"/>
          <w:b w:val="0"/>
          <w:i w:val="0"/>
          <w:caps w:val="0"/>
          <w:color w:val="auto"/>
          <w:spacing w:val="0"/>
          <w:sz w:val="18"/>
          <w:szCs w:val="18"/>
          <w:shd w:val="clear" w:fill="FFFFFF"/>
        </w:rPr>
        <w:t>投询资格证号：</w:t>
      </w:r>
      <w:r>
        <w:rPr>
          <w:rFonts w:hint="eastAsia" w:ascii="微软雅黑" w:hAnsi="微软雅黑" w:eastAsia="微软雅黑" w:cs="微软雅黑"/>
          <w:b w:val="0"/>
          <w:i w:val="0"/>
          <w:caps w:val="0"/>
          <w:color w:val="auto"/>
          <w:spacing w:val="0"/>
          <w:sz w:val="18"/>
          <w:szCs w:val="18"/>
          <w:shd w:val="clear" w:fill="FFFFFF"/>
          <w:lang w:val="en-US" w:eastAsia="zh-CN"/>
        </w:rPr>
        <w:t xml:space="preserve">Z0014851 </w:t>
      </w:r>
    </w:p>
    <w:p>
      <w:pPr>
        <w:spacing w:line="240" w:lineRule="auto"/>
        <w:ind w:firstLine="900" w:firstLineChars="500"/>
        <w:jc w:val="left"/>
        <w:rPr>
          <w:rFonts w:hint="eastAsia" w:ascii="微软雅黑" w:hAnsi="微软雅黑" w:eastAsia="微软雅黑" w:cs="微软雅黑"/>
          <w:b w:val="0"/>
          <w:i w:val="0"/>
          <w:caps w:val="0"/>
          <w:color w:val="auto"/>
          <w:spacing w:val="0"/>
          <w:sz w:val="18"/>
          <w:szCs w:val="18"/>
          <w:shd w:val="clear" w:fill="FFFFFF"/>
        </w:rPr>
      </w:pPr>
      <w:r>
        <w:rPr>
          <w:rFonts w:hint="eastAsia" w:ascii="微软雅黑" w:hAnsi="微软雅黑" w:eastAsia="微软雅黑" w:cs="微软雅黑"/>
          <w:b w:val="0"/>
          <w:i w:val="0"/>
          <w:caps w:val="0"/>
          <w:color w:val="auto"/>
          <w:spacing w:val="0"/>
          <w:sz w:val="18"/>
          <w:szCs w:val="18"/>
          <w:shd w:val="clear" w:fill="FFFFFF"/>
        </w:rPr>
        <w:t>电话：0351-7342558</w:t>
      </w:r>
    </w:p>
    <w:p>
      <w:pPr>
        <w:spacing w:line="240" w:lineRule="auto"/>
        <w:ind w:firstLine="900" w:firstLineChars="500"/>
        <w:jc w:val="left"/>
        <w:rPr>
          <w:rFonts w:hint="eastAsia" w:ascii="宋体" w:hAnsi="宋体" w:eastAsia="宋体" w:cs="宋体"/>
          <w:sz w:val="18"/>
          <w:szCs w:val="18"/>
          <w:lang w:val="en-US" w:eastAsia="zh-CN"/>
        </w:rPr>
      </w:pPr>
      <w:r>
        <w:rPr>
          <w:rFonts w:hint="eastAsia" w:ascii="微软雅黑" w:hAnsi="微软雅黑" w:eastAsia="微软雅黑" w:cs="微软雅黑"/>
          <w:b w:val="0"/>
          <w:i w:val="0"/>
          <w:caps w:val="0"/>
          <w:color w:val="auto"/>
          <w:spacing w:val="0"/>
          <w:sz w:val="18"/>
          <w:szCs w:val="18"/>
          <w:shd w:val="clear" w:fill="FFFFFF"/>
        </w:rPr>
        <w:t>邮箱</w:t>
      </w:r>
      <w:r>
        <w:rPr>
          <w:rFonts w:ascii="微软雅黑" w:hAnsi="微软雅黑" w:eastAsia="微软雅黑" w:cs="微软雅黑"/>
          <w:b w:val="0"/>
          <w:i w:val="0"/>
          <w:caps w:val="0"/>
          <w:color w:val="auto"/>
          <w:spacing w:val="0"/>
          <w:sz w:val="18"/>
          <w:szCs w:val="18"/>
          <w:shd w:val="clear" w:fill="FFFFFF"/>
        </w:rPr>
        <w:t>：</w:t>
      </w:r>
      <w:r>
        <w:rPr>
          <w:rStyle w:val="7"/>
          <w:rFonts w:hint="eastAsia" w:ascii="宋体" w:hAnsi="宋体" w:eastAsia="宋体" w:cs="宋体"/>
          <w:sz w:val="18"/>
          <w:szCs w:val="18"/>
          <w:lang w:val="en-US" w:eastAsia="zh-CN"/>
        </w:rPr>
        <w:fldChar w:fldCharType="begin"/>
      </w:r>
      <w:r>
        <w:rPr>
          <w:rStyle w:val="7"/>
          <w:rFonts w:hint="eastAsia" w:ascii="宋体" w:hAnsi="宋体" w:eastAsia="宋体" w:cs="宋体"/>
          <w:sz w:val="18"/>
          <w:szCs w:val="18"/>
          <w:lang w:val="en-US" w:eastAsia="zh-CN"/>
        </w:rPr>
        <w:instrText xml:space="preserve"> HYPERLINK "mailto:yangxiaoxia@hhqh.com.cn" </w:instrText>
      </w:r>
      <w:r>
        <w:rPr>
          <w:rStyle w:val="7"/>
          <w:rFonts w:hint="eastAsia" w:ascii="宋体" w:hAnsi="宋体" w:eastAsia="宋体" w:cs="宋体"/>
          <w:sz w:val="18"/>
          <w:szCs w:val="18"/>
          <w:lang w:val="en-US" w:eastAsia="zh-CN"/>
        </w:rPr>
        <w:fldChar w:fldCharType="separate"/>
      </w:r>
      <w:r>
        <w:rPr>
          <w:rStyle w:val="7"/>
          <w:rFonts w:hint="eastAsia" w:ascii="宋体" w:hAnsi="宋体" w:eastAsia="宋体" w:cs="宋体"/>
          <w:sz w:val="18"/>
          <w:szCs w:val="18"/>
          <w:lang w:val="en-US" w:eastAsia="zh-CN"/>
        </w:rPr>
        <w:t>duanxiaoqiang@hhqh.com.cn</w:t>
      </w:r>
      <w:r>
        <w:rPr>
          <w:rStyle w:val="7"/>
          <w:rFonts w:hint="eastAsia" w:ascii="宋体" w:hAnsi="宋体" w:eastAsia="宋体" w:cs="宋体"/>
          <w:sz w:val="18"/>
          <w:szCs w:val="18"/>
          <w:lang w:val="en-US" w:eastAsia="zh-CN"/>
        </w:rPr>
        <w:fldChar w:fldCharType="end"/>
      </w:r>
    </w:p>
    <w:p>
      <w:pPr>
        <w:spacing w:line="240" w:lineRule="auto"/>
        <w:jc w:val="left"/>
        <w:rPr>
          <w:rFonts w:hint="eastAsia" w:ascii="宋体" w:hAnsi="宋体" w:eastAsia="宋体" w:cs="宋体"/>
          <w:sz w:val="18"/>
          <w:szCs w:val="18"/>
          <w:lang w:val="en-US" w:eastAsia="zh-CN"/>
        </w:rPr>
      </w:pPr>
    </w:p>
    <w:p>
      <w:pPr>
        <w:numPr>
          <w:ilvl w:val="0"/>
          <w:numId w:val="1"/>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沪金期货合约本周走势及成交情况</w:t>
      </w:r>
    </w:p>
    <w:p>
      <w:pPr>
        <w:numPr>
          <w:ilvl w:val="0"/>
          <w:numId w:val="2"/>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沪金主力本周冲高回落</w:t>
      </w:r>
    </w:p>
    <w:p>
      <w:pPr>
        <w:numPr>
          <w:ilvl w:val="0"/>
          <w:numId w:val="0"/>
        </w:numPr>
        <w:jc w:val="left"/>
      </w:pPr>
      <w:r>
        <w:drawing>
          <wp:inline distT="0" distB="0" distL="114300" distR="114300">
            <wp:extent cx="5438775" cy="3681095"/>
            <wp:effectExtent l="0" t="0" r="9525"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5438775" cy="3681095"/>
                    </a:xfrm>
                    <a:prstGeom prst="rect">
                      <a:avLst/>
                    </a:prstGeom>
                    <a:noFill/>
                    <a:ln>
                      <a:noFill/>
                    </a:ln>
                  </pic:spPr>
                </pic:pic>
              </a:graphicData>
            </a:graphic>
          </wp:inline>
        </w:drawing>
      </w:r>
    </w:p>
    <w:p>
      <w:pPr>
        <w:numPr>
          <w:ilvl w:val="0"/>
          <w:numId w:val="0"/>
        </w:numPr>
        <w:jc w:val="left"/>
        <w:rPr>
          <w:rFonts w:hint="eastAsia"/>
          <w:lang w:val="en-US" w:eastAsia="zh-CN"/>
        </w:rPr>
      </w:pP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cstheme="minorBidi"/>
          <w:kern w:val="2"/>
          <w:sz w:val="21"/>
          <w:szCs w:val="24"/>
          <w:lang w:val="en-US" w:eastAsia="zh-CN" w:bidi="ar-SA"/>
        </w:rPr>
        <w:t>2</w:t>
      </w:r>
      <w:r>
        <w:rPr>
          <w:rFonts w:hint="eastAsia" w:ascii="微软雅黑" w:hAnsi="微软雅黑" w:eastAsia="微软雅黑" w:cs="微软雅黑"/>
          <w:b w:val="0"/>
          <w:i w:val="0"/>
          <w:caps w:val="0"/>
          <w:color w:val="4D4D4D"/>
          <w:spacing w:val="0"/>
          <w:sz w:val="21"/>
          <w:szCs w:val="21"/>
          <w:lang w:val="en-US" w:eastAsia="zh-CN"/>
        </w:rPr>
        <w:t>，沪金本周成交情况</w:t>
      </w:r>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12月9日--12月13日，沪金指数总成交量171.4万手，较上周减少32.8万手，总持仓量37.9万手，较上周减仓2.9万手，沪金主力本周冲高回落，主力合约收盘价331.76，与上周收盘价下跌1.38%。</w:t>
      </w:r>
      <w:bookmarkStart w:id="0" w:name="_GoBack"/>
      <w:bookmarkEnd w:id="0"/>
    </w:p>
    <w:p>
      <w:pPr>
        <w:numPr>
          <w:ilvl w:val="0"/>
          <w:numId w:val="0"/>
        </w:numPr>
        <w:ind w:firstLine="420"/>
        <w:jc w:val="left"/>
        <w:rPr>
          <w:rFonts w:hint="eastAsia" w:ascii="微软雅黑" w:hAnsi="微软雅黑" w:eastAsia="微软雅黑" w:cs="微软雅黑"/>
          <w:b w:val="0"/>
          <w:i w:val="0"/>
          <w:caps w:val="0"/>
          <w:color w:val="4D4D4D"/>
          <w:spacing w:val="0"/>
          <w:sz w:val="21"/>
          <w:szCs w:val="21"/>
          <w:lang w:val="en-US" w:eastAsia="zh-CN"/>
        </w:rPr>
      </w:pPr>
    </w:p>
    <w:p>
      <w:pPr>
        <w:numPr>
          <w:ilvl w:val="0"/>
          <w:numId w:val="1"/>
        </w:numPr>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sz w:val="24"/>
          <w:szCs w:val="24"/>
          <w:lang w:val="en-US" w:eastAsia="zh-CN"/>
        </w:rPr>
        <w:t>影响因素分析</w:t>
      </w:r>
    </w:p>
    <w:p>
      <w:pPr>
        <w:numPr>
          <w:ilvl w:val="0"/>
          <w:numId w:val="0"/>
        </w:numPr>
        <w:ind w:firstLine="420"/>
        <w:jc w:val="left"/>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1、宏观面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 xml:space="preserve">劳工部上周五发布的数据，11月份非农就业增加26.6万，超过接受彭博调查的所有经济学家预期，也是1月份以来最大增幅；10月份上修为增加15.6万。经济学家预期中值为增加18万。失业率跌至3.5%，追平1969年以来的最低水平。平均时薪同比成长3.1%，超出预期，并且上个月数据得到上修。美国11月未季调消费者物价指数CPI年率为2.1%，高于前值1.8%和预期2.0%；核心CPI指数年率为2.3%，符合前值和预期。数据公布后，黄金走势变化不大。机构评论称，美国11月季调后CPI月率涨幅高于预期，或支撑对美联储在今年不再降息的预期。当前其他经济数据，包括住房、贸易和制造业的数据也相对乐观，表明经济正在以温和的速度增长，而不是停滞不前。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联储在声明中表示12月维持利率不变，符合外界普遍预期，为美联储近年来最繁忙的一年画上句号。好于预期的就业数据——包括11月健康的就业人数增加了26.6万人——以及夏季疲软的制造业数据的明显触底，帮助证明了美联储在年底保持平静的合理性，声明表示“委员会认为，目前货币政策立场对保持经济持续扩张，强劲的劳动力市场以及接近2%的对称性目标的通胀率是合适的。美联储成员表示，在2020年加息的几率降低了，正如“点阵图”所显示的那样。周三的预测显示，点阵图出现了明显的下降趋势，17位委员中只有4位预计2020年将加息0.25个百分点；2021年和2022年各加息一次，但个别预测差异较大，美联储主席鲍威尔在新闻发布会上表示“为了使利率上升，我希望看到持续的、显著的通货膨胀；在提高利率以解决通货膨胀问题之前，通货膨胀必须显著且持续地上升。这是我的观点。”不过，鲍威尔警告称，美联储不愿再次加息并不是一个严格的成文规定。“我们还没有试图把它变成某种官方的前瞻性指引，”他解释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在12月12日的商务部例行新闻发布会上，有媒体提问，在现在的谈判中，谈判的策略是不是已经变成去聚焦于关税下调到以前加征关税的税率，而不是说具体地取消某一阶段征收的关税？高峰表示，关于中美经贸磋商，双方经贸团队一直保持密切的沟通。而在12月5日的商务部例行新闻发布会上，高峰表示，中方认为，如果双方达成第一阶段协议，应该相应降低关税。对于上周中方宣布对自美进口的大豆和猪肉等商品开展的关税排除，高峰表示，目前国务院关税税则委员会正在根据相关企业的申请，有序开展部分大豆、猪肉等商品加征关税排除工作。</w:t>
      </w:r>
    </w:p>
    <w:p>
      <w:pPr>
        <w:numPr>
          <w:ilvl w:val="0"/>
          <w:numId w:val="3"/>
        </w:numPr>
        <w:ind w:firstLine="420"/>
        <w:jc w:val="left"/>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bCs/>
          <w:i w:val="0"/>
          <w:caps w:val="0"/>
          <w:color w:val="4D4D4D"/>
          <w:spacing w:val="0"/>
          <w:sz w:val="21"/>
          <w:szCs w:val="21"/>
          <w:lang w:val="en-US" w:eastAsia="zh-CN"/>
        </w:rPr>
        <w:t>供需端及资金面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2019年黄金市场非常好的一年，可以看到黄金的价格已经大幅增长。自从2019年初，尤其6月份开始，可以看到</w:t>
      </w:r>
      <w:r>
        <w:rPr>
          <w:rFonts w:hint="eastAsia" w:ascii="微软雅黑" w:hAnsi="微软雅黑" w:eastAsia="微软雅黑" w:cs="微软雅黑"/>
          <w:b w:val="0"/>
          <w:i w:val="0"/>
          <w:caps w:val="0"/>
          <w:color w:val="4D4D4D"/>
          <w:spacing w:val="0"/>
          <w:kern w:val="2"/>
          <w:sz w:val="21"/>
          <w:szCs w:val="21"/>
          <w:lang w:val="en-US" w:eastAsia="zh-CN" w:bidi="ar-SA"/>
        </w:rPr>
        <w:fldChar w:fldCharType="begin"/>
      </w:r>
      <w:r>
        <w:rPr>
          <w:rFonts w:hint="eastAsia" w:ascii="微软雅黑" w:hAnsi="微软雅黑" w:eastAsia="微软雅黑" w:cs="微软雅黑"/>
          <w:b w:val="0"/>
          <w:i w:val="0"/>
          <w:caps w:val="0"/>
          <w:color w:val="4D4D4D"/>
          <w:spacing w:val="0"/>
          <w:kern w:val="2"/>
          <w:sz w:val="21"/>
          <w:szCs w:val="21"/>
          <w:lang w:val="en-US" w:eastAsia="zh-CN" w:bidi="ar-SA"/>
        </w:rPr>
        <w:instrText xml:space="preserve"> HYPERLINK "http://finance.sina.com.cn/money/future/GC/quote.shtml" \t "https://finance.sina.com.cn/money/nmetal/hjzx/2019-12-11/_blank" </w:instrText>
      </w:r>
      <w:r>
        <w:rPr>
          <w:rFonts w:hint="eastAsia" w:ascii="微软雅黑" w:hAnsi="微软雅黑" w:eastAsia="微软雅黑" w:cs="微软雅黑"/>
          <w:b w:val="0"/>
          <w:i w:val="0"/>
          <w:caps w:val="0"/>
          <w:color w:val="4D4D4D"/>
          <w:spacing w:val="0"/>
          <w:kern w:val="2"/>
          <w:sz w:val="21"/>
          <w:szCs w:val="21"/>
          <w:lang w:val="en-US" w:eastAsia="zh-CN" w:bidi="ar-SA"/>
        </w:rPr>
        <w:fldChar w:fldCharType="separate"/>
      </w:r>
      <w:r>
        <w:rPr>
          <w:rFonts w:hint="eastAsia" w:ascii="微软雅黑" w:hAnsi="微软雅黑" w:eastAsia="微软雅黑" w:cs="微软雅黑"/>
          <w:b w:val="0"/>
          <w:i w:val="0"/>
          <w:caps w:val="0"/>
          <w:color w:val="4D4D4D"/>
          <w:spacing w:val="0"/>
          <w:kern w:val="2"/>
          <w:sz w:val="21"/>
          <w:szCs w:val="21"/>
          <w:lang w:val="en-US" w:eastAsia="zh-CN" w:bidi="ar-SA"/>
        </w:rPr>
        <w:t>金价</w:t>
      </w:r>
      <w:r>
        <w:rPr>
          <w:rFonts w:hint="eastAsia" w:ascii="微软雅黑" w:hAnsi="微软雅黑" w:eastAsia="微软雅黑" w:cs="微软雅黑"/>
          <w:b w:val="0"/>
          <w:i w:val="0"/>
          <w:caps w:val="0"/>
          <w:color w:val="4D4D4D"/>
          <w:spacing w:val="0"/>
          <w:kern w:val="2"/>
          <w:sz w:val="21"/>
          <w:szCs w:val="21"/>
          <w:lang w:val="en-US" w:eastAsia="zh-CN" w:bidi="ar-SA"/>
        </w:rPr>
        <w:fldChar w:fldCharType="end"/>
      </w:r>
      <w:r>
        <w:rPr>
          <w:rFonts w:hint="eastAsia" w:ascii="微软雅黑" w:hAnsi="微软雅黑" w:eastAsia="微软雅黑" w:cs="微软雅黑"/>
          <w:b w:val="0"/>
          <w:i w:val="0"/>
          <w:caps w:val="0"/>
          <w:color w:val="4D4D4D"/>
          <w:spacing w:val="0"/>
          <w:kern w:val="2"/>
          <w:sz w:val="21"/>
          <w:szCs w:val="21"/>
          <w:lang w:val="en-US" w:eastAsia="zh-CN" w:bidi="ar-SA"/>
        </w:rPr>
        <w:t>大概已经从1450美元每盎司，从那以后看到了有非常大的盈利空间，现在金价大约在1450美元每盎司到1550美元每盎司价格区间。不止是以美元计价的黄金表现的很好，我们可以看到以其他货币计价的金价表现的也很好，比如说像人民币计价、欧元、加拿大元或者澳元计价的黄金都是表现非常好的。甚至以这些货币计价的黄金比美元计价的黄金表现更好。比较一下黄金与其他的一些资产类别的表现，可以看到，黄金已经跑赢了大多数的债券和商品等其他的资产类别。黄金价格上涨一部分源于中央央行的收购。我们看到在金融危机开始，央行每年都会采购金，在2018年以及在2019年前三个季度，它的交易量，央行采购量非常大。去年采购量达到了656吨，这是我们在近期看到最高的采购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在全球ETF的青睐也是重要的支持。它在2019年9月份，采购量又达到了新高。我们看到2012年9月份采购量达到了新高。在之前主要由北美的ETF基金收购的，我们看到在图上的绿色部分，这里有一部分欧洲的基金，欧洲的基金采购量已经将近达到美国基金的采购量。中国也是有稳步上升。在衍生品市场，聚焦在来自COMEX纽约期货的交易所，因为那里的数据非常高质量，我们看到交易者在黄金上面采购量有显著的增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420" w:firstLineChars="200"/>
        <w:jc w:val="left"/>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2020年的市场展望是怎么样的呢？对于黄金市场和黄金市场的驱动力，是把这个驱动力分四部分。第一，经济的扩张，经济的发展越快，也会带来黄金产量的增长，技术对黄金的影响力不可忽视；第二，在市场上的风险与不确定性会给投资和投机带来影响，利率带来的影响尤为重要；第三，持有黄金的机会成本；第四，黄金价格自身的内在趋势。</w:t>
      </w:r>
    </w:p>
    <w:p>
      <w:pPr>
        <w:keepNext w:val="0"/>
        <w:keepLines w:val="0"/>
        <w:pageBreakBefore w:val="0"/>
        <w:widowControl w:val="0"/>
        <w:numPr>
          <w:ilvl w:val="0"/>
          <w:numId w:val="4"/>
        </w:numPr>
        <w:kinsoku/>
        <w:wordWrap/>
        <w:overflowPunct/>
        <w:topLinePunct w:val="0"/>
        <w:autoSpaceDE/>
        <w:autoSpaceDN/>
        <w:bidi w:val="0"/>
        <w:adjustRightInd/>
        <w:snapToGrid/>
        <w:ind w:firstLine="420" w:firstLineChars="200"/>
        <w:jc w:val="left"/>
        <w:textAlignment w:val="auto"/>
        <w:outlineLvl w:val="9"/>
        <w:rPr>
          <w:rFonts w:hint="eastAsia" w:ascii="微软雅黑" w:hAnsi="微软雅黑" w:eastAsia="微软雅黑" w:cs="微软雅黑"/>
          <w:b/>
          <w:bCs/>
          <w:i w:val="0"/>
          <w:caps w:val="0"/>
          <w:color w:val="4D4D4D"/>
          <w:spacing w:val="0"/>
          <w:sz w:val="21"/>
          <w:szCs w:val="21"/>
          <w:lang w:val="en-US" w:eastAsia="zh-CN"/>
        </w:rPr>
      </w:pPr>
      <w:r>
        <w:rPr>
          <w:rFonts w:hint="eastAsia" w:ascii="微软雅黑" w:hAnsi="微软雅黑" w:eastAsia="微软雅黑" w:cs="微软雅黑"/>
          <w:b/>
          <w:bCs/>
          <w:i w:val="0"/>
          <w:caps w:val="0"/>
          <w:color w:val="4D4D4D"/>
          <w:spacing w:val="0"/>
          <w:sz w:val="21"/>
          <w:szCs w:val="21"/>
          <w:lang w:val="en-US" w:eastAsia="zh-CN"/>
        </w:rPr>
        <w:t>美元指数</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ascii="微软雅黑" w:hAnsi="微软雅黑" w:eastAsia="微软雅黑" w:cs="微软雅黑"/>
          <w:b w:val="0"/>
          <w:i w:val="0"/>
          <w:caps w:val="0"/>
          <w:color w:val="4D4D4D"/>
          <w:spacing w:val="0"/>
          <w:kern w:val="2"/>
          <w:sz w:val="21"/>
          <w:szCs w:val="21"/>
          <w:lang w:val="en-US" w:eastAsia="zh-CN" w:bidi="ar-SA"/>
        </w:rPr>
      </w:pPr>
      <w:r>
        <w:rPr>
          <w:rFonts w:hint="eastAsia" w:ascii="微软雅黑" w:hAnsi="微软雅黑" w:eastAsia="微软雅黑" w:cs="微软雅黑"/>
          <w:b w:val="0"/>
          <w:i w:val="0"/>
          <w:caps w:val="0"/>
          <w:color w:val="4D4D4D"/>
          <w:spacing w:val="0"/>
          <w:kern w:val="2"/>
          <w:sz w:val="21"/>
          <w:szCs w:val="21"/>
          <w:lang w:val="en-US" w:eastAsia="zh-CN" w:bidi="ar-SA"/>
        </w:rPr>
        <w:t>美联储成员表示，在2020年加息的几率降低了，正如“点阵图”所显示的那样。周三的预测显示，点阵图出现了明显的下降趋势，17位委员中只有4位预计2020年将加息0.25个百分点；2021年和2022年各加息一次，但个别预测差异较大，美联储主席鲍威尔在新闻发布会上表示“为了使利率上升，我希望看到持续的、显著的通货膨胀；在提高利率以解决通货膨胀问题之前，通货膨胀必须显著且持续地上升。这是我的观点。”不过，鲍威尔警告称，美联储不愿再次加息并不是一个严格的成文规定。“我们还没有试图把它变成某种官方的前瞻性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ind w:right="0"/>
        <w:jc w:val="both"/>
        <w:rPr>
          <w:rFonts w:hint="eastAsia" w:ascii="微软雅黑" w:hAnsi="微软雅黑" w:eastAsia="微软雅黑" w:cs="微软雅黑"/>
          <w:b w:val="0"/>
          <w:i w:val="0"/>
          <w:caps w:val="0"/>
          <w:color w:val="4D4D4D"/>
          <w:spacing w:val="0"/>
          <w:kern w:val="2"/>
          <w:sz w:val="21"/>
          <w:szCs w:val="21"/>
          <w:lang w:val="en-US" w:eastAsia="zh-CN" w:bidi="ar-SA"/>
        </w:rPr>
      </w:pPr>
      <w:r>
        <w:drawing>
          <wp:inline distT="0" distB="0" distL="114300" distR="114300">
            <wp:extent cx="5273040" cy="3217545"/>
            <wp:effectExtent l="0" t="0" r="381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3040" cy="3217545"/>
                    </a:xfrm>
                    <a:prstGeom prst="rect">
                      <a:avLst/>
                    </a:prstGeom>
                    <a:noFill/>
                    <a:ln>
                      <a:noFill/>
                    </a:ln>
                  </pic:spPr>
                </pic:pic>
              </a:graphicData>
            </a:graphic>
          </wp:inline>
        </w:drawing>
      </w:r>
    </w:p>
    <w:p>
      <w:pPr>
        <w:numPr>
          <w:ilvl w:val="0"/>
          <w:numId w:val="5"/>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后市行情研判</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val="en-US" w:eastAsia="zh-CN"/>
        </w:rPr>
        <w:t>美联储决定维持利率区间为1.50%-1.75%不变，符合市场预期，今年年内，美联储已经连续降息三次，共降息75个基点。美国劳工部公布的数据显示，11月份美国就业市场表现强劲，非农就业人数激增26.6万人，远超道琼斯调查的经济学家18.7万人的预期；同时失业率从3.6%降至3.5%，与1969年以来的最低失业率持平。大周期看COMEX金已在1070--1370之间运行5年多，破位五年新高意义重大，在6月--9月期间大幅上涨之后，又有2个月多的回调整理，日线周线形态看起来整理较为充分，且下破60日线后又形成一个小平台，从大周期技术形态看黄金牛市已经开始，在11月初内外盘黄金大幅下跌后，又经过两周的时间调整，空头动能逐渐衰竭，目前看有企稳拐头向上的迹象，内外盘黄金夜盘上涨，且上破下跌回调的切线，受到美国就业的强劲表现，黄金大幅回落，暂时观望</w:t>
      </w:r>
      <w:r>
        <w:rPr>
          <w:rFonts w:hint="eastAsia" w:ascii="微软雅黑" w:hAnsi="微软雅黑" w:eastAsia="微软雅黑" w:cs="微软雅黑"/>
          <w:b w:val="0"/>
          <w:i w:val="0"/>
          <w:caps w:val="0"/>
          <w:color w:val="4D4D4D"/>
          <w:spacing w:val="0"/>
          <w:sz w:val="21"/>
          <w:szCs w:val="21"/>
          <w:lang w:val="en-US" w:eastAsia="zh-CN"/>
        </w:rPr>
        <w:t>。</w:t>
      </w:r>
    </w:p>
    <w:p>
      <w:pPr>
        <w:bidi w:val="0"/>
        <w:jc w:val="left"/>
        <w:rPr>
          <w:rFonts w:hint="eastAsia"/>
          <w:lang w:val="en-US" w:eastAsia="zh-CN"/>
        </w:rPr>
      </w:pPr>
    </w:p>
    <w:p>
      <w:pPr>
        <w:numPr>
          <w:ilvl w:val="0"/>
          <w:numId w:val="5"/>
        </w:numPr>
        <w:jc w:val="left"/>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交易策略建议</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default" w:ascii="微软雅黑" w:hAnsi="微软雅黑" w:eastAsia="微软雅黑" w:cs="微软雅黑"/>
          <w:b w:val="0"/>
          <w:i w:val="0"/>
          <w:caps w:val="0"/>
          <w:color w:val="4D4D4D"/>
          <w:spacing w:val="0"/>
          <w:sz w:val="21"/>
          <w:szCs w:val="21"/>
          <w:lang w:val="en-US" w:eastAsia="zh-CN"/>
        </w:rPr>
      </w:pPr>
      <w:r>
        <w:rPr>
          <w:rFonts w:hint="eastAsia" w:ascii="微软雅黑" w:hAnsi="微软雅黑" w:eastAsia="微软雅黑" w:cs="微软雅黑"/>
          <w:b w:val="0"/>
          <w:i w:val="0"/>
          <w:caps w:val="0"/>
          <w:color w:val="4D4D4D"/>
          <w:spacing w:val="0"/>
          <w:sz w:val="21"/>
          <w:szCs w:val="21"/>
          <w:lang w:eastAsia="zh-CN"/>
        </w:rPr>
        <w:t>建议观望</w:t>
      </w:r>
      <w:r>
        <w:rPr>
          <w:rFonts w:hint="eastAsia" w:ascii="微软雅黑" w:hAnsi="微软雅黑" w:eastAsia="微软雅黑" w:cs="微软雅黑"/>
          <w:b w:val="0"/>
          <w:i w:val="0"/>
          <w:caps w:val="0"/>
          <w:color w:val="4D4D4D"/>
          <w:spacing w:val="0"/>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420"/>
        <w:jc w:val="left"/>
        <w:textAlignment w:val="auto"/>
        <w:outlineLvl w:val="9"/>
        <w:rPr>
          <w:rFonts w:hint="eastAsia" w:ascii="微软雅黑" w:hAnsi="微软雅黑" w:eastAsia="微软雅黑" w:cs="微软雅黑"/>
          <w:b w:val="0"/>
          <w:i w:val="0"/>
          <w:caps w:val="0"/>
          <w:color w:val="4D4D4D"/>
          <w:spacing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4"/>
          <w:szCs w:val="24"/>
        </w:rPr>
      </w:pPr>
      <w:r>
        <w:rPr>
          <w:rFonts w:hint="eastAsia"/>
          <w:b/>
          <w:bCs/>
          <w:sz w:val="24"/>
          <w:szCs w:val="24"/>
        </w:rPr>
        <w:t>风险揭示</w:t>
      </w:r>
      <w:r>
        <w:rPr>
          <w:rFonts w:hint="eastAsia"/>
          <w:sz w:val="24"/>
          <w:szCs w:val="24"/>
        </w:rPr>
        <w:t>：</w:t>
      </w:r>
      <w:r>
        <w:rPr>
          <w:rFonts w:hint="eastAsia"/>
          <w:sz w:val="21"/>
          <w:szCs w:val="21"/>
        </w:rPr>
        <w:t>您应当客观评估自身财务状况、交易经验，确定自身的风险偏好、风险承受能力和服务需求，自行决定是否采纳期货公司提供的报告中所给出的建议。您应当充分了解期货市场变化的不确定性和投资风险，任何有关期货行情的预测都可能与实际情况有差异，若您据此入市操作，您需要</w:t>
      </w:r>
      <w:r>
        <w:rPr>
          <w:rFonts w:hint="eastAsia"/>
          <w:sz w:val="21"/>
          <w:szCs w:val="21"/>
          <w:lang w:val="en-US" w:eastAsia="zh-CN"/>
        </w:rPr>
        <w:t>自行</w:t>
      </w:r>
      <w:r>
        <w:rPr>
          <w:rFonts w:hint="eastAsia"/>
          <w:sz w:val="21"/>
          <w:szCs w:val="21"/>
        </w:rPr>
        <w:t xml:space="preserve">承担由此带来的风险和损失。 </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eastAsia"/>
          <w:sz w:val="21"/>
          <w:szCs w:val="21"/>
        </w:rPr>
      </w:pPr>
      <w:r>
        <w:rPr>
          <w:rFonts w:hint="eastAsia"/>
          <w:b/>
          <w:bCs/>
          <w:sz w:val="24"/>
          <w:szCs w:val="24"/>
        </w:rPr>
        <w:t>免责声明</w:t>
      </w:r>
      <w:r>
        <w:rPr>
          <w:rFonts w:hint="eastAsia"/>
          <w:sz w:val="24"/>
          <w:szCs w:val="24"/>
        </w:rPr>
        <w:t>：</w:t>
      </w:r>
      <w:r>
        <w:rPr>
          <w:rFonts w:hint="eastAsia"/>
          <w:sz w:val="21"/>
          <w:szCs w:val="21"/>
        </w:rPr>
        <w:t>本报告的信息均来源于公开资料，本公司对这些信息的准确性和完整性不作任何保证，文中的观点、结论和建议仅供参考，不</w:t>
      </w:r>
      <w:r>
        <w:rPr>
          <w:rFonts w:hint="eastAsia"/>
          <w:sz w:val="21"/>
          <w:szCs w:val="21"/>
          <w:lang w:val="en-US" w:eastAsia="zh-CN"/>
        </w:rPr>
        <w:t>代表</w:t>
      </w:r>
      <w:r>
        <w:rPr>
          <w:rFonts w:hint="eastAsia"/>
          <w:sz w:val="21"/>
          <w:szCs w:val="21"/>
        </w:rPr>
        <w:t xml:space="preserve">作者对价格涨跌或市场走势的确定性判断，投资者据此做出的任何投资决策与本公司和作者无关。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本报告所载的资料、意见及推测仅反映本公司于发布日的判断，在不同时期，本公司可发出与本报告所载资料、意见及推测不一致的报告，投资者应当自行关注相应的更新或修改。</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和合期货投询部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1"/>
          <w:szCs w:val="21"/>
        </w:rPr>
      </w:pPr>
      <w:r>
        <w:rPr>
          <w:rFonts w:hint="eastAsia"/>
          <w:sz w:val="21"/>
          <w:szCs w:val="21"/>
        </w:rPr>
        <w:t xml:space="preserve">联系电话：0351-7342558 </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sz w:val="24"/>
          <w:szCs w:val="24"/>
        </w:rPr>
      </w:pPr>
      <w:r>
        <w:rPr>
          <w:rFonts w:hint="eastAsia"/>
          <w:sz w:val="21"/>
          <w:szCs w:val="21"/>
        </w:rPr>
        <w:t>公司网址</w:t>
      </w:r>
      <w:r>
        <w:rPr>
          <w:rFonts w:hint="eastAsia"/>
          <w:sz w:val="24"/>
          <w:szCs w:val="24"/>
        </w:rPr>
        <w:t>：</w:t>
      </w:r>
      <w:r>
        <w:rPr>
          <w:rFonts w:hint="eastAsia"/>
          <w:sz w:val="24"/>
          <w:szCs w:val="24"/>
        </w:rPr>
        <w:fldChar w:fldCharType="begin"/>
      </w:r>
      <w:r>
        <w:rPr>
          <w:rFonts w:hint="eastAsia"/>
          <w:sz w:val="24"/>
          <w:szCs w:val="24"/>
        </w:rPr>
        <w:instrText xml:space="preserve"> HYPERLINK "http://www.hhqh.com.cn" </w:instrText>
      </w:r>
      <w:r>
        <w:rPr>
          <w:rFonts w:hint="eastAsia"/>
          <w:sz w:val="24"/>
          <w:szCs w:val="24"/>
        </w:rPr>
        <w:fldChar w:fldCharType="separate"/>
      </w:r>
      <w:r>
        <w:rPr>
          <w:rStyle w:val="7"/>
          <w:rFonts w:hint="eastAsia"/>
          <w:sz w:val="24"/>
          <w:szCs w:val="24"/>
        </w:rPr>
        <w:t>http://www.hhqh.com.cn</w:t>
      </w:r>
      <w:r>
        <w:rPr>
          <w:rFonts w:hint="eastAsia"/>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lang w:val="en-US" w:eastAsia="zh-CN"/>
        </w:rPr>
      </w:pPr>
      <w:r>
        <w:rPr>
          <w:rFonts w:hint="eastAsia"/>
          <w:sz w:val="21"/>
          <w:szCs w:val="21"/>
        </w:rPr>
        <w:t xml:space="preserve">和合期货有限公司经营范围包括：商品期货经纪业务、金融期货经纪业务、期货投资咨询业务、公开募集证券投资基金销售业务。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F512EC"/>
    <w:multiLevelType w:val="singleLevel"/>
    <w:tmpl w:val="E0F512EC"/>
    <w:lvl w:ilvl="0" w:tentative="0">
      <w:start w:val="3"/>
      <w:numFmt w:val="decimal"/>
      <w:suff w:val="nothing"/>
      <w:lvlText w:val="%1、"/>
      <w:lvlJc w:val="left"/>
    </w:lvl>
  </w:abstractNum>
  <w:abstractNum w:abstractNumId="1">
    <w:nsid w:val="55C203B4"/>
    <w:multiLevelType w:val="singleLevel"/>
    <w:tmpl w:val="55C203B4"/>
    <w:lvl w:ilvl="0" w:tentative="0">
      <w:start w:val="1"/>
      <w:numFmt w:val="decimal"/>
      <w:suff w:val="nothing"/>
      <w:lvlText w:val="%1，"/>
      <w:lvlJc w:val="left"/>
    </w:lvl>
  </w:abstractNum>
  <w:abstractNum w:abstractNumId="2">
    <w:nsid w:val="5A2F7C6E"/>
    <w:multiLevelType w:val="singleLevel"/>
    <w:tmpl w:val="5A2F7C6E"/>
    <w:lvl w:ilvl="0" w:tentative="0">
      <w:start w:val="1"/>
      <w:numFmt w:val="chineseCounting"/>
      <w:suff w:val="nothing"/>
      <w:lvlText w:val="%1、"/>
      <w:lvlJc w:val="left"/>
    </w:lvl>
  </w:abstractNum>
  <w:abstractNum w:abstractNumId="3">
    <w:nsid w:val="5A4F34D4"/>
    <w:multiLevelType w:val="singleLevel"/>
    <w:tmpl w:val="5A4F34D4"/>
    <w:lvl w:ilvl="0" w:tentative="0">
      <w:start w:val="3"/>
      <w:numFmt w:val="chineseCounting"/>
      <w:suff w:val="nothing"/>
      <w:lvlText w:val="%1，"/>
      <w:lvlJc w:val="left"/>
    </w:lvl>
  </w:abstractNum>
  <w:abstractNum w:abstractNumId="4">
    <w:nsid w:val="5B720A6D"/>
    <w:multiLevelType w:val="singleLevel"/>
    <w:tmpl w:val="5B720A6D"/>
    <w:lvl w:ilvl="0" w:tentative="0">
      <w:start w:val="2"/>
      <w:numFmt w:val="decimal"/>
      <w:suff w:val="nothing"/>
      <w:lvlText w:val="%1、"/>
      <w:lvlJc w:val="left"/>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83D92"/>
    <w:rsid w:val="002E21AD"/>
    <w:rsid w:val="00483A08"/>
    <w:rsid w:val="00521071"/>
    <w:rsid w:val="009871F3"/>
    <w:rsid w:val="00B66139"/>
    <w:rsid w:val="00C54EAE"/>
    <w:rsid w:val="00D0722E"/>
    <w:rsid w:val="00F00FEE"/>
    <w:rsid w:val="00FC169F"/>
    <w:rsid w:val="010C42C7"/>
    <w:rsid w:val="01392B0F"/>
    <w:rsid w:val="014870AA"/>
    <w:rsid w:val="015C6129"/>
    <w:rsid w:val="015E4CA1"/>
    <w:rsid w:val="01646F2C"/>
    <w:rsid w:val="01AC4ED2"/>
    <w:rsid w:val="01BB34FD"/>
    <w:rsid w:val="01D71DF5"/>
    <w:rsid w:val="01E1790C"/>
    <w:rsid w:val="020140FD"/>
    <w:rsid w:val="02281719"/>
    <w:rsid w:val="026B59D8"/>
    <w:rsid w:val="026D1A34"/>
    <w:rsid w:val="029C69FE"/>
    <w:rsid w:val="02B85F59"/>
    <w:rsid w:val="02D23F71"/>
    <w:rsid w:val="02D505AD"/>
    <w:rsid w:val="034C5236"/>
    <w:rsid w:val="03AA48C1"/>
    <w:rsid w:val="03DC4EDF"/>
    <w:rsid w:val="03EE08BD"/>
    <w:rsid w:val="03FA6F49"/>
    <w:rsid w:val="040B6B0B"/>
    <w:rsid w:val="04213047"/>
    <w:rsid w:val="042727BB"/>
    <w:rsid w:val="04476EFE"/>
    <w:rsid w:val="044B6262"/>
    <w:rsid w:val="045C30A8"/>
    <w:rsid w:val="04823098"/>
    <w:rsid w:val="04925E8B"/>
    <w:rsid w:val="049919A9"/>
    <w:rsid w:val="04DB7491"/>
    <w:rsid w:val="04E8388C"/>
    <w:rsid w:val="050B0DD2"/>
    <w:rsid w:val="05346D95"/>
    <w:rsid w:val="05762BAA"/>
    <w:rsid w:val="058A1290"/>
    <w:rsid w:val="058E2349"/>
    <w:rsid w:val="059416D0"/>
    <w:rsid w:val="059F0D22"/>
    <w:rsid w:val="05AD1CD4"/>
    <w:rsid w:val="05AD20AF"/>
    <w:rsid w:val="05AE1562"/>
    <w:rsid w:val="05D03FF7"/>
    <w:rsid w:val="069739C4"/>
    <w:rsid w:val="06AD17D6"/>
    <w:rsid w:val="06B32EA3"/>
    <w:rsid w:val="06B453F3"/>
    <w:rsid w:val="070F2206"/>
    <w:rsid w:val="07F51A10"/>
    <w:rsid w:val="081F5AD8"/>
    <w:rsid w:val="089660B7"/>
    <w:rsid w:val="08BD2AC1"/>
    <w:rsid w:val="08EB045B"/>
    <w:rsid w:val="08FF77DD"/>
    <w:rsid w:val="09373DB8"/>
    <w:rsid w:val="093E2357"/>
    <w:rsid w:val="09580960"/>
    <w:rsid w:val="096D2D08"/>
    <w:rsid w:val="099C3EE5"/>
    <w:rsid w:val="09A1576E"/>
    <w:rsid w:val="09B71AC8"/>
    <w:rsid w:val="09CC425C"/>
    <w:rsid w:val="09EC5CF0"/>
    <w:rsid w:val="09F54BDE"/>
    <w:rsid w:val="09FF321F"/>
    <w:rsid w:val="09FF7BAA"/>
    <w:rsid w:val="0A577107"/>
    <w:rsid w:val="0A610D98"/>
    <w:rsid w:val="0AB41BF1"/>
    <w:rsid w:val="0ADC3B71"/>
    <w:rsid w:val="0B0F23B0"/>
    <w:rsid w:val="0B5D76C3"/>
    <w:rsid w:val="0B8E0352"/>
    <w:rsid w:val="0B9C2D2D"/>
    <w:rsid w:val="0BB34ED6"/>
    <w:rsid w:val="0C125218"/>
    <w:rsid w:val="0C752B0A"/>
    <w:rsid w:val="0C8A5083"/>
    <w:rsid w:val="0CA24803"/>
    <w:rsid w:val="0CB31C8E"/>
    <w:rsid w:val="0D00104A"/>
    <w:rsid w:val="0D19309C"/>
    <w:rsid w:val="0D760DA5"/>
    <w:rsid w:val="0DBD2C3A"/>
    <w:rsid w:val="0DC0038F"/>
    <w:rsid w:val="0DC07822"/>
    <w:rsid w:val="0DE64D7D"/>
    <w:rsid w:val="0DF27EEE"/>
    <w:rsid w:val="0DF55C52"/>
    <w:rsid w:val="0E1E5A86"/>
    <w:rsid w:val="0E293EC7"/>
    <w:rsid w:val="0E3D0928"/>
    <w:rsid w:val="0E7574D5"/>
    <w:rsid w:val="0E785E97"/>
    <w:rsid w:val="0E98627A"/>
    <w:rsid w:val="0E9C3837"/>
    <w:rsid w:val="0EE974B1"/>
    <w:rsid w:val="0EF10518"/>
    <w:rsid w:val="0F1D01EA"/>
    <w:rsid w:val="0F713DA7"/>
    <w:rsid w:val="0FE07546"/>
    <w:rsid w:val="0FE34637"/>
    <w:rsid w:val="0FE8094C"/>
    <w:rsid w:val="100E1DA6"/>
    <w:rsid w:val="1016671D"/>
    <w:rsid w:val="10175806"/>
    <w:rsid w:val="10393533"/>
    <w:rsid w:val="105F5B59"/>
    <w:rsid w:val="107F44C1"/>
    <w:rsid w:val="109A3390"/>
    <w:rsid w:val="10C419B8"/>
    <w:rsid w:val="10DE43B6"/>
    <w:rsid w:val="10F94CEB"/>
    <w:rsid w:val="110C7FE1"/>
    <w:rsid w:val="11404AE6"/>
    <w:rsid w:val="116D7277"/>
    <w:rsid w:val="11C36ADF"/>
    <w:rsid w:val="11FD5DA1"/>
    <w:rsid w:val="12622A1B"/>
    <w:rsid w:val="12683500"/>
    <w:rsid w:val="127653EF"/>
    <w:rsid w:val="12AC347B"/>
    <w:rsid w:val="12C05EE2"/>
    <w:rsid w:val="12CF12D3"/>
    <w:rsid w:val="12EE1C00"/>
    <w:rsid w:val="130E0195"/>
    <w:rsid w:val="13732C69"/>
    <w:rsid w:val="137A3C31"/>
    <w:rsid w:val="13A343B9"/>
    <w:rsid w:val="13C447B9"/>
    <w:rsid w:val="13DA0690"/>
    <w:rsid w:val="14136341"/>
    <w:rsid w:val="141D381C"/>
    <w:rsid w:val="143911B5"/>
    <w:rsid w:val="143C068A"/>
    <w:rsid w:val="143D5560"/>
    <w:rsid w:val="146760F6"/>
    <w:rsid w:val="149804D9"/>
    <w:rsid w:val="149E5691"/>
    <w:rsid w:val="14E87709"/>
    <w:rsid w:val="14EE011D"/>
    <w:rsid w:val="151B3D07"/>
    <w:rsid w:val="153E1A0D"/>
    <w:rsid w:val="15891F76"/>
    <w:rsid w:val="158D682B"/>
    <w:rsid w:val="159549F8"/>
    <w:rsid w:val="162635CD"/>
    <w:rsid w:val="16315468"/>
    <w:rsid w:val="16437067"/>
    <w:rsid w:val="164863CF"/>
    <w:rsid w:val="169D79CA"/>
    <w:rsid w:val="16A458DD"/>
    <w:rsid w:val="16B90F0B"/>
    <w:rsid w:val="16BC7D70"/>
    <w:rsid w:val="16BF3C01"/>
    <w:rsid w:val="16E05358"/>
    <w:rsid w:val="174B02B4"/>
    <w:rsid w:val="17734C1B"/>
    <w:rsid w:val="178D0443"/>
    <w:rsid w:val="17947A97"/>
    <w:rsid w:val="17D253AE"/>
    <w:rsid w:val="17DE05E5"/>
    <w:rsid w:val="17DF7C83"/>
    <w:rsid w:val="180A7E0A"/>
    <w:rsid w:val="18197C08"/>
    <w:rsid w:val="184A6C7E"/>
    <w:rsid w:val="184E12C2"/>
    <w:rsid w:val="186758A9"/>
    <w:rsid w:val="18844BE8"/>
    <w:rsid w:val="18F764C0"/>
    <w:rsid w:val="1900255E"/>
    <w:rsid w:val="1918415D"/>
    <w:rsid w:val="193D5052"/>
    <w:rsid w:val="193F006E"/>
    <w:rsid w:val="197E68F0"/>
    <w:rsid w:val="197F3BEB"/>
    <w:rsid w:val="19884A23"/>
    <w:rsid w:val="19994D7F"/>
    <w:rsid w:val="19AF4523"/>
    <w:rsid w:val="19B243E1"/>
    <w:rsid w:val="19BA4B2A"/>
    <w:rsid w:val="19CB1947"/>
    <w:rsid w:val="19D72C29"/>
    <w:rsid w:val="19DC3A41"/>
    <w:rsid w:val="1A2E5237"/>
    <w:rsid w:val="1A546931"/>
    <w:rsid w:val="1A596CA3"/>
    <w:rsid w:val="1A74628A"/>
    <w:rsid w:val="1A88189D"/>
    <w:rsid w:val="1AAB20AA"/>
    <w:rsid w:val="1AC4628E"/>
    <w:rsid w:val="1AD17BE6"/>
    <w:rsid w:val="1B0408A4"/>
    <w:rsid w:val="1B105259"/>
    <w:rsid w:val="1B1349E7"/>
    <w:rsid w:val="1BA343CB"/>
    <w:rsid w:val="1BA776A5"/>
    <w:rsid w:val="1BAA2B0D"/>
    <w:rsid w:val="1BAF70F7"/>
    <w:rsid w:val="1BDB0BB5"/>
    <w:rsid w:val="1BF74BA9"/>
    <w:rsid w:val="1C04279F"/>
    <w:rsid w:val="1C0923F0"/>
    <w:rsid w:val="1C7E19B5"/>
    <w:rsid w:val="1C840AFA"/>
    <w:rsid w:val="1C874347"/>
    <w:rsid w:val="1C98669B"/>
    <w:rsid w:val="1CB57863"/>
    <w:rsid w:val="1CD02EFF"/>
    <w:rsid w:val="1CD96876"/>
    <w:rsid w:val="1CDB4604"/>
    <w:rsid w:val="1D0A115D"/>
    <w:rsid w:val="1D82318A"/>
    <w:rsid w:val="1DB358B9"/>
    <w:rsid w:val="1DF553F0"/>
    <w:rsid w:val="1E145052"/>
    <w:rsid w:val="1E192E44"/>
    <w:rsid w:val="1E4A354C"/>
    <w:rsid w:val="1E8954AA"/>
    <w:rsid w:val="1E9F77B8"/>
    <w:rsid w:val="1EE63450"/>
    <w:rsid w:val="1F0A7F43"/>
    <w:rsid w:val="1F1108A2"/>
    <w:rsid w:val="1F3A70D4"/>
    <w:rsid w:val="1F3C21F2"/>
    <w:rsid w:val="1F513F92"/>
    <w:rsid w:val="1F78214C"/>
    <w:rsid w:val="1FA6272C"/>
    <w:rsid w:val="2045461A"/>
    <w:rsid w:val="205C2195"/>
    <w:rsid w:val="209858D7"/>
    <w:rsid w:val="20A73FA0"/>
    <w:rsid w:val="210636F1"/>
    <w:rsid w:val="213026EA"/>
    <w:rsid w:val="21381B57"/>
    <w:rsid w:val="217B32B4"/>
    <w:rsid w:val="217F4412"/>
    <w:rsid w:val="21DC5984"/>
    <w:rsid w:val="21F37908"/>
    <w:rsid w:val="221E5B15"/>
    <w:rsid w:val="22370D57"/>
    <w:rsid w:val="22514DCC"/>
    <w:rsid w:val="2259690C"/>
    <w:rsid w:val="226C150F"/>
    <w:rsid w:val="22702FD4"/>
    <w:rsid w:val="227A6DAE"/>
    <w:rsid w:val="22985BD3"/>
    <w:rsid w:val="229E1153"/>
    <w:rsid w:val="22AE584D"/>
    <w:rsid w:val="22CA4D76"/>
    <w:rsid w:val="22D067F6"/>
    <w:rsid w:val="23104C50"/>
    <w:rsid w:val="232813DF"/>
    <w:rsid w:val="233C77FA"/>
    <w:rsid w:val="234D2400"/>
    <w:rsid w:val="23620D82"/>
    <w:rsid w:val="23847642"/>
    <w:rsid w:val="238D2473"/>
    <w:rsid w:val="23DB5C03"/>
    <w:rsid w:val="24533F2C"/>
    <w:rsid w:val="246D23A8"/>
    <w:rsid w:val="24714DD3"/>
    <w:rsid w:val="24770AA1"/>
    <w:rsid w:val="247C3339"/>
    <w:rsid w:val="24C42C6A"/>
    <w:rsid w:val="24D57A24"/>
    <w:rsid w:val="24D634D7"/>
    <w:rsid w:val="24EC6B9C"/>
    <w:rsid w:val="24F26185"/>
    <w:rsid w:val="250801D0"/>
    <w:rsid w:val="257E7A9D"/>
    <w:rsid w:val="259530CF"/>
    <w:rsid w:val="25A34410"/>
    <w:rsid w:val="25B36B59"/>
    <w:rsid w:val="25BA2A27"/>
    <w:rsid w:val="25D94CE2"/>
    <w:rsid w:val="25DF0F74"/>
    <w:rsid w:val="262C35EC"/>
    <w:rsid w:val="26310F07"/>
    <w:rsid w:val="26464F32"/>
    <w:rsid w:val="264A62A0"/>
    <w:rsid w:val="26753F1F"/>
    <w:rsid w:val="269C0F46"/>
    <w:rsid w:val="26B36E11"/>
    <w:rsid w:val="26CA25D3"/>
    <w:rsid w:val="26D60C64"/>
    <w:rsid w:val="26F576C2"/>
    <w:rsid w:val="26FC232B"/>
    <w:rsid w:val="272C6D34"/>
    <w:rsid w:val="273A3462"/>
    <w:rsid w:val="27901CBD"/>
    <w:rsid w:val="2795590D"/>
    <w:rsid w:val="27C468ED"/>
    <w:rsid w:val="27D23E36"/>
    <w:rsid w:val="280543D5"/>
    <w:rsid w:val="28326B2F"/>
    <w:rsid w:val="287B299D"/>
    <w:rsid w:val="28B81774"/>
    <w:rsid w:val="28CB12ED"/>
    <w:rsid w:val="29023876"/>
    <w:rsid w:val="291B7FB4"/>
    <w:rsid w:val="2928539C"/>
    <w:rsid w:val="29305382"/>
    <w:rsid w:val="294473FB"/>
    <w:rsid w:val="29770DF6"/>
    <w:rsid w:val="299B03F6"/>
    <w:rsid w:val="29E3172C"/>
    <w:rsid w:val="29E6660B"/>
    <w:rsid w:val="2A2D031F"/>
    <w:rsid w:val="2A5B5A37"/>
    <w:rsid w:val="2A6F6510"/>
    <w:rsid w:val="2A872DB5"/>
    <w:rsid w:val="2A965D69"/>
    <w:rsid w:val="2A9A3A80"/>
    <w:rsid w:val="2AC016D6"/>
    <w:rsid w:val="2AE503C8"/>
    <w:rsid w:val="2B074050"/>
    <w:rsid w:val="2B3C3400"/>
    <w:rsid w:val="2B4B1E53"/>
    <w:rsid w:val="2B8C12AF"/>
    <w:rsid w:val="2B965A04"/>
    <w:rsid w:val="2B972F58"/>
    <w:rsid w:val="2B994434"/>
    <w:rsid w:val="2BF3467E"/>
    <w:rsid w:val="2C19271C"/>
    <w:rsid w:val="2C2110E9"/>
    <w:rsid w:val="2C4D08C4"/>
    <w:rsid w:val="2C6F56A4"/>
    <w:rsid w:val="2C70600F"/>
    <w:rsid w:val="2CA32BFA"/>
    <w:rsid w:val="2CC84F24"/>
    <w:rsid w:val="2CD36583"/>
    <w:rsid w:val="2CD45691"/>
    <w:rsid w:val="2CFA1D4B"/>
    <w:rsid w:val="2D3223DC"/>
    <w:rsid w:val="2D404B77"/>
    <w:rsid w:val="2D7327E9"/>
    <w:rsid w:val="2DC81517"/>
    <w:rsid w:val="2E1474B1"/>
    <w:rsid w:val="2E27387C"/>
    <w:rsid w:val="2E334D02"/>
    <w:rsid w:val="2E464A4A"/>
    <w:rsid w:val="2E7D3A5B"/>
    <w:rsid w:val="2EB15411"/>
    <w:rsid w:val="2EF93A7D"/>
    <w:rsid w:val="2F0342EA"/>
    <w:rsid w:val="2F384A5A"/>
    <w:rsid w:val="2F4E12E8"/>
    <w:rsid w:val="2F5666D4"/>
    <w:rsid w:val="2F8F7C04"/>
    <w:rsid w:val="2FD35B85"/>
    <w:rsid w:val="2FDF6846"/>
    <w:rsid w:val="3005791C"/>
    <w:rsid w:val="300B67AC"/>
    <w:rsid w:val="305842E5"/>
    <w:rsid w:val="30B100AB"/>
    <w:rsid w:val="30BC01A9"/>
    <w:rsid w:val="30CE374B"/>
    <w:rsid w:val="314321AB"/>
    <w:rsid w:val="317536A9"/>
    <w:rsid w:val="31A23DFF"/>
    <w:rsid w:val="31F243E5"/>
    <w:rsid w:val="31F77A21"/>
    <w:rsid w:val="323064F7"/>
    <w:rsid w:val="324C654A"/>
    <w:rsid w:val="3279004A"/>
    <w:rsid w:val="32850A0A"/>
    <w:rsid w:val="32CD0C82"/>
    <w:rsid w:val="33317B93"/>
    <w:rsid w:val="338C1475"/>
    <w:rsid w:val="338C7D9C"/>
    <w:rsid w:val="339A3FEC"/>
    <w:rsid w:val="33C6443A"/>
    <w:rsid w:val="33CC0A13"/>
    <w:rsid w:val="33F7104E"/>
    <w:rsid w:val="340111F7"/>
    <w:rsid w:val="34BA7F70"/>
    <w:rsid w:val="34C81915"/>
    <w:rsid w:val="34DC598B"/>
    <w:rsid w:val="34DD0795"/>
    <w:rsid w:val="351C1E24"/>
    <w:rsid w:val="35377BEE"/>
    <w:rsid w:val="35585F86"/>
    <w:rsid w:val="356B3483"/>
    <w:rsid w:val="357D246A"/>
    <w:rsid w:val="35831E58"/>
    <w:rsid w:val="3590372E"/>
    <w:rsid w:val="35C555AD"/>
    <w:rsid w:val="35C8033D"/>
    <w:rsid w:val="361B067D"/>
    <w:rsid w:val="363E57A4"/>
    <w:rsid w:val="363F4EB1"/>
    <w:rsid w:val="3640467A"/>
    <w:rsid w:val="36616030"/>
    <w:rsid w:val="36A408B5"/>
    <w:rsid w:val="36BE5B3F"/>
    <w:rsid w:val="36C4096A"/>
    <w:rsid w:val="36DE372D"/>
    <w:rsid w:val="36F937E5"/>
    <w:rsid w:val="370011B7"/>
    <w:rsid w:val="37021AB4"/>
    <w:rsid w:val="37356611"/>
    <w:rsid w:val="374D6B67"/>
    <w:rsid w:val="377865DA"/>
    <w:rsid w:val="37793F03"/>
    <w:rsid w:val="378321F3"/>
    <w:rsid w:val="37835B5D"/>
    <w:rsid w:val="37CA5B57"/>
    <w:rsid w:val="37CC05D4"/>
    <w:rsid w:val="38121B30"/>
    <w:rsid w:val="381C0590"/>
    <w:rsid w:val="38221859"/>
    <w:rsid w:val="38262BF4"/>
    <w:rsid w:val="38400619"/>
    <w:rsid w:val="3843495D"/>
    <w:rsid w:val="38507D12"/>
    <w:rsid w:val="38671A7B"/>
    <w:rsid w:val="38765608"/>
    <w:rsid w:val="38915E58"/>
    <w:rsid w:val="38AC7CCE"/>
    <w:rsid w:val="38E0557E"/>
    <w:rsid w:val="38E14D72"/>
    <w:rsid w:val="38F3017B"/>
    <w:rsid w:val="391B495D"/>
    <w:rsid w:val="397305AD"/>
    <w:rsid w:val="39A969E4"/>
    <w:rsid w:val="39CB4AE8"/>
    <w:rsid w:val="39DD7517"/>
    <w:rsid w:val="39E02262"/>
    <w:rsid w:val="39EB7C2F"/>
    <w:rsid w:val="3A00426F"/>
    <w:rsid w:val="3A344BDE"/>
    <w:rsid w:val="3A39710C"/>
    <w:rsid w:val="3A3B0C5B"/>
    <w:rsid w:val="3A6A4F87"/>
    <w:rsid w:val="3ABD0F85"/>
    <w:rsid w:val="3AF73A70"/>
    <w:rsid w:val="3AFC2D57"/>
    <w:rsid w:val="3B1B309D"/>
    <w:rsid w:val="3B654901"/>
    <w:rsid w:val="3BBC220E"/>
    <w:rsid w:val="3BD346F6"/>
    <w:rsid w:val="3C015BF7"/>
    <w:rsid w:val="3C184D02"/>
    <w:rsid w:val="3C41283C"/>
    <w:rsid w:val="3C4D178D"/>
    <w:rsid w:val="3CAD453B"/>
    <w:rsid w:val="3CB02EF0"/>
    <w:rsid w:val="3CBF00DD"/>
    <w:rsid w:val="3CC109CF"/>
    <w:rsid w:val="3CC9526F"/>
    <w:rsid w:val="3CE800B0"/>
    <w:rsid w:val="3CED551D"/>
    <w:rsid w:val="3D032117"/>
    <w:rsid w:val="3D1B2D35"/>
    <w:rsid w:val="3D6F4A6C"/>
    <w:rsid w:val="3DA36CF2"/>
    <w:rsid w:val="3DA54D61"/>
    <w:rsid w:val="3DAF2025"/>
    <w:rsid w:val="3DB23178"/>
    <w:rsid w:val="3DB555BE"/>
    <w:rsid w:val="3DED37F1"/>
    <w:rsid w:val="3DF004B0"/>
    <w:rsid w:val="3E901D15"/>
    <w:rsid w:val="3EAC0DA8"/>
    <w:rsid w:val="3EAF50DB"/>
    <w:rsid w:val="3EFD7535"/>
    <w:rsid w:val="3F0354F5"/>
    <w:rsid w:val="3F2912E2"/>
    <w:rsid w:val="3F40078F"/>
    <w:rsid w:val="3F5F08DD"/>
    <w:rsid w:val="3F6C425E"/>
    <w:rsid w:val="3F701419"/>
    <w:rsid w:val="3F7E47B8"/>
    <w:rsid w:val="3F824A44"/>
    <w:rsid w:val="3FE80DF8"/>
    <w:rsid w:val="40415C5F"/>
    <w:rsid w:val="40A26DC3"/>
    <w:rsid w:val="414401FF"/>
    <w:rsid w:val="41821EF2"/>
    <w:rsid w:val="419F392B"/>
    <w:rsid w:val="41F44601"/>
    <w:rsid w:val="42055F98"/>
    <w:rsid w:val="42153DA7"/>
    <w:rsid w:val="42427610"/>
    <w:rsid w:val="4290542D"/>
    <w:rsid w:val="429B164B"/>
    <w:rsid w:val="429C3783"/>
    <w:rsid w:val="42F350D7"/>
    <w:rsid w:val="42F65A32"/>
    <w:rsid w:val="43362C42"/>
    <w:rsid w:val="437B77F2"/>
    <w:rsid w:val="43800C88"/>
    <w:rsid w:val="43944AAA"/>
    <w:rsid w:val="43BE06C5"/>
    <w:rsid w:val="43C00BFE"/>
    <w:rsid w:val="44062D55"/>
    <w:rsid w:val="440A1991"/>
    <w:rsid w:val="442D1AA1"/>
    <w:rsid w:val="447737F5"/>
    <w:rsid w:val="449E4F2A"/>
    <w:rsid w:val="44AC35A8"/>
    <w:rsid w:val="44B64DFA"/>
    <w:rsid w:val="44B73C97"/>
    <w:rsid w:val="45181F9E"/>
    <w:rsid w:val="453D228A"/>
    <w:rsid w:val="454F6971"/>
    <w:rsid w:val="458271C9"/>
    <w:rsid w:val="45A97824"/>
    <w:rsid w:val="45B81E14"/>
    <w:rsid w:val="45E44FA6"/>
    <w:rsid w:val="460B5AE2"/>
    <w:rsid w:val="46294AB6"/>
    <w:rsid w:val="4658160F"/>
    <w:rsid w:val="46976B40"/>
    <w:rsid w:val="46AA112C"/>
    <w:rsid w:val="46EB161E"/>
    <w:rsid w:val="47113F99"/>
    <w:rsid w:val="47191BB7"/>
    <w:rsid w:val="47202075"/>
    <w:rsid w:val="47744883"/>
    <w:rsid w:val="478120A2"/>
    <w:rsid w:val="480A12AB"/>
    <w:rsid w:val="48212370"/>
    <w:rsid w:val="48262752"/>
    <w:rsid w:val="48374E13"/>
    <w:rsid w:val="48902F11"/>
    <w:rsid w:val="48AA424A"/>
    <w:rsid w:val="48B40240"/>
    <w:rsid w:val="48CC34D6"/>
    <w:rsid w:val="490654E5"/>
    <w:rsid w:val="49136D4D"/>
    <w:rsid w:val="49373A01"/>
    <w:rsid w:val="493858CA"/>
    <w:rsid w:val="497C7BAE"/>
    <w:rsid w:val="49800A26"/>
    <w:rsid w:val="49BA0B9D"/>
    <w:rsid w:val="49BA131E"/>
    <w:rsid w:val="49D67D8F"/>
    <w:rsid w:val="4A545785"/>
    <w:rsid w:val="4A6A4F3E"/>
    <w:rsid w:val="4AED367F"/>
    <w:rsid w:val="4B593B0E"/>
    <w:rsid w:val="4B680E11"/>
    <w:rsid w:val="4B7A363D"/>
    <w:rsid w:val="4B992EB3"/>
    <w:rsid w:val="4BAE6766"/>
    <w:rsid w:val="4BC34A15"/>
    <w:rsid w:val="4BD65659"/>
    <w:rsid w:val="4C295750"/>
    <w:rsid w:val="4C2F42D7"/>
    <w:rsid w:val="4C581D95"/>
    <w:rsid w:val="4C716A27"/>
    <w:rsid w:val="4C895BFA"/>
    <w:rsid w:val="4CA92E45"/>
    <w:rsid w:val="4CCA563E"/>
    <w:rsid w:val="4CE05D9B"/>
    <w:rsid w:val="4D0F79B5"/>
    <w:rsid w:val="4D2427F2"/>
    <w:rsid w:val="4D633607"/>
    <w:rsid w:val="4D6C382D"/>
    <w:rsid w:val="4D797437"/>
    <w:rsid w:val="4D8001CD"/>
    <w:rsid w:val="4DB51058"/>
    <w:rsid w:val="4E093563"/>
    <w:rsid w:val="4E480923"/>
    <w:rsid w:val="4E5F735F"/>
    <w:rsid w:val="4E6C1D03"/>
    <w:rsid w:val="4EAF4447"/>
    <w:rsid w:val="4EF57618"/>
    <w:rsid w:val="4F0B044F"/>
    <w:rsid w:val="4F20663F"/>
    <w:rsid w:val="4F2F769C"/>
    <w:rsid w:val="4F3F41A7"/>
    <w:rsid w:val="4F4E0134"/>
    <w:rsid w:val="4F7D0426"/>
    <w:rsid w:val="4FC313D1"/>
    <w:rsid w:val="4FC4300E"/>
    <w:rsid w:val="4FC5252D"/>
    <w:rsid w:val="4FEC0643"/>
    <w:rsid w:val="4FED251D"/>
    <w:rsid w:val="50361FB0"/>
    <w:rsid w:val="50883F38"/>
    <w:rsid w:val="509E0607"/>
    <w:rsid w:val="50A24EB2"/>
    <w:rsid w:val="50D130A3"/>
    <w:rsid w:val="50EF31FE"/>
    <w:rsid w:val="50F7031F"/>
    <w:rsid w:val="5146103E"/>
    <w:rsid w:val="514D6FEE"/>
    <w:rsid w:val="51746907"/>
    <w:rsid w:val="51E509C5"/>
    <w:rsid w:val="52120B08"/>
    <w:rsid w:val="52144085"/>
    <w:rsid w:val="52632956"/>
    <w:rsid w:val="526F326C"/>
    <w:rsid w:val="52894186"/>
    <w:rsid w:val="529B4691"/>
    <w:rsid w:val="52B63898"/>
    <w:rsid w:val="52B95632"/>
    <w:rsid w:val="52CA0037"/>
    <w:rsid w:val="52DE594F"/>
    <w:rsid w:val="52FF18C8"/>
    <w:rsid w:val="53115174"/>
    <w:rsid w:val="5331008D"/>
    <w:rsid w:val="53524FF4"/>
    <w:rsid w:val="53BC13D0"/>
    <w:rsid w:val="53C4107D"/>
    <w:rsid w:val="53D05B73"/>
    <w:rsid w:val="53E540B3"/>
    <w:rsid w:val="54161E68"/>
    <w:rsid w:val="542169FD"/>
    <w:rsid w:val="543C07DB"/>
    <w:rsid w:val="54523C02"/>
    <w:rsid w:val="548F0B33"/>
    <w:rsid w:val="54A856C3"/>
    <w:rsid w:val="54E6473B"/>
    <w:rsid w:val="54E95C65"/>
    <w:rsid w:val="54F01F88"/>
    <w:rsid w:val="550F4487"/>
    <w:rsid w:val="5519306D"/>
    <w:rsid w:val="55234DA3"/>
    <w:rsid w:val="555341A1"/>
    <w:rsid w:val="556325BD"/>
    <w:rsid w:val="55675B3D"/>
    <w:rsid w:val="55A12E1F"/>
    <w:rsid w:val="55A96B25"/>
    <w:rsid w:val="55E0224D"/>
    <w:rsid w:val="55F2026A"/>
    <w:rsid w:val="55F50A72"/>
    <w:rsid w:val="561138AC"/>
    <w:rsid w:val="56291208"/>
    <w:rsid w:val="56607D80"/>
    <w:rsid w:val="566C538A"/>
    <w:rsid w:val="56771CA5"/>
    <w:rsid w:val="56927ABB"/>
    <w:rsid w:val="56A93874"/>
    <w:rsid w:val="56CA400F"/>
    <w:rsid w:val="56F77F5B"/>
    <w:rsid w:val="57190B68"/>
    <w:rsid w:val="57394328"/>
    <w:rsid w:val="575259E3"/>
    <w:rsid w:val="57534272"/>
    <w:rsid w:val="57991FA4"/>
    <w:rsid w:val="57E203F7"/>
    <w:rsid w:val="57E57181"/>
    <w:rsid w:val="58117104"/>
    <w:rsid w:val="58151AAE"/>
    <w:rsid w:val="585E02FE"/>
    <w:rsid w:val="585F320F"/>
    <w:rsid w:val="58A52423"/>
    <w:rsid w:val="58AA2B59"/>
    <w:rsid w:val="58B968E3"/>
    <w:rsid w:val="58DA4A46"/>
    <w:rsid w:val="58E52550"/>
    <w:rsid w:val="58ED08D6"/>
    <w:rsid w:val="58F21BDD"/>
    <w:rsid w:val="58FE3A5A"/>
    <w:rsid w:val="590204B6"/>
    <w:rsid w:val="59165D64"/>
    <w:rsid w:val="593A3F96"/>
    <w:rsid w:val="594128E9"/>
    <w:rsid w:val="5960236F"/>
    <w:rsid w:val="5977430B"/>
    <w:rsid w:val="59A07D3A"/>
    <w:rsid w:val="59C205B0"/>
    <w:rsid w:val="59EE7A02"/>
    <w:rsid w:val="5A07343E"/>
    <w:rsid w:val="5A506D99"/>
    <w:rsid w:val="5A554AB6"/>
    <w:rsid w:val="5A582C18"/>
    <w:rsid w:val="5A902370"/>
    <w:rsid w:val="5A922B0F"/>
    <w:rsid w:val="5A9B5929"/>
    <w:rsid w:val="5AA02E3B"/>
    <w:rsid w:val="5AC2374C"/>
    <w:rsid w:val="5AC94F3E"/>
    <w:rsid w:val="5ACF1D2D"/>
    <w:rsid w:val="5B0D7008"/>
    <w:rsid w:val="5B611422"/>
    <w:rsid w:val="5B691527"/>
    <w:rsid w:val="5B6F3C5A"/>
    <w:rsid w:val="5BA61EEA"/>
    <w:rsid w:val="5C0F66F5"/>
    <w:rsid w:val="5C1A0FE5"/>
    <w:rsid w:val="5C271ADC"/>
    <w:rsid w:val="5C3D7F7B"/>
    <w:rsid w:val="5CEB32A0"/>
    <w:rsid w:val="5CF94866"/>
    <w:rsid w:val="5D007A33"/>
    <w:rsid w:val="5D2A1C2F"/>
    <w:rsid w:val="5D461671"/>
    <w:rsid w:val="5D5A4586"/>
    <w:rsid w:val="5D8C1883"/>
    <w:rsid w:val="5DB30B9D"/>
    <w:rsid w:val="5DB95EBF"/>
    <w:rsid w:val="5DBF6298"/>
    <w:rsid w:val="5DD83019"/>
    <w:rsid w:val="5DE366FE"/>
    <w:rsid w:val="5DE45F08"/>
    <w:rsid w:val="5E0B5EE7"/>
    <w:rsid w:val="5E397C2C"/>
    <w:rsid w:val="5E8C33BF"/>
    <w:rsid w:val="5EC83DAF"/>
    <w:rsid w:val="5F15667D"/>
    <w:rsid w:val="5F1F7123"/>
    <w:rsid w:val="5F5104AA"/>
    <w:rsid w:val="5F8838C9"/>
    <w:rsid w:val="5FA12E02"/>
    <w:rsid w:val="5FAA1962"/>
    <w:rsid w:val="5FFB27F0"/>
    <w:rsid w:val="60014DF8"/>
    <w:rsid w:val="60111022"/>
    <w:rsid w:val="604C1927"/>
    <w:rsid w:val="60B05454"/>
    <w:rsid w:val="60C97A99"/>
    <w:rsid w:val="60DF0FD8"/>
    <w:rsid w:val="60E27EF9"/>
    <w:rsid w:val="60F95FC0"/>
    <w:rsid w:val="61383115"/>
    <w:rsid w:val="61427F38"/>
    <w:rsid w:val="614F29D5"/>
    <w:rsid w:val="61581B6F"/>
    <w:rsid w:val="61676299"/>
    <w:rsid w:val="618A235E"/>
    <w:rsid w:val="61A14A4A"/>
    <w:rsid w:val="61DD0913"/>
    <w:rsid w:val="6204790F"/>
    <w:rsid w:val="622C584E"/>
    <w:rsid w:val="62323E8F"/>
    <w:rsid w:val="62750F02"/>
    <w:rsid w:val="629A457C"/>
    <w:rsid w:val="62C3341A"/>
    <w:rsid w:val="62D06075"/>
    <w:rsid w:val="62F5247F"/>
    <w:rsid w:val="63184203"/>
    <w:rsid w:val="635D4B97"/>
    <w:rsid w:val="635E5659"/>
    <w:rsid w:val="63AD3599"/>
    <w:rsid w:val="63B52FB9"/>
    <w:rsid w:val="63BF5CFF"/>
    <w:rsid w:val="63D61992"/>
    <w:rsid w:val="63DB05BB"/>
    <w:rsid w:val="640E0DDD"/>
    <w:rsid w:val="64515C2A"/>
    <w:rsid w:val="64567B28"/>
    <w:rsid w:val="6461713D"/>
    <w:rsid w:val="649F1D8C"/>
    <w:rsid w:val="64B33765"/>
    <w:rsid w:val="64CC5C9D"/>
    <w:rsid w:val="64D83CC3"/>
    <w:rsid w:val="64ED4488"/>
    <w:rsid w:val="64FA6146"/>
    <w:rsid w:val="651B76B8"/>
    <w:rsid w:val="65300A13"/>
    <w:rsid w:val="654112A6"/>
    <w:rsid w:val="6548029F"/>
    <w:rsid w:val="656C0AFB"/>
    <w:rsid w:val="658F5F10"/>
    <w:rsid w:val="660769D1"/>
    <w:rsid w:val="66207B0A"/>
    <w:rsid w:val="665B5D08"/>
    <w:rsid w:val="66867DDA"/>
    <w:rsid w:val="668A1A52"/>
    <w:rsid w:val="66A5101C"/>
    <w:rsid w:val="66AA4C94"/>
    <w:rsid w:val="671B1B0C"/>
    <w:rsid w:val="67337E5D"/>
    <w:rsid w:val="674C7013"/>
    <w:rsid w:val="676F126A"/>
    <w:rsid w:val="67DE0F95"/>
    <w:rsid w:val="67F37EDB"/>
    <w:rsid w:val="680B1397"/>
    <w:rsid w:val="68167808"/>
    <w:rsid w:val="683001F0"/>
    <w:rsid w:val="68392BA3"/>
    <w:rsid w:val="68781AFC"/>
    <w:rsid w:val="68821947"/>
    <w:rsid w:val="68AD3B3A"/>
    <w:rsid w:val="68DA7AF4"/>
    <w:rsid w:val="68F364C8"/>
    <w:rsid w:val="68FD4B97"/>
    <w:rsid w:val="69561D0F"/>
    <w:rsid w:val="695E1D64"/>
    <w:rsid w:val="69627890"/>
    <w:rsid w:val="698974AD"/>
    <w:rsid w:val="69C3239E"/>
    <w:rsid w:val="69D266F8"/>
    <w:rsid w:val="69DB69F6"/>
    <w:rsid w:val="6A2F5528"/>
    <w:rsid w:val="6A2F6D7C"/>
    <w:rsid w:val="6A4246A9"/>
    <w:rsid w:val="6A4D7241"/>
    <w:rsid w:val="6A9F5A43"/>
    <w:rsid w:val="6AD34A4C"/>
    <w:rsid w:val="6AE16E39"/>
    <w:rsid w:val="6B1040FE"/>
    <w:rsid w:val="6B1159CD"/>
    <w:rsid w:val="6B2B154F"/>
    <w:rsid w:val="6B466A65"/>
    <w:rsid w:val="6B4D52CB"/>
    <w:rsid w:val="6B544264"/>
    <w:rsid w:val="6B603DE4"/>
    <w:rsid w:val="6B682BB7"/>
    <w:rsid w:val="6B6B00C0"/>
    <w:rsid w:val="6B6F7A13"/>
    <w:rsid w:val="6B917004"/>
    <w:rsid w:val="6B9C1C3E"/>
    <w:rsid w:val="6BA51484"/>
    <w:rsid w:val="6BAB2EC0"/>
    <w:rsid w:val="6BB22C57"/>
    <w:rsid w:val="6BB3398C"/>
    <w:rsid w:val="6BBC65B5"/>
    <w:rsid w:val="6BD33A55"/>
    <w:rsid w:val="6BDB046F"/>
    <w:rsid w:val="6BE440C5"/>
    <w:rsid w:val="6BE52952"/>
    <w:rsid w:val="6C192462"/>
    <w:rsid w:val="6C195084"/>
    <w:rsid w:val="6C196D19"/>
    <w:rsid w:val="6C1E7E8A"/>
    <w:rsid w:val="6C362D8F"/>
    <w:rsid w:val="6C564C00"/>
    <w:rsid w:val="6C572E33"/>
    <w:rsid w:val="6C63232D"/>
    <w:rsid w:val="6CB83BBB"/>
    <w:rsid w:val="6CCD2567"/>
    <w:rsid w:val="6CDA0C21"/>
    <w:rsid w:val="6CEB692D"/>
    <w:rsid w:val="6CF3796B"/>
    <w:rsid w:val="6D9623B3"/>
    <w:rsid w:val="6DA92A43"/>
    <w:rsid w:val="6DB42220"/>
    <w:rsid w:val="6E1E1F3B"/>
    <w:rsid w:val="6E1F5290"/>
    <w:rsid w:val="6E264EC0"/>
    <w:rsid w:val="6E8231C5"/>
    <w:rsid w:val="6EA16D50"/>
    <w:rsid w:val="6EFF7323"/>
    <w:rsid w:val="6F720F70"/>
    <w:rsid w:val="6FB431D5"/>
    <w:rsid w:val="70115922"/>
    <w:rsid w:val="70420AEF"/>
    <w:rsid w:val="705B4CF7"/>
    <w:rsid w:val="70711724"/>
    <w:rsid w:val="708010DD"/>
    <w:rsid w:val="70AF1800"/>
    <w:rsid w:val="70BF48E4"/>
    <w:rsid w:val="70D6429A"/>
    <w:rsid w:val="70DC609C"/>
    <w:rsid w:val="70F21DD4"/>
    <w:rsid w:val="710D5594"/>
    <w:rsid w:val="71155ED6"/>
    <w:rsid w:val="71220303"/>
    <w:rsid w:val="713A2A4A"/>
    <w:rsid w:val="714C1108"/>
    <w:rsid w:val="71741AF0"/>
    <w:rsid w:val="71754855"/>
    <w:rsid w:val="718835F1"/>
    <w:rsid w:val="71FA4ECB"/>
    <w:rsid w:val="72212E4E"/>
    <w:rsid w:val="72286993"/>
    <w:rsid w:val="727F5E73"/>
    <w:rsid w:val="729D341F"/>
    <w:rsid w:val="72A86AC0"/>
    <w:rsid w:val="72C74F40"/>
    <w:rsid w:val="731400E7"/>
    <w:rsid w:val="732130DD"/>
    <w:rsid w:val="732654B2"/>
    <w:rsid w:val="732C3F5E"/>
    <w:rsid w:val="73330C6D"/>
    <w:rsid w:val="7337228B"/>
    <w:rsid w:val="73424C47"/>
    <w:rsid w:val="73772C6A"/>
    <w:rsid w:val="743701A6"/>
    <w:rsid w:val="74454085"/>
    <w:rsid w:val="74C46E32"/>
    <w:rsid w:val="74CD1C04"/>
    <w:rsid w:val="74D55468"/>
    <w:rsid w:val="74E47914"/>
    <w:rsid w:val="74E62298"/>
    <w:rsid w:val="74FD04FA"/>
    <w:rsid w:val="7505209A"/>
    <w:rsid w:val="753C60D4"/>
    <w:rsid w:val="755545C9"/>
    <w:rsid w:val="758013DA"/>
    <w:rsid w:val="759E1D7E"/>
    <w:rsid w:val="75E53E6D"/>
    <w:rsid w:val="76096671"/>
    <w:rsid w:val="76777E16"/>
    <w:rsid w:val="76BC0EF4"/>
    <w:rsid w:val="76C609CD"/>
    <w:rsid w:val="76C8081E"/>
    <w:rsid w:val="76CF0A1D"/>
    <w:rsid w:val="76EA2CCC"/>
    <w:rsid w:val="76F42C87"/>
    <w:rsid w:val="77067C25"/>
    <w:rsid w:val="772261EC"/>
    <w:rsid w:val="77376EEC"/>
    <w:rsid w:val="777058BE"/>
    <w:rsid w:val="77782790"/>
    <w:rsid w:val="77A83D92"/>
    <w:rsid w:val="77AC630C"/>
    <w:rsid w:val="77DB1282"/>
    <w:rsid w:val="77FA4965"/>
    <w:rsid w:val="784A3707"/>
    <w:rsid w:val="784E22AF"/>
    <w:rsid w:val="79180EE9"/>
    <w:rsid w:val="79247BD9"/>
    <w:rsid w:val="7940721D"/>
    <w:rsid w:val="7968355A"/>
    <w:rsid w:val="79934DA3"/>
    <w:rsid w:val="79961F5B"/>
    <w:rsid w:val="79AD3993"/>
    <w:rsid w:val="79DB45EE"/>
    <w:rsid w:val="79EA093C"/>
    <w:rsid w:val="79F17398"/>
    <w:rsid w:val="7A1940EF"/>
    <w:rsid w:val="7A272796"/>
    <w:rsid w:val="7A344E29"/>
    <w:rsid w:val="7A3C34AA"/>
    <w:rsid w:val="7A4A3E1E"/>
    <w:rsid w:val="7A525091"/>
    <w:rsid w:val="7A697BB4"/>
    <w:rsid w:val="7A7B5D31"/>
    <w:rsid w:val="7A9B40EA"/>
    <w:rsid w:val="7AA860A3"/>
    <w:rsid w:val="7AE91501"/>
    <w:rsid w:val="7B1B13C5"/>
    <w:rsid w:val="7B515D85"/>
    <w:rsid w:val="7B537191"/>
    <w:rsid w:val="7B724636"/>
    <w:rsid w:val="7B9F42D5"/>
    <w:rsid w:val="7BA42D41"/>
    <w:rsid w:val="7BD83419"/>
    <w:rsid w:val="7BE93BF1"/>
    <w:rsid w:val="7BEC59CF"/>
    <w:rsid w:val="7C125EEB"/>
    <w:rsid w:val="7C246CC4"/>
    <w:rsid w:val="7C296053"/>
    <w:rsid w:val="7C793AF7"/>
    <w:rsid w:val="7CA20962"/>
    <w:rsid w:val="7CC82865"/>
    <w:rsid w:val="7CF21817"/>
    <w:rsid w:val="7D026F86"/>
    <w:rsid w:val="7D20564A"/>
    <w:rsid w:val="7D216515"/>
    <w:rsid w:val="7D58657C"/>
    <w:rsid w:val="7D663C27"/>
    <w:rsid w:val="7D6A7FA9"/>
    <w:rsid w:val="7D7B077F"/>
    <w:rsid w:val="7D7E59F1"/>
    <w:rsid w:val="7D9C6D51"/>
    <w:rsid w:val="7DED7B69"/>
    <w:rsid w:val="7DF30130"/>
    <w:rsid w:val="7E1A7194"/>
    <w:rsid w:val="7E2D38E3"/>
    <w:rsid w:val="7E402ECD"/>
    <w:rsid w:val="7E4107B6"/>
    <w:rsid w:val="7E655543"/>
    <w:rsid w:val="7E7019B7"/>
    <w:rsid w:val="7E8671AF"/>
    <w:rsid w:val="7EC652CA"/>
    <w:rsid w:val="7F192509"/>
    <w:rsid w:val="7F2C6422"/>
    <w:rsid w:val="7F6C3707"/>
    <w:rsid w:val="7FBF51CF"/>
    <w:rsid w:val="7FCF7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2018-08-03T07:36:00Z</dcterms:created>
  <dc:creator>Administrator</dc:creator>
  <cp:lastModifiedBy>Administrator</cp:lastModifiedBy>
  <dcterms:modified xsi:type="dcterms:W3CDTF">2019-12-13T07:10:03Z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