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基本面支撑沪铜继续上行</w:t>
      </w:r>
    </w:p>
    <w:p>
      <w:pPr>
        <w:jc w:val="center"/>
        <w:rPr>
          <w:rFonts w:hint="eastAsia"/>
          <w:b/>
          <w:bCs/>
          <w:sz w:val="44"/>
          <w:szCs w:val="44"/>
          <w:lang w:eastAsia="zh-CN"/>
        </w:rPr>
      </w:pPr>
    </w:p>
    <w:p>
      <w:pPr>
        <w:jc w:val="left"/>
        <w:rPr>
          <w:rFonts w:hint="eastAsia"/>
          <w:b/>
          <w:bCs/>
          <w:sz w:val="24"/>
          <w:szCs w:val="24"/>
          <w:lang w:eastAsia="zh-CN"/>
        </w:rPr>
      </w:pPr>
      <w:r>
        <w:rPr>
          <w:rFonts w:hint="eastAsia"/>
          <w:b/>
          <w:bCs/>
          <w:sz w:val="24"/>
          <w:szCs w:val="24"/>
          <w:lang w:eastAsia="zh-CN"/>
        </w:rPr>
        <w:t>沪铜</w:t>
      </w:r>
      <w:r>
        <w:rPr>
          <w:rFonts w:hint="eastAsia"/>
          <w:b/>
          <w:bCs/>
          <w:sz w:val="24"/>
          <w:szCs w:val="24"/>
          <w:lang w:val="en-US" w:eastAsia="zh-CN"/>
        </w:rPr>
        <w:t>1710合约                                        6月---9月 日K线</w:t>
      </w:r>
    </w:p>
    <w:p>
      <w:pPr>
        <w:jc w:val="left"/>
        <w:rPr>
          <w:rFonts w:hint="eastAsia"/>
          <w:b/>
          <w:bCs/>
          <w:sz w:val="30"/>
          <w:szCs w:val="30"/>
          <w:lang w:eastAsia="zh-CN"/>
        </w:rPr>
      </w:pPr>
      <w:r>
        <w:rPr>
          <w:rFonts w:hint="eastAsia"/>
          <w:b/>
          <w:bCs/>
          <w:sz w:val="30"/>
          <w:szCs w:val="30"/>
          <w:lang w:eastAsia="zh-CN"/>
        </w:rPr>
        <w:drawing>
          <wp:inline distT="0" distB="0" distL="114300" distR="114300">
            <wp:extent cx="6170930" cy="3326130"/>
            <wp:effectExtent l="0" t="0" r="1270" b="7620"/>
            <wp:docPr id="1" name="图片 1" descr="QQ截图2017090513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70905135941"/>
                    <pic:cNvPicPr>
                      <a:picLocks noChangeAspect="1"/>
                    </pic:cNvPicPr>
                  </pic:nvPicPr>
                  <pic:blipFill>
                    <a:blip r:embed="rId4"/>
                    <a:stretch>
                      <a:fillRect/>
                    </a:stretch>
                  </pic:blipFill>
                  <pic:spPr>
                    <a:xfrm>
                      <a:off x="0" y="0"/>
                      <a:ext cx="6170930" cy="3326130"/>
                    </a:xfrm>
                    <a:prstGeom prst="rect">
                      <a:avLst/>
                    </a:prstGeom>
                  </pic:spPr>
                </pic:pic>
              </a:graphicData>
            </a:graphic>
          </wp:inline>
        </w:drawing>
      </w:r>
    </w:p>
    <w:p>
      <w:pPr>
        <w:jc w:val="left"/>
        <w:rPr>
          <w:rFonts w:hint="eastAsia"/>
          <w:b/>
          <w:bCs/>
          <w:sz w:val="24"/>
          <w:szCs w:val="24"/>
          <w:lang w:val="en-US" w:eastAsia="zh-CN"/>
        </w:rPr>
      </w:pPr>
      <w:r>
        <w:rPr>
          <w:rFonts w:hint="eastAsia"/>
          <w:b/>
          <w:bCs/>
          <w:sz w:val="24"/>
          <w:szCs w:val="24"/>
          <w:lang w:eastAsia="zh-CN"/>
        </w:rPr>
        <w:t>资料来源：文华财经</w:t>
      </w:r>
      <w:r>
        <w:rPr>
          <w:rFonts w:hint="eastAsia"/>
          <w:b/>
          <w:bCs/>
          <w:sz w:val="24"/>
          <w:szCs w:val="24"/>
          <w:lang w:val="en-US" w:eastAsia="zh-CN"/>
        </w:rPr>
        <w:t xml:space="preserve">   和合期货</w:t>
      </w:r>
    </w:p>
    <w:p>
      <w:pPr>
        <w:keepNext w:val="0"/>
        <w:keepLines w:val="0"/>
        <w:widowControl/>
        <w:suppressLineNumbers w:val="0"/>
        <w:pBdr>
          <w:top w:val="none" w:color="auto" w:sz="0" w:space="0"/>
        </w:pBdr>
        <w:spacing w:before="452" w:beforeAutospacing="0" w:after="150" w:afterAutospacing="0" w:line="240" w:lineRule="auto"/>
        <w:ind w:left="0" w:right="0" w:firstLine="0"/>
        <w:jc w:val="center"/>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【报告要点】</w:t>
      </w:r>
    </w:p>
    <w:p>
      <w:pPr>
        <w:ind w:firstLine="480" w:firstLineChars="200"/>
        <w:jc w:val="left"/>
        <w:rPr>
          <w:rFonts w:hint="eastAsia" w:ascii="微软雅黑" w:hAnsi="微软雅黑" w:eastAsia="微软雅黑" w:cs="微软雅黑"/>
          <w:b w:val="0"/>
          <w:i w:val="0"/>
          <w:caps w:val="0"/>
          <w:color w:val="000000"/>
          <w:spacing w:val="0"/>
          <w:sz w:val="24"/>
          <w:szCs w:val="24"/>
          <w:shd w:val="clear" w:fill="FFFFFF"/>
        </w:rPr>
      </w:pPr>
      <w:r>
        <w:rPr>
          <w:rFonts w:hint="eastAsia" w:ascii="微软雅黑" w:hAnsi="微软雅黑" w:eastAsia="微软雅黑" w:cs="微软雅黑"/>
          <w:b w:val="0"/>
          <w:i w:val="0"/>
          <w:caps w:val="0"/>
          <w:color w:val="000000"/>
          <w:spacing w:val="0"/>
          <w:sz w:val="24"/>
          <w:szCs w:val="24"/>
          <w:shd w:val="clear" w:fill="FFFFFF"/>
        </w:rPr>
        <w:t>国家统计局公布的8月制造业PMI为51.7，比上月提高0.3个百分点</w:t>
      </w:r>
      <w:r>
        <w:rPr>
          <w:rFonts w:hint="eastAsia" w:ascii="微软雅黑" w:hAnsi="微软雅黑" w:eastAsia="微软雅黑" w:cs="微软雅黑"/>
          <w:b w:val="0"/>
          <w:i w:val="0"/>
          <w:caps w:val="0"/>
          <w:color w:val="000000"/>
          <w:spacing w:val="0"/>
          <w:sz w:val="24"/>
          <w:szCs w:val="24"/>
          <w:shd w:val="clear" w:fill="FFFFFF"/>
          <w:lang w:val="en-US" w:eastAsia="zh-CN"/>
        </w:rPr>
        <w:t>,</w:t>
      </w:r>
      <w:r>
        <w:rPr>
          <w:rFonts w:hint="eastAsia" w:ascii="微软雅黑" w:hAnsi="微软雅黑" w:eastAsia="微软雅黑" w:cs="微软雅黑"/>
          <w:b w:val="0"/>
          <w:i w:val="0"/>
          <w:caps w:val="0"/>
          <w:color w:val="000000"/>
          <w:spacing w:val="0"/>
          <w:sz w:val="24"/>
          <w:szCs w:val="24"/>
          <w:shd w:val="clear" w:fill="FFFFFF"/>
        </w:rPr>
        <w:t>PMI连续1</w:t>
      </w:r>
      <w:r>
        <w:rPr>
          <w:rFonts w:hint="eastAsia" w:ascii="微软雅黑" w:hAnsi="微软雅黑" w:eastAsia="微软雅黑" w:cs="微软雅黑"/>
          <w:b w:val="0"/>
          <w:i w:val="0"/>
          <w:caps w:val="0"/>
          <w:color w:val="000000"/>
          <w:spacing w:val="0"/>
          <w:sz w:val="24"/>
          <w:szCs w:val="24"/>
          <w:shd w:val="clear" w:fill="FFFFFF"/>
          <w:lang w:val="en-US" w:eastAsia="zh-CN"/>
        </w:rPr>
        <w:t>3</w:t>
      </w:r>
      <w:r>
        <w:rPr>
          <w:rFonts w:hint="eastAsia" w:ascii="微软雅黑" w:hAnsi="微软雅黑" w:eastAsia="微软雅黑" w:cs="微软雅黑"/>
          <w:b w:val="0"/>
          <w:i w:val="0"/>
          <w:caps w:val="0"/>
          <w:color w:val="000000"/>
          <w:spacing w:val="0"/>
          <w:sz w:val="24"/>
          <w:szCs w:val="24"/>
          <w:shd w:val="clear" w:fill="FFFFFF"/>
        </w:rPr>
        <w:t>个月保持在扩张区间市场预期向好，经济发展的信心持续提升</w:t>
      </w:r>
      <w:r>
        <w:rPr>
          <w:rFonts w:hint="eastAsia" w:ascii="微软雅黑" w:hAnsi="微软雅黑" w:eastAsia="微软雅黑" w:cs="微软雅黑"/>
          <w:b w:val="0"/>
          <w:i w:val="0"/>
          <w:caps w:val="0"/>
          <w:color w:val="000000"/>
          <w:spacing w:val="0"/>
          <w:sz w:val="24"/>
          <w:szCs w:val="24"/>
          <w:shd w:val="clear" w:fill="FFFFFF"/>
          <w:lang w:eastAsia="zh-CN"/>
        </w:rPr>
        <w:t>，欧美经济发展较为平稳，良好的基本面为下半年铜消费做好支撑。</w:t>
      </w:r>
    </w:p>
    <w:p>
      <w:pPr>
        <w:ind w:firstLine="480" w:firstLineChars="200"/>
        <w:jc w:val="left"/>
        <w:rPr>
          <w:rFonts w:hint="eastAsia" w:ascii="微软雅黑" w:hAnsi="微软雅黑" w:eastAsia="微软雅黑" w:cs="微软雅黑"/>
          <w:b w:val="0"/>
          <w:i w:val="0"/>
          <w:caps w:val="0"/>
          <w:color w:val="000000"/>
          <w:spacing w:val="0"/>
          <w:sz w:val="24"/>
          <w:szCs w:val="24"/>
          <w:shd w:val="clear" w:fill="FFFFFF"/>
        </w:rPr>
      </w:pPr>
      <w:r>
        <w:rPr>
          <w:rFonts w:hint="eastAsia" w:ascii="微软雅黑" w:hAnsi="微软雅黑" w:eastAsia="微软雅黑" w:cs="微软雅黑"/>
          <w:b w:val="0"/>
          <w:i w:val="0"/>
          <w:caps w:val="0"/>
          <w:color w:val="000000"/>
          <w:spacing w:val="0"/>
          <w:sz w:val="24"/>
          <w:szCs w:val="24"/>
          <w:shd w:val="clear" w:fill="FFFFFF"/>
          <w:lang w:val="en-US" w:eastAsia="zh-CN"/>
        </w:rPr>
        <w:t>矿铜供给依然紧张，精铜进口减少，由于中国禁止进口“废七类”的政策导致废铜预期供给更加严峻，</w:t>
      </w:r>
      <w:r>
        <w:rPr>
          <w:rFonts w:hint="eastAsia" w:ascii="微软雅黑" w:hAnsi="微软雅黑" w:eastAsia="微软雅黑" w:cs="微软雅黑"/>
          <w:b w:val="0"/>
          <w:i w:val="0"/>
          <w:caps w:val="0"/>
          <w:color w:val="000000"/>
          <w:spacing w:val="0"/>
          <w:sz w:val="24"/>
          <w:szCs w:val="24"/>
          <w:shd w:val="clear" w:fill="FFFFFF"/>
        </w:rPr>
        <w:t>TC/RC费用下滑</w:t>
      </w:r>
      <w:r>
        <w:rPr>
          <w:rFonts w:hint="eastAsia" w:ascii="微软雅黑" w:hAnsi="微软雅黑" w:eastAsia="微软雅黑" w:cs="微软雅黑"/>
          <w:b w:val="0"/>
          <w:i w:val="0"/>
          <w:caps w:val="0"/>
          <w:color w:val="000000"/>
          <w:spacing w:val="0"/>
          <w:sz w:val="24"/>
          <w:szCs w:val="24"/>
          <w:shd w:val="clear" w:fill="FFFFFF"/>
          <w:lang w:val="en-US" w:eastAsia="zh-CN"/>
        </w:rPr>
        <w:t>促使加工企业积极性下降和开工率下滑。在宏观环境稳定、市场流动性充裕的条件下，铜的需求面没有太大变化。</w:t>
      </w:r>
    </w:p>
    <w:p>
      <w:pPr>
        <w:ind w:firstLine="480" w:firstLineChars="200"/>
        <w:jc w:val="left"/>
        <w:rPr>
          <w:rFonts w:hint="eastAsia" w:ascii="微软雅黑" w:hAnsi="微软雅黑" w:eastAsia="微软雅黑" w:cs="微软雅黑"/>
          <w:b w:val="0"/>
          <w:i w:val="0"/>
          <w:caps w:val="0"/>
          <w:color w:val="000000"/>
          <w:spacing w:val="0"/>
          <w:sz w:val="24"/>
          <w:szCs w:val="24"/>
          <w:shd w:val="clear" w:fill="FFFFFF"/>
        </w:rPr>
      </w:pPr>
      <w:r>
        <w:rPr>
          <w:rFonts w:hint="eastAsia" w:ascii="微软雅黑" w:hAnsi="微软雅黑" w:eastAsia="微软雅黑" w:cs="微软雅黑"/>
          <w:b w:val="0"/>
          <w:i w:val="0"/>
          <w:caps w:val="0"/>
          <w:color w:val="000000"/>
          <w:spacing w:val="0"/>
          <w:sz w:val="24"/>
          <w:szCs w:val="24"/>
          <w:shd w:val="clear" w:fill="FFFFFF"/>
          <w:lang w:eastAsia="zh-CN"/>
        </w:rPr>
        <w:t>美元指数的持续走低</w:t>
      </w:r>
      <w:r>
        <w:rPr>
          <w:rFonts w:hint="eastAsia" w:ascii="微软雅黑" w:hAnsi="微软雅黑" w:eastAsia="微软雅黑" w:cs="微软雅黑"/>
          <w:b w:val="0"/>
          <w:i w:val="0"/>
          <w:caps w:val="0"/>
          <w:color w:val="000000"/>
          <w:spacing w:val="0"/>
          <w:sz w:val="24"/>
          <w:szCs w:val="24"/>
          <w:shd w:val="clear" w:fill="FFFFFF"/>
        </w:rPr>
        <w:t>，</w:t>
      </w:r>
      <w:r>
        <w:rPr>
          <w:rFonts w:hint="eastAsia" w:ascii="微软雅黑" w:hAnsi="微软雅黑" w:eastAsia="微软雅黑" w:cs="微软雅黑"/>
          <w:b w:val="0"/>
          <w:i w:val="0"/>
          <w:caps w:val="0"/>
          <w:color w:val="000000"/>
          <w:spacing w:val="0"/>
          <w:sz w:val="24"/>
          <w:szCs w:val="24"/>
          <w:shd w:val="clear" w:fill="FFFFFF"/>
          <w:lang w:val="en-US" w:eastAsia="zh-CN"/>
        </w:rPr>
        <w:t>CFTC非商业净多头持仓连续增加，投资机构对市场情绪的引导</w:t>
      </w:r>
      <w:r>
        <w:rPr>
          <w:rFonts w:hint="eastAsia" w:ascii="微软雅黑" w:hAnsi="微软雅黑" w:eastAsia="微软雅黑" w:cs="微软雅黑"/>
          <w:b w:val="0"/>
          <w:i w:val="0"/>
          <w:caps w:val="0"/>
          <w:color w:val="000000"/>
          <w:spacing w:val="0"/>
          <w:sz w:val="24"/>
          <w:szCs w:val="24"/>
          <w:shd w:val="clear" w:fill="FFFFFF"/>
        </w:rPr>
        <w:t>，</w:t>
      </w:r>
      <w:r>
        <w:rPr>
          <w:rFonts w:hint="eastAsia" w:ascii="微软雅黑" w:hAnsi="微软雅黑" w:eastAsia="微软雅黑" w:cs="微软雅黑"/>
          <w:b w:val="0"/>
          <w:i w:val="0"/>
          <w:caps w:val="0"/>
          <w:color w:val="000000"/>
          <w:spacing w:val="0"/>
          <w:sz w:val="24"/>
          <w:szCs w:val="24"/>
          <w:shd w:val="clear" w:fill="FFFFFF"/>
          <w:lang w:eastAsia="zh-CN"/>
        </w:rPr>
        <w:t>这些因素都是</w:t>
      </w:r>
      <w:r>
        <w:rPr>
          <w:rFonts w:hint="eastAsia" w:ascii="微软雅黑" w:hAnsi="微软雅黑" w:eastAsia="微软雅黑" w:cs="微软雅黑"/>
          <w:b w:val="0"/>
          <w:i w:val="0"/>
          <w:caps w:val="0"/>
          <w:color w:val="000000"/>
          <w:spacing w:val="0"/>
          <w:sz w:val="24"/>
          <w:szCs w:val="24"/>
          <w:shd w:val="clear" w:fill="FFFFFF"/>
        </w:rPr>
        <w:t>影响铜市</w:t>
      </w:r>
      <w:r>
        <w:rPr>
          <w:rFonts w:hint="eastAsia" w:ascii="微软雅黑" w:hAnsi="微软雅黑" w:eastAsia="微软雅黑" w:cs="微软雅黑"/>
          <w:b w:val="0"/>
          <w:i w:val="0"/>
          <w:caps w:val="0"/>
          <w:color w:val="000000"/>
          <w:spacing w:val="0"/>
          <w:sz w:val="24"/>
          <w:szCs w:val="24"/>
          <w:shd w:val="clear" w:fill="FFFFFF"/>
          <w:lang w:eastAsia="zh-CN"/>
        </w:rPr>
        <w:t>走势</w:t>
      </w:r>
      <w:r>
        <w:rPr>
          <w:rFonts w:hint="eastAsia" w:ascii="微软雅黑" w:hAnsi="微软雅黑" w:eastAsia="微软雅黑" w:cs="微软雅黑"/>
          <w:b w:val="0"/>
          <w:i w:val="0"/>
          <w:caps w:val="0"/>
          <w:color w:val="000000"/>
          <w:spacing w:val="0"/>
          <w:sz w:val="24"/>
          <w:szCs w:val="24"/>
          <w:shd w:val="clear" w:fill="FFFFFF"/>
        </w:rPr>
        <w:t>的</w:t>
      </w:r>
      <w:r>
        <w:rPr>
          <w:rFonts w:hint="eastAsia" w:ascii="微软雅黑" w:hAnsi="微软雅黑" w:eastAsia="微软雅黑" w:cs="微软雅黑"/>
          <w:b w:val="0"/>
          <w:i w:val="0"/>
          <w:caps w:val="0"/>
          <w:color w:val="000000"/>
          <w:spacing w:val="0"/>
          <w:sz w:val="24"/>
          <w:szCs w:val="24"/>
          <w:shd w:val="clear" w:fill="FFFFFF"/>
          <w:lang w:eastAsia="zh-CN"/>
        </w:rPr>
        <w:t>重</w:t>
      </w:r>
      <w:r>
        <w:rPr>
          <w:rFonts w:hint="eastAsia" w:ascii="微软雅黑" w:hAnsi="微软雅黑" w:eastAsia="微软雅黑" w:cs="微软雅黑"/>
          <w:b w:val="0"/>
          <w:i w:val="0"/>
          <w:caps w:val="0"/>
          <w:color w:val="000000"/>
          <w:spacing w:val="0"/>
          <w:sz w:val="24"/>
          <w:szCs w:val="24"/>
          <w:shd w:val="clear" w:fill="FFFFFF"/>
        </w:rPr>
        <w:t>要因素。</w:t>
      </w:r>
    </w:p>
    <w:p>
      <w:pPr>
        <w:jc w:val="left"/>
        <w:rPr>
          <w:rFonts w:hint="eastAsia" w:ascii="宋体" w:hAnsi="宋体" w:eastAsia="宋体" w:cs="宋体"/>
          <w:b w:val="0"/>
          <w:i w:val="0"/>
          <w:caps w:val="0"/>
          <w:color w:val="000000"/>
          <w:spacing w:val="0"/>
          <w:sz w:val="21"/>
          <w:szCs w:val="21"/>
          <w:shd w:val="clear" w:fill="FFFFFF"/>
        </w:rPr>
      </w:pPr>
    </w:p>
    <w:p>
      <w:pPr>
        <w:jc w:val="left"/>
        <w:rPr>
          <w:rFonts w:hint="eastAsia" w:ascii="宋体" w:hAnsi="宋体" w:eastAsia="宋体" w:cs="宋体"/>
          <w:b/>
          <w:bCs/>
          <w:i w:val="0"/>
          <w:caps w:val="0"/>
          <w:color w:val="000000"/>
          <w:spacing w:val="0"/>
          <w:sz w:val="32"/>
          <w:szCs w:val="32"/>
          <w:shd w:val="clear" w:fill="FFFFFF"/>
          <w:lang w:eastAsia="zh-CN"/>
        </w:rPr>
      </w:pPr>
      <w:r>
        <w:rPr>
          <w:rFonts w:hint="eastAsia" w:ascii="宋体" w:hAnsi="宋体" w:eastAsia="宋体" w:cs="宋体"/>
          <w:b/>
          <w:bCs/>
          <w:i w:val="0"/>
          <w:caps w:val="0"/>
          <w:color w:val="000000"/>
          <w:spacing w:val="0"/>
          <w:sz w:val="32"/>
          <w:szCs w:val="32"/>
          <w:shd w:val="clear" w:fill="FFFFFF"/>
          <w:lang w:eastAsia="zh-CN"/>
        </w:rPr>
        <w:t>一，经济宏观面</w:t>
      </w:r>
    </w:p>
    <w:p>
      <w:pPr>
        <w:ind w:firstLine="480" w:firstLineChars="200"/>
        <w:jc w:val="left"/>
        <w:rPr>
          <w:rFonts w:hint="default" w:ascii="微软雅黑" w:hAnsi="微软雅黑" w:eastAsia="微软雅黑" w:cs="微软雅黑"/>
          <w:b w:val="0"/>
          <w:i w:val="0"/>
          <w:caps w:val="0"/>
          <w:color w:val="000000"/>
          <w:spacing w:val="0"/>
          <w:sz w:val="24"/>
          <w:szCs w:val="24"/>
          <w:shd w:val="clear" w:fill="FFFFFF"/>
          <w:lang w:val="en-US" w:eastAsia="zh-CN"/>
        </w:rPr>
      </w:pPr>
      <w:r>
        <w:rPr>
          <w:rFonts w:hint="eastAsia" w:ascii="微软雅黑" w:hAnsi="微软雅黑" w:eastAsia="微软雅黑" w:cs="微软雅黑"/>
          <w:b w:val="0"/>
          <w:i w:val="0"/>
          <w:caps w:val="0"/>
          <w:color w:val="000000"/>
          <w:spacing w:val="0"/>
          <w:sz w:val="24"/>
          <w:szCs w:val="24"/>
          <w:shd w:val="clear" w:fill="FFFFFF"/>
        </w:rPr>
        <w:t>美国8月</w:t>
      </w:r>
      <w:r>
        <w:rPr>
          <w:rFonts w:hint="eastAsia" w:ascii="微软雅黑" w:hAnsi="微软雅黑" w:eastAsia="微软雅黑" w:cs="微软雅黑"/>
          <w:b w:val="0"/>
          <w:i w:val="0"/>
          <w:caps w:val="0"/>
          <w:color w:val="000000"/>
          <w:spacing w:val="0"/>
          <w:sz w:val="24"/>
          <w:szCs w:val="24"/>
          <w:shd w:val="clear" w:fill="FFFFFF"/>
          <w:lang w:val="en-US" w:eastAsia="zh-CN"/>
        </w:rPr>
        <w:t>MARKIT</w:t>
      </w:r>
      <w:r>
        <w:rPr>
          <w:rFonts w:hint="default" w:ascii="微软雅黑" w:hAnsi="微软雅黑" w:eastAsia="微软雅黑" w:cs="微软雅黑"/>
          <w:b w:val="0"/>
          <w:i w:val="0"/>
          <w:caps w:val="0"/>
          <w:color w:val="000000"/>
          <w:spacing w:val="0"/>
          <w:sz w:val="24"/>
          <w:szCs w:val="24"/>
          <w:shd w:val="clear" w:fill="FFFFFF"/>
        </w:rPr>
        <w:fldChar w:fldCharType="begin"/>
      </w:r>
      <w:r>
        <w:rPr>
          <w:rFonts w:hint="default" w:ascii="微软雅黑" w:hAnsi="微软雅黑" w:eastAsia="微软雅黑" w:cs="微软雅黑"/>
          <w:b w:val="0"/>
          <w:i w:val="0"/>
          <w:caps w:val="0"/>
          <w:color w:val="000000"/>
          <w:spacing w:val="0"/>
          <w:sz w:val="24"/>
          <w:szCs w:val="24"/>
          <w:shd w:val="clear" w:fill="FFFFFF"/>
        </w:rPr>
        <w:instrText xml:space="preserve"> HYPERLINK "http://www.ccmn.cn/products/jxsb/" \t "http://copper.ccmn.cn/copperplfx/2017-08-24/_blank" </w:instrText>
      </w:r>
      <w:r>
        <w:rPr>
          <w:rFonts w:hint="default" w:ascii="微软雅黑" w:hAnsi="微软雅黑" w:eastAsia="微软雅黑" w:cs="微软雅黑"/>
          <w:b w:val="0"/>
          <w:i w:val="0"/>
          <w:caps w:val="0"/>
          <w:color w:val="000000"/>
          <w:spacing w:val="0"/>
          <w:sz w:val="24"/>
          <w:szCs w:val="24"/>
          <w:shd w:val="clear" w:fill="FFFFFF"/>
        </w:rPr>
        <w:fldChar w:fldCharType="separate"/>
      </w:r>
      <w:r>
        <w:rPr>
          <w:rFonts w:hint="default" w:ascii="微软雅黑" w:hAnsi="微软雅黑" w:eastAsia="微软雅黑" w:cs="微软雅黑"/>
          <w:b w:val="0"/>
          <w:i w:val="0"/>
          <w:caps w:val="0"/>
          <w:color w:val="000000"/>
          <w:spacing w:val="0"/>
          <w:sz w:val="24"/>
          <w:szCs w:val="24"/>
          <w:shd w:val="clear" w:fill="FFFFFF"/>
        </w:rPr>
        <w:t>制造业</w:t>
      </w:r>
      <w:r>
        <w:rPr>
          <w:rFonts w:hint="default" w:ascii="微软雅黑" w:hAnsi="微软雅黑" w:eastAsia="微软雅黑" w:cs="微软雅黑"/>
          <w:b w:val="0"/>
          <w:i w:val="0"/>
          <w:caps w:val="0"/>
          <w:color w:val="000000"/>
          <w:spacing w:val="0"/>
          <w:sz w:val="24"/>
          <w:szCs w:val="24"/>
          <w:shd w:val="clear" w:fill="FFFFFF"/>
        </w:rPr>
        <w:fldChar w:fldCharType="end"/>
      </w:r>
      <w:r>
        <w:rPr>
          <w:rFonts w:hint="default" w:ascii="微软雅黑" w:hAnsi="微软雅黑" w:eastAsia="微软雅黑" w:cs="微软雅黑"/>
          <w:b w:val="0"/>
          <w:i w:val="0"/>
          <w:caps w:val="0"/>
          <w:color w:val="000000"/>
          <w:spacing w:val="0"/>
          <w:sz w:val="24"/>
          <w:szCs w:val="24"/>
          <w:shd w:val="clear" w:fill="FFFFFF"/>
        </w:rPr>
        <w:t>PMI初值以及7月季调后新屋销售年化总数，均不及预期和前值，</w:t>
      </w:r>
      <w:r>
        <w:rPr>
          <w:rFonts w:hint="eastAsia" w:ascii="微软雅黑" w:hAnsi="微软雅黑" w:eastAsia="微软雅黑" w:cs="微软雅黑"/>
          <w:b w:val="0"/>
          <w:i w:val="0"/>
          <w:caps w:val="0"/>
          <w:color w:val="000000"/>
          <w:spacing w:val="0"/>
          <w:sz w:val="24"/>
          <w:szCs w:val="24"/>
          <w:shd w:val="clear" w:fill="FFFFFF"/>
          <w:lang w:eastAsia="zh-CN"/>
        </w:rPr>
        <w:t>美元指数走势较弱</w:t>
      </w:r>
      <w:r>
        <w:rPr>
          <w:rFonts w:hint="default" w:ascii="微软雅黑" w:hAnsi="微软雅黑" w:eastAsia="微软雅黑" w:cs="微软雅黑"/>
          <w:b w:val="0"/>
          <w:i w:val="0"/>
          <w:caps w:val="0"/>
          <w:color w:val="000000"/>
          <w:spacing w:val="0"/>
          <w:sz w:val="24"/>
          <w:szCs w:val="24"/>
          <w:shd w:val="clear" w:fill="FFFFFF"/>
        </w:rPr>
        <w:t>。欧洲方面，欧元区、法、德8月制造业PMI初值均超预期。其中欧元区和德国为两个月来新高;法国则创下76个月新高。数据显示欧元区经济依然向好，</w:t>
      </w:r>
      <w:r>
        <w:rPr>
          <w:rFonts w:hint="eastAsia" w:ascii="微软雅黑" w:hAnsi="微软雅黑" w:eastAsia="微软雅黑" w:cs="微软雅黑"/>
          <w:b w:val="0"/>
          <w:i w:val="0"/>
          <w:caps w:val="0"/>
          <w:color w:val="000000"/>
          <w:spacing w:val="0"/>
          <w:sz w:val="24"/>
          <w:szCs w:val="24"/>
          <w:shd w:val="clear" w:fill="FFFFFF"/>
          <w:lang w:eastAsia="zh-CN"/>
        </w:rPr>
        <w:t>欧元</w:t>
      </w:r>
      <w:r>
        <w:rPr>
          <w:rFonts w:hint="eastAsia" w:ascii="微软雅黑" w:hAnsi="微软雅黑" w:eastAsia="微软雅黑" w:cs="微软雅黑"/>
          <w:b w:val="0"/>
          <w:i w:val="0"/>
          <w:caps w:val="0"/>
          <w:color w:val="000000"/>
          <w:spacing w:val="0"/>
          <w:sz w:val="24"/>
          <w:szCs w:val="24"/>
          <w:shd w:val="clear" w:fill="FFFFFF"/>
          <w:lang w:val="en-US" w:eastAsia="zh-CN"/>
        </w:rPr>
        <w:t>4月以来一直处于上涨趋势。</w:t>
      </w:r>
    </w:p>
    <w:p>
      <w:pPr>
        <w:ind w:firstLine="480" w:firstLineChars="200"/>
        <w:jc w:val="left"/>
        <w:rPr>
          <w:rFonts w:hint="eastAsia" w:ascii="微软雅黑" w:hAnsi="微软雅黑" w:eastAsia="微软雅黑" w:cs="微软雅黑"/>
          <w:b w:val="0"/>
          <w:i w:val="0"/>
          <w:caps w:val="0"/>
          <w:color w:val="000000"/>
          <w:spacing w:val="0"/>
          <w:sz w:val="24"/>
          <w:szCs w:val="24"/>
          <w:shd w:val="clear" w:fill="FFFFFF"/>
          <w:lang w:eastAsia="zh-CN"/>
        </w:rPr>
      </w:pPr>
      <w:r>
        <w:rPr>
          <w:rFonts w:ascii="微软雅黑" w:hAnsi="微软雅黑" w:eastAsia="微软雅黑" w:cs="微软雅黑"/>
          <w:b w:val="0"/>
          <w:i w:val="0"/>
          <w:caps w:val="0"/>
          <w:color w:val="000000"/>
          <w:spacing w:val="0"/>
          <w:sz w:val="24"/>
          <w:szCs w:val="24"/>
          <w:shd w:val="clear" w:fill="FFFFFF"/>
        </w:rPr>
        <w:t>今年上半年我国GDP同比增长6.9%</w:t>
      </w:r>
      <w:r>
        <w:rPr>
          <w:rFonts w:hint="eastAsia" w:ascii="微软雅黑" w:hAnsi="微软雅黑" w:eastAsia="微软雅黑" w:cs="微软雅黑"/>
          <w:b w:val="0"/>
          <w:i w:val="0"/>
          <w:caps w:val="0"/>
          <w:color w:val="000000"/>
          <w:spacing w:val="0"/>
          <w:sz w:val="24"/>
          <w:szCs w:val="24"/>
          <w:shd w:val="clear" w:fill="FFFFFF"/>
          <w:lang w:val="en-US" w:eastAsia="zh-CN"/>
        </w:rPr>
        <w:t>,超过预期增长水平，</w:t>
      </w:r>
      <w:r>
        <w:rPr>
          <w:rFonts w:ascii="微软雅黑" w:hAnsi="微软雅黑" w:eastAsia="微软雅黑" w:cs="微软雅黑"/>
          <w:b w:val="0"/>
          <w:i w:val="0"/>
          <w:caps w:val="0"/>
          <w:color w:val="000000"/>
          <w:spacing w:val="0"/>
          <w:sz w:val="24"/>
          <w:szCs w:val="24"/>
          <w:shd w:val="clear" w:fill="FFFFFF"/>
        </w:rPr>
        <w:t>全国规模以上工业增加值同比实际增长6.9%</w:t>
      </w:r>
      <w:r>
        <w:rPr>
          <w:rFonts w:hint="eastAsia" w:ascii="微软雅黑" w:hAnsi="微软雅黑" w:eastAsia="微软雅黑" w:cs="微软雅黑"/>
          <w:b w:val="0"/>
          <w:i w:val="0"/>
          <w:caps w:val="0"/>
          <w:color w:val="000000"/>
          <w:spacing w:val="0"/>
          <w:sz w:val="24"/>
          <w:szCs w:val="24"/>
          <w:shd w:val="clear" w:fill="FFFFFF"/>
          <w:lang w:eastAsia="zh-CN"/>
        </w:rPr>
        <w:t>，</w:t>
      </w:r>
      <w:r>
        <w:rPr>
          <w:rFonts w:ascii="微软雅黑" w:hAnsi="微软雅黑" w:eastAsia="微软雅黑" w:cs="微软雅黑"/>
          <w:b w:val="0"/>
          <w:i w:val="0"/>
          <w:caps w:val="0"/>
          <w:color w:val="000000"/>
          <w:spacing w:val="0"/>
          <w:sz w:val="24"/>
          <w:szCs w:val="24"/>
          <w:shd w:val="clear" w:fill="FFFFFF"/>
        </w:rPr>
        <w:t>全国固定资产投资(不含农户)280605亿元，同比增长8.6%，增速比一季度回落0.6个百分点。</w:t>
      </w:r>
      <w:r>
        <w:rPr>
          <w:rFonts w:hint="eastAsia" w:ascii="微软雅黑" w:hAnsi="微软雅黑" w:eastAsia="微软雅黑" w:cs="微软雅黑"/>
          <w:b w:val="0"/>
          <w:i w:val="0"/>
          <w:caps w:val="0"/>
          <w:color w:val="000000"/>
          <w:spacing w:val="0"/>
          <w:sz w:val="24"/>
          <w:szCs w:val="24"/>
          <w:shd w:val="clear" w:fill="FFFFFF"/>
        </w:rPr>
        <w:t>2017年1-7月份，全国房地产开发投资59761亿元，同比名义增长7.9%。其中，住宅投资40683亿元，增长10.0%，增速回落0.2个百分点；1-7月份，房地产开发企业房屋施工面积707313万平方米，同比增长3.2%，其中，住宅施工面积483145万平方米，增长2.8%。房屋新开工面积100371万平方米，增长8.0%，增速回落2.6个百分点。其中，住宅新开工面积71746万平方米，增长11.9%。房屋竣工面积47021万平方米，增长2.4%，增速回落2.6个百分点。其中，住宅竣工面积33543万平方米，下降0.7%。</w:t>
      </w:r>
    </w:p>
    <w:p>
      <w:pPr>
        <w:jc w:val="left"/>
        <w:rPr>
          <w:rFonts w:hint="eastAsia" w:ascii="Times New Roman" w:eastAsia="微软雅黑" w:cs="Times New Roman"/>
          <w:lang w:val="en-US" w:eastAsia="zh-CN"/>
        </w:rPr>
      </w:pPr>
      <w:r>
        <w:rPr>
          <w:rFonts w:hint="eastAsia" w:ascii="Times New Roman" w:eastAsia="微软雅黑" w:cs="Times New Roman"/>
          <w:lang w:eastAsia="zh-CN"/>
        </w:rPr>
        <w:t>房屋施工面积</w:t>
      </w:r>
      <w:r>
        <w:rPr>
          <w:rFonts w:hint="eastAsia" w:ascii="Times New Roman" w:eastAsia="微软雅黑" w:cs="Times New Roman"/>
          <w:lang w:val="en-US" w:eastAsia="zh-CN"/>
        </w:rPr>
        <w:t xml:space="preserve">                                    房屋竣工面积</w:t>
      </w:r>
    </w:p>
    <w:p>
      <w:pPr>
        <w:jc w:val="left"/>
        <w:rPr>
          <w:rFonts w:hint="eastAsia" w:ascii="微软雅黑" w:hAnsi="微软雅黑" w:eastAsia="微软雅黑" w:cs="微软雅黑"/>
          <w:b w:val="0"/>
          <w:i w:val="0"/>
          <w:caps w:val="0"/>
          <w:color w:val="4C4C4C"/>
          <w:spacing w:val="0"/>
          <w:sz w:val="24"/>
          <w:szCs w:val="24"/>
          <w:highlight w:val="yellow"/>
          <w:shd w:val="clear" w:fill="FFFFFF"/>
          <w:lang w:val="en-US" w:eastAsia="zh-CN"/>
        </w:rPr>
      </w:pPr>
      <w:r>
        <w:rPr>
          <w:rFonts w:hint="eastAsia" w:ascii="Times New Roman" w:eastAsia="微软雅黑" w:cs="Times New Roman"/>
          <w:lang w:eastAsia="zh-CN"/>
        </w:rPr>
        <w:drawing>
          <wp:inline distT="0" distB="0" distL="114300" distR="114300">
            <wp:extent cx="6154420" cy="2522855"/>
            <wp:effectExtent l="0" t="0" r="17780" b="10795"/>
            <wp:docPr id="6" name="图片 6" descr="QQ截图20170905151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Q截图20170905151911"/>
                    <pic:cNvPicPr>
                      <a:picLocks noChangeAspect="1"/>
                    </pic:cNvPicPr>
                  </pic:nvPicPr>
                  <pic:blipFill>
                    <a:blip r:embed="rId5"/>
                    <a:stretch>
                      <a:fillRect/>
                    </a:stretch>
                  </pic:blipFill>
                  <pic:spPr>
                    <a:xfrm>
                      <a:off x="0" y="0"/>
                      <a:ext cx="6154420" cy="2522855"/>
                    </a:xfrm>
                    <a:prstGeom prst="rect">
                      <a:avLst/>
                    </a:prstGeom>
                  </pic:spPr>
                </pic:pic>
              </a:graphicData>
            </a:graphic>
          </wp:inline>
        </w:drawing>
      </w:r>
    </w:p>
    <w:p>
      <w:pPr>
        <w:jc w:val="left"/>
        <w:rPr>
          <w:rFonts w:hint="eastAsia" w:ascii="宋体" w:hAnsi="宋体" w:eastAsia="宋体" w:cs="宋体"/>
          <w:b/>
          <w:bCs/>
          <w:i w:val="0"/>
          <w:caps w:val="0"/>
          <w:color w:val="000000"/>
          <w:spacing w:val="0"/>
          <w:sz w:val="32"/>
          <w:szCs w:val="32"/>
          <w:shd w:val="clear" w:fill="FFFFFF"/>
          <w:lang w:val="en-US" w:eastAsia="zh-CN"/>
        </w:rPr>
      </w:pPr>
    </w:p>
    <w:p>
      <w:pPr>
        <w:jc w:val="left"/>
        <w:rPr>
          <w:rFonts w:hint="eastAsia" w:ascii="宋体" w:hAnsi="宋体" w:eastAsia="宋体" w:cs="宋体"/>
          <w:b/>
          <w:bCs/>
          <w:i w:val="0"/>
          <w:caps w:val="0"/>
          <w:color w:val="000000"/>
          <w:spacing w:val="0"/>
          <w:sz w:val="32"/>
          <w:szCs w:val="32"/>
          <w:shd w:val="clear" w:fill="FFFFFF"/>
          <w:lang w:val="en-US" w:eastAsia="zh-CN"/>
        </w:rPr>
      </w:pPr>
    </w:p>
    <w:p>
      <w:pPr>
        <w:jc w:val="left"/>
        <w:rPr>
          <w:rFonts w:hint="eastAsia" w:ascii="宋体" w:hAnsi="宋体" w:eastAsia="宋体" w:cs="宋体"/>
          <w:b/>
          <w:bCs/>
          <w:i w:val="0"/>
          <w:caps w:val="0"/>
          <w:color w:val="000000"/>
          <w:spacing w:val="0"/>
          <w:sz w:val="32"/>
          <w:szCs w:val="32"/>
          <w:shd w:val="clear" w:fill="FFFFFF"/>
          <w:lang w:val="en-US" w:eastAsia="zh-CN"/>
        </w:rPr>
      </w:pPr>
      <w:r>
        <w:rPr>
          <w:rFonts w:hint="eastAsia" w:ascii="宋体" w:hAnsi="宋体" w:eastAsia="宋体" w:cs="宋体"/>
          <w:b/>
          <w:bCs/>
          <w:i w:val="0"/>
          <w:caps w:val="0"/>
          <w:color w:val="000000"/>
          <w:spacing w:val="0"/>
          <w:sz w:val="32"/>
          <w:szCs w:val="32"/>
          <w:shd w:val="clear" w:fill="FFFFFF"/>
          <w:lang w:val="en-US" w:eastAsia="zh-CN"/>
        </w:rPr>
        <w:t>二，铜矿供给影响因素多</w:t>
      </w:r>
    </w:p>
    <w:p>
      <w:pPr>
        <w:jc w:val="left"/>
        <w:rPr>
          <w:rFonts w:hint="eastAsia" w:ascii="微软雅黑" w:hAnsi="微软雅黑" w:eastAsia="微软雅黑" w:cs="微软雅黑"/>
          <w:b/>
          <w:bCs/>
          <w:i w:val="0"/>
          <w:caps w:val="0"/>
          <w:color w:val="000000"/>
          <w:spacing w:val="0"/>
          <w:kern w:val="2"/>
          <w:sz w:val="24"/>
          <w:szCs w:val="24"/>
          <w:shd w:val="clear" w:fill="FFFFFF"/>
          <w:lang w:val="en-US" w:eastAsia="zh-CN" w:bidi="ar-SA"/>
        </w:rPr>
      </w:pPr>
      <w:r>
        <w:rPr>
          <w:rFonts w:hint="eastAsia" w:ascii="微软雅黑" w:hAnsi="微软雅黑" w:eastAsia="微软雅黑" w:cs="微软雅黑"/>
          <w:b/>
          <w:bCs/>
          <w:i w:val="0"/>
          <w:caps w:val="0"/>
          <w:color w:val="000000"/>
          <w:spacing w:val="0"/>
          <w:kern w:val="2"/>
          <w:sz w:val="24"/>
          <w:szCs w:val="24"/>
          <w:shd w:val="clear" w:fill="FFFFFF"/>
          <w:lang w:val="en-US" w:eastAsia="zh-CN" w:bidi="ar-SA"/>
        </w:rPr>
        <w:t>2.1，矿铜供给短缺</w:t>
      </w:r>
    </w:p>
    <w:p>
      <w:pPr>
        <w:ind w:firstLine="480" w:firstLineChars="200"/>
        <w:rPr>
          <w:rFonts w:hint="eastAsia" w:ascii="微软雅黑" w:hAnsi="微软雅黑" w:eastAsia="微软雅黑" w:cs="微软雅黑"/>
          <w:b w:val="0"/>
          <w:i w:val="0"/>
          <w:caps w:val="0"/>
          <w:color w:val="000000"/>
          <w:spacing w:val="0"/>
          <w:kern w:val="2"/>
          <w:sz w:val="24"/>
          <w:szCs w:val="24"/>
          <w:highlight w:val="yellow"/>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WBMS数据显示</w:t>
      </w:r>
      <w:r>
        <w:rPr>
          <w:rFonts w:hint="eastAsia" w:ascii="微软雅黑" w:hAnsi="微软雅黑" w:eastAsia="微软雅黑" w:cs="微软雅黑"/>
          <w:b w:val="0"/>
          <w:i w:val="0"/>
          <w:caps w:val="0"/>
          <w:color w:val="000000"/>
          <w:spacing w:val="0"/>
          <w:sz w:val="24"/>
          <w:szCs w:val="24"/>
        </w:rPr>
        <w:t>，2017年上半年全球铜矿产量</w:t>
      </w:r>
      <w:r>
        <w:rPr>
          <w:rFonts w:hint="eastAsia" w:ascii="微软雅黑" w:hAnsi="微软雅黑" w:eastAsia="微软雅黑" w:cs="微软雅黑"/>
          <w:b w:val="0"/>
          <w:i w:val="0"/>
          <w:caps w:val="0"/>
          <w:color w:val="000000"/>
          <w:spacing w:val="0"/>
          <w:sz w:val="24"/>
          <w:szCs w:val="24"/>
          <w:lang w:val="en-US" w:eastAsia="zh-CN"/>
        </w:rPr>
        <w:t>,</w:t>
      </w:r>
      <w:r>
        <w:rPr>
          <w:rFonts w:hint="eastAsia" w:ascii="微软雅黑" w:hAnsi="微软雅黑" w:eastAsia="微软雅黑" w:cs="微软雅黑"/>
          <w:b w:val="0"/>
          <w:i w:val="0"/>
          <w:caps w:val="0"/>
          <w:color w:val="000000"/>
          <w:spacing w:val="0"/>
          <w:sz w:val="24"/>
          <w:szCs w:val="24"/>
        </w:rPr>
        <w:t>为1,010万吨</w:t>
      </w:r>
      <w:r>
        <w:rPr>
          <w:rFonts w:hint="eastAsia" w:ascii="微软雅黑" w:hAnsi="微软雅黑" w:eastAsia="微软雅黑" w:cs="微软雅黑"/>
          <w:b w:val="0"/>
          <w:i w:val="0"/>
          <w:caps w:val="0"/>
          <w:color w:val="000000"/>
          <w:spacing w:val="0"/>
          <w:sz w:val="24"/>
          <w:szCs w:val="24"/>
          <w:lang w:eastAsia="zh-CN"/>
        </w:rPr>
        <w:t>，</w:t>
      </w:r>
      <w:r>
        <w:rPr>
          <w:rFonts w:hint="eastAsia" w:ascii="微软雅黑" w:hAnsi="微软雅黑" w:eastAsia="微软雅黑" w:cs="微软雅黑"/>
          <w:b w:val="0"/>
          <w:i w:val="0"/>
          <w:caps w:val="0"/>
          <w:color w:val="000000"/>
          <w:spacing w:val="0"/>
          <w:sz w:val="24"/>
          <w:szCs w:val="24"/>
        </w:rPr>
        <w:t>1-6月全球铜消费量为1,171万吨，去年同期为1,188万吨，同比减少1.4%。</w:t>
      </w:r>
      <w:r>
        <w:rPr>
          <w:rFonts w:hint="eastAsia" w:ascii="微软雅黑" w:hAnsi="微软雅黑" w:eastAsia="微软雅黑" w:cs="微软雅黑"/>
          <w:b w:val="0"/>
          <w:i w:val="0"/>
          <w:caps w:val="0"/>
          <w:color w:val="000000"/>
          <w:spacing w:val="0"/>
          <w:sz w:val="24"/>
          <w:szCs w:val="24"/>
          <w:lang w:eastAsia="zh-CN"/>
        </w:rPr>
        <w:t>上半年</w:t>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全球铜市场供应短缺6.5万吨，而2016年全年铜市场的短缺量也才6.9万吨，这进一步反映出今年铜矿供给缺口正在逐渐被拉大，且未来两年内全球新增产能甚少，加之诸多影响铜供应的变量因素，铜产量的增长将非常有限，全球铜矿市场再次陷入以供给为主导的短缺局面。据ICSG统计，2017—2018年全球仅有8个主要铜矿项目投产，合计新增产能85.7万吨；拟建项目有6个，新增产能也仅有48.2万吨。加之今年上半年铜矿供应端罢工干扰频频，因此供应端增速放缓。铜矿行业集中度比较高，全球前20大铜矿企业2016年产量占比为70%。全球第一大铜矿企业智利铜业上半年产量较去年同期减少10.6万吨，主要由于在产矿山品位下降，开采成本提高，需要大量投资来延长矿山生产寿命周期。　</w:t>
      </w:r>
    </w:p>
    <w:p>
      <w:pPr>
        <w:jc w:val="left"/>
        <w:rPr>
          <w:rFonts w:hint="eastAsia" w:ascii="微软雅黑" w:hAnsi="微软雅黑" w:eastAsia="微软雅黑" w:cs="微软雅黑"/>
          <w:b/>
          <w:bCs/>
          <w:i w:val="0"/>
          <w:caps w:val="0"/>
          <w:color w:val="000000"/>
          <w:spacing w:val="0"/>
          <w:kern w:val="2"/>
          <w:sz w:val="24"/>
          <w:szCs w:val="24"/>
          <w:shd w:val="clear" w:fill="FFFFFF"/>
          <w:lang w:val="en-US" w:eastAsia="zh-CN" w:bidi="ar-SA"/>
        </w:rPr>
      </w:pPr>
      <w:r>
        <w:rPr>
          <w:rFonts w:hint="eastAsia" w:ascii="微软雅黑" w:hAnsi="微软雅黑" w:eastAsia="微软雅黑" w:cs="微软雅黑"/>
          <w:b/>
          <w:bCs/>
          <w:i w:val="0"/>
          <w:caps w:val="0"/>
          <w:color w:val="000000"/>
          <w:spacing w:val="0"/>
          <w:kern w:val="2"/>
          <w:sz w:val="24"/>
          <w:szCs w:val="24"/>
          <w:shd w:val="clear" w:fill="FFFFFF"/>
          <w:lang w:val="en-US" w:eastAsia="zh-CN" w:bidi="ar-SA"/>
        </w:rPr>
        <w:t>2.2，精铜增速放缓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5" w:lineRule="atLeast"/>
        <w:ind w:right="0" w:firstLine="480" w:firstLineChars="200"/>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 xml:space="preserve">精炼铜方面，预计今年全年精炼铜产量为2374.8万吨，同比增长1.8%， 2018年，世界精炼铜产量（除中国）将保持现有水平，增量将主要来自中国。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5" w:lineRule="atLeast"/>
        <w:ind w:right="0" w:firstLine="480" w:firstLineChars="200"/>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 xml:space="preserve">   </w:t>
      </w:r>
      <w:r>
        <w:rPr>
          <w:rFonts w:hint="eastAsia" w:ascii="微软雅黑" w:hAnsi="微软雅黑" w:eastAsia="微软雅黑" w:cs="微软雅黑"/>
          <w:b w:val="0"/>
          <w:i w:val="0"/>
          <w:caps w:val="0"/>
          <w:color w:val="666666"/>
          <w:spacing w:val="0"/>
          <w:kern w:val="0"/>
          <w:sz w:val="18"/>
          <w:szCs w:val="18"/>
          <w:lang w:val="en-US" w:eastAsia="zh-CN" w:bidi="ar"/>
        </w:rPr>
        <w:drawing>
          <wp:inline distT="0" distB="0" distL="114300" distR="114300">
            <wp:extent cx="5060315" cy="2760345"/>
            <wp:effectExtent l="0" t="0" r="6985" b="1905"/>
            <wp:docPr id="1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descr="IMG_261"/>
                    <pic:cNvPicPr>
                      <a:picLocks noChangeAspect="1"/>
                    </pic:cNvPicPr>
                  </pic:nvPicPr>
                  <pic:blipFill>
                    <a:blip r:embed="rId6"/>
                    <a:stretch>
                      <a:fillRect/>
                    </a:stretch>
                  </pic:blipFill>
                  <pic:spPr>
                    <a:xfrm>
                      <a:off x="0" y="0"/>
                      <a:ext cx="5060315" cy="276034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5" w:lineRule="atLeast"/>
        <w:ind w:right="0"/>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666666"/>
          <w:spacing w:val="0"/>
          <w:kern w:val="0"/>
          <w:sz w:val="18"/>
          <w:szCs w:val="18"/>
          <w:lang w:val="en-US" w:eastAsia="zh-CN" w:bidi="ar"/>
        </w:rPr>
        <w:t xml:space="preserve">        </w:t>
      </w:r>
      <w:r>
        <w:rPr>
          <w:rFonts w:hint="eastAsia" w:ascii="微软雅黑" w:hAnsi="微软雅黑" w:eastAsia="微软雅黑" w:cs="微软雅黑"/>
          <w:b w:val="0"/>
          <w:i w:val="0"/>
          <w:caps w:val="0"/>
          <w:color w:val="666666"/>
          <w:spacing w:val="0"/>
          <w:kern w:val="0"/>
          <w:sz w:val="18"/>
          <w:szCs w:val="18"/>
          <w:lang w:val="en-US" w:eastAsia="zh-CN" w:bidi="ar"/>
        </w:rPr>
        <w:drawing>
          <wp:inline distT="0" distB="0" distL="114300" distR="114300">
            <wp:extent cx="5238750" cy="2857500"/>
            <wp:effectExtent l="0" t="0" r="0" b="0"/>
            <wp:docPr id="3"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7" descr="IMG_282"/>
                    <pic:cNvPicPr>
                      <a:picLocks noChangeAspect="1"/>
                    </pic:cNvPicPr>
                  </pic:nvPicPr>
                  <pic:blipFill>
                    <a:blip r:embed="rId7"/>
                    <a:stretch>
                      <a:fillRect/>
                    </a:stretch>
                  </pic:blipFill>
                  <pic:spPr>
                    <a:xfrm>
                      <a:off x="0" y="0"/>
                      <a:ext cx="5238750" cy="28575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5" w:lineRule="atLeast"/>
        <w:ind w:right="0"/>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666666"/>
          <w:spacing w:val="0"/>
          <w:kern w:val="0"/>
          <w:sz w:val="18"/>
          <w:szCs w:val="18"/>
          <w:lang w:val="en-US" w:eastAsia="zh-CN" w:bidi="ar"/>
        </w:rPr>
        <w:t xml:space="preserve">        </w:t>
      </w:r>
      <w:r>
        <w:rPr>
          <w:rFonts w:hint="eastAsia" w:ascii="微软雅黑" w:hAnsi="微软雅黑" w:eastAsia="微软雅黑" w:cs="微软雅黑"/>
          <w:b w:val="0"/>
          <w:i w:val="0"/>
          <w:caps w:val="0"/>
          <w:color w:val="666666"/>
          <w:spacing w:val="0"/>
          <w:kern w:val="0"/>
          <w:sz w:val="18"/>
          <w:szCs w:val="18"/>
          <w:lang w:val="en-US" w:eastAsia="zh-CN" w:bidi="ar"/>
        </w:rPr>
        <w:drawing>
          <wp:inline distT="0" distB="0" distL="114300" distR="114300">
            <wp:extent cx="5238750" cy="2857500"/>
            <wp:effectExtent l="0" t="0" r="0" b="0"/>
            <wp:docPr id="7"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6" descr="IMG_281"/>
                    <pic:cNvPicPr>
                      <a:picLocks noChangeAspect="1"/>
                    </pic:cNvPicPr>
                  </pic:nvPicPr>
                  <pic:blipFill>
                    <a:blip r:embed="rId8"/>
                    <a:stretch>
                      <a:fillRect/>
                    </a:stretch>
                  </pic:blipFill>
                  <pic:spPr>
                    <a:xfrm>
                      <a:off x="0" y="0"/>
                      <a:ext cx="5238750" cy="2857500"/>
                    </a:xfrm>
                    <a:prstGeom prst="rect">
                      <a:avLst/>
                    </a:prstGeom>
                    <a:noFill/>
                    <a:ln w="9525">
                      <a:noFill/>
                    </a:ln>
                  </pic:spPr>
                </pic:pic>
              </a:graphicData>
            </a:graphic>
          </wp:inline>
        </w:drawing>
      </w:r>
    </w:p>
    <w:p>
      <w:pPr>
        <w:jc w:val="left"/>
        <w:rPr>
          <w:rFonts w:hint="eastAsia" w:ascii="微软雅黑" w:hAnsi="微软雅黑" w:eastAsia="微软雅黑" w:cs="微软雅黑"/>
          <w:b/>
          <w:bCs/>
          <w:i w:val="0"/>
          <w:caps w:val="0"/>
          <w:color w:val="000000"/>
          <w:spacing w:val="0"/>
          <w:kern w:val="2"/>
          <w:sz w:val="24"/>
          <w:szCs w:val="24"/>
          <w:shd w:val="clear" w:fill="FFFFFF"/>
          <w:lang w:val="en-US" w:eastAsia="zh-CN" w:bidi="ar-SA"/>
        </w:rPr>
      </w:pPr>
      <w:r>
        <w:rPr>
          <w:rFonts w:hint="eastAsia" w:ascii="微软雅黑" w:hAnsi="微软雅黑" w:eastAsia="微软雅黑" w:cs="微软雅黑"/>
          <w:b/>
          <w:bCs/>
          <w:i w:val="0"/>
          <w:caps w:val="0"/>
          <w:color w:val="000000"/>
          <w:spacing w:val="0"/>
          <w:kern w:val="2"/>
          <w:sz w:val="24"/>
          <w:szCs w:val="24"/>
          <w:shd w:val="clear" w:fill="FFFFFF"/>
          <w:lang w:val="en-US" w:eastAsia="zh-CN" w:bidi="ar-SA"/>
        </w:rPr>
        <w:t>2.3 中国禁止进口“废七类”</w:t>
      </w:r>
    </w:p>
    <w:p>
      <w:pPr>
        <w:ind w:firstLine="480" w:firstLineChars="200"/>
        <w:jc w:val="left"/>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海关数据显示，去年全年中国废铜进口量大约335万吨（实物量），其中六类废料和七类废料的含铜量分别大约为80万吨和30万吨左右；今年上半年甚至较去年同期进口量出现增长，因此预计今年废铜进口量可能会达到360万吨。这就意味着，如果七类废料进口取消，将影响30万吨左右铜金属的进口，从数据来看并不大，但对海外废金属市场贸易格局、对七类固废进口企业以及再生铜企业废铜供应渠道将发生很大的影响，国内废杂铜将成为再生铜产业的重要支撑。一旦废铜进口被完全取消，中国市场上的废铜供给将出现超过10%的缺口，届时必然会引发供给紧缩。</w:t>
      </w:r>
    </w:p>
    <w:p>
      <w:pPr>
        <w:jc w:val="left"/>
        <w:rPr>
          <w:rFonts w:hint="eastAsia" w:ascii="微软雅黑" w:hAnsi="微软雅黑" w:eastAsia="微软雅黑" w:cs="微软雅黑"/>
          <w:b/>
          <w:bCs/>
          <w:i w:val="0"/>
          <w:caps w:val="0"/>
          <w:color w:val="000000"/>
          <w:spacing w:val="0"/>
          <w:kern w:val="2"/>
          <w:sz w:val="24"/>
          <w:szCs w:val="24"/>
          <w:shd w:val="clear" w:fill="FFFFFF"/>
          <w:lang w:val="en-US" w:eastAsia="zh-CN" w:bidi="ar-SA"/>
        </w:rPr>
      </w:pPr>
      <w:r>
        <w:rPr>
          <w:rFonts w:hint="eastAsia" w:ascii="微软雅黑" w:hAnsi="微软雅黑" w:eastAsia="微软雅黑" w:cs="微软雅黑"/>
          <w:b/>
          <w:bCs/>
          <w:i w:val="0"/>
          <w:caps w:val="0"/>
          <w:color w:val="000000"/>
          <w:spacing w:val="0"/>
          <w:kern w:val="2"/>
          <w:sz w:val="24"/>
          <w:szCs w:val="24"/>
          <w:shd w:val="clear" w:fill="FFFFFF"/>
          <w:lang w:val="en-US" w:eastAsia="zh-CN" w:bidi="ar-SA"/>
        </w:rPr>
        <w:t>2.4，TC/RC费用下滑导致我国铜精矿进口增速放缓</w:t>
      </w:r>
    </w:p>
    <w:p>
      <w:pPr>
        <w:ind w:firstLine="480" w:firstLineChars="200"/>
        <w:jc w:val="left"/>
        <w:rPr>
          <w:rFonts w:hint="eastAsia" w:ascii="微软雅黑" w:hAnsi="微软雅黑" w:eastAsia="微软雅黑" w:cs="微软雅黑"/>
          <w:b w:val="0"/>
          <w:i w:val="0"/>
          <w:caps w:val="0"/>
          <w:color w:val="000000"/>
          <w:spacing w:val="0"/>
          <w:sz w:val="24"/>
          <w:szCs w:val="24"/>
          <w:lang w:val="en-US" w:eastAsia="zh-CN"/>
        </w:rPr>
      </w:pPr>
      <w:r>
        <w:rPr>
          <w:rFonts w:hint="eastAsia" w:ascii="微软雅黑" w:hAnsi="微软雅黑" w:eastAsia="微软雅黑" w:cs="微软雅黑"/>
          <w:b w:val="0"/>
          <w:i w:val="0"/>
          <w:caps w:val="0"/>
          <w:color w:val="000000"/>
          <w:spacing w:val="0"/>
          <w:sz w:val="24"/>
          <w:szCs w:val="24"/>
          <w:lang w:val="en-US" w:eastAsia="zh-CN"/>
        </w:rPr>
        <w:t>随着中国铜冶炼产能的不断扩大，中国铜精矿进口依赖度逐年上升，今年1-5月铜矿砂累计进口量为682万吨，同比增加2.38</w:t>
      </w:r>
      <w:r>
        <w:rPr>
          <w:rFonts w:hint="eastAsia" w:ascii="微软雅黑" w:hAnsi="微软雅黑" w:eastAsia="微软雅黑" w:cs="微软雅黑"/>
          <w:b w:val="0"/>
          <w:i w:val="0"/>
          <w:caps w:val="0"/>
          <w:color w:val="000000"/>
          <w:spacing w:val="0"/>
          <w:sz w:val="24"/>
          <w:szCs w:val="24"/>
        </w:rPr>
        <w:t>%，为连续27个月增加，但增速创27个月来新低，因进口自智利的铜矿降至167.5万吨，同比下滑9.6%(去年同期同比增长33.94%)，其进口比例降至24.56%，而进口自秘鲁的铜矿为210万吨，进口比例升至30.79%，同比增长24.15%，亦低于去年同期的92.69%。中国铜精矿进口量增速放缓主要受铜精矿TC/RC价格自高位回落打压。2017年江西铜业与自由港墨伦公司达成的协议是，铜精矿加工精炼费用(TC/RC)较2016年下调5%，粗炼费为92.50美元/吨，精炼费9.25美分/磅。一般来说TC/RC费用与铜精矿的供应成正比，因此TC/RC费用下滑意味着全球铜矿供应相对紧张。短单来看，今年5月我国铜精矿TC/RC费用降至80美元/吨，接近于年内3月创下的记录低点71.5美元/吨。</w:t>
      </w:r>
      <w:r>
        <w:rPr>
          <w:rFonts w:hint="eastAsia" w:ascii="微软雅黑" w:hAnsi="微软雅黑" w:eastAsia="微软雅黑" w:cs="微软雅黑"/>
          <w:b w:val="0"/>
          <w:i w:val="0"/>
          <w:caps w:val="0"/>
          <w:color w:val="000000"/>
          <w:spacing w:val="0"/>
          <w:sz w:val="24"/>
          <w:szCs w:val="24"/>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225" w:afterAutospacing="0" w:line="420" w:lineRule="atLeast"/>
        <w:ind w:left="0" w:right="0" w:firstLine="480"/>
        <w:rPr>
          <w:sz w:val="24"/>
          <w:szCs w:val="24"/>
        </w:rPr>
      </w:pPr>
      <w:r>
        <w:rPr>
          <w:rFonts w:hint="eastAsia" w:ascii="微软雅黑" w:hAnsi="微软雅黑" w:eastAsia="微软雅黑" w:cs="微软雅黑"/>
          <w:b w:val="0"/>
          <w:i w:val="0"/>
          <w:caps w:val="0"/>
          <w:color w:val="666666"/>
          <w:spacing w:val="0"/>
          <w:kern w:val="0"/>
          <w:sz w:val="18"/>
          <w:szCs w:val="18"/>
          <w:lang w:val="en-US" w:eastAsia="zh-CN" w:bidi="ar"/>
        </w:rPr>
        <w:t xml:space="preserve">  </w:t>
      </w:r>
      <w:r>
        <w:rPr>
          <w:rFonts w:hint="eastAsia" w:ascii="微软雅黑" w:hAnsi="微软雅黑" w:eastAsia="微软雅黑" w:cs="微软雅黑"/>
          <w:b w:val="0"/>
          <w:i w:val="0"/>
          <w:caps w:val="0"/>
          <w:color w:val="666666"/>
          <w:spacing w:val="0"/>
          <w:kern w:val="0"/>
          <w:sz w:val="18"/>
          <w:szCs w:val="18"/>
          <w:lang w:val="en-US" w:eastAsia="zh-CN" w:bidi="ar"/>
        </w:rPr>
        <w:drawing>
          <wp:inline distT="0" distB="0" distL="114300" distR="114300">
            <wp:extent cx="5238750" cy="2857500"/>
            <wp:effectExtent l="0" t="0" r="0" b="0"/>
            <wp:docPr id="11"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4" descr="IMG_279"/>
                    <pic:cNvPicPr>
                      <a:picLocks noChangeAspect="1"/>
                    </pic:cNvPicPr>
                  </pic:nvPicPr>
                  <pic:blipFill>
                    <a:blip r:embed="rId9"/>
                    <a:stretch>
                      <a:fillRect/>
                    </a:stretch>
                  </pic:blipFill>
                  <pic:spPr>
                    <a:xfrm>
                      <a:off x="0" y="0"/>
                      <a:ext cx="5238750" cy="2857500"/>
                    </a:xfrm>
                    <a:prstGeom prst="rect">
                      <a:avLst/>
                    </a:prstGeom>
                    <a:noFill/>
                    <a:ln w="9525">
                      <a:noFill/>
                    </a:ln>
                  </pic:spPr>
                </pic:pic>
              </a:graphicData>
            </a:graphic>
          </wp:inline>
        </w:drawing>
      </w:r>
    </w:p>
    <w:p>
      <w:pPr>
        <w:jc w:val="left"/>
        <w:rPr>
          <w:rFonts w:hint="eastAsia" w:ascii="微软雅黑" w:hAnsi="微软雅黑" w:eastAsia="微软雅黑" w:cs="微软雅黑"/>
          <w:b/>
          <w:bCs/>
          <w:i w:val="0"/>
          <w:caps w:val="0"/>
          <w:color w:val="000000"/>
          <w:spacing w:val="0"/>
          <w:kern w:val="2"/>
          <w:sz w:val="24"/>
          <w:szCs w:val="24"/>
          <w:shd w:val="clear" w:fill="FFFFFF"/>
          <w:lang w:val="en-US" w:eastAsia="zh-CN" w:bidi="ar-SA"/>
        </w:rPr>
      </w:pPr>
      <w:r>
        <w:rPr>
          <w:rFonts w:hint="eastAsia" w:ascii="微软雅黑" w:hAnsi="微软雅黑" w:eastAsia="微软雅黑" w:cs="微软雅黑"/>
          <w:b/>
          <w:bCs/>
          <w:i w:val="0"/>
          <w:caps w:val="0"/>
          <w:color w:val="000000"/>
          <w:spacing w:val="0"/>
          <w:kern w:val="2"/>
          <w:sz w:val="24"/>
          <w:szCs w:val="24"/>
          <w:shd w:val="clear" w:fill="FFFFFF"/>
          <w:lang w:val="en-US" w:eastAsia="zh-CN" w:bidi="ar-SA"/>
        </w:rPr>
        <w:t>2.5，废铜对精铜的替代作用增强</w:t>
      </w:r>
    </w:p>
    <w:p>
      <w:pPr>
        <w:ind w:firstLine="480" w:firstLineChars="20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lang w:val="en-US" w:eastAsia="zh-CN"/>
        </w:rPr>
        <w:t>SMM数据显示，今年1-7月份平均精废价差为1756元/吨，同比扩张524元/吨。一是由于精废价差扩张，而是铜价上涨后终端企业处于节省成本的考虑，对废铜制杆的需求增强，上半年废铜对精</w:t>
      </w:r>
      <w:r>
        <w:rPr>
          <w:rFonts w:hint="eastAsia" w:ascii="微软雅黑" w:hAnsi="微软雅黑" w:eastAsia="微软雅黑" w:cs="微软雅黑"/>
          <w:b w:val="0"/>
          <w:i w:val="0"/>
          <w:caps w:val="0"/>
          <w:color w:val="000000"/>
          <w:spacing w:val="0"/>
          <w:sz w:val="24"/>
          <w:szCs w:val="24"/>
        </w:rPr>
        <w:t>铜的替代性增强。同时江西、安徽等地对使用再生资源加工企业实行地方政府优惠政策，退税后企业缴纳增值税6.5左右，刺激大量企业在两地建厂，根据有色网了解，今年30台反射炉在江西投产，产能15万吨左右。6月SMM曾调研过全国13家废铜制杆企业，开工率75.59%，较精铜制杆企业高近3个百分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5" w:lineRule="atLeast"/>
        <w:ind w:right="0" w:firstLine="480" w:firstLineChars="200"/>
        <w:rPr>
          <w:rFonts w:hint="eastAsia" w:ascii="宋体" w:hAnsi="宋体" w:eastAsia="宋体" w:cs="宋体"/>
          <w:b w:val="0"/>
          <w:i w:val="0"/>
          <w:caps w:val="0"/>
          <w:color w:val="000000"/>
          <w:spacing w:val="0"/>
          <w:sz w:val="21"/>
          <w:szCs w:val="21"/>
          <w:shd w:val="clear" w:fill="FFFFFF"/>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供给综合来看，上半年主要铜矿供给国家受工人罢工、交通运输、电力供应不足、天气原因等因素影响，铜矿产量下降，下半年的状况也不会太好，按ICSG预测，全球矿山老龄化和资源枯竭趋势越来越严重，在产矿山品位下降，未来铜矿投产项目减少，且新发现矿山品位不佳，进一步限制全球铜精矿供应增长，预计2018年到2019年铜矿供应达到顶峰，未来铜矿供应紧缩将继续支撑铜价上涨。从冶炼厂来看，冶炼厂是赚加工费，也就是TC/RC，今年受铜矿罢工事件影响，无论是长单还是零单TC同比都有所下降，也会影响进口的积极性，国内冶炼厂产能利用率难以回升。数据显示，冶炼厂当前产能利用率在80%左右，低于2016年86%的平均水平。虽说下半年国内有近45万吨新增产能投放，但实际产量增长必然受到铜精矿供应的制约，下半年全球精炼铜产量增速将大幅放缓。</w:t>
      </w:r>
    </w:p>
    <w:p>
      <w:pPr>
        <w:jc w:val="left"/>
        <w:rPr>
          <w:rFonts w:hint="eastAsia" w:ascii="宋体" w:hAnsi="宋体" w:eastAsia="宋体" w:cs="宋体"/>
          <w:b/>
          <w:bCs/>
          <w:i w:val="0"/>
          <w:caps w:val="0"/>
          <w:color w:val="000000"/>
          <w:spacing w:val="0"/>
          <w:sz w:val="32"/>
          <w:szCs w:val="32"/>
          <w:shd w:val="clear" w:fill="FFFFFF"/>
          <w:lang w:val="en-US" w:eastAsia="zh-CN"/>
        </w:rPr>
      </w:pPr>
      <w:r>
        <w:rPr>
          <w:rFonts w:hint="eastAsia" w:ascii="宋体" w:hAnsi="宋体" w:eastAsia="宋体" w:cs="宋体"/>
          <w:b/>
          <w:bCs/>
          <w:i w:val="0"/>
          <w:caps w:val="0"/>
          <w:color w:val="000000"/>
          <w:spacing w:val="0"/>
          <w:sz w:val="32"/>
          <w:szCs w:val="32"/>
          <w:shd w:val="clear" w:fill="FFFFFF"/>
          <w:lang w:val="en-US" w:eastAsia="zh-CN"/>
        </w:rPr>
        <w:t>三，需求端稳定增长</w:t>
      </w:r>
    </w:p>
    <w:p>
      <w:pPr>
        <w:ind w:firstLine="480" w:firstLineChars="200"/>
        <w:jc w:val="left"/>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中国是全球铜最大的消费国，占全球铜消费的45%左右。国家统计局公布的一、二季度GDP同比增长6.9%，明显好于预期，全球普遍看好中国需求，对铜消费形成强有力支撑。2017年1—6月我国铜表观需求为546.54万吨，同比下降0.27%。因此在上半年供应偏紧的情况下，铜的需求还是保持较高的水平。我们主要从铜消费占比较大的行业来分析终端消费的情况。</w:t>
      </w:r>
    </w:p>
    <w:p>
      <w:pPr>
        <w:jc w:val="left"/>
        <w:rPr>
          <w:rFonts w:hint="eastAsia" w:ascii="宋体" w:hAnsi="宋体" w:eastAsia="宋体" w:cs="宋体"/>
          <w:b w:val="0"/>
          <w:i w:val="0"/>
          <w:caps w:val="0"/>
          <w:color w:val="000000"/>
          <w:spacing w:val="0"/>
          <w:sz w:val="21"/>
          <w:szCs w:val="21"/>
          <w:shd w:val="clear" w:fill="FFFFFF"/>
          <w:lang w:eastAsia="zh-CN"/>
        </w:rPr>
      </w:pPr>
      <w:r>
        <w:rPr>
          <w:rFonts w:hint="eastAsia" w:ascii="微软雅黑" w:hAnsi="微软雅黑" w:eastAsia="微软雅黑" w:cs="微软雅黑"/>
          <w:b/>
          <w:bCs/>
          <w:i w:val="0"/>
          <w:caps w:val="0"/>
          <w:color w:val="000000"/>
          <w:spacing w:val="0"/>
          <w:kern w:val="2"/>
          <w:sz w:val="24"/>
          <w:szCs w:val="24"/>
          <w:shd w:val="clear" w:fill="FFFFFF"/>
          <w:lang w:val="en-US" w:eastAsia="zh-CN" w:bidi="ar-SA"/>
        </w:rPr>
        <w:t>3.1，电力电网消费占半壁江山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firstLineChars="200"/>
        <w:jc w:val="left"/>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电力占铜消费的半壁江山，1—7月电网投资完成额累计2813亿元，同比增长9.9%。从电网基础建设投资完成额观察，下半年投资增速继续加快；电源工程基础建设投资完成额延续负增长，但增速明显好转，对比1—4月同比增速下降21.18%，1—6月增速已经提升至下降13.54%。按用铜消费占比来看，电源工程投资建设用铜较少，占比在电力行业15%左右，电网基础建设用铜占比在85%。因此，电网基本建设投资增速的加快对铜消费是相当利好的。</w:t>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br w:type="textWrapping"/>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　　根据电网每投资1亿元能带动800—1000吨的铜消费估算，2017年1—6月电网投资完成额累计值为2398亿元，较去年同期增长217.62亿元，意味着铜消费增量在19.59万吨。保守估算2017年电网投资计划4657亿元，下半年仍然有2259亿元投资计划，将带动203.3万吨的铜消费。2012年以来国家对电网的投资增速保持在10%以上，2016年</w:t>
      </w:r>
      <w:r>
        <w:rPr>
          <w:rFonts w:hint="default" w:ascii="微软雅黑" w:hAnsi="微软雅黑" w:eastAsia="微软雅黑" w:cs="微软雅黑"/>
          <w:b w:val="0"/>
          <w:i w:val="0"/>
          <w:caps w:val="0"/>
          <w:color w:val="000000"/>
          <w:spacing w:val="0"/>
          <w:kern w:val="2"/>
          <w:sz w:val="24"/>
          <w:szCs w:val="24"/>
          <w:shd w:val="clear" w:fill="FFFFFF"/>
          <w:lang w:val="en-US" w:eastAsia="zh-CN" w:bidi="ar-SA"/>
        </w:rPr>
        <w:t>电力发展“十三五”规划</w:t>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发布</w:t>
      </w:r>
      <w:r>
        <w:rPr>
          <w:rFonts w:hint="default" w:ascii="微软雅黑" w:hAnsi="微软雅黑" w:eastAsia="微软雅黑" w:cs="微软雅黑"/>
          <w:b w:val="0"/>
          <w:i w:val="0"/>
          <w:caps w:val="0"/>
          <w:color w:val="000000"/>
          <w:spacing w:val="0"/>
          <w:kern w:val="2"/>
          <w:sz w:val="24"/>
          <w:szCs w:val="24"/>
          <w:shd w:val="clear" w:fill="FFFFFF"/>
          <w:lang w:val="en-US" w:eastAsia="zh-CN" w:bidi="ar-SA"/>
        </w:rPr>
        <w:t xml:space="preserve"> </w:t>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w:t>
      </w:r>
      <w:r>
        <w:rPr>
          <w:rFonts w:hint="default" w:ascii="微软雅黑" w:hAnsi="微软雅黑" w:eastAsia="微软雅黑" w:cs="微软雅黑"/>
          <w:b w:val="0"/>
          <w:i w:val="0"/>
          <w:caps w:val="0"/>
          <w:color w:val="000000"/>
          <w:spacing w:val="0"/>
          <w:kern w:val="2"/>
          <w:sz w:val="24"/>
          <w:szCs w:val="24"/>
          <w:shd w:val="clear" w:fill="FFFFFF"/>
          <w:lang w:val="en-US" w:eastAsia="zh-CN" w:bidi="ar-SA"/>
        </w:rPr>
        <w:t>电网投资3.34万亿</w:t>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，若是电网投资同比增速稳定在5%水平上方，意味着2017年电网基础建设投资完成额将达到5697.3亿元，即下半年将较计划外消费93万吨铜。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964" w:firstLineChars="200"/>
        <w:jc w:val="left"/>
        <w:rPr>
          <w:rFonts w:hint="eastAsia"/>
          <w:lang w:val="en-US" w:eastAsia="zh-CN"/>
        </w:rPr>
      </w:pPr>
      <w:r>
        <w:rPr>
          <w:rFonts w:hint="eastAsia"/>
          <w:lang w:val="en-US" w:eastAsia="zh-CN"/>
        </w:rPr>
        <w:t xml:space="preserve">    </w:t>
      </w:r>
      <w:r>
        <w:drawing>
          <wp:inline distT="0" distB="0" distL="114300" distR="114300">
            <wp:extent cx="3715385" cy="2238375"/>
            <wp:effectExtent l="4445" t="5080" r="13970" b="4445"/>
            <wp:docPr id="1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hint="eastAsia"/>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jc w:val="left"/>
        <w:rPr>
          <w:rFonts w:hint="eastAsia" w:ascii="微软雅黑" w:hAnsi="微软雅黑" w:eastAsia="微软雅黑" w:cs="微软雅黑"/>
          <w:b w:val="0"/>
          <w:i w:val="0"/>
          <w:caps w:val="0"/>
          <w:color w:val="666666"/>
          <w:spacing w:val="0"/>
          <w:kern w:val="0"/>
          <w:sz w:val="18"/>
          <w:szCs w:val="18"/>
          <w:lang w:val="en-US" w:eastAsia="zh-CN" w:bidi="ar"/>
        </w:rPr>
      </w:pPr>
      <w:r>
        <w:rPr>
          <w:rFonts w:hint="eastAsia"/>
          <w:lang w:val="en-US" w:eastAsia="zh-CN"/>
        </w:rPr>
        <w:t xml:space="preserve">    </w:t>
      </w:r>
      <w:r>
        <w:rPr>
          <w:rFonts w:hint="eastAsia" w:ascii="微软雅黑" w:hAnsi="微软雅黑" w:eastAsia="微软雅黑" w:cs="微软雅黑"/>
          <w:b w:val="0"/>
          <w:i w:val="0"/>
          <w:caps w:val="0"/>
          <w:color w:val="666666"/>
          <w:spacing w:val="0"/>
          <w:kern w:val="0"/>
          <w:sz w:val="18"/>
          <w:szCs w:val="18"/>
          <w:lang w:val="en-US" w:eastAsia="zh-CN" w:bidi="ar"/>
        </w:rPr>
        <w:drawing>
          <wp:inline distT="0" distB="0" distL="114300" distR="114300">
            <wp:extent cx="5238750" cy="2857500"/>
            <wp:effectExtent l="0" t="0" r="0" b="0"/>
            <wp:docPr id="8" name="图片 8"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86"/>
                    <pic:cNvPicPr>
                      <a:picLocks noChangeAspect="1"/>
                    </pic:cNvPicPr>
                  </pic:nvPicPr>
                  <pic:blipFill>
                    <a:blip r:embed="rId11"/>
                    <a:stretch>
                      <a:fillRect/>
                    </a:stretch>
                  </pic:blipFill>
                  <pic:spPr>
                    <a:xfrm>
                      <a:off x="0" y="0"/>
                      <a:ext cx="5238750" cy="2857500"/>
                    </a:xfrm>
                    <a:prstGeom prst="rect">
                      <a:avLst/>
                    </a:prstGeom>
                    <a:noFill/>
                    <a:ln w="9525">
                      <a:noFill/>
                    </a:ln>
                  </pic:spPr>
                </pic:pic>
              </a:graphicData>
            </a:graphic>
          </wp:inline>
        </w:drawing>
      </w:r>
    </w:p>
    <w:p>
      <w:pPr>
        <w:jc w:val="left"/>
        <w:rPr>
          <w:rFonts w:hint="eastAsia" w:ascii="微软雅黑" w:hAnsi="微软雅黑" w:eastAsia="微软雅黑" w:cs="微软雅黑"/>
          <w:b/>
          <w:bCs/>
          <w:i w:val="0"/>
          <w:caps w:val="0"/>
          <w:color w:val="000000"/>
          <w:spacing w:val="0"/>
          <w:kern w:val="2"/>
          <w:sz w:val="24"/>
          <w:szCs w:val="24"/>
          <w:shd w:val="clear" w:fill="FFFFFF"/>
          <w:lang w:val="en-US" w:eastAsia="zh-CN" w:bidi="ar-SA"/>
        </w:rPr>
      </w:pPr>
      <w:r>
        <w:rPr>
          <w:rFonts w:hint="eastAsia" w:ascii="微软雅黑" w:hAnsi="微软雅黑" w:eastAsia="微软雅黑" w:cs="微软雅黑"/>
          <w:b/>
          <w:bCs/>
          <w:i w:val="0"/>
          <w:caps w:val="0"/>
          <w:color w:val="000000"/>
          <w:spacing w:val="0"/>
          <w:kern w:val="2"/>
          <w:sz w:val="24"/>
          <w:szCs w:val="24"/>
          <w:shd w:val="clear" w:fill="FFFFFF"/>
          <w:lang w:val="en-US" w:eastAsia="zh-CN" w:bidi="ar-SA"/>
        </w:rPr>
        <w:t>3.2，家电行业对铜消费利好逐渐消退</w:t>
      </w:r>
    </w:p>
    <w:p>
      <w:pPr>
        <w:ind w:firstLine="480" w:firstLineChars="200"/>
        <w:jc w:val="left"/>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受2015、2016年去库存后企业集中补库的需要，加上炎热天气的配合，今年空调行业火爆，2017年1—6月，空调产量为10171.99万台，较去年同期增长1769.19万台，按照每台耗铜8kg计算，空调方面的铜消费增量为14.15万吨；家用电冰箱产量为4822.4万台，较去年同期增长123.5万台，按照每台耗铜1.4kg计算，铜消耗增量0.1729吨。我们预计今年上半年家电消耗铜增量在15万—16万吨。此外，空调渠道库存已在4200万—4300万台，高库存或对后续的生产安排造成一定压力。</w:t>
      </w:r>
    </w:p>
    <w:p>
      <w:pPr>
        <w:jc w:val="left"/>
        <w:rPr>
          <w:rFonts w:hint="eastAsia" w:ascii="宋体" w:hAnsi="宋体" w:eastAsia="宋体" w:cs="宋体"/>
          <w:b w:val="0"/>
          <w:i w:val="0"/>
          <w:caps w:val="0"/>
          <w:color w:val="000000"/>
          <w:spacing w:val="0"/>
          <w:sz w:val="21"/>
          <w:szCs w:val="21"/>
          <w:shd w:val="clear" w:fill="FFFFFF"/>
          <w:lang w:eastAsia="zh-CN"/>
        </w:rPr>
      </w:pPr>
      <w:r>
        <w:rPr>
          <w:rFonts w:hint="eastAsia" w:ascii="微软雅黑" w:hAnsi="微软雅黑" w:eastAsia="微软雅黑" w:cs="微软雅黑"/>
          <w:b w:val="0"/>
          <w:i w:val="0"/>
          <w:caps w:val="0"/>
          <w:color w:val="666666"/>
          <w:spacing w:val="0"/>
          <w:kern w:val="0"/>
          <w:sz w:val="18"/>
          <w:szCs w:val="18"/>
          <w:lang w:val="en-US" w:eastAsia="zh-CN" w:bidi="ar"/>
        </w:rPr>
        <w:t xml:space="preserve">     </w:t>
      </w:r>
      <w:r>
        <w:rPr>
          <w:rFonts w:hint="eastAsia" w:ascii="微软雅黑" w:hAnsi="微软雅黑" w:eastAsia="微软雅黑" w:cs="微软雅黑"/>
          <w:b w:val="0"/>
          <w:i w:val="0"/>
          <w:caps w:val="0"/>
          <w:color w:val="666666"/>
          <w:spacing w:val="0"/>
          <w:kern w:val="0"/>
          <w:sz w:val="18"/>
          <w:szCs w:val="18"/>
          <w:lang w:val="en-US" w:eastAsia="zh-CN" w:bidi="ar"/>
        </w:rPr>
        <w:drawing>
          <wp:inline distT="0" distB="0" distL="114300" distR="114300">
            <wp:extent cx="5238750" cy="2857500"/>
            <wp:effectExtent l="0" t="0" r="0" b="0"/>
            <wp:docPr id="33"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IMG_288"/>
                    <pic:cNvPicPr>
                      <a:picLocks noChangeAspect="1"/>
                    </pic:cNvPicPr>
                  </pic:nvPicPr>
                  <pic:blipFill>
                    <a:blip r:embed="rId12"/>
                    <a:stretch>
                      <a:fillRect/>
                    </a:stretch>
                  </pic:blipFill>
                  <pic:spPr>
                    <a:xfrm>
                      <a:off x="0" y="0"/>
                      <a:ext cx="5238750" cy="2857500"/>
                    </a:xfrm>
                    <a:prstGeom prst="rect">
                      <a:avLst/>
                    </a:prstGeom>
                    <a:noFill/>
                    <a:ln w="9525">
                      <a:noFill/>
                    </a:ln>
                  </pic:spPr>
                </pic:pic>
              </a:graphicData>
            </a:graphic>
          </wp:inline>
        </w:drawing>
      </w:r>
    </w:p>
    <w:p>
      <w:pPr>
        <w:rPr>
          <w:rFonts w:hint="eastAsia" w:ascii="微软雅黑" w:hAnsi="微软雅黑" w:eastAsia="微软雅黑" w:cs="微软雅黑"/>
          <w:b/>
          <w:bCs/>
          <w:i w:val="0"/>
          <w:caps w:val="0"/>
          <w:color w:val="000000"/>
          <w:spacing w:val="0"/>
          <w:kern w:val="2"/>
          <w:sz w:val="24"/>
          <w:szCs w:val="24"/>
          <w:shd w:val="clear" w:fill="FFFFFF"/>
          <w:lang w:val="en-US" w:eastAsia="zh-CN" w:bidi="ar-SA"/>
        </w:rPr>
      </w:pPr>
      <w:r>
        <w:rPr>
          <w:rFonts w:hint="eastAsia" w:ascii="宋体" w:hAnsi="宋体" w:eastAsia="宋体" w:cs="宋体"/>
          <w:b w:val="0"/>
          <w:i w:val="0"/>
          <w:caps w:val="0"/>
          <w:color w:val="000000"/>
          <w:spacing w:val="0"/>
          <w:sz w:val="21"/>
          <w:szCs w:val="21"/>
          <w:shd w:val="clear" w:fill="FFFFFF"/>
        </w:rPr>
        <w:br w:type="textWrapping"/>
      </w:r>
      <w:r>
        <w:rPr>
          <w:rFonts w:hint="eastAsia" w:ascii="微软雅黑" w:hAnsi="微软雅黑" w:eastAsia="微软雅黑" w:cs="微软雅黑"/>
          <w:b/>
          <w:bCs/>
          <w:i w:val="0"/>
          <w:caps w:val="0"/>
          <w:color w:val="000000"/>
          <w:spacing w:val="0"/>
          <w:kern w:val="2"/>
          <w:sz w:val="24"/>
          <w:szCs w:val="24"/>
          <w:shd w:val="clear" w:fill="FFFFFF"/>
          <w:lang w:val="en-US" w:eastAsia="zh-CN" w:bidi="ar-SA"/>
        </w:rPr>
        <w:t>3.3，　交通运输行业对铜消费的支撑依旧可期</w:t>
      </w:r>
    </w:p>
    <w:p>
      <w:pPr>
        <w:ind w:firstLine="480" w:firstLineChars="200"/>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 xml:space="preserve">汽车行业今年表现比较稳定，1—7月累计销量同比增加4.1%。另外，新能源汽车发展如火如荼，虽然目前新能源汽车的基数较小， 但未来将是铜消费的一个新增长点。2017年1—6月，汽车产量为1396.8万台（其中新能源汽车的产量20.4万台），较去年同期增长85.4万台。若按照传统汽车消耗铜20kg/辆计算，铜消费增量至少在1.7万吨（该计算忽略了新能源汽车较传统汽车耗铜平均增加20kg）。在政策面上，按照工信部2020年国内新能源汽车产量达200万辆的目标，预计到2020年，新能源汽车用铜量将增加2.5万吨/年；将建成集中充换电站1.2万座、分散充电桩480万个的配套充电设施，按照每个充电桩10kw计算，充电设备耗铜约1.25万吨/年；十三五期间，中国地铁里程将达6000公里，初步估算车辆耗铜将增加4万吨/年，相关线缆耗铜增加3万吨/年。  </w:t>
      </w:r>
    </w:p>
    <w:p>
      <w:pPr>
        <w:ind w:firstLine="720" w:firstLineChars="400"/>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666666"/>
          <w:spacing w:val="0"/>
          <w:kern w:val="0"/>
          <w:sz w:val="18"/>
          <w:szCs w:val="18"/>
          <w:lang w:val="en-US" w:eastAsia="zh-CN" w:bidi="ar"/>
        </w:rPr>
        <w:drawing>
          <wp:inline distT="0" distB="0" distL="114300" distR="114300">
            <wp:extent cx="5238750" cy="2857500"/>
            <wp:effectExtent l="0" t="0" r="0" b="0"/>
            <wp:docPr id="34"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IMG_289"/>
                    <pic:cNvPicPr>
                      <a:picLocks noChangeAspect="1"/>
                    </pic:cNvPicPr>
                  </pic:nvPicPr>
                  <pic:blipFill>
                    <a:blip r:embed="rId13"/>
                    <a:stretch>
                      <a:fillRect/>
                    </a:stretch>
                  </pic:blipFill>
                  <pic:spPr>
                    <a:xfrm>
                      <a:off x="0" y="0"/>
                      <a:ext cx="5238750" cy="28575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br w:type="textWrapping"/>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　　需求综合看来， 2017年1—6月铜消费增量保守估计超过40万吨，而下半年的消费重点花落电网投资。我们认为2017年电网投资延续同比增长是大概率事件，由于往年基数较高，我们保守估计计划外投资对铜额外的需求增量将达93万吨。在宏观环境稳定、市场流动性充裕的条件下，需求的稳定向好配合着供应端可能出现短缺预期这一添加剂，</w:t>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fldChar w:fldCharType="begin"/>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instrText xml:space="preserve"> HYPERLINK "http://copper.ccmn.cn/" \t "http://copper.ccmn.cn/copperplfx/2017-08-24/_blank" </w:instrText>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fldChar w:fldCharType="separate"/>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铜价</w:t>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fldChar w:fldCharType="end"/>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上涨仍可期。</w:t>
      </w:r>
    </w:p>
    <w:p>
      <w:pPr>
        <w:jc w:val="left"/>
        <w:rPr>
          <w:rFonts w:hint="eastAsia" w:ascii="微软雅黑" w:hAnsi="微软雅黑" w:eastAsia="微软雅黑" w:cs="微软雅黑"/>
          <w:b/>
          <w:bCs/>
          <w:i w:val="0"/>
          <w:caps w:val="0"/>
          <w:color w:val="000000"/>
          <w:spacing w:val="0"/>
          <w:kern w:val="2"/>
          <w:sz w:val="24"/>
          <w:szCs w:val="24"/>
          <w:shd w:val="clear" w:fill="FFFFFF"/>
          <w:lang w:val="en-US" w:eastAsia="zh-CN" w:bidi="ar-SA"/>
        </w:rPr>
      </w:pPr>
      <w:r>
        <w:rPr>
          <w:rFonts w:hint="eastAsia" w:ascii="微软雅黑" w:hAnsi="微软雅黑" w:eastAsia="微软雅黑" w:cs="微软雅黑"/>
          <w:b/>
          <w:bCs/>
          <w:i w:val="0"/>
          <w:caps w:val="0"/>
          <w:color w:val="000000"/>
          <w:spacing w:val="0"/>
          <w:kern w:val="2"/>
          <w:sz w:val="24"/>
          <w:szCs w:val="24"/>
          <w:shd w:val="clear" w:fill="FFFFFF"/>
          <w:lang w:val="en-US" w:eastAsia="zh-CN" w:bidi="ar-SA"/>
        </w:rPr>
        <w:t>四，美元弱势支撑铜价上行</w:t>
      </w:r>
    </w:p>
    <w:p>
      <w:pPr>
        <w:ind w:firstLine="480" w:firstLineChars="200"/>
        <w:jc w:val="left"/>
        <w:rPr>
          <w:rFonts w:hint="eastAsia" w:ascii="微软雅黑" w:hAnsi="微软雅黑" w:eastAsia="微软雅黑" w:cs="微软雅黑"/>
          <w:b w:val="0"/>
          <w:i w:val="0"/>
          <w:caps w:val="0"/>
          <w:color w:val="666666"/>
          <w:spacing w:val="0"/>
          <w:kern w:val="0"/>
          <w:sz w:val="18"/>
          <w:szCs w:val="18"/>
          <w:lang w:val="en-US" w:eastAsia="zh-CN" w:bidi="ar"/>
        </w:rPr>
      </w:pPr>
      <w:r>
        <w:rPr>
          <w:rFonts w:hint="eastAsia" w:ascii="微软雅黑" w:hAnsi="微软雅黑" w:eastAsia="微软雅黑" w:cs="微软雅黑"/>
          <w:b w:val="0"/>
          <w:i w:val="0"/>
          <w:caps w:val="0"/>
          <w:color w:val="000000"/>
          <w:spacing w:val="0"/>
          <w:sz w:val="24"/>
          <w:szCs w:val="24"/>
          <w:lang w:val="en-US" w:eastAsia="zh-CN"/>
        </w:rPr>
        <w:t>1--9月</w:t>
      </w:r>
      <w:r>
        <w:rPr>
          <w:rFonts w:hint="eastAsia" w:ascii="微软雅黑" w:hAnsi="微软雅黑" w:eastAsia="微软雅黑" w:cs="微软雅黑"/>
          <w:b w:val="0"/>
          <w:i w:val="0"/>
          <w:caps w:val="0"/>
          <w:color w:val="000000"/>
          <w:spacing w:val="0"/>
          <w:sz w:val="24"/>
          <w:szCs w:val="24"/>
        </w:rPr>
        <w:t>美元指数承压重挫，截止</w:t>
      </w:r>
      <w:r>
        <w:rPr>
          <w:rFonts w:hint="eastAsia" w:ascii="微软雅黑" w:hAnsi="微软雅黑" w:eastAsia="微软雅黑" w:cs="微软雅黑"/>
          <w:b w:val="0"/>
          <w:i w:val="0"/>
          <w:caps w:val="0"/>
          <w:color w:val="000000"/>
          <w:spacing w:val="0"/>
          <w:sz w:val="24"/>
          <w:szCs w:val="24"/>
          <w:lang w:val="en-US" w:eastAsia="zh-CN"/>
        </w:rPr>
        <w:t>9</w:t>
      </w:r>
      <w:r>
        <w:rPr>
          <w:rFonts w:hint="eastAsia" w:ascii="微软雅黑" w:hAnsi="微软雅黑" w:eastAsia="微软雅黑" w:cs="微软雅黑"/>
          <w:b w:val="0"/>
          <w:i w:val="0"/>
          <w:caps w:val="0"/>
          <w:color w:val="000000"/>
          <w:spacing w:val="0"/>
          <w:sz w:val="24"/>
          <w:szCs w:val="24"/>
        </w:rPr>
        <w:t>月</w:t>
      </w:r>
      <w:r>
        <w:rPr>
          <w:rFonts w:hint="eastAsia" w:ascii="微软雅黑" w:hAnsi="微软雅黑" w:eastAsia="微软雅黑" w:cs="微软雅黑"/>
          <w:b w:val="0"/>
          <w:i w:val="0"/>
          <w:caps w:val="0"/>
          <w:color w:val="000000"/>
          <w:spacing w:val="0"/>
          <w:sz w:val="24"/>
          <w:szCs w:val="24"/>
          <w:lang w:val="en-US" w:eastAsia="zh-CN"/>
        </w:rPr>
        <w:t>6</w:t>
      </w:r>
      <w:r>
        <w:rPr>
          <w:rFonts w:hint="eastAsia" w:ascii="微软雅黑" w:hAnsi="微软雅黑" w:eastAsia="微软雅黑" w:cs="微软雅黑"/>
          <w:b w:val="0"/>
          <w:i w:val="0"/>
          <w:caps w:val="0"/>
          <w:color w:val="000000"/>
          <w:spacing w:val="0"/>
          <w:sz w:val="24"/>
          <w:szCs w:val="24"/>
        </w:rPr>
        <w:t>日，美元指数交投于</w:t>
      </w:r>
      <w:r>
        <w:rPr>
          <w:rFonts w:hint="eastAsia" w:ascii="微软雅黑" w:hAnsi="微软雅黑" w:eastAsia="微软雅黑" w:cs="微软雅黑"/>
          <w:b w:val="0"/>
          <w:i w:val="0"/>
          <w:caps w:val="0"/>
          <w:color w:val="000000"/>
          <w:spacing w:val="0"/>
          <w:sz w:val="24"/>
          <w:szCs w:val="24"/>
          <w:lang w:val="en-US" w:eastAsia="zh-CN"/>
        </w:rPr>
        <w:t>92.3</w:t>
      </w:r>
      <w:r>
        <w:rPr>
          <w:rFonts w:hint="eastAsia" w:ascii="微软雅黑" w:hAnsi="微软雅黑" w:eastAsia="微软雅黑" w:cs="微软雅黑"/>
          <w:b w:val="0"/>
          <w:i w:val="0"/>
          <w:caps w:val="0"/>
          <w:color w:val="000000"/>
          <w:spacing w:val="0"/>
          <w:sz w:val="24"/>
          <w:szCs w:val="24"/>
        </w:rPr>
        <w:t>附近，较去年12月末下滑近</w:t>
      </w:r>
      <w:r>
        <w:rPr>
          <w:rFonts w:hint="eastAsia" w:ascii="微软雅黑" w:hAnsi="微软雅黑" w:eastAsia="微软雅黑" w:cs="微软雅黑"/>
          <w:b w:val="0"/>
          <w:i w:val="0"/>
          <w:caps w:val="0"/>
          <w:color w:val="000000"/>
          <w:spacing w:val="0"/>
          <w:sz w:val="24"/>
          <w:szCs w:val="24"/>
          <w:lang w:val="en-US" w:eastAsia="zh-CN"/>
        </w:rPr>
        <w:t>11.5</w:t>
      </w:r>
      <w:r>
        <w:rPr>
          <w:rFonts w:hint="eastAsia" w:ascii="微软雅黑" w:hAnsi="微软雅黑" w:eastAsia="微软雅黑" w:cs="微软雅黑"/>
          <w:b w:val="0"/>
          <w:i w:val="0"/>
          <w:caps w:val="0"/>
          <w:color w:val="000000"/>
          <w:spacing w:val="0"/>
          <w:sz w:val="24"/>
          <w:szCs w:val="24"/>
        </w:rPr>
        <w:t>%，美国总统特朗普上任后，实行较强的贸易主义保护，认为美元过于强势，美元因此承压，且市场对其政策的不确定性攀升，尤其是此前承诺的税改和基建刺激计划未能如期展开</w:t>
      </w:r>
      <w:r>
        <w:rPr>
          <w:rFonts w:hint="eastAsia" w:ascii="微软雅黑" w:hAnsi="微软雅黑" w:eastAsia="微软雅黑" w:cs="微软雅黑"/>
          <w:b w:val="0"/>
          <w:i w:val="0"/>
          <w:caps w:val="0"/>
          <w:color w:val="000000"/>
          <w:spacing w:val="0"/>
          <w:sz w:val="24"/>
          <w:szCs w:val="24"/>
          <w:lang w:eastAsia="zh-CN"/>
        </w:rPr>
        <w:t>，美元持续走低。</w:t>
      </w:r>
    </w:p>
    <w:p>
      <w:pPr>
        <w:keepNext w:val="0"/>
        <w:keepLines w:val="0"/>
        <w:pageBreakBefore w:val="0"/>
        <w:widowControl w:val="0"/>
        <w:kinsoku/>
        <w:wordWrap/>
        <w:overflowPunct/>
        <w:topLinePunct w:val="0"/>
        <w:autoSpaceDE/>
        <w:autoSpaceDN/>
        <w:bidi w:val="0"/>
        <w:adjustRightInd/>
        <w:snapToGrid/>
        <w:spacing w:line="60" w:lineRule="atLeast"/>
        <w:ind w:left="0" w:leftChars="0" w:right="0" w:rightChars="0" w:firstLine="0" w:firstLineChars="0"/>
        <w:jc w:val="left"/>
        <w:textAlignment w:val="auto"/>
        <w:outlineLvl w:val="9"/>
        <w:rPr>
          <w:rFonts w:hint="eastAsia" w:ascii="微软雅黑" w:hAnsi="微软雅黑" w:eastAsia="微软雅黑" w:cs="微软雅黑"/>
          <w:b w:val="0"/>
          <w:i w:val="0"/>
          <w:caps w:val="0"/>
          <w:color w:val="666666"/>
          <w:spacing w:val="0"/>
          <w:kern w:val="0"/>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60" w:lineRule="atLeast"/>
        <w:ind w:left="0" w:leftChars="0" w:right="0" w:rightChars="0" w:firstLine="0" w:firstLineChars="0"/>
        <w:jc w:val="left"/>
        <w:textAlignment w:val="auto"/>
        <w:outlineLvl w:val="9"/>
        <w:rPr>
          <w:rFonts w:hint="eastAsia" w:ascii="微软雅黑" w:hAnsi="微软雅黑" w:eastAsia="微软雅黑" w:cs="微软雅黑"/>
          <w:b w:val="0"/>
          <w:i w:val="0"/>
          <w:caps w:val="0"/>
          <w:color w:val="666666"/>
          <w:spacing w:val="0"/>
          <w:kern w:val="0"/>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60" w:lineRule="atLeast"/>
        <w:ind w:left="0" w:leftChars="0" w:right="0" w:rightChars="0" w:firstLine="0" w:firstLineChars="0"/>
        <w:jc w:val="left"/>
        <w:textAlignment w:val="auto"/>
        <w:outlineLvl w:val="9"/>
        <w:rPr>
          <w:rFonts w:hint="eastAsia" w:ascii="微软雅黑" w:hAnsi="微软雅黑" w:eastAsia="微软雅黑" w:cs="微软雅黑"/>
          <w:b w:val="0"/>
          <w:i w:val="0"/>
          <w:caps w:val="0"/>
          <w:color w:val="666666"/>
          <w:spacing w:val="0"/>
          <w:kern w:val="0"/>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60" w:lineRule="atLeast"/>
        <w:ind w:left="0" w:leftChars="0" w:right="0" w:rightChars="0" w:firstLine="0" w:firstLineChars="0"/>
        <w:jc w:val="left"/>
        <w:textAlignment w:val="auto"/>
        <w:outlineLvl w:val="9"/>
        <w:rPr>
          <w:rFonts w:hint="eastAsia" w:ascii="微软雅黑" w:hAnsi="微软雅黑" w:eastAsia="微软雅黑" w:cs="微软雅黑"/>
          <w:b w:val="0"/>
          <w:i w:val="0"/>
          <w:caps w:val="0"/>
          <w:color w:val="666666"/>
          <w:spacing w:val="0"/>
          <w:kern w:val="0"/>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60" w:lineRule="atLeast"/>
        <w:ind w:left="0" w:leftChars="0" w:right="0" w:rightChars="0" w:firstLine="0" w:firstLineChars="0"/>
        <w:jc w:val="left"/>
        <w:textAlignment w:val="auto"/>
        <w:outlineLvl w:val="9"/>
        <w:rPr>
          <w:rFonts w:hint="eastAsia" w:ascii="微软雅黑" w:hAnsi="微软雅黑" w:eastAsia="微软雅黑" w:cs="微软雅黑"/>
          <w:b w:val="0"/>
          <w:i w:val="0"/>
          <w:caps w:val="0"/>
          <w:color w:val="666666"/>
          <w:spacing w:val="0"/>
          <w:kern w:val="0"/>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60" w:lineRule="atLeast"/>
        <w:ind w:left="893" w:leftChars="425" w:right="0" w:rightChars="0" w:firstLine="0" w:firstLineChars="0"/>
        <w:jc w:val="left"/>
        <w:textAlignment w:val="auto"/>
        <w:outlineLvl w:val="9"/>
        <w:rPr>
          <w:rFonts w:hint="eastAsia" w:ascii="微软雅黑" w:hAnsi="微软雅黑" w:eastAsia="微软雅黑" w:cs="微软雅黑"/>
          <w:b w:val="0"/>
          <w:i w:val="0"/>
          <w:caps w:val="0"/>
          <w:color w:val="666666"/>
          <w:spacing w:val="0"/>
          <w:kern w:val="0"/>
          <w:sz w:val="18"/>
          <w:szCs w:val="18"/>
          <w:lang w:val="en-US" w:eastAsia="zh-CN" w:bidi="ar"/>
        </w:rPr>
      </w:pPr>
      <w:r>
        <w:rPr>
          <w:rFonts w:hint="eastAsia" w:ascii="微软雅黑" w:hAnsi="微软雅黑" w:eastAsia="微软雅黑" w:cs="微软雅黑"/>
          <w:b w:val="0"/>
          <w:i w:val="0"/>
          <w:caps w:val="0"/>
          <w:color w:val="666666"/>
          <w:spacing w:val="0"/>
          <w:kern w:val="0"/>
          <w:sz w:val="18"/>
          <w:szCs w:val="18"/>
          <w:lang w:val="en-US" w:eastAsia="zh-CN" w:bidi="ar"/>
        </w:rPr>
        <w:t xml:space="preserve">美元指数                      2016.12.6---2017.9.6                日K线      </w:t>
      </w:r>
      <w:r>
        <w:rPr>
          <w:rFonts w:hint="eastAsia" w:ascii="微软雅黑" w:hAnsi="微软雅黑" w:eastAsia="微软雅黑" w:cs="微软雅黑"/>
          <w:b w:val="0"/>
          <w:i w:val="0"/>
          <w:caps w:val="0"/>
          <w:color w:val="000000"/>
          <w:spacing w:val="0"/>
          <w:sz w:val="21"/>
          <w:szCs w:val="21"/>
          <w:lang w:val="en-US" w:eastAsia="zh-CN"/>
        </w:rPr>
        <w:t xml:space="preserve">     </w:t>
      </w:r>
      <w:r>
        <w:rPr>
          <w:rFonts w:hint="eastAsia" w:ascii="微软雅黑" w:hAnsi="微软雅黑" w:eastAsia="微软雅黑" w:cs="微软雅黑"/>
          <w:b w:val="0"/>
          <w:i w:val="0"/>
          <w:caps w:val="0"/>
          <w:color w:val="666666"/>
          <w:spacing w:val="0"/>
          <w:kern w:val="0"/>
          <w:sz w:val="18"/>
          <w:szCs w:val="18"/>
          <w:lang w:val="en-US" w:eastAsia="zh-CN" w:bidi="ar"/>
        </w:rPr>
        <w:drawing>
          <wp:inline distT="0" distB="0" distL="114300" distR="114300">
            <wp:extent cx="4972685" cy="2058035"/>
            <wp:effectExtent l="0" t="0" r="18415" b="18415"/>
            <wp:docPr id="13" name="图片 13" descr="QQ截图20170906135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QQ截图20170906135500"/>
                    <pic:cNvPicPr>
                      <a:picLocks noChangeAspect="1"/>
                    </pic:cNvPicPr>
                  </pic:nvPicPr>
                  <pic:blipFill>
                    <a:blip r:embed="rId14"/>
                    <a:stretch>
                      <a:fillRect/>
                    </a:stretch>
                  </pic:blipFill>
                  <pic:spPr>
                    <a:xfrm>
                      <a:off x="0" y="0"/>
                      <a:ext cx="4972685" cy="20580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 w:lineRule="atLeast"/>
        <w:ind w:left="0" w:leftChars="0" w:right="0" w:rightChars="0" w:firstLine="900" w:firstLineChars="500"/>
        <w:jc w:val="left"/>
        <w:textAlignment w:val="auto"/>
        <w:outlineLvl w:val="9"/>
        <w:rPr>
          <w:rFonts w:hint="eastAsia" w:ascii="微软雅黑" w:hAnsi="微软雅黑" w:eastAsia="微软雅黑" w:cs="微软雅黑"/>
          <w:b w:val="0"/>
          <w:i w:val="0"/>
          <w:caps w:val="0"/>
          <w:color w:val="666666"/>
          <w:spacing w:val="0"/>
          <w:kern w:val="0"/>
          <w:sz w:val="18"/>
          <w:szCs w:val="18"/>
          <w:lang w:val="en-US" w:eastAsia="zh-CN" w:bidi="ar"/>
        </w:rPr>
      </w:pPr>
      <w:r>
        <w:rPr>
          <w:rFonts w:hint="eastAsia" w:ascii="微软雅黑" w:hAnsi="微软雅黑" w:eastAsia="微软雅黑" w:cs="微软雅黑"/>
          <w:b w:val="0"/>
          <w:i w:val="0"/>
          <w:caps w:val="0"/>
          <w:color w:val="666666"/>
          <w:spacing w:val="0"/>
          <w:kern w:val="0"/>
          <w:sz w:val="18"/>
          <w:szCs w:val="18"/>
          <w:lang w:val="en-US" w:eastAsia="zh-CN" w:bidi="ar"/>
        </w:rPr>
        <w:t>资料来源：文化财经  和合期货</w:t>
      </w:r>
    </w:p>
    <w:p>
      <w:pPr>
        <w:jc w:val="left"/>
        <w:rPr>
          <w:rFonts w:hint="eastAsia" w:ascii="微软雅黑" w:hAnsi="微软雅黑" w:eastAsia="微软雅黑" w:cs="微软雅黑"/>
          <w:b/>
          <w:bCs/>
          <w:i w:val="0"/>
          <w:caps w:val="0"/>
          <w:color w:val="000000"/>
          <w:spacing w:val="0"/>
          <w:kern w:val="2"/>
          <w:sz w:val="24"/>
          <w:szCs w:val="24"/>
          <w:shd w:val="clear" w:fill="FFFFFF"/>
          <w:lang w:val="en-US" w:eastAsia="zh-CN" w:bidi="ar-SA"/>
        </w:rPr>
      </w:pPr>
      <w:r>
        <w:rPr>
          <w:rFonts w:hint="eastAsia" w:ascii="微软雅黑" w:hAnsi="微软雅黑" w:eastAsia="微软雅黑" w:cs="微软雅黑"/>
          <w:b/>
          <w:bCs/>
          <w:i w:val="0"/>
          <w:caps w:val="0"/>
          <w:color w:val="000000"/>
          <w:spacing w:val="0"/>
          <w:kern w:val="2"/>
          <w:sz w:val="24"/>
          <w:szCs w:val="24"/>
          <w:shd w:val="clear" w:fill="FFFFFF"/>
          <w:lang w:val="en-US" w:eastAsia="zh-CN" w:bidi="ar-SA"/>
        </w:rPr>
        <w:t>五，基金多头持仓创历史新高</w:t>
      </w:r>
    </w:p>
    <w:p>
      <w:pPr>
        <w:ind w:firstLine="480" w:firstLineChars="200"/>
        <w:jc w:val="left"/>
        <w:rPr>
          <w:rFonts w:hint="eastAsia" w:ascii="微软雅黑" w:hAnsi="微软雅黑" w:eastAsia="微软雅黑" w:cs="微软雅黑"/>
          <w:b w:val="0"/>
          <w:i w:val="0"/>
          <w:caps w:val="0"/>
          <w:color w:val="000000"/>
          <w:spacing w:val="0"/>
          <w:sz w:val="24"/>
          <w:szCs w:val="24"/>
          <w:lang w:val="en-US" w:eastAsia="zh-CN"/>
        </w:rPr>
      </w:pPr>
      <w:r>
        <w:rPr>
          <w:rFonts w:hint="eastAsia" w:ascii="微软雅黑" w:hAnsi="微软雅黑" w:eastAsia="微软雅黑" w:cs="微软雅黑"/>
          <w:b w:val="0"/>
          <w:i w:val="0"/>
          <w:caps w:val="0"/>
          <w:color w:val="000000"/>
          <w:spacing w:val="0"/>
          <w:sz w:val="24"/>
          <w:szCs w:val="24"/>
          <w:lang w:eastAsia="zh-CN"/>
        </w:rPr>
        <w:t>从历史走势来看，基金持仓方向与铜价走势高度吻合性，从下图可以看出</w:t>
      </w:r>
      <w:r>
        <w:rPr>
          <w:rFonts w:hint="eastAsia" w:ascii="微软雅黑" w:hAnsi="微软雅黑" w:eastAsia="微软雅黑" w:cs="微软雅黑"/>
          <w:b w:val="0"/>
          <w:i w:val="0"/>
          <w:caps w:val="0"/>
          <w:color w:val="000000"/>
          <w:spacing w:val="0"/>
          <w:sz w:val="24"/>
          <w:szCs w:val="24"/>
          <w:lang w:val="en-US" w:eastAsia="zh-CN"/>
        </w:rPr>
        <w:t>2011年以来CFTC基金持仓方向与沪铜行情。</w:t>
      </w:r>
      <w:r>
        <w:rPr>
          <w:rFonts w:hint="eastAsia" w:ascii="微软雅黑" w:hAnsi="微软雅黑" w:eastAsia="微软雅黑" w:cs="微软雅黑"/>
          <w:b w:val="0"/>
          <w:i w:val="0"/>
          <w:caps w:val="0"/>
          <w:color w:val="000000"/>
          <w:spacing w:val="0"/>
          <w:sz w:val="24"/>
          <w:szCs w:val="24"/>
          <w:lang w:eastAsia="zh-CN"/>
        </w:rPr>
        <w:t>截止</w:t>
      </w:r>
      <w:r>
        <w:rPr>
          <w:rFonts w:hint="eastAsia" w:ascii="微软雅黑" w:hAnsi="微软雅黑" w:eastAsia="微软雅黑" w:cs="微软雅黑"/>
          <w:b w:val="0"/>
          <w:i w:val="0"/>
          <w:caps w:val="0"/>
          <w:color w:val="000000"/>
          <w:spacing w:val="0"/>
          <w:sz w:val="24"/>
          <w:szCs w:val="24"/>
          <w:lang w:val="en-US" w:eastAsia="zh-CN"/>
        </w:rPr>
        <w:t>8月29日</w:t>
      </w:r>
      <w:r>
        <w:rPr>
          <w:rFonts w:hint="eastAsia" w:ascii="微软雅黑" w:hAnsi="微软雅黑" w:eastAsia="微软雅黑" w:cs="微软雅黑"/>
          <w:b w:val="0"/>
          <w:i w:val="0"/>
          <w:caps w:val="0"/>
          <w:color w:val="000000"/>
          <w:spacing w:val="0"/>
          <w:sz w:val="24"/>
          <w:szCs w:val="24"/>
          <w:lang w:eastAsia="zh-CN"/>
        </w:rPr>
        <w:t>，多头持仓166247</w:t>
      </w:r>
      <w:r>
        <w:rPr>
          <w:rFonts w:hint="eastAsia" w:ascii="微软雅黑" w:hAnsi="微软雅黑" w:eastAsia="微软雅黑" w:cs="微软雅黑"/>
          <w:b w:val="0"/>
          <w:i w:val="0"/>
          <w:caps w:val="0"/>
          <w:color w:val="000000"/>
          <w:spacing w:val="0"/>
          <w:sz w:val="24"/>
          <w:szCs w:val="24"/>
          <w:lang w:val="en-US" w:eastAsia="zh-CN"/>
        </w:rPr>
        <w:t>,</w:t>
      </w:r>
      <w:r>
        <w:rPr>
          <w:rFonts w:hint="eastAsia" w:ascii="微软雅黑" w:hAnsi="微软雅黑" w:eastAsia="微软雅黑" w:cs="微软雅黑"/>
          <w:b w:val="0"/>
          <w:i w:val="0"/>
          <w:caps w:val="0"/>
          <w:color w:val="000000"/>
          <w:spacing w:val="0"/>
          <w:sz w:val="24"/>
          <w:szCs w:val="24"/>
          <w:lang w:eastAsia="zh-CN"/>
        </w:rPr>
        <w:t>，空头持仓123114，净多头</w:t>
      </w:r>
      <w:r>
        <w:rPr>
          <w:rFonts w:hint="eastAsia" w:ascii="微软雅黑" w:hAnsi="微软雅黑" w:eastAsia="微软雅黑" w:cs="微软雅黑"/>
          <w:b w:val="0"/>
          <w:i w:val="0"/>
          <w:caps w:val="0"/>
          <w:color w:val="000000"/>
          <w:spacing w:val="0"/>
          <w:sz w:val="24"/>
          <w:szCs w:val="24"/>
          <w:lang w:val="en-US" w:eastAsia="zh-CN"/>
        </w:rPr>
        <w:t>43133，</w:t>
      </w:r>
      <w:r>
        <w:rPr>
          <w:rFonts w:hint="eastAsia" w:ascii="微软雅黑" w:hAnsi="微软雅黑" w:eastAsia="微软雅黑" w:cs="微软雅黑"/>
          <w:b w:val="0"/>
          <w:i w:val="0"/>
          <w:caps w:val="0"/>
          <w:color w:val="000000"/>
          <w:spacing w:val="0"/>
          <w:sz w:val="24"/>
          <w:szCs w:val="24"/>
          <w:lang w:eastAsia="zh-CN"/>
        </w:rPr>
        <w:t> CFTC铜非商业净多头连续</w:t>
      </w:r>
      <w:r>
        <w:rPr>
          <w:rFonts w:hint="eastAsia" w:ascii="微软雅黑" w:hAnsi="微软雅黑" w:eastAsia="微软雅黑" w:cs="微软雅黑"/>
          <w:b w:val="0"/>
          <w:i w:val="0"/>
          <w:caps w:val="0"/>
          <w:color w:val="000000"/>
          <w:spacing w:val="0"/>
          <w:sz w:val="24"/>
          <w:szCs w:val="24"/>
          <w:lang w:val="en-US" w:eastAsia="zh-CN"/>
        </w:rPr>
        <w:t>8</w:t>
      </w:r>
      <w:r>
        <w:rPr>
          <w:rFonts w:hint="eastAsia" w:ascii="微软雅黑" w:hAnsi="微软雅黑" w:eastAsia="微软雅黑" w:cs="微软雅黑"/>
          <w:b w:val="0"/>
          <w:i w:val="0"/>
          <w:caps w:val="0"/>
          <w:color w:val="000000"/>
          <w:spacing w:val="0"/>
          <w:sz w:val="24"/>
          <w:szCs w:val="24"/>
          <w:lang w:eastAsia="zh-CN"/>
        </w:rPr>
        <w:t>周持续增仓，表明近期机构投资者对后市铜价充满信心。</w:t>
      </w:r>
    </w:p>
    <w:p>
      <w:pPr>
        <w:jc w:val="left"/>
        <w:rPr>
          <w:rFonts w:hint="eastAsia" w:ascii="微软雅黑" w:hAnsi="微软雅黑" w:eastAsia="微软雅黑" w:cs="微软雅黑"/>
          <w:b w:val="0"/>
          <w:i w:val="0"/>
          <w:caps w:val="0"/>
          <w:color w:val="666666"/>
          <w:spacing w:val="0"/>
          <w:kern w:val="0"/>
          <w:sz w:val="18"/>
          <w:szCs w:val="18"/>
          <w:lang w:val="en-US" w:eastAsia="zh-CN" w:bidi="ar"/>
        </w:rPr>
      </w:pPr>
      <w:r>
        <w:rPr>
          <w:rFonts w:hint="eastAsia" w:ascii="微软雅黑" w:hAnsi="微软雅黑" w:eastAsia="微软雅黑" w:cs="微软雅黑"/>
          <w:b w:val="0"/>
          <w:i w:val="0"/>
          <w:caps w:val="0"/>
          <w:color w:val="666666"/>
          <w:spacing w:val="0"/>
          <w:kern w:val="0"/>
          <w:sz w:val="18"/>
          <w:szCs w:val="18"/>
          <w:lang w:val="en-US" w:eastAsia="zh-CN" w:bidi="ar"/>
        </w:rPr>
        <w:t xml:space="preserve">         </w:t>
      </w:r>
      <w:r>
        <w:rPr>
          <w:rFonts w:hint="eastAsia" w:ascii="微软雅黑" w:hAnsi="微软雅黑" w:eastAsia="微软雅黑" w:cs="微软雅黑"/>
          <w:b w:val="0"/>
          <w:i w:val="0"/>
          <w:caps w:val="0"/>
          <w:color w:val="666666"/>
          <w:spacing w:val="0"/>
          <w:kern w:val="0"/>
          <w:sz w:val="18"/>
          <w:szCs w:val="18"/>
          <w:lang w:val="en-US" w:eastAsia="zh-CN" w:bidi="ar"/>
        </w:rPr>
        <w:drawing>
          <wp:inline distT="0" distB="0" distL="114300" distR="114300">
            <wp:extent cx="5238750" cy="2857500"/>
            <wp:effectExtent l="0" t="0" r="0" b="0"/>
            <wp:docPr id="15" name="图片 15"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91"/>
                    <pic:cNvPicPr>
                      <a:picLocks noChangeAspect="1"/>
                    </pic:cNvPicPr>
                  </pic:nvPicPr>
                  <pic:blipFill>
                    <a:blip r:embed="rId15"/>
                    <a:stretch>
                      <a:fillRect/>
                    </a:stretch>
                  </pic:blipFill>
                  <pic:spPr>
                    <a:xfrm>
                      <a:off x="0" y="0"/>
                      <a:ext cx="5238750" cy="2857500"/>
                    </a:xfrm>
                    <a:prstGeom prst="rect">
                      <a:avLst/>
                    </a:prstGeom>
                    <a:noFill/>
                    <a:ln w="9525">
                      <a:noFill/>
                    </a:ln>
                  </pic:spPr>
                </pic:pic>
              </a:graphicData>
            </a:graphic>
          </wp:inline>
        </w:drawing>
      </w:r>
    </w:p>
    <w:p>
      <w:pPr>
        <w:jc w:val="left"/>
        <w:rPr>
          <w:rFonts w:hint="eastAsia" w:ascii="微软雅黑" w:hAnsi="微软雅黑" w:eastAsia="微软雅黑" w:cs="微软雅黑"/>
          <w:b w:val="0"/>
          <w:i w:val="0"/>
          <w:caps w:val="0"/>
          <w:color w:val="666666"/>
          <w:spacing w:val="0"/>
          <w:kern w:val="0"/>
          <w:sz w:val="18"/>
          <w:szCs w:val="18"/>
          <w:lang w:val="en-US" w:eastAsia="zh-CN" w:bidi="ar"/>
        </w:rPr>
      </w:pPr>
    </w:p>
    <w:p>
      <w:pPr>
        <w:jc w:val="left"/>
        <w:rPr>
          <w:rFonts w:hint="eastAsia" w:ascii="微软雅黑" w:hAnsi="微软雅黑" w:eastAsia="微软雅黑" w:cs="微软雅黑"/>
          <w:b w:val="0"/>
          <w:i w:val="0"/>
          <w:caps w:val="0"/>
          <w:color w:val="666666"/>
          <w:spacing w:val="0"/>
          <w:kern w:val="0"/>
          <w:sz w:val="18"/>
          <w:szCs w:val="18"/>
          <w:lang w:val="en-US" w:eastAsia="zh-CN" w:bidi="ar"/>
        </w:rPr>
      </w:pPr>
    </w:p>
    <w:p>
      <w:pPr>
        <w:jc w:val="left"/>
        <w:rPr>
          <w:rFonts w:hint="eastAsia" w:ascii="微软雅黑" w:hAnsi="微软雅黑" w:eastAsia="微软雅黑" w:cs="微软雅黑"/>
          <w:b w:val="0"/>
          <w:i w:val="0"/>
          <w:caps w:val="0"/>
          <w:color w:val="666666"/>
          <w:spacing w:val="0"/>
          <w:kern w:val="0"/>
          <w:sz w:val="18"/>
          <w:szCs w:val="18"/>
          <w:lang w:val="en-US" w:eastAsia="zh-CN" w:bidi="ar"/>
        </w:rPr>
      </w:pPr>
    </w:p>
    <w:p>
      <w:pPr>
        <w:jc w:val="left"/>
        <w:rPr>
          <w:rFonts w:hint="eastAsia" w:ascii="微软雅黑" w:hAnsi="微软雅黑" w:eastAsia="微软雅黑" w:cs="微软雅黑"/>
          <w:b w:val="0"/>
          <w:i w:val="0"/>
          <w:caps w:val="0"/>
          <w:color w:val="666666"/>
          <w:spacing w:val="0"/>
          <w:kern w:val="0"/>
          <w:sz w:val="18"/>
          <w:szCs w:val="18"/>
          <w:lang w:val="en-US" w:eastAsia="zh-CN" w:bidi="ar"/>
        </w:rPr>
      </w:pPr>
    </w:p>
    <w:p>
      <w:pPr>
        <w:jc w:val="left"/>
        <w:rPr>
          <w:rFonts w:hint="eastAsia" w:ascii="微软雅黑" w:hAnsi="微软雅黑" w:eastAsia="微软雅黑" w:cs="微软雅黑"/>
          <w:b w:val="0"/>
          <w:i w:val="0"/>
          <w:caps w:val="0"/>
          <w:color w:val="666666"/>
          <w:spacing w:val="0"/>
          <w:kern w:val="0"/>
          <w:sz w:val="18"/>
          <w:szCs w:val="18"/>
          <w:lang w:val="en-US" w:eastAsia="zh-CN" w:bidi="ar"/>
        </w:rPr>
      </w:pPr>
    </w:p>
    <w:p>
      <w:pPr>
        <w:jc w:val="left"/>
        <w:rPr>
          <w:rFonts w:hint="eastAsia" w:ascii="微软雅黑" w:hAnsi="微软雅黑" w:eastAsia="微软雅黑" w:cs="微软雅黑"/>
          <w:b w:val="0"/>
          <w:i w:val="0"/>
          <w:caps w:val="0"/>
          <w:color w:val="666666"/>
          <w:spacing w:val="0"/>
          <w:kern w:val="0"/>
          <w:sz w:val="18"/>
          <w:szCs w:val="18"/>
          <w:lang w:val="en-US" w:eastAsia="zh-CN" w:bidi="ar"/>
        </w:rPr>
      </w:pPr>
    </w:p>
    <w:p>
      <w:pPr>
        <w:ind w:firstLine="540" w:firstLineChars="300"/>
        <w:jc w:val="left"/>
        <w:rPr>
          <w:rFonts w:hint="eastAsia" w:ascii="微软雅黑" w:hAnsi="微软雅黑" w:eastAsia="微软雅黑" w:cs="微软雅黑"/>
          <w:b w:val="0"/>
          <w:i w:val="0"/>
          <w:caps w:val="0"/>
          <w:color w:val="666666"/>
          <w:spacing w:val="0"/>
          <w:kern w:val="0"/>
          <w:sz w:val="18"/>
          <w:szCs w:val="18"/>
          <w:lang w:val="en-US" w:eastAsia="zh-CN" w:bidi="ar"/>
        </w:rPr>
      </w:pPr>
      <w:r>
        <w:rPr>
          <w:rFonts w:hint="eastAsia" w:ascii="微软雅黑" w:hAnsi="微软雅黑" w:eastAsia="微软雅黑" w:cs="微软雅黑"/>
          <w:b w:val="0"/>
          <w:i w:val="0"/>
          <w:caps w:val="0"/>
          <w:color w:val="666666"/>
          <w:spacing w:val="0"/>
          <w:kern w:val="0"/>
          <w:sz w:val="18"/>
          <w:szCs w:val="18"/>
          <w:lang w:val="en-US" w:eastAsia="zh-CN" w:bidi="ar"/>
        </w:rPr>
        <w:t>沪铜主力连续                            2011年--2017年               月K线</w:t>
      </w:r>
    </w:p>
    <w:p>
      <w:pPr>
        <w:jc w:val="left"/>
        <w:rPr>
          <w:rFonts w:hint="eastAsia" w:ascii="微软雅黑" w:hAnsi="微软雅黑" w:eastAsia="微软雅黑" w:cs="微软雅黑"/>
          <w:b w:val="0"/>
          <w:i w:val="0"/>
          <w:caps w:val="0"/>
          <w:color w:val="666666"/>
          <w:spacing w:val="0"/>
          <w:kern w:val="0"/>
          <w:sz w:val="18"/>
          <w:szCs w:val="18"/>
          <w:lang w:val="en-US" w:eastAsia="zh-CN" w:bidi="ar"/>
        </w:rPr>
      </w:pPr>
      <w:r>
        <w:rPr>
          <w:rFonts w:hint="eastAsia" w:ascii="微软雅黑" w:hAnsi="微软雅黑" w:eastAsia="微软雅黑" w:cs="微软雅黑"/>
          <w:b w:val="0"/>
          <w:i w:val="0"/>
          <w:caps w:val="0"/>
          <w:color w:val="666666"/>
          <w:spacing w:val="0"/>
          <w:kern w:val="0"/>
          <w:sz w:val="18"/>
          <w:szCs w:val="18"/>
          <w:lang w:val="en-US" w:eastAsia="zh-CN" w:bidi="ar"/>
        </w:rPr>
        <w:t xml:space="preserve">      </w:t>
      </w:r>
      <w:r>
        <w:rPr>
          <w:rFonts w:hint="eastAsia" w:ascii="微软雅黑" w:hAnsi="微软雅黑" w:eastAsia="微软雅黑" w:cs="微软雅黑"/>
          <w:b w:val="0"/>
          <w:i w:val="0"/>
          <w:caps w:val="0"/>
          <w:color w:val="666666"/>
          <w:spacing w:val="0"/>
          <w:kern w:val="0"/>
          <w:sz w:val="18"/>
          <w:szCs w:val="18"/>
          <w:lang w:val="en-US" w:eastAsia="zh-CN" w:bidi="ar"/>
        </w:rPr>
        <w:drawing>
          <wp:inline distT="0" distB="0" distL="114300" distR="114300">
            <wp:extent cx="5272405" cy="2329815"/>
            <wp:effectExtent l="0" t="0" r="4445" b="13335"/>
            <wp:docPr id="16" name="图片 16" descr="QQ截图20170906140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QQ截图20170906140955"/>
                    <pic:cNvPicPr>
                      <a:picLocks noChangeAspect="1"/>
                    </pic:cNvPicPr>
                  </pic:nvPicPr>
                  <pic:blipFill>
                    <a:blip r:embed="rId16"/>
                    <a:stretch>
                      <a:fillRect/>
                    </a:stretch>
                  </pic:blipFill>
                  <pic:spPr>
                    <a:xfrm>
                      <a:off x="0" y="0"/>
                      <a:ext cx="5272405" cy="2329815"/>
                    </a:xfrm>
                    <a:prstGeom prst="rect">
                      <a:avLst/>
                    </a:prstGeom>
                  </pic:spPr>
                </pic:pic>
              </a:graphicData>
            </a:graphic>
          </wp:inline>
        </w:drawing>
      </w:r>
    </w:p>
    <w:p>
      <w:pPr>
        <w:ind w:firstLine="540" w:firstLineChars="300"/>
        <w:jc w:val="left"/>
        <w:rPr>
          <w:rFonts w:hint="eastAsia" w:ascii="微软雅黑" w:hAnsi="微软雅黑" w:eastAsia="微软雅黑" w:cs="微软雅黑"/>
          <w:b w:val="0"/>
          <w:i w:val="0"/>
          <w:caps w:val="0"/>
          <w:color w:val="666666"/>
          <w:spacing w:val="0"/>
          <w:kern w:val="0"/>
          <w:sz w:val="18"/>
          <w:szCs w:val="18"/>
          <w:lang w:val="en-US" w:eastAsia="zh-CN" w:bidi="ar"/>
        </w:rPr>
      </w:pPr>
      <w:r>
        <w:rPr>
          <w:rFonts w:hint="eastAsia" w:ascii="微软雅黑" w:hAnsi="微软雅黑" w:eastAsia="微软雅黑" w:cs="微软雅黑"/>
          <w:b w:val="0"/>
          <w:i w:val="0"/>
          <w:caps w:val="0"/>
          <w:color w:val="666666"/>
          <w:spacing w:val="0"/>
          <w:kern w:val="0"/>
          <w:sz w:val="18"/>
          <w:szCs w:val="18"/>
          <w:lang w:val="en-US" w:eastAsia="zh-CN" w:bidi="ar"/>
        </w:rPr>
        <w:t>资料来源：文化财经  和合期货</w:t>
      </w:r>
    </w:p>
    <w:p>
      <w:pPr>
        <w:jc w:val="left"/>
        <w:rPr>
          <w:rFonts w:hint="eastAsia" w:ascii="微软雅黑" w:hAnsi="微软雅黑" w:eastAsia="微软雅黑" w:cs="微软雅黑"/>
          <w:b w:val="0"/>
          <w:i w:val="0"/>
          <w:caps w:val="0"/>
          <w:color w:val="666666"/>
          <w:spacing w:val="0"/>
          <w:kern w:val="0"/>
          <w:sz w:val="18"/>
          <w:szCs w:val="18"/>
          <w:lang w:val="en-US" w:eastAsia="zh-CN" w:bidi="ar"/>
        </w:rPr>
      </w:pPr>
    </w:p>
    <w:p>
      <w:pPr>
        <w:jc w:val="left"/>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225" w:afterAutospacing="0" w:line="420" w:lineRule="atLeast"/>
        <w:ind w:left="0" w:right="0" w:firstLine="480" w:firstLineChars="200"/>
        <w:rPr>
          <w:rFonts w:hint="eastAsia" w:ascii="微软雅黑" w:hAnsi="微软雅黑" w:eastAsia="微软雅黑" w:cs="微软雅黑"/>
          <w:b w:val="0"/>
          <w:i w:val="0"/>
          <w:caps w:val="0"/>
          <w:color w:val="000000"/>
          <w:spacing w:val="0"/>
          <w:kern w:val="2"/>
          <w:sz w:val="24"/>
          <w:szCs w:val="24"/>
          <w:lang w:val="en-US" w:eastAsia="zh-CN" w:bidi="ar-SA"/>
        </w:rPr>
      </w:pPr>
      <w:r>
        <w:rPr>
          <w:rFonts w:hint="eastAsia" w:ascii="微软雅黑" w:hAnsi="微软雅黑" w:eastAsia="微软雅黑" w:cs="微软雅黑"/>
          <w:b w:val="0"/>
          <w:i w:val="0"/>
          <w:caps w:val="0"/>
          <w:color w:val="000000"/>
          <w:spacing w:val="0"/>
          <w:kern w:val="2"/>
          <w:sz w:val="24"/>
          <w:szCs w:val="24"/>
          <w:lang w:val="en-US" w:eastAsia="zh-CN" w:bidi="ar-SA"/>
        </w:rPr>
        <w:t>综合分析：美国经济发展相对平缓，欧洲经济明显回暖，中国经济较快发展，几大经济体良好发展提振精铜消费；供给面，上半年矿山罢工频发，叠加不利天气等其他突发情况，进一步影响铜精矿存量供应，下半年全球铜精矿供应紧缺程度换将继续；需求面，家电行业下半年暂时进入淡季，铜消费会有所下降，电力电网投资增速会加大，保守估算有90万吨精铜需求增加；美元指数还将底部徘徊，有利铜价上行；CFTC非商业净多头持仓连续增加，投资机构对铜后世行情很有信心,供给侧改革和环保督察力度加大中短期利多铜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225" w:afterAutospacing="0" w:line="420" w:lineRule="atLeast"/>
        <w:ind w:left="0" w:right="0" w:firstLine="480" w:firstLineChars="200"/>
        <w:rPr>
          <w:rFonts w:hint="eastAsia" w:ascii="微软雅黑" w:hAnsi="微软雅黑" w:eastAsia="微软雅黑" w:cs="微软雅黑"/>
          <w:b w:val="0"/>
          <w:i w:val="0"/>
          <w:caps w:val="0"/>
          <w:color w:val="000000"/>
          <w:spacing w:val="0"/>
          <w:kern w:val="2"/>
          <w:sz w:val="24"/>
          <w:szCs w:val="24"/>
          <w:lang w:val="en-US" w:eastAsia="zh-CN" w:bidi="ar-SA"/>
        </w:rPr>
      </w:pPr>
      <w:r>
        <w:rPr>
          <w:rFonts w:hint="eastAsia" w:ascii="微软雅黑" w:hAnsi="微软雅黑" w:eastAsia="微软雅黑" w:cs="微软雅黑"/>
          <w:b w:val="0"/>
          <w:i w:val="0"/>
          <w:caps w:val="0"/>
          <w:color w:val="000000"/>
          <w:spacing w:val="0"/>
          <w:kern w:val="2"/>
          <w:sz w:val="24"/>
          <w:szCs w:val="24"/>
          <w:lang w:val="en-US" w:eastAsia="zh-CN" w:bidi="ar-SA"/>
        </w:rPr>
        <w:t>操作策略以多头思路为主，在52400--53000之间先建仓20%，突破54000再建仓30%,止损位52000，止盈位在55000--56000之间。</w:t>
      </w:r>
    </w:p>
    <w:p>
      <w:pPr>
        <w:jc w:val="left"/>
        <w:rPr>
          <w:rFonts w:hint="eastAsia" w:ascii="微软雅黑" w:hAnsi="微软雅黑" w:eastAsia="微软雅黑" w:cs="微软雅黑"/>
          <w:b w:val="0"/>
          <w:i w:val="0"/>
          <w:caps w:val="0"/>
          <w:color w:val="000000"/>
          <w:spacing w:val="0"/>
          <w:kern w:val="2"/>
          <w:sz w:val="24"/>
          <w:szCs w:val="24"/>
          <w:lang w:val="en-US" w:eastAsia="zh-CN" w:bidi="ar-SA"/>
        </w:rPr>
      </w:pPr>
    </w:p>
    <w:p>
      <w:pPr>
        <w:jc w:val="left"/>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p>
    <w:p>
      <w:pPr>
        <w:jc w:val="left"/>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p>
    <w:p>
      <w:pPr>
        <w:rPr>
          <w:rFonts w:hint="eastAsia" w:eastAsia="微软雅黑"/>
        </w:rPr>
      </w:pPr>
    </w:p>
    <w:p>
      <w:pPr>
        <w:ind w:firstLine="420" w:firstLineChars="200"/>
        <w:rPr>
          <w:rFonts w:hint="eastAsia" w:eastAsia="微软雅黑"/>
        </w:rPr>
      </w:pPr>
      <w:r>
        <w:rPr>
          <w:rFonts w:hint="eastAsia" w:eastAsia="微软雅黑"/>
        </w:rPr>
        <w:t>作者具有中国期货业协会授予的期货投资咨询执业资格，保证报告所采用的数据和信息均来自公开合规渠道，分析逻辑基于作者的职业理解，本报告清晰准确地反映了作者的研究观点，力求独立、客观和公正，结论不受任何第三方的授意或影响。研究报告对所涉及的内容是分析师本人通过财务分析预测、数量化方法、或行业比较分析所得出的结论，但使用以上信息和分析方法存在局限性。特此声明。</w:t>
      </w:r>
    </w:p>
    <w:p>
      <w:pPr>
        <w:ind w:firstLine="435"/>
        <w:rPr>
          <w:rFonts w:hint="eastAsia" w:eastAsia="微软雅黑"/>
          <w:b/>
        </w:rPr>
      </w:pPr>
      <w:r>
        <w:rPr>
          <w:rFonts w:hint="eastAsia" w:eastAsia="微软雅黑"/>
          <w:b/>
        </w:rPr>
        <w:t>免责声明</w:t>
      </w:r>
    </w:p>
    <w:p>
      <w:pPr>
        <w:ind w:firstLine="435"/>
        <w:rPr>
          <w:rFonts w:hint="eastAsia" w:eastAsia="微软雅黑"/>
        </w:rPr>
      </w:pPr>
      <w:r>
        <w:rPr>
          <w:rFonts w:hint="eastAsia" w:eastAsia="微软雅黑"/>
        </w:rPr>
        <w:t>和合期货经纪有限公司具有期货投资咨询业务资格。</w:t>
      </w:r>
    </w:p>
    <w:p>
      <w:pPr>
        <w:ind w:firstLine="435"/>
        <w:rPr>
          <w:rFonts w:hint="eastAsia" w:eastAsia="微软雅黑"/>
        </w:rPr>
      </w:pPr>
      <w:r>
        <w:rPr>
          <w:rFonts w:hint="eastAsia" w:eastAsia="微软雅黑"/>
        </w:rPr>
        <w:t xml:space="preserve">本报告的作者是基于独立、客观、公正和审慎的原则制作本研究报告。本报告的信息均来源于公开资料，本公司对这些信息的准确性和完整性不作任何保证，也不保证所包含信息和建议不发生任何变更。本公司已力求报告内容的客观、公正，但文中的观点、结论和建议仅供参考，不包含作者对价格涨跌或市场走势的确定性判断。报告中的信息或意见并不构成所述投资标的物的买卖出价或征价，投资者据此做出的任何投资决策与本公司和作者无关。 </w:t>
      </w:r>
    </w:p>
    <w:p>
      <w:pPr>
        <w:ind w:firstLine="435"/>
        <w:rPr>
          <w:rFonts w:hint="eastAsia" w:eastAsia="微软雅黑"/>
        </w:rPr>
      </w:pPr>
      <w:r>
        <w:rPr>
          <w:rFonts w:hint="eastAsia" w:eastAsia="微软雅黑"/>
        </w:rPr>
        <w:t xml:space="preserve">本报告所载的资料、意见及推测仅反映本公司于发布本报告当日的判断，本报告所指的投资标的的价格、价值及投资收入可升可跌，过往表现不应作为日后的表现依据；在不同时期，本公司可发出与本报告所载资料、意见及推测不一致的报告；本公司不保证本报告所含信息保持在最新状态。同时，本公司对本报告所含信息可在不发出通知的情形下做出修改，投资者应当自行关注相应的更新或修改。 </w:t>
      </w:r>
    </w:p>
    <w:p>
      <w:pPr>
        <w:ind w:firstLine="435"/>
        <w:rPr>
          <w:rFonts w:hint="eastAsia" w:eastAsia="微软雅黑"/>
        </w:rPr>
      </w:pPr>
      <w:r>
        <w:rPr>
          <w:rFonts w:hint="eastAsia" w:eastAsia="微软雅黑"/>
        </w:rPr>
        <w:t xml:space="preserve">本公司及作者在自身所知情范围内，与本报告中所评价或推荐的内容不存在法律法规要求披露或采取限制、静默措施的利益冲突。 </w:t>
      </w:r>
    </w:p>
    <w:p>
      <w:pPr>
        <w:ind w:firstLine="435"/>
        <w:rPr>
          <w:rFonts w:hint="eastAsia" w:eastAsia="微软雅黑"/>
        </w:rPr>
      </w:pPr>
      <w:r>
        <w:rPr>
          <w:rFonts w:hint="eastAsia" w:eastAsia="微软雅黑"/>
        </w:rPr>
        <w:t>本报告版权仅仅为本公司所有，未经书面许可，任何机构和个人不得以任何形式翻版、复制和发布。如引用须注明出处为和合期货，且不得对本报告进行有悖原意的引用、删节和修改。未经授权刊载或者转发本报告的，本公司将保留向其追究法律责任的权利。</w:t>
      </w:r>
    </w:p>
    <w:p>
      <w:pPr>
        <w:rPr>
          <w:rFonts w:hint="eastAsia" w:ascii="微软雅黑" w:hAnsi="微软雅黑" w:eastAsia="微软雅黑" w:cs="微软雅黑"/>
          <w:b w:val="0"/>
          <w:i w:val="0"/>
          <w:caps w:val="0"/>
          <w:color w:val="4C4C4C"/>
          <w:spacing w:val="0"/>
          <w:sz w:val="24"/>
          <w:szCs w:val="24"/>
          <w:shd w:val="clear" w:fill="FFFFFF"/>
          <w:lang w:val="en-US" w:eastAsia="zh-CN"/>
        </w:rPr>
      </w:pP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Wingdings-Regular">
    <w:altName w:val="Times New Roman"/>
    <w:panose1 w:val="00000000000000000000"/>
    <w:charset w:val="00"/>
    <w:family w:val="auto"/>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altName w:val="Calibri"/>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601C41"/>
    <w:rsid w:val="02F20495"/>
    <w:rsid w:val="067F7E53"/>
    <w:rsid w:val="06A94552"/>
    <w:rsid w:val="07237820"/>
    <w:rsid w:val="082202BC"/>
    <w:rsid w:val="08551C0E"/>
    <w:rsid w:val="09802517"/>
    <w:rsid w:val="0CF17ECE"/>
    <w:rsid w:val="0ED36F9E"/>
    <w:rsid w:val="11451084"/>
    <w:rsid w:val="13DC0AB3"/>
    <w:rsid w:val="14296885"/>
    <w:rsid w:val="16F97B8D"/>
    <w:rsid w:val="1C12329F"/>
    <w:rsid w:val="1D7E5432"/>
    <w:rsid w:val="1DB360C3"/>
    <w:rsid w:val="1ED26A94"/>
    <w:rsid w:val="1FEB5903"/>
    <w:rsid w:val="23746B5E"/>
    <w:rsid w:val="25692201"/>
    <w:rsid w:val="27C30A04"/>
    <w:rsid w:val="2A63504E"/>
    <w:rsid w:val="2F145B2D"/>
    <w:rsid w:val="2FE63680"/>
    <w:rsid w:val="333C7C25"/>
    <w:rsid w:val="33A732F5"/>
    <w:rsid w:val="353B5B4A"/>
    <w:rsid w:val="358F693C"/>
    <w:rsid w:val="38F52FD7"/>
    <w:rsid w:val="394241C8"/>
    <w:rsid w:val="3C8A624E"/>
    <w:rsid w:val="3CB965A3"/>
    <w:rsid w:val="429D224E"/>
    <w:rsid w:val="42A00AA3"/>
    <w:rsid w:val="4336363B"/>
    <w:rsid w:val="458F1388"/>
    <w:rsid w:val="46601C41"/>
    <w:rsid w:val="470056E1"/>
    <w:rsid w:val="4736757A"/>
    <w:rsid w:val="4AE11E6E"/>
    <w:rsid w:val="4C564009"/>
    <w:rsid w:val="4D694B74"/>
    <w:rsid w:val="4FDE1CE6"/>
    <w:rsid w:val="50405500"/>
    <w:rsid w:val="562703DB"/>
    <w:rsid w:val="57761E79"/>
    <w:rsid w:val="58165DE7"/>
    <w:rsid w:val="596E408B"/>
    <w:rsid w:val="5B00578D"/>
    <w:rsid w:val="5B082E5A"/>
    <w:rsid w:val="5C4C1CE8"/>
    <w:rsid w:val="5C592411"/>
    <w:rsid w:val="5CA264BD"/>
    <w:rsid w:val="5D7249DC"/>
    <w:rsid w:val="5D821586"/>
    <w:rsid w:val="60065005"/>
    <w:rsid w:val="612A63B3"/>
    <w:rsid w:val="61586173"/>
    <w:rsid w:val="689D5A79"/>
    <w:rsid w:val="68DB69C4"/>
    <w:rsid w:val="6A711A44"/>
    <w:rsid w:val="6AAF4831"/>
    <w:rsid w:val="6AF30CC4"/>
    <w:rsid w:val="6B3D5EB6"/>
    <w:rsid w:val="6F8A7A9F"/>
    <w:rsid w:val="76661850"/>
    <w:rsid w:val="7B516F61"/>
    <w:rsid w:val="7B8C16FB"/>
    <w:rsid w:val="7F8C5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2.png"/><Relationship Id="rId15" Type="http://schemas.openxmlformats.org/officeDocument/2006/relationships/image" Target="media/image11.jpeg"/><Relationship Id="rId14" Type="http://schemas.openxmlformats.org/officeDocument/2006/relationships/image" Target="media/image10.pn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                       </a:t>
            </a:r>
            <a:r>
              <a:rPr sz="1600" b="1"/>
              <a:t>电网投资额</a:t>
            </a:r>
            <a:r>
              <a:t>         </a:t>
            </a:r>
            <a:r>
              <a:rPr baseline="-25000"/>
              <a:t>单位：亿元</a:t>
            </a:r>
            <a:endParaRPr baseline="-25000"/>
          </a:p>
        </c:rich>
      </c:tx>
      <c:layout/>
      <c:overlay val="0"/>
      <c:spPr>
        <a:noFill/>
        <a:ln>
          <a:noFill/>
        </a:ln>
        <a:effectLst/>
      </c:spPr>
    </c:title>
    <c:autoTitleDeleted val="0"/>
    <c:plotArea>
      <c:layout/>
      <c:barChart>
        <c:barDir val="col"/>
        <c:grouping val="clustered"/>
        <c:varyColors val="0"/>
        <c:ser>
          <c:idx val="0"/>
          <c:order val="0"/>
          <c:tx>
            <c:strRef>
              <c:f>[工作簿1]Sheet1!$A$1</c:f>
              <c:strCache>
                <c:ptCount val="1"/>
                <c:pt idx="0">
                  <c:v>2012年</c:v>
                </c:pt>
              </c:strCache>
            </c:strRef>
          </c:tx>
          <c:spPr>
            <a:solidFill>
              <a:schemeClr val="accent1"/>
            </a:solidFill>
            <a:ln>
              <a:noFill/>
            </a:ln>
            <a:effectLst/>
          </c:spPr>
          <c:invertIfNegative val="0"/>
          <c:dLbls>
            <c:delete val="1"/>
          </c:dLbls>
          <c:val>
            <c:numRef>
              <c:f>[工作簿1]Sheet1!$B$1:$F$1</c:f>
              <c:numCache>
                <c:formatCode>General</c:formatCode>
                <c:ptCount val="5"/>
                <c:pt idx="0">
                  <c:v>3661</c:v>
                </c:pt>
              </c:numCache>
            </c:numRef>
          </c:val>
        </c:ser>
        <c:ser>
          <c:idx val="1"/>
          <c:order val="1"/>
          <c:tx>
            <c:strRef>
              <c:f>[工作簿1]Sheet1!$A$2</c:f>
              <c:strCache>
                <c:ptCount val="1"/>
                <c:pt idx="0">
                  <c:v>2013年</c:v>
                </c:pt>
              </c:strCache>
            </c:strRef>
          </c:tx>
          <c:spPr>
            <a:solidFill>
              <a:schemeClr val="accent2"/>
            </a:solidFill>
            <a:ln>
              <a:noFill/>
            </a:ln>
            <a:effectLst/>
          </c:spPr>
          <c:invertIfNegative val="0"/>
          <c:dLbls>
            <c:delete val="1"/>
          </c:dLbls>
          <c:val>
            <c:numRef>
              <c:f>[工作簿1]Sheet1!$B$2:$F$2</c:f>
              <c:numCache>
                <c:formatCode>General</c:formatCode>
                <c:ptCount val="5"/>
                <c:pt idx="1">
                  <c:v>3856</c:v>
                </c:pt>
              </c:numCache>
            </c:numRef>
          </c:val>
        </c:ser>
        <c:ser>
          <c:idx val="2"/>
          <c:order val="2"/>
          <c:tx>
            <c:strRef>
              <c:f>[工作簿1]Sheet1!$A$3</c:f>
              <c:strCache>
                <c:ptCount val="1"/>
                <c:pt idx="0">
                  <c:v>2014年</c:v>
                </c:pt>
              </c:strCache>
            </c:strRef>
          </c:tx>
          <c:spPr>
            <a:solidFill>
              <a:schemeClr val="accent3"/>
            </a:solidFill>
            <a:ln>
              <a:noFill/>
            </a:ln>
            <a:effectLst/>
          </c:spPr>
          <c:invertIfNegative val="0"/>
          <c:dLbls>
            <c:delete val="1"/>
          </c:dLbls>
          <c:val>
            <c:numRef>
              <c:f>[工作簿1]Sheet1!$B$3:$F$3</c:f>
              <c:numCache>
                <c:formatCode>General</c:formatCode>
                <c:ptCount val="5"/>
                <c:pt idx="2">
                  <c:v>4119</c:v>
                </c:pt>
              </c:numCache>
            </c:numRef>
          </c:val>
        </c:ser>
        <c:ser>
          <c:idx val="3"/>
          <c:order val="3"/>
          <c:tx>
            <c:strRef>
              <c:f>[工作簿1]Sheet1!$A$4</c:f>
              <c:strCache>
                <c:ptCount val="1"/>
                <c:pt idx="0">
                  <c:v>2015年</c:v>
                </c:pt>
              </c:strCache>
            </c:strRef>
          </c:tx>
          <c:spPr>
            <a:solidFill>
              <a:schemeClr val="accent4"/>
            </a:solidFill>
            <a:ln>
              <a:noFill/>
            </a:ln>
            <a:effectLst/>
          </c:spPr>
          <c:invertIfNegative val="0"/>
          <c:dLbls>
            <c:delete val="1"/>
          </c:dLbls>
          <c:val>
            <c:numRef>
              <c:f>[工作簿1]Sheet1!$B$4:$F$4</c:f>
              <c:numCache>
                <c:formatCode>General</c:formatCode>
                <c:ptCount val="5"/>
                <c:pt idx="3">
                  <c:v>4640</c:v>
                </c:pt>
              </c:numCache>
            </c:numRef>
          </c:val>
        </c:ser>
        <c:ser>
          <c:idx val="4"/>
          <c:order val="4"/>
          <c:tx>
            <c:strRef>
              <c:f>[工作簿1]Sheet1!$A$5</c:f>
              <c:strCache>
                <c:ptCount val="1"/>
                <c:pt idx="0">
                  <c:v>2016年</c:v>
                </c:pt>
              </c:strCache>
            </c:strRef>
          </c:tx>
          <c:spPr>
            <a:solidFill>
              <a:schemeClr val="accent5"/>
            </a:solidFill>
            <a:ln>
              <a:noFill/>
            </a:ln>
            <a:effectLst/>
          </c:spPr>
          <c:invertIfNegative val="0"/>
          <c:dLbls>
            <c:delete val="1"/>
          </c:dLbls>
          <c:val>
            <c:numRef>
              <c:f>[工作簿1]Sheet1!$B$5:$F$5</c:f>
              <c:numCache>
                <c:formatCode>General</c:formatCode>
                <c:ptCount val="5"/>
                <c:pt idx="4">
                  <c:v>5426</c:v>
                </c:pt>
              </c:numCache>
            </c:numRef>
          </c:val>
        </c:ser>
        <c:dLbls>
          <c:showLegendKey val="0"/>
          <c:showVal val="0"/>
          <c:showCatName val="0"/>
          <c:showSerName val="0"/>
          <c:showPercent val="0"/>
          <c:showBubbleSize val="0"/>
        </c:dLbls>
        <c:gapWidth val="219"/>
        <c:overlap val="-27"/>
        <c:axId val="621054057"/>
        <c:axId val="114996303"/>
      </c:barChart>
      <c:catAx>
        <c:axId val="621054057"/>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4996303"/>
        <c:crosses val="autoZero"/>
        <c:auto val="1"/>
        <c:lblAlgn val="ctr"/>
        <c:lblOffset val="100"/>
        <c:noMultiLvlLbl val="0"/>
      </c:catAx>
      <c:valAx>
        <c:axId val="1149963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105405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2017-09-05T05:22:00Z</dcterms:created>
  <dc:creator>Administrator</dc:creator>
  <cp:lastModifiedBy>Administrator</cp:lastModifiedBy>
  <dcterms:modified xsi:type="dcterms:W3CDTF">2017-09-08T05:22:54Z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