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博时平衡配置混合型证券投资基金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中国工商银行股份有限公司</w:t>
      </w:r>
      <w:r>
        <w:rPr>
          <w:rFonts w:ascii="宋体" w:hAnsi="宋体" w:eastAsia="宋体"/>
          <w:b/>
          <w:sz w:val="30"/>
        </w:rPr>
        <w:br w:type="page"/>
      </w:r>
    </w:p>
    <w:p>
      <w:pPr>
        <w:pStyle w:val="2"/>
        <w:jc w:val="center"/>
        <w:rPr>
          <w:rFonts w:ascii="宋体" w:hAnsi="宋体" w:eastAsia="宋体"/>
          <w:sz w:val="30"/>
        </w:rPr>
      </w:pPr>
      <w:bookmarkStart w:id="0" w:name="_Toc113522942"/>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本基金经</w:t>
      </w:r>
      <w:bookmarkStart w:id="1" w:name="field_2343_approveddate_1"/>
      <w:r>
        <w:rPr>
          <w:sz w:val="21"/>
          <w:szCs w:val="21"/>
        </w:rPr>
        <w:t>2006年4月10日</w:t>
      </w:r>
      <w:bookmarkEnd w:id="1"/>
      <w:r>
        <w:rPr>
          <w:rFonts w:hint="eastAsia"/>
          <w:sz w:val="21"/>
          <w:szCs w:val="21"/>
        </w:rPr>
        <w:t>中国证券监督管理委员会证监基金字</w:t>
      </w:r>
      <w:bookmarkStart w:id="2" w:name="field_2343_lotnumber_1"/>
      <w:r>
        <w:rPr>
          <w:sz w:val="21"/>
          <w:szCs w:val="21"/>
        </w:rPr>
        <w:t>[2006]68</w:t>
      </w:r>
      <w:bookmarkEnd w:id="2"/>
      <w:r>
        <w:rPr>
          <w:rFonts w:hint="eastAsia"/>
          <w:sz w:val="21"/>
          <w:szCs w:val="21"/>
        </w:rPr>
        <w:t xml:space="preserve">号文核准募集。 </w:t>
      </w:r>
    </w:p>
    <w:p>
      <w:pPr>
        <w:pStyle w:val="7"/>
        <w:spacing w:before="0" w:beforeAutospacing="0" w:after="0" w:afterAutospacing="0" w:line="360" w:lineRule="auto"/>
        <w:ind w:firstLine="420"/>
        <w:rPr>
          <w:sz w:val="21"/>
          <w:szCs w:val="21"/>
        </w:rPr>
      </w:pPr>
      <w:r>
        <w:rPr>
          <w:rFonts w:hint="eastAsia"/>
          <w:sz w:val="21"/>
          <w:szCs w:val="21"/>
        </w:rPr>
        <w:t xml:space="preserve">基金管理人保证招募说明书的内容真实、准确、完整。本招募说明书经中国证监会审核同意，但中国证监会对本基金作出的任何决定，均不表明其对本基金的价值和收益作出实质性判断或保证，也不表明投资于本基金没有风险。 </w:t>
      </w:r>
    </w:p>
    <w:p>
      <w:pPr>
        <w:pStyle w:val="7"/>
        <w:spacing w:before="0" w:beforeAutospacing="0" w:after="0" w:afterAutospacing="0" w:line="360" w:lineRule="auto"/>
        <w:ind w:firstLine="420"/>
        <w:rPr>
          <w:sz w:val="21"/>
          <w:szCs w:val="21"/>
        </w:rPr>
      </w:pPr>
      <w:r>
        <w:rPr>
          <w:rFonts w:hint="eastAsia"/>
          <w:sz w:val="21"/>
          <w:szCs w:val="21"/>
        </w:rPr>
        <w:t xml:space="preserve">基金管理人承诺以诚实信用、勤勉尽责的原则管理和运用基金资产，但不保证基金一定盈利，也不保证最低收益。 </w:t>
      </w:r>
    </w:p>
    <w:p>
      <w:pPr>
        <w:pStyle w:val="7"/>
        <w:spacing w:before="0" w:beforeAutospacing="0" w:after="0" w:afterAutospacing="0" w:line="360" w:lineRule="auto"/>
        <w:ind w:firstLine="420"/>
        <w:rPr>
          <w:sz w:val="21"/>
          <w:szCs w:val="21"/>
        </w:rPr>
      </w:pPr>
      <w:r>
        <w:rPr>
          <w:rFonts w:hint="eastAsia"/>
          <w:sz w:val="21"/>
          <w:szCs w:val="21"/>
        </w:rPr>
        <w:t xml:space="preserve">投资有风险，过往业绩并不代表将来业绩。基金管理人管理的其他基金的业绩并不构成新基金业绩表现的保证。投资人在办理基金业务时提交的资料信息须真实、有效。于交易日（T日）提交的申请，投资人应在T+2日到销售网点柜台或销售机构规定的其他方式查询申请的确认情况，投资人提交的申请经登记机构确认（或不被确认）的后果由投资人承担。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含存托凭证）、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投资人在认购（或申购）本基金前应认真阅读本招募说明书、基金合同及基金产品资料概要等信息披露文件。 </w:t>
      </w:r>
    </w:p>
    <w:p>
      <w:pPr>
        <w:pStyle w:val="7"/>
        <w:spacing w:before="0" w:beforeAutospacing="0" w:after="0" w:afterAutospacing="0" w:line="360" w:lineRule="auto"/>
        <w:ind w:firstLine="420"/>
        <w:rPr>
          <w:sz w:val="21"/>
          <w:szCs w:val="21"/>
        </w:rPr>
      </w:pPr>
      <w:r>
        <w:rPr>
          <w:rFonts w:hint="eastAsia"/>
          <w:sz w:val="21"/>
          <w:szCs w:val="21"/>
        </w:rPr>
        <w:t xml:space="preserve">本招募说明书关于基金产品资料概要的编制、披露及更新等内容，将不晚于2020年9月1日起执行 </w:t>
      </w:r>
    </w:p>
    <w:p>
      <w:pPr>
        <w:pStyle w:val="7"/>
        <w:spacing w:before="0" w:beforeAutospacing="0" w:after="0" w:afterAutospacing="0" w:line="360" w:lineRule="auto"/>
        <w:ind w:firstLine="420"/>
        <w:rPr>
          <w:sz w:val="21"/>
          <w:szCs w:val="21"/>
        </w:rPr>
      </w:pPr>
      <w:r>
        <w:rPr>
          <w:rFonts w:hint="eastAsia"/>
          <w:sz w:val="21"/>
          <w:szCs w:val="21"/>
        </w:rPr>
        <w:t>本招募说明书(更新)所载内容截止日为</w:t>
      </w:r>
      <w:bookmarkStart w:id="3" w:name="field_2343_infoendday_1"/>
      <w:r>
        <w:rPr>
          <w:sz w:val="21"/>
          <w:szCs w:val="21"/>
        </w:rPr>
        <w:t>202</w:t>
      </w:r>
      <w:r>
        <w:rPr>
          <w:rFonts w:hint="eastAsia"/>
          <w:sz w:val="21"/>
          <w:szCs w:val="21"/>
          <w:lang w:val="en-US" w:eastAsia="zh-CN"/>
        </w:rPr>
        <w:t>3</w:t>
      </w:r>
      <w:r>
        <w:rPr>
          <w:sz w:val="21"/>
          <w:szCs w:val="21"/>
        </w:rPr>
        <w:t>年</w:t>
      </w:r>
      <w:r>
        <w:rPr>
          <w:rFonts w:hint="eastAsia"/>
          <w:sz w:val="21"/>
          <w:szCs w:val="21"/>
          <w:lang w:val="en-US" w:eastAsia="zh-CN"/>
        </w:rPr>
        <w:t>7</w:t>
      </w:r>
      <w:r>
        <w:rPr>
          <w:sz w:val="21"/>
          <w:szCs w:val="21"/>
        </w:rPr>
        <w:t>月</w:t>
      </w:r>
      <w:r>
        <w:rPr>
          <w:rFonts w:hint="eastAsia"/>
          <w:sz w:val="21"/>
          <w:szCs w:val="21"/>
          <w:lang w:val="en-US" w:eastAsia="zh-CN"/>
        </w:rPr>
        <w:t>8</w:t>
      </w:r>
      <w:r>
        <w:rPr>
          <w:sz w:val="21"/>
          <w:szCs w:val="21"/>
        </w:rPr>
        <w:t>日</w:t>
      </w:r>
      <w:bookmarkEnd w:id="3"/>
      <w:r>
        <w:rPr>
          <w:rFonts w:hint="eastAsia"/>
          <w:sz w:val="21"/>
          <w:szCs w:val="21"/>
        </w:rPr>
        <w:t>，有关财务数据和净值表现截止日为</w:t>
      </w:r>
      <w:bookmarkStart w:id="4" w:name="field_2343_financeendday_1"/>
      <w:r>
        <w:rPr>
          <w:sz w:val="21"/>
          <w:szCs w:val="21"/>
        </w:rPr>
        <w:t>2022年6月30日</w:t>
      </w:r>
      <w:bookmarkEnd w:id="4"/>
      <w:r>
        <w:rPr>
          <w:rFonts w:hint="eastAsia"/>
          <w:sz w:val="21"/>
          <w:szCs w:val="21"/>
        </w:rPr>
        <w:t xml:space="preserve"> (财务数据未经审计)。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"_Toc113522942" </w:instrText>
      </w:r>
      <w:r>
        <w:fldChar w:fldCharType="separate"/>
      </w:r>
      <w:r>
        <w:rPr>
          <w:rStyle w:val="12"/>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_Toc113522942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"_Toc113522943" </w:instrText>
      </w:r>
      <w:r>
        <w:fldChar w:fldCharType="separate"/>
      </w:r>
      <w:r>
        <w:rPr>
          <w:rStyle w:val="12"/>
          <w:rFonts w:hint="eastAsia" w:ascii="宋体" w:hAnsi="宋体" w:eastAsia="宋体"/>
          <w:u w:val="none"/>
        </w:rPr>
        <w:t>一、绪言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_Toc113522943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"_Toc113522944" </w:instrText>
      </w:r>
      <w:r>
        <w:fldChar w:fldCharType="separate"/>
      </w:r>
      <w:r>
        <w:rPr>
          <w:rStyle w:val="12"/>
          <w:rFonts w:hint="eastAsia" w:ascii="宋体" w:hAnsi="宋体" w:eastAsia="宋体"/>
          <w:u w:val="none"/>
        </w:rPr>
        <w:t>二、释义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_Toc113522944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"_Toc113522945" </w:instrText>
      </w:r>
      <w:r>
        <w:fldChar w:fldCharType="separate"/>
      </w:r>
      <w:r>
        <w:rPr>
          <w:rStyle w:val="12"/>
          <w:rFonts w:hint="eastAsia" w:ascii="宋体" w:hAnsi="宋体" w:eastAsia="宋体"/>
          <w:u w:val="none"/>
        </w:rPr>
        <w:t>三、基金管理人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_Toc113522945 \h </w:instrText>
      </w:r>
      <w:r>
        <w:rPr>
          <w:rFonts w:ascii="宋体" w:hAnsi="宋体" w:eastAsia="宋体"/>
        </w:rPr>
        <w:fldChar w:fldCharType="separate"/>
      </w:r>
      <w:r>
        <w:rPr>
          <w:rFonts w:ascii="宋体" w:hAnsi="宋体" w:eastAsia="宋体"/>
        </w:rPr>
        <w:t>10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"_Toc113522946" </w:instrText>
      </w:r>
      <w:r>
        <w:fldChar w:fldCharType="separate"/>
      </w:r>
      <w:r>
        <w:rPr>
          <w:rStyle w:val="12"/>
          <w:rFonts w:hint="eastAsia" w:ascii="宋体" w:hAnsi="宋体" w:eastAsia="宋体"/>
          <w:u w:val="none"/>
        </w:rPr>
        <w:t>四、基金托管人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_Toc113522946 \h </w:instrText>
      </w:r>
      <w:r>
        <w:rPr>
          <w:rFonts w:ascii="宋体" w:hAnsi="宋体" w:eastAsia="宋体"/>
        </w:rPr>
        <w:fldChar w:fldCharType="separate"/>
      </w:r>
      <w:r>
        <w:rPr>
          <w:rFonts w:ascii="宋体" w:hAnsi="宋体" w:eastAsia="宋体"/>
        </w:rPr>
        <w:t>22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"_Toc113522947" </w:instrText>
      </w:r>
      <w:r>
        <w:fldChar w:fldCharType="separate"/>
      </w:r>
      <w:r>
        <w:rPr>
          <w:rStyle w:val="12"/>
          <w:rFonts w:hint="eastAsia" w:ascii="宋体" w:hAnsi="宋体" w:eastAsia="宋体"/>
          <w:u w:val="none"/>
        </w:rPr>
        <w:t>五、相关服务机构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_Toc113522947 \h </w:instrText>
      </w:r>
      <w:r>
        <w:rPr>
          <w:rFonts w:ascii="宋体" w:hAnsi="宋体" w:eastAsia="宋体"/>
        </w:rPr>
        <w:fldChar w:fldCharType="separate"/>
      </w:r>
      <w:r>
        <w:rPr>
          <w:rFonts w:ascii="宋体" w:hAnsi="宋体" w:eastAsia="宋体"/>
        </w:rPr>
        <w:t>28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"_Toc113522948" </w:instrText>
      </w:r>
      <w:r>
        <w:fldChar w:fldCharType="separate"/>
      </w:r>
      <w:r>
        <w:rPr>
          <w:rStyle w:val="12"/>
          <w:rFonts w:hint="eastAsia" w:ascii="宋体" w:hAnsi="宋体" w:eastAsia="宋体"/>
          <w:u w:val="none"/>
        </w:rPr>
        <w:t>六、基金的募集</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_Toc113522948 \h </w:instrText>
      </w:r>
      <w:r>
        <w:rPr>
          <w:rFonts w:ascii="宋体" w:hAnsi="宋体" w:eastAsia="宋体"/>
        </w:rPr>
        <w:fldChar w:fldCharType="separate"/>
      </w:r>
      <w:r>
        <w:rPr>
          <w:rFonts w:ascii="宋体" w:hAnsi="宋体" w:eastAsia="宋体"/>
        </w:rPr>
        <w:t>80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"_Toc113522949" </w:instrText>
      </w:r>
      <w:r>
        <w:fldChar w:fldCharType="separate"/>
      </w:r>
      <w:r>
        <w:rPr>
          <w:rStyle w:val="12"/>
          <w:rFonts w:hint="eastAsia" w:ascii="宋体" w:hAnsi="宋体" w:eastAsia="宋体"/>
          <w:u w:val="none"/>
        </w:rPr>
        <w:t>七、基金合同的生效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_Toc113522949 \h </w:instrText>
      </w:r>
      <w:r>
        <w:rPr>
          <w:rFonts w:ascii="宋体" w:hAnsi="宋体" w:eastAsia="宋体"/>
        </w:rPr>
        <w:fldChar w:fldCharType="separate"/>
      </w:r>
      <w:r>
        <w:rPr>
          <w:rFonts w:ascii="宋体" w:hAnsi="宋体" w:eastAsia="宋体"/>
        </w:rPr>
        <w:t>81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"_Toc113522950" </w:instrText>
      </w:r>
      <w:r>
        <w:fldChar w:fldCharType="separate"/>
      </w:r>
      <w:r>
        <w:rPr>
          <w:rStyle w:val="12"/>
          <w:rFonts w:hint="eastAsia" w:ascii="宋体" w:hAnsi="宋体" w:eastAsia="宋体"/>
          <w:u w:val="none"/>
        </w:rPr>
        <w:t>八、基金份额的申购与赎回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_Toc113522950 \h </w:instrText>
      </w:r>
      <w:r>
        <w:rPr>
          <w:rFonts w:ascii="宋体" w:hAnsi="宋体" w:eastAsia="宋体"/>
        </w:rPr>
        <w:fldChar w:fldCharType="separate"/>
      </w:r>
      <w:r>
        <w:rPr>
          <w:rFonts w:ascii="宋体" w:hAnsi="宋体" w:eastAsia="宋体"/>
        </w:rPr>
        <w:t>82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"_Toc113522951" </w:instrText>
      </w:r>
      <w:r>
        <w:fldChar w:fldCharType="separate"/>
      </w:r>
      <w:r>
        <w:rPr>
          <w:rStyle w:val="12"/>
          <w:rFonts w:hint="eastAsia" w:ascii="宋体" w:hAnsi="宋体" w:eastAsia="宋体"/>
          <w:u w:val="none"/>
        </w:rPr>
        <w:t>九、基金的投资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_Toc113522951 \h </w:instrText>
      </w:r>
      <w:r>
        <w:rPr>
          <w:rFonts w:ascii="宋体" w:hAnsi="宋体" w:eastAsia="宋体"/>
        </w:rPr>
        <w:fldChar w:fldCharType="separate"/>
      </w:r>
      <w:r>
        <w:rPr>
          <w:rFonts w:ascii="宋体" w:hAnsi="宋体" w:eastAsia="宋体"/>
        </w:rPr>
        <w:t>92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"_Toc113522952" </w:instrText>
      </w:r>
      <w:r>
        <w:fldChar w:fldCharType="separate"/>
      </w:r>
      <w:r>
        <w:rPr>
          <w:rStyle w:val="12"/>
          <w:rFonts w:hint="eastAsia" w:ascii="宋体" w:hAnsi="宋体" w:eastAsia="宋体"/>
          <w:u w:val="none"/>
        </w:rPr>
        <w:t>十、基金的业绩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_Toc113522952 \h </w:instrText>
      </w:r>
      <w:r>
        <w:rPr>
          <w:rFonts w:ascii="宋体" w:hAnsi="宋体" w:eastAsia="宋体"/>
        </w:rPr>
        <w:fldChar w:fldCharType="separate"/>
      </w:r>
      <w:r>
        <w:rPr>
          <w:rFonts w:ascii="宋体" w:hAnsi="宋体" w:eastAsia="宋体"/>
        </w:rPr>
        <w:t>100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"_Toc113522953" </w:instrText>
      </w:r>
      <w:r>
        <w:fldChar w:fldCharType="separate"/>
      </w:r>
      <w:r>
        <w:rPr>
          <w:rStyle w:val="12"/>
          <w:rFonts w:hint="eastAsia" w:ascii="宋体" w:hAnsi="宋体" w:eastAsia="宋体"/>
          <w:u w:val="none"/>
        </w:rPr>
        <w:t>十一、基金的财产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_Toc113522953 \h </w:instrText>
      </w:r>
      <w:r>
        <w:rPr>
          <w:rFonts w:ascii="宋体" w:hAnsi="宋体" w:eastAsia="宋体"/>
        </w:rPr>
        <w:fldChar w:fldCharType="separate"/>
      </w:r>
      <w:r>
        <w:rPr>
          <w:rFonts w:ascii="宋体" w:hAnsi="宋体" w:eastAsia="宋体"/>
        </w:rPr>
        <w:t>101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"_Toc113522954" </w:instrText>
      </w:r>
      <w:r>
        <w:fldChar w:fldCharType="separate"/>
      </w:r>
      <w:r>
        <w:rPr>
          <w:rStyle w:val="12"/>
          <w:rFonts w:hint="eastAsia" w:ascii="宋体" w:hAnsi="宋体" w:eastAsia="宋体"/>
          <w:u w:val="none"/>
        </w:rPr>
        <w:t>十二、基金资产的估值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_Toc113522954 \h </w:instrText>
      </w:r>
      <w:r>
        <w:rPr>
          <w:rFonts w:ascii="宋体" w:hAnsi="宋体" w:eastAsia="宋体"/>
        </w:rPr>
        <w:fldChar w:fldCharType="separate"/>
      </w:r>
      <w:r>
        <w:rPr>
          <w:rFonts w:ascii="宋体" w:hAnsi="宋体" w:eastAsia="宋体"/>
        </w:rPr>
        <w:t>102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"_Toc113522955" </w:instrText>
      </w:r>
      <w:r>
        <w:fldChar w:fldCharType="separate"/>
      </w:r>
      <w:r>
        <w:rPr>
          <w:rStyle w:val="12"/>
          <w:rFonts w:hint="eastAsia" w:ascii="宋体" w:hAnsi="宋体" w:eastAsia="宋体"/>
          <w:u w:val="none"/>
        </w:rPr>
        <w:t>十三、基金的收益与分配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_Toc113522955 \h </w:instrText>
      </w:r>
      <w:r>
        <w:rPr>
          <w:rFonts w:ascii="宋体" w:hAnsi="宋体" w:eastAsia="宋体"/>
        </w:rPr>
        <w:fldChar w:fldCharType="separate"/>
      </w:r>
      <w:r>
        <w:rPr>
          <w:rFonts w:ascii="宋体" w:hAnsi="宋体" w:eastAsia="宋体"/>
        </w:rPr>
        <w:t>107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"_Toc113522956" </w:instrText>
      </w:r>
      <w:r>
        <w:fldChar w:fldCharType="separate"/>
      </w:r>
      <w:r>
        <w:rPr>
          <w:rStyle w:val="12"/>
          <w:rFonts w:hint="eastAsia" w:ascii="宋体" w:hAnsi="宋体" w:eastAsia="宋体"/>
          <w:u w:val="none"/>
        </w:rPr>
        <w:t>十四、基金费用与税收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_Toc113522956 \h </w:instrText>
      </w:r>
      <w:r>
        <w:rPr>
          <w:rFonts w:ascii="宋体" w:hAnsi="宋体" w:eastAsia="宋体"/>
        </w:rPr>
        <w:fldChar w:fldCharType="separate"/>
      </w:r>
      <w:r>
        <w:rPr>
          <w:rFonts w:ascii="宋体" w:hAnsi="宋体" w:eastAsia="宋体"/>
        </w:rPr>
        <w:t>109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"_Toc113522957" </w:instrText>
      </w:r>
      <w:r>
        <w:fldChar w:fldCharType="separate"/>
      </w:r>
      <w:r>
        <w:rPr>
          <w:rStyle w:val="12"/>
          <w:rFonts w:hint="eastAsia" w:ascii="宋体" w:hAnsi="宋体" w:eastAsia="宋体"/>
          <w:u w:val="none"/>
        </w:rPr>
        <w:t>十五、基金的会计与审计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_Toc113522957 \h </w:instrText>
      </w:r>
      <w:r>
        <w:rPr>
          <w:rFonts w:ascii="宋体" w:hAnsi="宋体" w:eastAsia="宋体"/>
        </w:rPr>
        <w:fldChar w:fldCharType="separate"/>
      </w:r>
      <w:r>
        <w:rPr>
          <w:rFonts w:ascii="宋体" w:hAnsi="宋体" w:eastAsia="宋体"/>
        </w:rPr>
        <w:t>112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"_Toc113522958" </w:instrText>
      </w:r>
      <w:r>
        <w:fldChar w:fldCharType="separate"/>
      </w:r>
      <w:r>
        <w:rPr>
          <w:rStyle w:val="12"/>
          <w:rFonts w:hint="eastAsia" w:ascii="宋体" w:hAnsi="宋体" w:eastAsia="宋体"/>
          <w:u w:val="none"/>
        </w:rPr>
        <w:t>十六、基金的信息披露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_Toc113522958 \h </w:instrText>
      </w:r>
      <w:r>
        <w:rPr>
          <w:rFonts w:ascii="宋体" w:hAnsi="宋体" w:eastAsia="宋体"/>
        </w:rPr>
        <w:fldChar w:fldCharType="separate"/>
      </w:r>
      <w:r>
        <w:rPr>
          <w:rFonts w:ascii="宋体" w:hAnsi="宋体" w:eastAsia="宋体"/>
        </w:rPr>
        <w:t>113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"_Toc113522959" </w:instrText>
      </w:r>
      <w:r>
        <w:fldChar w:fldCharType="separate"/>
      </w:r>
      <w:r>
        <w:rPr>
          <w:rStyle w:val="12"/>
          <w:rFonts w:hint="eastAsia" w:ascii="宋体" w:hAnsi="宋体" w:eastAsia="宋体"/>
          <w:u w:val="none"/>
        </w:rPr>
        <w:t>十七、基金合同的变更、终止与基金财产的清算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_Toc113522959 \h </w:instrText>
      </w:r>
      <w:r>
        <w:rPr>
          <w:rFonts w:ascii="宋体" w:hAnsi="宋体" w:eastAsia="宋体"/>
        </w:rPr>
        <w:fldChar w:fldCharType="separate"/>
      </w:r>
      <w:r>
        <w:rPr>
          <w:rFonts w:ascii="宋体" w:hAnsi="宋体" w:eastAsia="宋体"/>
        </w:rPr>
        <w:t>122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"_Toc113522960" </w:instrText>
      </w:r>
      <w:r>
        <w:fldChar w:fldCharType="separate"/>
      </w:r>
      <w:r>
        <w:rPr>
          <w:rStyle w:val="12"/>
          <w:rFonts w:hint="eastAsia" w:ascii="宋体" w:hAnsi="宋体" w:eastAsia="宋体"/>
          <w:u w:val="none"/>
        </w:rPr>
        <w:t>十八、基金合同的内容摘要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_Toc113522960 \h </w:instrText>
      </w:r>
      <w:r>
        <w:rPr>
          <w:rFonts w:ascii="宋体" w:hAnsi="宋体" w:eastAsia="宋体"/>
        </w:rPr>
        <w:fldChar w:fldCharType="separate"/>
      </w:r>
      <w:r>
        <w:rPr>
          <w:rFonts w:ascii="宋体" w:hAnsi="宋体" w:eastAsia="宋体"/>
        </w:rPr>
        <w:t>124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"_Toc113522961" </w:instrText>
      </w:r>
      <w:r>
        <w:fldChar w:fldCharType="separate"/>
      </w:r>
      <w:r>
        <w:rPr>
          <w:rStyle w:val="12"/>
          <w:rFonts w:hint="eastAsia" w:ascii="宋体" w:hAnsi="宋体" w:eastAsia="宋体"/>
          <w:u w:val="none"/>
        </w:rPr>
        <w:t>十九、基金托管协议的内容摘要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_Toc113522961 \h </w:instrText>
      </w:r>
      <w:r>
        <w:rPr>
          <w:rFonts w:ascii="宋体" w:hAnsi="宋体" w:eastAsia="宋体"/>
        </w:rPr>
        <w:fldChar w:fldCharType="separate"/>
      </w:r>
      <w:r>
        <w:rPr>
          <w:rFonts w:ascii="宋体" w:hAnsi="宋体" w:eastAsia="宋体"/>
        </w:rPr>
        <w:t>138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"_Toc113522962" </w:instrText>
      </w:r>
      <w:r>
        <w:fldChar w:fldCharType="separate"/>
      </w:r>
      <w:r>
        <w:rPr>
          <w:rStyle w:val="12"/>
          <w:rFonts w:hint="eastAsia" w:ascii="宋体" w:hAnsi="宋体" w:eastAsia="宋体"/>
          <w:u w:val="none"/>
        </w:rPr>
        <w:t>二十、对基金份额持有人的服务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_Toc113522962 \h </w:instrText>
      </w:r>
      <w:r>
        <w:rPr>
          <w:rFonts w:ascii="宋体" w:hAnsi="宋体" w:eastAsia="宋体"/>
        </w:rPr>
        <w:fldChar w:fldCharType="separate"/>
      </w:r>
      <w:r>
        <w:rPr>
          <w:rFonts w:ascii="宋体" w:hAnsi="宋体" w:eastAsia="宋体"/>
        </w:rPr>
        <w:t>148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"_Toc113522963" </w:instrText>
      </w:r>
      <w:r>
        <w:fldChar w:fldCharType="separate"/>
      </w:r>
      <w:r>
        <w:rPr>
          <w:rStyle w:val="12"/>
          <w:rFonts w:hint="eastAsia" w:ascii="宋体" w:hAnsi="宋体" w:eastAsia="宋体"/>
          <w:u w:val="none"/>
        </w:rPr>
        <w:t>二十一、其他应披露的事项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_Toc113522963 \h </w:instrText>
      </w:r>
      <w:r>
        <w:rPr>
          <w:rFonts w:ascii="宋体" w:hAnsi="宋体" w:eastAsia="宋体"/>
        </w:rPr>
        <w:fldChar w:fldCharType="separate"/>
      </w:r>
      <w:r>
        <w:rPr>
          <w:rFonts w:ascii="宋体" w:hAnsi="宋体" w:eastAsia="宋体"/>
        </w:rPr>
        <w:t>150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"_Toc113522964" </w:instrText>
      </w:r>
      <w:r>
        <w:fldChar w:fldCharType="separate"/>
      </w:r>
      <w:r>
        <w:rPr>
          <w:rStyle w:val="12"/>
          <w:rFonts w:hint="eastAsia" w:ascii="宋体" w:hAnsi="宋体" w:eastAsia="宋体"/>
          <w:u w:val="none"/>
        </w:rPr>
        <w:t>二十二、招募说明书存放及查阅方式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_Toc113522964 \h </w:instrText>
      </w:r>
      <w:r>
        <w:rPr>
          <w:rFonts w:ascii="宋体" w:hAnsi="宋体" w:eastAsia="宋体"/>
        </w:rPr>
        <w:fldChar w:fldCharType="separate"/>
      </w:r>
      <w:r>
        <w:rPr>
          <w:rFonts w:ascii="宋体" w:hAnsi="宋体" w:eastAsia="宋体"/>
        </w:rPr>
        <w:t>153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"_Toc113522965" </w:instrText>
      </w:r>
      <w:r>
        <w:fldChar w:fldCharType="separate"/>
      </w:r>
      <w:r>
        <w:rPr>
          <w:rStyle w:val="12"/>
          <w:rFonts w:hint="eastAsia" w:ascii="宋体" w:hAnsi="宋体" w:eastAsia="宋体"/>
          <w:u w:val="none"/>
        </w:rPr>
        <w:t>二十三、备查文件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_Toc113522965 \h </w:instrText>
      </w:r>
      <w:r>
        <w:rPr>
          <w:rFonts w:ascii="宋体" w:hAnsi="宋体" w:eastAsia="宋体"/>
        </w:rPr>
        <w:fldChar w:fldCharType="separate"/>
      </w:r>
      <w:r>
        <w:rPr>
          <w:rFonts w:ascii="宋体" w:hAnsi="宋体" w:eastAsia="宋体"/>
        </w:rPr>
        <w:t>154</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 w:name="_Toc113522943"/>
      <w:bookmarkStart w:id="6" w:name="chapter_level1_3_2344"/>
      <w:r>
        <w:rPr>
          <w:rFonts w:hint="eastAsia" w:ascii="宋体" w:hAnsi="宋体" w:eastAsia="宋体"/>
          <w:sz w:val="30"/>
        </w:rPr>
        <w:t>一、绪言</w:t>
      </w:r>
      <w:bookmarkEnd w:id="5"/>
      <w:bookmarkEnd w:id="6"/>
    </w:p>
    <w:p>
      <w:pPr>
        <w:pStyle w:val="7"/>
        <w:spacing w:before="0" w:beforeAutospacing="0" w:after="0" w:afterAutospacing="0" w:line="360" w:lineRule="auto"/>
        <w:ind w:firstLine="420"/>
        <w:rPr>
          <w:sz w:val="21"/>
          <w:szCs w:val="21"/>
        </w:rPr>
      </w:pPr>
      <w:bookmarkStart w:id="7" w:name="chapter_level1_3_2344_section_1"/>
      <w:bookmarkEnd w:id="7"/>
      <w:r>
        <w:rPr>
          <w:rFonts w:hint="eastAsia"/>
          <w:sz w:val="21"/>
          <w:szCs w:val="21"/>
        </w:rPr>
        <w:t>本招募说明书依据《中华人民共和国证券投资基金法》(以下简称“《基金法》”) 、《公开募集开放式证券投资基金流动性风险管理规定》（以下简称“《流动性风险管理规定》”）和相关法律法规及《</w:t>
      </w:r>
      <w:bookmarkStart w:id="8" w:name="field_0_productfullname_1"/>
      <w:r>
        <w:rPr>
          <w:rFonts w:hint="eastAsia"/>
          <w:sz w:val="21"/>
          <w:szCs w:val="21"/>
        </w:rPr>
        <w:t>博时平衡配置混合型证券投资基金</w:t>
      </w:r>
      <w:bookmarkEnd w:id="8"/>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w:t>
      </w:r>
      <w:bookmarkStart w:id="9" w:name="chapter_level1_3_2344_section_1_end"/>
      <w:bookmarkEnd w:id="9"/>
      <w:r>
        <w:rPr>
          <w:rFonts w:hint="eastAsia"/>
          <w:sz w:val="21"/>
          <w:szCs w:val="21"/>
        </w:rPr>
        <w:t xml:space="preserve">基金份额持有人的权利和义务，应详细查阅基金合同。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0" w:name="_Toc113522944"/>
      <w:bookmarkStart w:id="11" w:name="chapter_level1_4_49"/>
      <w:r>
        <w:rPr>
          <w:rFonts w:hint="eastAsia" w:ascii="宋体" w:hAnsi="宋体" w:eastAsia="宋体"/>
          <w:sz w:val="30"/>
        </w:rPr>
        <w:t>二、释义</w:t>
      </w:r>
      <w:bookmarkEnd w:id="10"/>
      <w:bookmarkEnd w:id="11"/>
    </w:p>
    <w:p>
      <w:pPr>
        <w:pStyle w:val="7"/>
        <w:spacing w:before="0" w:beforeAutospacing="0" w:after="0" w:afterAutospacing="0" w:line="360" w:lineRule="auto"/>
        <w:ind w:firstLine="420"/>
        <w:rPr>
          <w:sz w:val="21"/>
          <w:szCs w:val="21"/>
        </w:rPr>
      </w:pPr>
      <w:bookmarkStart w:id="12" w:name="chapter_level1_4_49_section_1"/>
      <w:bookmarkEnd w:id="12"/>
      <w:r>
        <w:rPr>
          <w:rFonts w:hint="eastAsia"/>
          <w:sz w:val="21"/>
          <w:szCs w:val="21"/>
        </w:rPr>
        <w:t xml:space="preserve">《基金合同》中除非文意另有所指，下列词语具有如下含义：  </w:t>
      </w:r>
    </w:p>
    <w:p>
      <w:pPr>
        <w:pStyle w:val="7"/>
        <w:spacing w:before="0" w:beforeAutospacing="0" w:after="0" w:afterAutospacing="0" w:line="360" w:lineRule="auto"/>
        <w:ind w:firstLine="420"/>
        <w:rPr>
          <w:sz w:val="21"/>
          <w:szCs w:val="21"/>
        </w:rPr>
      </w:pPr>
      <w:r>
        <w:rPr>
          <w:rFonts w:hint="eastAsia"/>
          <w:sz w:val="21"/>
          <w:szCs w:val="21"/>
        </w:rPr>
        <w:t>1、基金合同、《基金合同》：指《</w:t>
      </w:r>
      <w:bookmarkStart w:id="13" w:name="field_0_productfullname_2"/>
      <w:r>
        <w:rPr>
          <w:rFonts w:hint="eastAsia"/>
          <w:sz w:val="21"/>
          <w:szCs w:val="21"/>
        </w:rPr>
        <w:t>博时平衡配置混合型证券投资基金</w:t>
      </w:r>
      <w:bookmarkEnd w:id="13"/>
      <w:r>
        <w:rPr>
          <w:rFonts w:hint="eastAsia"/>
          <w:sz w:val="21"/>
          <w:szCs w:val="21"/>
        </w:rPr>
        <w:t xml:space="preserve">基金合同》及对基金合同的任何修订和补充 </w:t>
      </w:r>
    </w:p>
    <w:p>
      <w:pPr>
        <w:pStyle w:val="7"/>
        <w:spacing w:before="0" w:beforeAutospacing="0" w:after="0" w:afterAutospacing="0" w:line="360" w:lineRule="auto"/>
        <w:ind w:firstLine="420"/>
        <w:rPr>
          <w:sz w:val="21"/>
          <w:szCs w:val="21"/>
        </w:rPr>
      </w:pPr>
      <w:r>
        <w:rPr>
          <w:rFonts w:hint="eastAsia"/>
          <w:sz w:val="21"/>
          <w:szCs w:val="21"/>
        </w:rPr>
        <w:t xml:space="preserve">2、中国：指中华人民共和国(就本招募说明书而言，不包括香港特别行政区、门特别行政区及台湾地区) </w:t>
      </w:r>
    </w:p>
    <w:p>
      <w:pPr>
        <w:pStyle w:val="7"/>
        <w:spacing w:before="0" w:beforeAutospacing="0" w:after="0" w:afterAutospacing="0" w:line="360" w:lineRule="auto"/>
        <w:ind w:firstLine="420"/>
        <w:rPr>
          <w:sz w:val="21"/>
          <w:szCs w:val="21"/>
        </w:rPr>
      </w:pPr>
      <w:r>
        <w:rPr>
          <w:rFonts w:hint="eastAsia"/>
          <w:sz w:val="21"/>
          <w:szCs w:val="21"/>
        </w:rPr>
        <w:t xml:space="preserve">3、法律法规：指中国现时有效并公布实施的法律、行政法规、行政规章及规范性文件、地方法规、地方规章及规范性文件 </w:t>
      </w:r>
    </w:p>
    <w:p>
      <w:pPr>
        <w:pStyle w:val="7"/>
        <w:spacing w:before="0" w:beforeAutospacing="0" w:after="0" w:afterAutospacing="0" w:line="360" w:lineRule="auto"/>
        <w:ind w:firstLine="420"/>
        <w:rPr>
          <w:sz w:val="21"/>
          <w:szCs w:val="21"/>
        </w:rPr>
      </w:pPr>
      <w:r>
        <w:rPr>
          <w:rFonts w:hint="eastAsia"/>
          <w:sz w:val="21"/>
          <w:szCs w:val="21"/>
        </w:rPr>
        <w:t xml:space="preserve">4、《基金法》：指《中华人民共和国证券投资基金法》 </w:t>
      </w:r>
    </w:p>
    <w:p>
      <w:pPr>
        <w:pStyle w:val="7"/>
        <w:spacing w:before="0" w:beforeAutospacing="0" w:after="0" w:afterAutospacing="0" w:line="360" w:lineRule="auto"/>
        <w:ind w:firstLine="420"/>
        <w:rPr>
          <w:sz w:val="21"/>
          <w:szCs w:val="21"/>
        </w:rPr>
      </w:pPr>
      <w:r>
        <w:rPr>
          <w:rFonts w:hint="eastAsia"/>
          <w:sz w:val="21"/>
          <w:szCs w:val="21"/>
        </w:rPr>
        <w:t xml:space="preserve">5、《销售办法》：指中国证监会2013年3月15日颁布、同年6月1日实施的《证券投资基金销售管理办法》及颁布机关对其不时做出的修订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6、《运作办法》：指《公开募集证券投资基金运作管理办法》 </w:t>
      </w:r>
    </w:p>
    <w:p>
      <w:pPr>
        <w:pStyle w:val="7"/>
        <w:spacing w:before="0" w:beforeAutospacing="0" w:after="0" w:afterAutospacing="0" w:line="360" w:lineRule="auto"/>
        <w:ind w:firstLine="420"/>
        <w:rPr>
          <w:sz w:val="21"/>
          <w:szCs w:val="21"/>
        </w:rPr>
      </w:pPr>
      <w:r>
        <w:rPr>
          <w:rFonts w:hint="eastAsia"/>
          <w:sz w:val="21"/>
          <w:szCs w:val="21"/>
        </w:rPr>
        <w:t xml:space="preserve">7、《信息披露办法》：指《公开募集证券投资基金信息披露管理办法》 </w:t>
      </w:r>
    </w:p>
    <w:p>
      <w:pPr>
        <w:pStyle w:val="7"/>
        <w:spacing w:before="0" w:beforeAutospacing="0" w:after="0" w:afterAutospacing="0" w:line="360" w:lineRule="auto"/>
        <w:ind w:firstLine="420"/>
        <w:rPr>
          <w:sz w:val="21"/>
          <w:szCs w:val="21"/>
        </w:rPr>
      </w:pPr>
      <w:r>
        <w:rPr>
          <w:rFonts w:hint="eastAsia"/>
          <w:sz w:val="21"/>
          <w:szCs w:val="21"/>
        </w:rPr>
        <w:t>8、基金产品资料概要：指《</w:t>
      </w:r>
      <w:bookmarkStart w:id="14" w:name="field_0_productfullname_3"/>
      <w:r>
        <w:rPr>
          <w:rFonts w:hint="eastAsia"/>
          <w:sz w:val="21"/>
          <w:szCs w:val="21"/>
        </w:rPr>
        <w:t>博时平衡配置混合型证券投资基金</w:t>
      </w:r>
      <w:bookmarkEnd w:id="14"/>
      <w:r>
        <w:rPr>
          <w:rFonts w:hint="eastAsia"/>
          <w:sz w:val="21"/>
          <w:szCs w:val="21"/>
        </w:rPr>
        <w:t xml:space="preserve">基金产品资料概要》及其更新 </w:t>
      </w:r>
    </w:p>
    <w:p>
      <w:pPr>
        <w:pStyle w:val="7"/>
        <w:spacing w:before="0" w:beforeAutospacing="0" w:after="0" w:afterAutospacing="0" w:line="360" w:lineRule="auto"/>
        <w:ind w:firstLine="420"/>
        <w:rPr>
          <w:sz w:val="21"/>
          <w:szCs w:val="21"/>
        </w:rPr>
      </w:pPr>
      <w:r>
        <w:rPr>
          <w:rFonts w:hint="eastAsia"/>
          <w:sz w:val="21"/>
          <w:szCs w:val="21"/>
        </w:rPr>
        <w:t xml:space="preserve">9、《流动性风险管理规定》:指中国证监会2017年8月31日颁布、同年10月1日实施的《公开募集开放式证券投资基金流动性风险管理规定》及颁布机关对其不时做出的修订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10、元：指中国法定货币人民币元 </w:t>
      </w:r>
    </w:p>
    <w:p>
      <w:pPr>
        <w:pStyle w:val="7"/>
        <w:spacing w:before="0" w:beforeAutospacing="0" w:after="0" w:afterAutospacing="0" w:line="360" w:lineRule="auto"/>
        <w:ind w:firstLine="420"/>
        <w:rPr>
          <w:sz w:val="21"/>
          <w:szCs w:val="21"/>
        </w:rPr>
      </w:pPr>
      <w:r>
        <w:rPr>
          <w:rFonts w:hint="eastAsia"/>
          <w:sz w:val="21"/>
          <w:szCs w:val="21"/>
        </w:rPr>
        <w:t>11、基金或本基金：指依据《基金合同》所设立的</w:t>
      </w:r>
      <w:bookmarkStart w:id="15" w:name="field_0_productfullname_4"/>
      <w:r>
        <w:rPr>
          <w:rFonts w:hint="eastAsia"/>
          <w:sz w:val="21"/>
          <w:szCs w:val="21"/>
        </w:rPr>
        <w:t>博时平衡配置混合型证券投资基金</w:t>
      </w:r>
      <w:bookmarkEnd w:id="1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12、招募说明书：指《</w:t>
      </w:r>
      <w:bookmarkStart w:id="16" w:name="field_0_productfullname_5"/>
      <w:r>
        <w:rPr>
          <w:rFonts w:hint="eastAsia"/>
          <w:sz w:val="21"/>
          <w:szCs w:val="21"/>
        </w:rPr>
        <w:t>博时平衡配置混合型证券投资基金</w:t>
      </w:r>
      <w:bookmarkEnd w:id="16"/>
      <w:r>
        <w:rPr>
          <w:rFonts w:hint="eastAsia"/>
          <w:sz w:val="21"/>
          <w:szCs w:val="21"/>
        </w:rPr>
        <w:t xml:space="preserve">招募说明书》，一份公开披露本基金管理人及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人选择并决定是否提出基金认购或申购申请的要约邀请文件，及其更新 </w:t>
      </w:r>
    </w:p>
    <w:p>
      <w:pPr>
        <w:pStyle w:val="7"/>
        <w:spacing w:before="0" w:beforeAutospacing="0" w:after="0" w:afterAutospacing="0" w:line="360" w:lineRule="auto"/>
        <w:ind w:firstLine="420"/>
        <w:rPr>
          <w:sz w:val="21"/>
          <w:szCs w:val="21"/>
        </w:rPr>
      </w:pPr>
      <w:r>
        <w:rPr>
          <w:rFonts w:hint="eastAsia"/>
          <w:sz w:val="21"/>
          <w:szCs w:val="21"/>
        </w:rPr>
        <w:t>13、发售公告：指《</w:t>
      </w:r>
      <w:bookmarkStart w:id="17" w:name="field_0_productfullname_6"/>
      <w:r>
        <w:rPr>
          <w:rFonts w:hint="eastAsia"/>
          <w:sz w:val="21"/>
          <w:szCs w:val="21"/>
        </w:rPr>
        <w:t>博时平衡配置混合型证券投资基金</w:t>
      </w:r>
      <w:bookmarkEnd w:id="17"/>
      <w:r>
        <w:rPr>
          <w:rFonts w:hint="eastAsia"/>
          <w:sz w:val="21"/>
          <w:szCs w:val="21"/>
        </w:rPr>
        <w:t xml:space="preserve">份额发售公告》 </w:t>
      </w:r>
    </w:p>
    <w:p>
      <w:pPr>
        <w:pStyle w:val="7"/>
        <w:spacing w:before="0" w:beforeAutospacing="0" w:after="0" w:afterAutospacing="0" w:line="360" w:lineRule="auto"/>
        <w:ind w:firstLine="420"/>
        <w:rPr>
          <w:sz w:val="21"/>
          <w:szCs w:val="21"/>
        </w:rPr>
      </w:pPr>
      <w:r>
        <w:rPr>
          <w:rFonts w:hint="eastAsia"/>
          <w:sz w:val="21"/>
          <w:szCs w:val="21"/>
        </w:rPr>
        <w:t>14、业务规则：指《</w:t>
      </w:r>
      <w:bookmarkStart w:id="18" w:name="field_0_managerorgfullname_1"/>
      <w:r>
        <w:rPr>
          <w:rFonts w:hint="eastAsia"/>
          <w:sz w:val="21"/>
          <w:szCs w:val="21"/>
        </w:rPr>
        <w:t>博时基金管理有限公司</w:t>
      </w:r>
      <w:bookmarkEnd w:id="18"/>
      <w:r>
        <w:rPr>
          <w:rFonts w:hint="eastAsia"/>
          <w:sz w:val="21"/>
          <w:szCs w:val="21"/>
        </w:rPr>
        <w:t xml:space="preserve">开放式基金业务规则》 </w:t>
      </w:r>
    </w:p>
    <w:p>
      <w:pPr>
        <w:pStyle w:val="7"/>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16、银行监管机构：指中国银行业监督管理委员会或其他经国务院授权的机构 </w:t>
      </w:r>
    </w:p>
    <w:p>
      <w:pPr>
        <w:pStyle w:val="7"/>
        <w:spacing w:before="0" w:beforeAutospacing="0" w:after="0" w:afterAutospacing="0" w:line="360" w:lineRule="auto"/>
        <w:ind w:firstLine="420"/>
        <w:rPr>
          <w:sz w:val="21"/>
          <w:szCs w:val="21"/>
        </w:rPr>
      </w:pPr>
      <w:r>
        <w:rPr>
          <w:rFonts w:hint="eastAsia"/>
          <w:sz w:val="21"/>
          <w:szCs w:val="21"/>
        </w:rPr>
        <w:t>17、基金管理人：指</w:t>
      </w:r>
      <w:bookmarkStart w:id="19" w:name="field_0_managerorgfullname_2"/>
      <w:r>
        <w:rPr>
          <w:rFonts w:hint="eastAsia"/>
          <w:sz w:val="21"/>
          <w:szCs w:val="21"/>
        </w:rPr>
        <w:t>博时基金管理有限公司</w:t>
      </w:r>
      <w:bookmarkEnd w:id="19"/>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18、基金托管人：指</w:t>
      </w:r>
      <w:bookmarkStart w:id="20" w:name="field_0_trustorgfullname_1"/>
      <w:r>
        <w:rPr>
          <w:rFonts w:hint="eastAsia"/>
          <w:sz w:val="21"/>
          <w:szCs w:val="21"/>
        </w:rPr>
        <w:t>中国工商银行股份有限公司</w:t>
      </w:r>
      <w:bookmarkEnd w:id="20"/>
      <w:r>
        <w:rPr>
          <w:rFonts w:hint="eastAsia"/>
          <w:sz w:val="21"/>
          <w:szCs w:val="21"/>
        </w:rPr>
        <w:t xml:space="preserve">（简称：中国工商银行） </w:t>
      </w:r>
    </w:p>
    <w:p>
      <w:pPr>
        <w:pStyle w:val="7"/>
        <w:spacing w:before="0" w:beforeAutospacing="0" w:after="0" w:afterAutospacing="0" w:line="360" w:lineRule="auto"/>
        <w:ind w:firstLine="420"/>
        <w:rPr>
          <w:sz w:val="21"/>
          <w:szCs w:val="21"/>
        </w:rPr>
      </w:pPr>
      <w:r>
        <w:rPr>
          <w:rFonts w:hint="eastAsia"/>
          <w:sz w:val="21"/>
          <w:szCs w:val="21"/>
        </w:rPr>
        <w:t xml:space="preserve">19、基金销售代理人：指依据有关基金销售与服务代理协议办理本基金发售、 </w:t>
      </w:r>
    </w:p>
    <w:p>
      <w:pPr>
        <w:pStyle w:val="7"/>
        <w:spacing w:before="0" w:beforeAutospacing="0" w:after="0" w:afterAutospacing="0" w:line="360" w:lineRule="auto"/>
        <w:ind w:firstLine="420"/>
        <w:rPr>
          <w:sz w:val="21"/>
          <w:szCs w:val="21"/>
        </w:rPr>
      </w:pPr>
      <w:r>
        <w:rPr>
          <w:rFonts w:hint="eastAsia"/>
          <w:sz w:val="21"/>
          <w:szCs w:val="21"/>
        </w:rPr>
        <w:t xml:space="preserve">20、申购、赎回和其他基金业务的代理机构 </w:t>
      </w:r>
    </w:p>
    <w:p>
      <w:pPr>
        <w:pStyle w:val="7"/>
        <w:spacing w:before="0" w:beforeAutospacing="0" w:after="0" w:afterAutospacing="0" w:line="360" w:lineRule="auto"/>
        <w:ind w:firstLine="420"/>
        <w:rPr>
          <w:sz w:val="21"/>
          <w:szCs w:val="21"/>
        </w:rPr>
      </w:pPr>
      <w:r>
        <w:rPr>
          <w:rFonts w:hint="eastAsia"/>
          <w:sz w:val="21"/>
          <w:szCs w:val="21"/>
        </w:rPr>
        <w:t xml:space="preserve">21、销售机构：指基金管理人及基金销售代理人 </w:t>
      </w:r>
    </w:p>
    <w:p>
      <w:pPr>
        <w:pStyle w:val="7"/>
        <w:spacing w:before="0" w:beforeAutospacing="0" w:after="0" w:afterAutospacing="0" w:line="360" w:lineRule="auto"/>
        <w:ind w:firstLine="420"/>
        <w:rPr>
          <w:sz w:val="21"/>
          <w:szCs w:val="21"/>
        </w:rPr>
      </w:pPr>
      <w:r>
        <w:rPr>
          <w:rFonts w:hint="eastAsia"/>
          <w:sz w:val="21"/>
          <w:szCs w:val="21"/>
        </w:rPr>
        <w:t xml:space="preserve">22、基金销售网点：指基金管理人的直销网点及基金销售代理人的代销网点 </w:t>
      </w:r>
    </w:p>
    <w:p>
      <w:pPr>
        <w:pStyle w:val="7"/>
        <w:spacing w:before="0" w:beforeAutospacing="0" w:after="0" w:afterAutospacing="0" w:line="360" w:lineRule="auto"/>
        <w:ind w:firstLine="420"/>
        <w:rPr>
          <w:sz w:val="21"/>
          <w:szCs w:val="21"/>
        </w:rPr>
      </w:pPr>
      <w:r>
        <w:rPr>
          <w:rFonts w:hint="eastAsia"/>
          <w:sz w:val="21"/>
          <w:szCs w:val="21"/>
        </w:rPr>
        <w:t xml:space="preserve">23、登记业务：指包括但不限于基金登记、存管、清算和交收业务，具体内容包括投资人基金账户管理、基金份额注册登记、清算及基金交易确认、发放红利、建立并保管基金份额持有人名册等 </w:t>
      </w:r>
    </w:p>
    <w:p>
      <w:pPr>
        <w:pStyle w:val="7"/>
        <w:spacing w:before="0" w:beforeAutospacing="0" w:after="0" w:afterAutospacing="0" w:line="360" w:lineRule="auto"/>
        <w:ind w:firstLine="420"/>
        <w:rPr>
          <w:sz w:val="21"/>
          <w:szCs w:val="21"/>
        </w:rPr>
      </w:pPr>
      <w:r>
        <w:rPr>
          <w:rFonts w:hint="eastAsia"/>
          <w:sz w:val="21"/>
          <w:szCs w:val="21"/>
        </w:rPr>
        <w:t>24、登记机构：指</w:t>
      </w:r>
      <w:bookmarkStart w:id="21" w:name="field_0_managerorgfullname_3"/>
      <w:r>
        <w:rPr>
          <w:rFonts w:hint="eastAsia"/>
          <w:sz w:val="21"/>
          <w:szCs w:val="21"/>
        </w:rPr>
        <w:t>博时基金管理有限公司</w:t>
      </w:r>
      <w:bookmarkEnd w:id="21"/>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25、《基金合同》当事人：指受《基金合同》约束，根据《基金合同》享受权利并承担</w:t>
      </w:r>
      <w:bookmarkStart w:id="22" w:name="chapter_level1_4_49_section_1_end"/>
      <w:bookmarkEnd w:id="22"/>
      <w:r>
        <w:rPr>
          <w:rFonts w:hint="eastAsia"/>
          <w:sz w:val="21"/>
          <w:szCs w:val="21"/>
        </w:rPr>
        <w:t xml:space="preserve">义务的法律主体 </w:t>
      </w:r>
    </w:p>
    <w:p>
      <w:pPr>
        <w:pStyle w:val="7"/>
        <w:spacing w:before="0" w:beforeAutospacing="0" w:after="0" w:afterAutospacing="0" w:line="360" w:lineRule="auto"/>
        <w:ind w:firstLine="420"/>
        <w:rPr>
          <w:sz w:val="21"/>
          <w:szCs w:val="21"/>
        </w:rPr>
      </w:pPr>
      <w:bookmarkStart w:id="23" w:name="chapter_level1_4_49_section_2"/>
      <w:bookmarkEnd w:id="23"/>
      <w:r>
        <w:rPr>
          <w:rFonts w:hint="eastAsia"/>
          <w:sz w:val="21"/>
          <w:szCs w:val="21"/>
        </w:rPr>
        <w:t xml:space="preserve">26、个人投资者：指符合法律法规规定的条件可以投资证券投资基金的自然人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27、机构投资者：指符合法律法规规定可以投资证券投资基金的在中华人民共和国注册登记或经政府有关部门批准设立的机构   </w:t>
      </w:r>
    </w:p>
    <w:p>
      <w:pPr>
        <w:pStyle w:val="7"/>
        <w:spacing w:before="0" w:beforeAutospacing="0" w:after="0" w:afterAutospacing="0" w:line="360" w:lineRule="auto"/>
        <w:ind w:firstLine="420"/>
        <w:rPr>
          <w:sz w:val="21"/>
          <w:szCs w:val="21"/>
        </w:rPr>
      </w:pPr>
      <w:r>
        <w:rPr>
          <w:rFonts w:hint="eastAsia"/>
          <w:sz w:val="21"/>
          <w:szCs w:val="21"/>
        </w:rPr>
        <w:t xml:space="preserve">28、合格境外机构投资者：指符合《合格境外机构投资者境内证券投资管理办法》的可投资于中国境内证券的中国境外的机构投资者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29、投资人：指个人投资者、机构投资者和合格境外机构投资者的总称 </w:t>
      </w:r>
    </w:p>
    <w:p>
      <w:pPr>
        <w:pStyle w:val="7"/>
        <w:spacing w:before="0" w:beforeAutospacing="0" w:after="0" w:afterAutospacing="0" w:line="360" w:lineRule="auto"/>
        <w:ind w:firstLine="420"/>
        <w:rPr>
          <w:sz w:val="21"/>
          <w:szCs w:val="21"/>
        </w:rPr>
      </w:pPr>
      <w:r>
        <w:rPr>
          <w:rFonts w:hint="eastAsia"/>
          <w:sz w:val="21"/>
          <w:szCs w:val="21"/>
        </w:rPr>
        <w:t xml:space="preserve">30、基金合同生效日：指本基金首次募集符合基金合同规定生效条件后，向中国证监会办理基金备案手续，中国证监会作出书面确认之日 </w:t>
      </w:r>
    </w:p>
    <w:p>
      <w:pPr>
        <w:pStyle w:val="7"/>
        <w:spacing w:before="0" w:beforeAutospacing="0" w:after="0" w:afterAutospacing="0" w:line="360" w:lineRule="auto"/>
        <w:ind w:firstLine="420"/>
        <w:rPr>
          <w:sz w:val="21"/>
          <w:szCs w:val="21"/>
        </w:rPr>
      </w:pPr>
      <w:r>
        <w:rPr>
          <w:rFonts w:hint="eastAsia"/>
          <w:sz w:val="21"/>
          <w:szCs w:val="21"/>
        </w:rPr>
        <w:t xml:space="preserve">31、设立募集期：指自基金份额发售之日起不超过3个月，设立募集期等同于首次募集期、发售期限 </w:t>
      </w:r>
    </w:p>
    <w:p>
      <w:pPr>
        <w:pStyle w:val="7"/>
        <w:spacing w:before="0" w:beforeAutospacing="0" w:after="0" w:afterAutospacing="0" w:line="360" w:lineRule="auto"/>
        <w:ind w:firstLine="420"/>
        <w:rPr>
          <w:sz w:val="21"/>
          <w:szCs w:val="21"/>
        </w:rPr>
      </w:pPr>
      <w:r>
        <w:rPr>
          <w:rFonts w:hint="eastAsia"/>
          <w:sz w:val="21"/>
          <w:szCs w:val="21"/>
        </w:rPr>
        <w:t xml:space="preserve">32、基金存续期：指基金合同生效后合法存续的不定期之期间 </w:t>
      </w:r>
    </w:p>
    <w:p>
      <w:pPr>
        <w:pStyle w:val="7"/>
        <w:spacing w:before="0" w:beforeAutospacing="0" w:after="0" w:afterAutospacing="0" w:line="360" w:lineRule="auto"/>
        <w:ind w:firstLine="420"/>
        <w:rPr>
          <w:sz w:val="21"/>
          <w:szCs w:val="21"/>
        </w:rPr>
      </w:pPr>
      <w:r>
        <w:rPr>
          <w:rFonts w:hint="eastAsia"/>
          <w:sz w:val="21"/>
          <w:szCs w:val="21"/>
        </w:rPr>
        <w:t xml:space="preserve">33、日/天：指公历日 </w:t>
      </w:r>
    </w:p>
    <w:p>
      <w:pPr>
        <w:pStyle w:val="7"/>
        <w:spacing w:before="0" w:beforeAutospacing="0" w:after="0" w:afterAutospacing="0" w:line="360" w:lineRule="auto"/>
        <w:ind w:firstLine="420"/>
        <w:rPr>
          <w:sz w:val="21"/>
          <w:szCs w:val="21"/>
        </w:rPr>
      </w:pPr>
      <w:r>
        <w:rPr>
          <w:rFonts w:hint="eastAsia"/>
          <w:sz w:val="21"/>
          <w:szCs w:val="21"/>
        </w:rPr>
        <w:t xml:space="preserve">34、月：指公历月 </w:t>
      </w:r>
    </w:p>
    <w:p>
      <w:pPr>
        <w:pStyle w:val="7"/>
        <w:spacing w:before="0" w:beforeAutospacing="0" w:after="0" w:afterAutospacing="0" w:line="360" w:lineRule="auto"/>
        <w:ind w:firstLine="420"/>
        <w:rPr>
          <w:sz w:val="21"/>
          <w:szCs w:val="21"/>
        </w:rPr>
      </w:pPr>
      <w:r>
        <w:rPr>
          <w:rFonts w:hint="eastAsia"/>
          <w:sz w:val="21"/>
          <w:szCs w:val="21"/>
        </w:rPr>
        <w:t xml:space="preserve">35、工作日：指上海证券交易所和深圳证券交易所的正常交易日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36、T日：指日常申购、赎回或办理其他基金业务的申请日 </w:t>
      </w:r>
    </w:p>
    <w:p>
      <w:pPr>
        <w:pStyle w:val="7"/>
        <w:spacing w:before="0" w:beforeAutospacing="0" w:after="0" w:afterAutospacing="0" w:line="360" w:lineRule="auto"/>
        <w:ind w:firstLine="420"/>
        <w:rPr>
          <w:sz w:val="21"/>
          <w:szCs w:val="21"/>
        </w:rPr>
      </w:pPr>
      <w:r>
        <w:rPr>
          <w:rFonts w:hint="eastAsia"/>
          <w:sz w:val="21"/>
          <w:szCs w:val="21"/>
        </w:rPr>
        <w:t xml:space="preserve">37、T+n日：指自T日起第n个工作日（不包含T日）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38、认购：指本基金在设立募集期内，投资人购买本基金份额的行为 </w:t>
      </w:r>
    </w:p>
    <w:p>
      <w:pPr>
        <w:pStyle w:val="7"/>
        <w:spacing w:before="0" w:beforeAutospacing="0" w:after="0" w:afterAutospacing="0" w:line="360" w:lineRule="auto"/>
        <w:ind w:firstLine="420"/>
        <w:rPr>
          <w:sz w:val="21"/>
          <w:szCs w:val="21"/>
        </w:rPr>
      </w:pPr>
      <w:r>
        <w:rPr>
          <w:rFonts w:hint="eastAsia"/>
          <w:sz w:val="21"/>
          <w:szCs w:val="21"/>
        </w:rPr>
        <w:t xml:space="preserve">39、申购 ：指基金合同生效后，基金投资人申请购买基金份额的行为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40、赎回：指基金合同生效后，基金份额持有人卖出基金份额的行为 </w:t>
      </w:r>
    </w:p>
    <w:p>
      <w:pPr>
        <w:pStyle w:val="7"/>
        <w:spacing w:before="0" w:beforeAutospacing="0" w:after="0" w:afterAutospacing="0" w:line="360" w:lineRule="auto"/>
        <w:ind w:firstLine="420"/>
        <w:rPr>
          <w:sz w:val="21"/>
          <w:szCs w:val="21"/>
        </w:rPr>
      </w:pPr>
      <w:r>
        <w:rPr>
          <w:rFonts w:hint="eastAsia"/>
          <w:sz w:val="21"/>
          <w:szCs w:val="21"/>
        </w:rPr>
        <w:t xml:space="preserve">41、转换：指基金份额持有人按照基金合同和基金管理人届时有效公告规定的条件，申请将其持有基金管理人管理的、某一基金的基金份额转换为基金管理人管理的、且由同一登记机构办理注册登记的其他基金基金份额的行为 </w:t>
      </w:r>
    </w:p>
    <w:p>
      <w:pPr>
        <w:pStyle w:val="7"/>
        <w:spacing w:before="0" w:beforeAutospacing="0" w:after="0" w:afterAutospacing="0" w:line="360" w:lineRule="auto"/>
        <w:ind w:firstLine="420"/>
        <w:rPr>
          <w:sz w:val="21"/>
          <w:szCs w:val="21"/>
        </w:rPr>
      </w:pPr>
      <w:r>
        <w:rPr>
          <w:rFonts w:hint="eastAsia"/>
          <w:sz w:val="21"/>
          <w:szCs w:val="21"/>
        </w:rPr>
        <w:t>42、巨额赎回：本基金单个开放日，基金净赎回申请(赎回申请份额总数加上基金转换中转出申请份额总数后扣除申购申请份额总数及基金转换中转入申请份额总数后的余额)超过上一日基金总份额的</w:t>
      </w:r>
      <w:bookmarkStart w:id="24" w:name="field_49_mintredeemscale_1"/>
      <w:r>
        <w:rPr>
          <w:sz w:val="21"/>
          <w:szCs w:val="21"/>
        </w:rPr>
        <w:t>10</w:t>
      </w:r>
      <w:bookmarkEnd w:id="24"/>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43、转托管：指基金份额持有人按照有关规定申请将其在某一销售机构交易账户持有的基金份额全部或部分转移到另一销售机构交易账户的行为 </w:t>
      </w:r>
    </w:p>
    <w:p>
      <w:pPr>
        <w:pStyle w:val="7"/>
        <w:spacing w:before="0" w:beforeAutospacing="0" w:after="0" w:afterAutospacing="0" w:line="360" w:lineRule="auto"/>
        <w:ind w:firstLine="420"/>
        <w:rPr>
          <w:sz w:val="21"/>
          <w:szCs w:val="21"/>
        </w:rPr>
      </w:pPr>
      <w:r>
        <w:rPr>
          <w:rFonts w:hint="eastAsia"/>
          <w:sz w:val="21"/>
          <w:szCs w:val="21"/>
        </w:rPr>
        <w:t xml:space="preserve">44、基金账户：指登记机构为基金投资人开立的记录其持有的由该登记机构办理注册登记的基金份额变动及其余额情况的账户 </w:t>
      </w:r>
    </w:p>
    <w:p>
      <w:pPr>
        <w:pStyle w:val="7"/>
        <w:spacing w:before="0" w:beforeAutospacing="0" w:after="0" w:afterAutospacing="0" w:line="360" w:lineRule="auto"/>
        <w:ind w:firstLine="420"/>
        <w:rPr>
          <w:sz w:val="21"/>
          <w:szCs w:val="21"/>
        </w:rPr>
      </w:pPr>
      <w:r>
        <w:rPr>
          <w:rFonts w:hint="eastAsia"/>
          <w:sz w:val="21"/>
          <w:szCs w:val="21"/>
        </w:rPr>
        <w:t xml:space="preserve">45、交易账户：指各销售机构为投资人开立的记录投资人通过该销售机构办理基金认购、申购、赎回、转换及转托管等业务所引起的基金份额的变动及余额情况的账户 </w:t>
      </w:r>
    </w:p>
    <w:p>
      <w:pPr>
        <w:pStyle w:val="7"/>
        <w:spacing w:before="0" w:beforeAutospacing="0" w:after="0" w:afterAutospacing="0" w:line="360" w:lineRule="auto"/>
        <w:ind w:firstLine="420"/>
        <w:rPr>
          <w:sz w:val="21"/>
          <w:szCs w:val="21"/>
        </w:rPr>
      </w:pPr>
      <w:r>
        <w:rPr>
          <w:rFonts w:hint="eastAsia"/>
          <w:sz w:val="21"/>
          <w:szCs w:val="21"/>
        </w:rPr>
        <w:t xml:space="preserve">46、定期定额投资计划：指投资人通过有关销售机构提出申请，约定每期扣款日、扣款金额及扣款方式，由销售机构于每期约定扣款日在投资人指定银行账户内自动完成扣款及基金申购申请的一种投资方式 </w:t>
      </w:r>
    </w:p>
    <w:p>
      <w:pPr>
        <w:pStyle w:val="7"/>
        <w:spacing w:before="0" w:beforeAutospacing="0" w:after="0" w:afterAutospacing="0" w:line="360" w:lineRule="auto"/>
        <w:ind w:firstLine="420"/>
        <w:rPr>
          <w:sz w:val="21"/>
          <w:szCs w:val="21"/>
        </w:rPr>
      </w:pPr>
      <w:r>
        <w:rPr>
          <w:rFonts w:hint="eastAsia"/>
          <w:sz w:val="21"/>
          <w:szCs w:val="21"/>
        </w:rPr>
        <w:t xml:space="preserve">47、基金收益：指基金投资所得股票红利、债券利息、买卖证券差价、银行存款利息以及其他合法收入 </w:t>
      </w:r>
    </w:p>
    <w:p>
      <w:pPr>
        <w:pStyle w:val="7"/>
        <w:spacing w:before="0" w:beforeAutospacing="0" w:after="0" w:afterAutospacing="0" w:line="360" w:lineRule="auto"/>
        <w:ind w:firstLine="420"/>
        <w:rPr>
          <w:sz w:val="21"/>
          <w:szCs w:val="21"/>
        </w:rPr>
      </w:pPr>
      <w:r>
        <w:rPr>
          <w:rFonts w:hint="eastAsia"/>
          <w:sz w:val="21"/>
          <w:szCs w:val="21"/>
        </w:rPr>
        <w:t xml:space="preserve">48、基金资产总值：指基金所拥有的各类证券及票据价值、银行存款本息、本基金应收的申购基金款以及其他投资所形成的价值和 </w:t>
      </w:r>
    </w:p>
    <w:p>
      <w:pPr>
        <w:pStyle w:val="7"/>
        <w:spacing w:before="0" w:beforeAutospacing="0" w:after="0" w:afterAutospacing="0" w:line="360" w:lineRule="auto"/>
        <w:ind w:firstLine="420"/>
        <w:rPr>
          <w:sz w:val="21"/>
          <w:szCs w:val="21"/>
        </w:rPr>
      </w:pPr>
      <w:r>
        <w:rPr>
          <w:rFonts w:hint="eastAsia"/>
          <w:sz w:val="21"/>
          <w:szCs w:val="21"/>
        </w:rPr>
        <w:t xml:space="preserve">49、基金资产净值：指基金资产总值扣除负债后的净资产值 </w:t>
      </w:r>
    </w:p>
    <w:p>
      <w:pPr>
        <w:pStyle w:val="7"/>
        <w:spacing w:before="0" w:beforeAutospacing="0" w:after="0" w:afterAutospacing="0" w:line="360" w:lineRule="auto"/>
        <w:ind w:firstLine="420"/>
        <w:rPr>
          <w:sz w:val="21"/>
          <w:szCs w:val="21"/>
        </w:rPr>
      </w:pPr>
      <w:r>
        <w:rPr>
          <w:rFonts w:hint="eastAsia"/>
          <w:sz w:val="21"/>
          <w:szCs w:val="21"/>
        </w:rPr>
        <w:t xml:space="preserve">50、基金份额净值：指计算日基金资产净值除以计算日发行在外的基金份额总数 </w:t>
      </w:r>
    </w:p>
    <w:p>
      <w:pPr>
        <w:pStyle w:val="7"/>
        <w:spacing w:before="0" w:beforeAutospacing="0" w:after="0" w:afterAutospacing="0" w:line="360" w:lineRule="auto"/>
        <w:ind w:firstLine="420"/>
        <w:rPr>
          <w:sz w:val="21"/>
          <w:szCs w:val="21"/>
        </w:rPr>
      </w:pPr>
      <w:r>
        <w:rPr>
          <w:rFonts w:hint="eastAsia"/>
          <w:sz w:val="21"/>
          <w:szCs w:val="21"/>
        </w:rPr>
        <w:t xml:space="preserve">51、基金资产估值：指计算评估基金资产和负债的价值，以确定基金资产净值和基金份额净值的过程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52、指定媒介：指中国证监会指定的用以进行信息披露的全国性报刊及指定互联网网站（包括基金管理人网站、基金托管人网站、中国证监会基金电子披露网站）等媒介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r>
        <w:rPr>
          <w:rFonts w:hint="eastAsia"/>
          <w:sz w:val="21"/>
          <w:szCs w:val="21"/>
        </w:rPr>
        <w:t xml:space="preserve">53、不可抗力：指基金合同当事人无法预见、无法抗拒、无法避免且在基金合同由基金托管人、基金管理人签署之日后发生的，使基金合同当事人无法全部履行或无法部分履行基金合同的任何事件，包括但不限于洪水、地震及其他自然灾害、战争、骚乱、火灾、政府征用、没收、法律法规变化、突发停电或其他突发事件、证券交易所非正常暂停或停止交易 </w:t>
      </w:r>
    </w:p>
    <w:p>
      <w:pPr>
        <w:pStyle w:val="7"/>
        <w:spacing w:before="0" w:beforeAutospacing="0" w:after="0" w:afterAutospacing="0" w:line="360" w:lineRule="auto"/>
        <w:ind w:firstLine="420"/>
        <w:rPr>
          <w:sz w:val="21"/>
          <w:szCs w:val="21"/>
        </w:rPr>
      </w:pPr>
      <w:r>
        <w:rPr>
          <w:rFonts w:hint="eastAsia"/>
          <w:sz w:val="21"/>
          <w:szCs w:val="21"/>
        </w:rPr>
        <w:t>54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25" w:name="chapter_level1_4_49_section_2_end"/>
      <w:bookmarkEnd w:id="25"/>
      <w:r>
        <w:rPr>
          <w:rFonts w:hint="eastAsia"/>
          <w:sz w:val="21"/>
          <w:szCs w:val="21"/>
        </w:rPr>
        <w:t xml:space="preserve">支持证券、因发行人债务违约无法进行转让或交易的债券等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6" w:name="_Toc113522945"/>
      <w:bookmarkStart w:id="27" w:name="chapter_level1_5_53"/>
      <w:r>
        <w:rPr>
          <w:rFonts w:hint="eastAsia" w:ascii="宋体" w:hAnsi="宋体" w:eastAsia="宋体"/>
          <w:sz w:val="30"/>
        </w:rPr>
        <w:t>三、基金管理人</w:t>
      </w:r>
      <w:bookmarkEnd w:id="26"/>
      <w:bookmarkEnd w:id="27"/>
    </w:p>
    <w:p>
      <w:pPr>
        <w:pStyle w:val="7"/>
        <w:spacing w:before="0" w:beforeAutospacing="0" w:after="0" w:afterAutospacing="0" w:line="360" w:lineRule="auto"/>
        <w:ind w:firstLine="420"/>
        <w:rPr>
          <w:sz w:val="21"/>
          <w:szCs w:val="21"/>
        </w:rPr>
      </w:pPr>
      <w:bookmarkStart w:id="28" w:name="chapter_level1_5_53_section_1"/>
      <w:bookmarkEnd w:id="28"/>
      <w:r>
        <w:rPr>
          <w:rStyle w:val="11"/>
          <w:rFonts w:hint="eastAsia"/>
          <w:sz w:val="21"/>
          <w:szCs w:val="21"/>
        </w:rPr>
        <w:t>（一）基金管理人概况</w:t>
      </w:r>
    </w:p>
    <w:p>
      <w:pPr>
        <w:widowControl/>
        <w:spacing w:line="360" w:lineRule="auto"/>
        <w:ind w:firstLine="420" w:firstLineChars="200"/>
        <w:rPr>
          <w:rFonts w:hint="eastAsia" w:ascii="宋体" w:hAnsi="宋体" w:eastAsiaTheme="minorEastAsia" w:cstheme="minorBidi"/>
          <w:kern w:val="2"/>
          <w:szCs w:val="24"/>
        </w:rPr>
      </w:pPr>
      <w:bookmarkStart w:id="29" w:name="field_0_managercompanyinfo_1_start"/>
      <w:bookmarkEnd w:id="29"/>
      <w:r>
        <w:rPr>
          <w:rFonts w:hint="eastAsia" w:ascii="宋体" w:hAnsi="宋体" w:eastAsiaTheme="minorEastAsia" w:cstheme="minorBidi"/>
          <w:kern w:val="2"/>
          <w:szCs w:val="24"/>
        </w:rPr>
        <w:t>名称：</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博时基金管理有限公司</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住所：</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深圳市福田区莲花街道福新社区益田路5999号基金大厦21层</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办公地址：</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广东省深圳市福田区益田路5999号基金大厦21层</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法定代表人：江向阳</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成立时间：</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1998年7月13日</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注册资本：</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2.5亿元人民币</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存续期间：</w:t>
      </w:r>
      <w:r>
        <w:rPr>
          <w:rFonts w:hint="eastAsia" w:ascii="宋体" w:hAnsi="宋体" w:eastAsiaTheme="minorEastAsia" w:cstheme="minorBidi"/>
          <w:kern w:val="2"/>
          <w:szCs w:val="24"/>
        </w:rPr>
        <w:tab/>
      </w:r>
      <w:r>
        <w:rPr>
          <w:rFonts w:hint="eastAsia" w:ascii="宋体" w:hAnsi="宋体" w:eastAsiaTheme="minorEastAsia" w:cstheme="minorBidi"/>
          <w:kern w:val="2"/>
          <w:szCs w:val="24"/>
        </w:rPr>
        <w:t>持续经营</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联系人：    韩强</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联系电话：  （0755）8316 9999</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公司设立了投资决策委员会。投资决策委员会负责指导基金资产的运作、确定基本的投资策略和投资组合的原则。</w:t>
      </w:r>
    </w:p>
    <w:p>
      <w:pPr>
        <w:pStyle w:val="7"/>
        <w:spacing w:before="0" w:beforeAutospacing="0" w:after="0" w:afterAutospacing="0" w:line="360" w:lineRule="auto"/>
        <w:ind w:firstLine="420"/>
        <w:rPr>
          <w:sz w:val="21"/>
          <w:szCs w:val="21"/>
        </w:rPr>
      </w:pPr>
      <w:r>
        <w:rPr>
          <w:rFonts w:hint="eastAsia" w:ascii="宋体" w:hAnsi="宋体" w:eastAsiaTheme="minorEastAsia" w:cstheme="minorBidi"/>
          <w:kern w:val="2"/>
          <w:sz w:val="21"/>
          <w:szCs w:val="24"/>
        </w:rPr>
        <w:t>公司已经建立健全投资管理制度、风险控制制度、内部监察制度、财务管理制度、人事管理制度、信息披露制度和员工行为准则等公司管理制度体系。</w:t>
      </w:r>
      <w:r>
        <w:rPr>
          <w:rFonts w:hint="eastAsia"/>
          <w:sz w:val="21"/>
          <w:szCs w:val="21"/>
        </w:rPr>
        <w:t xml:space="preserve"> </w:t>
      </w:r>
      <w:bookmarkStart w:id="30" w:name="field_0_managercompanyinfo_1_end"/>
      <w:bookmarkEnd w:id="30"/>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（二）主要成员情况</w:t>
      </w:r>
    </w:p>
    <w:p>
      <w:pPr>
        <w:widowControl/>
        <w:spacing w:line="360" w:lineRule="auto"/>
        <w:ind w:firstLine="420" w:firstLineChars="200"/>
        <w:rPr>
          <w:rFonts w:hint="eastAsia" w:ascii="宋体" w:hAnsi="宋体" w:eastAsiaTheme="minorEastAsia" w:cstheme="minorBidi"/>
          <w:kern w:val="2"/>
          <w:szCs w:val="24"/>
        </w:rPr>
      </w:pPr>
      <w:bookmarkStart w:id="31" w:name="field_0_managerpersoninfo_1_start"/>
      <w:bookmarkEnd w:id="31"/>
      <w:r>
        <w:rPr>
          <w:rFonts w:hint="eastAsia" w:ascii="宋体" w:hAnsi="宋体" w:eastAsiaTheme="minorEastAsia" w:cstheme="minorBidi"/>
          <w:kern w:val="2"/>
          <w:szCs w:val="24"/>
        </w:rPr>
        <w:t>1、基金管理人董事会成员</w:t>
      </w:r>
    </w:p>
    <w:p>
      <w:pPr>
        <w:widowControl/>
        <w:snapToGrid/>
        <w:spacing w:line="360" w:lineRule="auto"/>
        <w:ind w:firstLine="420" w:firstLineChars="200"/>
        <w:rPr>
          <w:rFonts w:hint="eastAsia" w:ascii="宋体" w:hAnsi="宋体" w:eastAsiaTheme="minorEastAsia" w:cstheme="minorBidi"/>
          <w:szCs w:val="24"/>
        </w:rPr>
      </w:pPr>
      <w:r>
        <w:rPr>
          <w:rFonts w:hint="eastAsia" w:ascii="宋体" w:hAnsi="宋体" w:eastAsiaTheme="minorEastAsia" w:cstheme="minorBidi"/>
          <w:szCs w:val="24"/>
        </w:rPr>
        <w:t>江向阳先生，博士。中共党员，南开大学国际金融博士，清华大学金融媒体EMBA。1986-1990</w:t>
      </w:r>
      <w:r>
        <w:rPr>
          <w:rFonts w:hint="eastAsia" w:ascii="宋体" w:hAnsi="宋体"/>
          <w:szCs w:val="24"/>
        </w:rPr>
        <w:fldChar w:fldCharType="begin"/>
      </w:r>
      <w:r>
        <w:rPr>
          <w:rFonts w:hint="eastAsia" w:ascii="宋体" w:hAnsi="宋体"/>
          <w:szCs w:val="24"/>
        </w:rPr>
        <w:instrText xml:space="preserve"> HYPERLINK "tel:%E2%80%AA1986-1990%E2%80%AC" </w:instrText>
      </w:r>
      <w:r>
        <w:rPr>
          <w:rFonts w:hint="eastAsia" w:ascii="宋体" w:hAnsi="宋体"/>
          <w:szCs w:val="24"/>
        </w:rPr>
        <w:fldChar w:fldCharType="separate"/>
      </w:r>
      <w:r>
        <w:rPr>
          <w:rFonts w:hint="eastAsia" w:ascii="宋体" w:hAnsi="宋体"/>
          <w:szCs w:val="24"/>
        </w:rPr>
        <w:fldChar w:fldCharType="end"/>
      </w:r>
      <w:r>
        <w:rPr>
          <w:rFonts w:hint="eastAsia" w:ascii="宋体" w:hAnsi="宋体" w:eastAsiaTheme="minorEastAsia" w:cstheme="minorBidi"/>
          <w:szCs w:val="24"/>
        </w:rPr>
        <w:t>年就读于北京师范大学信息与情报学系，获学士学位；1994-1997</w:t>
      </w:r>
      <w:r>
        <w:rPr>
          <w:rFonts w:hint="eastAsia" w:ascii="宋体" w:hAnsi="宋体"/>
          <w:szCs w:val="24"/>
        </w:rPr>
        <w:fldChar w:fldCharType="begin"/>
      </w:r>
      <w:r>
        <w:rPr>
          <w:rFonts w:hint="eastAsia" w:ascii="宋体" w:hAnsi="宋体"/>
          <w:szCs w:val="24"/>
        </w:rPr>
        <w:instrText xml:space="preserve"> HYPERLINK "tel:%E2%80%AA1994-1997%E2%80%AC" </w:instrText>
      </w:r>
      <w:r>
        <w:rPr>
          <w:rFonts w:hint="eastAsia" w:ascii="宋体" w:hAnsi="宋体"/>
          <w:szCs w:val="24"/>
        </w:rPr>
        <w:fldChar w:fldCharType="separate"/>
      </w:r>
      <w:r>
        <w:rPr>
          <w:rFonts w:hint="eastAsia" w:ascii="宋体" w:hAnsi="宋体"/>
          <w:szCs w:val="24"/>
        </w:rPr>
        <w:fldChar w:fldCharType="end"/>
      </w:r>
      <w:r>
        <w:rPr>
          <w:rFonts w:hint="eastAsia" w:ascii="宋体" w:hAnsi="宋体" w:eastAsiaTheme="minorEastAsia" w:cstheme="minorBidi"/>
          <w:szCs w:val="24"/>
        </w:rPr>
        <w:t>年就读于中国政法大学研究生院，获法学硕士学位；2003-2006</w:t>
      </w:r>
      <w:r>
        <w:rPr>
          <w:rFonts w:hint="eastAsia" w:ascii="宋体" w:hAnsi="宋体"/>
          <w:szCs w:val="24"/>
        </w:rPr>
        <w:fldChar w:fldCharType="begin"/>
      </w:r>
      <w:r>
        <w:rPr>
          <w:rFonts w:hint="eastAsia" w:ascii="宋体" w:hAnsi="宋体"/>
          <w:szCs w:val="24"/>
        </w:rPr>
        <w:instrText xml:space="preserve"> HYPERLINK "tel:%E2%80%AA2003-2006%E2%80%AC" </w:instrText>
      </w:r>
      <w:r>
        <w:rPr>
          <w:rFonts w:hint="eastAsia" w:ascii="宋体" w:hAnsi="宋体"/>
          <w:szCs w:val="24"/>
        </w:rPr>
        <w:fldChar w:fldCharType="separate"/>
      </w:r>
      <w:r>
        <w:rPr>
          <w:rFonts w:hint="eastAsia" w:ascii="宋体" w:hAnsi="宋体"/>
          <w:szCs w:val="24"/>
        </w:rPr>
        <w:fldChar w:fldCharType="end"/>
      </w:r>
      <w:r>
        <w:rPr>
          <w:rFonts w:hint="eastAsia" w:ascii="宋体" w:hAnsi="宋体" w:eastAsiaTheme="minorEastAsia" w:cstheme="minorBidi"/>
          <w:szCs w:val="24"/>
        </w:rPr>
        <w:t>年，就读于南开大学国际经济研究所，获国际金融博士学位。</w:t>
      </w:r>
      <w:r>
        <w:rPr>
          <w:rFonts w:hint="eastAsia" w:ascii="宋体" w:hAnsi="宋体" w:eastAsiaTheme="minorEastAsia" w:cstheme="minorBidi"/>
          <w:bCs w:val="0"/>
          <w:szCs w:val="24"/>
        </w:rPr>
        <w:t>1997年8月至2014年12月就职于中国证监会，历任办公厅、党办副主任兼新闻办（网信办）主任；中国证监会办公厅副巡视员；中国证监会深圳专员办处长、副专员；中国证监会期货监管部副处长、处长。</w:t>
      </w:r>
      <w:r>
        <w:rPr>
          <w:rFonts w:hint="eastAsia" w:ascii="宋体" w:hAnsi="宋体" w:eastAsiaTheme="minorEastAsia" w:cstheme="minorBidi"/>
          <w:szCs w:val="24"/>
        </w:rPr>
        <w:t>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widowControl/>
        <w:snapToGrid/>
        <w:spacing w:line="360" w:lineRule="auto"/>
        <w:ind w:firstLine="420" w:firstLineChars="200"/>
        <w:rPr>
          <w:rFonts w:hint="eastAsia" w:ascii="宋体" w:hAnsi="宋体" w:eastAsiaTheme="minorEastAsia" w:cstheme="minorBidi"/>
          <w:szCs w:val="24"/>
        </w:rPr>
      </w:pPr>
      <w:r>
        <w:rPr>
          <w:rFonts w:hint="eastAsia" w:ascii="宋体" w:hAnsi="宋体" w:eastAsiaTheme="minorEastAsia" w:cstheme="minorBidi"/>
          <w:szCs w:val="24"/>
        </w:rPr>
        <w:t>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月及2015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年1月至2018年8月任招商局资本投资有限责任公司监事；自2015年11月至2018年8月任招商局创新投资管理有限公司董事；自2015年11月至2017年4月任深圳招商启航互联网投资管理有限公司董事长；自2013年5月至2015年8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 月至2011年5月担任徽商银行股份有限公司（香港联交所上市公司，股票代码：3698）董事；自2008 年3月至2011年9月担任安徽省皖能股份有限公司（深圳证券交易所上市公司，股票代码︰000543）董事。苏女士亦拥有会计等相关管理经验，其经验包括：自2011年3 月至2015 年8月担任中国海运（集团）总公司总会计师；自2007年5月至2011年4月担任安徽省能源集团有限公司总会计师，并于2010年11月至2011年4 月担任该公司副总经理。自2018年9月3日起，任博时基金管理有限公司董事。</w:t>
      </w:r>
    </w:p>
    <w:p>
      <w:pPr>
        <w:widowControl/>
        <w:spacing w:line="360" w:lineRule="auto"/>
        <w:ind w:firstLine="420" w:firstLineChars="200"/>
        <w:rPr>
          <w:rFonts w:hint="eastAsia" w:ascii="宋体" w:hAnsi="宋体" w:eastAsiaTheme="minorEastAsia" w:cstheme="minorBidi"/>
          <w:kern w:val="2"/>
          <w:szCs w:val="24"/>
        </w:rPr>
      </w:pPr>
      <w:r>
        <w:rPr>
          <w:rFonts w:hint="eastAsia" w:ascii="宋体" w:hAnsi="宋体" w:eastAsiaTheme="minorEastAsia" w:cstheme="minorBidi"/>
          <w:kern w:val="2"/>
          <w:szCs w:val="24"/>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自2021年2月5日起，任博时基金管理有限公司总经理。自2021年4月7日起，任博时基金管理有限公司第八届董事会董事。</w:t>
      </w:r>
    </w:p>
    <w:p>
      <w:pPr>
        <w:widowControl/>
        <w:spacing w:line="360" w:lineRule="auto"/>
        <w:ind w:firstLine="420" w:firstLineChars="200"/>
        <w:rPr>
          <w:rFonts w:hint="eastAsia" w:ascii="宋体" w:hAnsi="宋体"/>
          <w:szCs w:val="24"/>
        </w:rPr>
      </w:pPr>
      <w:r>
        <w:rPr>
          <w:rFonts w:hint="eastAsia" w:ascii="宋体" w:hAnsi="宋体" w:eastAsiaTheme="minorEastAsia" w:cstheme="minorBidi"/>
          <w:szCs w:val="24"/>
        </w:rPr>
        <w:t>姚俊</w:t>
      </w:r>
      <w:r>
        <w:rPr>
          <w:rFonts w:hint="eastAsia" w:ascii="宋体" w:hAnsi="宋体"/>
          <w:szCs w:val="24"/>
        </w:rPr>
        <w:t>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widowControl/>
        <w:spacing w:line="360" w:lineRule="auto"/>
        <w:ind w:firstLine="420" w:firstLineChars="200"/>
        <w:rPr>
          <w:rFonts w:hint="eastAsia" w:ascii="宋体" w:hAnsi="宋体"/>
          <w:szCs w:val="24"/>
        </w:rPr>
      </w:pPr>
      <w:r>
        <w:rPr>
          <w:rFonts w:hint="eastAsia" w:ascii="宋体" w:hAnsi="宋体"/>
          <w:szCs w:val="24"/>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widowControl/>
        <w:spacing w:line="360" w:lineRule="auto"/>
        <w:ind w:firstLine="420" w:firstLineChars="200"/>
        <w:rPr>
          <w:rFonts w:hint="eastAsia" w:ascii="宋体" w:hAnsi="宋体"/>
          <w:szCs w:val="24"/>
        </w:rPr>
      </w:pPr>
      <w:r>
        <w:rPr>
          <w:rFonts w:hint="eastAsia" w:ascii="宋体" w:hAnsi="宋体"/>
          <w:szCs w:val="24"/>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widowControl/>
        <w:spacing w:line="360" w:lineRule="auto"/>
        <w:ind w:firstLine="420" w:firstLineChars="200"/>
        <w:rPr>
          <w:rFonts w:hint="eastAsia" w:ascii="宋体" w:hAnsi="宋体"/>
          <w:szCs w:val="24"/>
        </w:rPr>
      </w:pPr>
      <w:r>
        <w:rPr>
          <w:rFonts w:hint="eastAsia" w:ascii="宋体" w:hAnsi="宋体"/>
          <w:szCs w:val="24"/>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widowControl/>
        <w:spacing w:line="360" w:lineRule="auto"/>
        <w:ind w:firstLine="420" w:firstLineChars="200"/>
        <w:rPr>
          <w:rFonts w:hint="eastAsia" w:ascii="宋体" w:hAnsi="宋体"/>
          <w:szCs w:val="24"/>
        </w:rPr>
      </w:pPr>
      <w:r>
        <w:rPr>
          <w:rFonts w:hint="eastAsia" w:ascii="宋体" w:hAnsi="宋体"/>
          <w:szCs w:val="24"/>
        </w:rPr>
        <w:t>赵如冰先生，1956年生，教授级高级工程师，国际金融专业经济学硕士研究生。赵如冰先生历任葛洲坝水力发电厂工程师、高级工程师、葛洲坝二江电厂电气分厂主任、书记；1989年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widowControl/>
        <w:spacing w:line="360" w:lineRule="auto"/>
        <w:ind w:firstLine="420" w:firstLineChars="200"/>
        <w:rPr>
          <w:rFonts w:hint="eastAsia" w:ascii="宋体" w:hAnsi="宋体"/>
          <w:szCs w:val="24"/>
        </w:rPr>
      </w:pPr>
      <w:r>
        <w:rPr>
          <w:rFonts w:hint="eastAsia" w:ascii="宋体" w:hAnsi="宋体"/>
          <w:szCs w:val="24"/>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widowControl/>
        <w:spacing w:line="360" w:lineRule="auto"/>
        <w:ind w:firstLine="420" w:firstLineChars="200"/>
        <w:rPr>
          <w:rFonts w:hint="eastAsia" w:ascii="宋体" w:hAnsi="宋体"/>
          <w:szCs w:val="24"/>
        </w:rPr>
      </w:pPr>
      <w:r>
        <w:rPr>
          <w:rFonts w:hint="eastAsia" w:ascii="宋体" w:hAnsi="宋体"/>
          <w:szCs w:val="24"/>
        </w:rPr>
        <w:t>2、基金管理人监事会成员</w:t>
      </w:r>
    </w:p>
    <w:p>
      <w:pPr>
        <w:widowControl/>
        <w:spacing w:line="360" w:lineRule="auto"/>
        <w:ind w:firstLine="420" w:firstLineChars="200"/>
        <w:rPr>
          <w:rFonts w:hint="eastAsia" w:ascii="宋体" w:hAnsi="宋体"/>
          <w:szCs w:val="24"/>
        </w:rPr>
      </w:pPr>
      <w:r>
        <w:rPr>
          <w:rFonts w:hint="eastAsia" w:ascii="宋体" w:hAnsi="宋体"/>
          <w:szCs w:val="24"/>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widowControl/>
        <w:spacing w:line="360" w:lineRule="auto"/>
        <w:ind w:firstLine="420" w:firstLineChars="200"/>
        <w:rPr>
          <w:rFonts w:hint="eastAsia" w:ascii="宋体" w:hAnsi="宋体"/>
          <w:szCs w:val="24"/>
        </w:rPr>
      </w:pPr>
      <w:r>
        <w:rPr>
          <w:rFonts w:hint="eastAsia" w:ascii="宋体" w:hAnsi="宋体"/>
          <w:szCs w:val="24"/>
        </w:rPr>
        <w:t>蒋伟先生，硕士。2011年3月至2017年5月就职于中国长城资产管理公司，分别任办公室外事处一级业务员、业务副主管、业务主管。2017年5月至2020年7月职于长城罗斯基金管理有限公司任行政总监/执行董事。2020年7月至今任中国长城资产管理有限公司资产经营三部副高级经理（处室负责人）。</w:t>
      </w:r>
    </w:p>
    <w:p>
      <w:pPr>
        <w:widowControl/>
        <w:spacing w:line="360" w:lineRule="auto"/>
        <w:ind w:firstLine="420" w:firstLineChars="200"/>
        <w:rPr>
          <w:rFonts w:hint="eastAsia" w:ascii="宋体" w:hAnsi="宋体"/>
          <w:szCs w:val="24"/>
        </w:rPr>
      </w:pPr>
      <w:r>
        <w:rPr>
          <w:rFonts w:hint="eastAsia" w:ascii="宋体" w:hAnsi="宋体"/>
          <w:szCs w:val="24"/>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widowControl/>
        <w:spacing w:line="360" w:lineRule="auto"/>
        <w:ind w:firstLine="420" w:firstLineChars="200"/>
        <w:rPr>
          <w:rFonts w:hint="eastAsia" w:ascii="宋体" w:hAnsi="宋体"/>
          <w:szCs w:val="24"/>
        </w:rPr>
      </w:pPr>
      <w:r>
        <w:rPr>
          <w:rFonts w:hint="eastAsia" w:ascii="宋体" w:hAnsi="宋体"/>
          <w:szCs w:val="24"/>
        </w:rPr>
        <w:t>严斌先生，硕士。1997年7月起先后在华侨城集团公司、博时基金管理有限公司工作。现任博时基金管理有限公司财务部总经理。自2015年5月起，任博时基金管理有限公司监事。</w:t>
      </w:r>
    </w:p>
    <w:p>
      <w:pPr>
        <w:widowControl/>
        <w:spacing w:line="360" w:lineRule="auto"/>
        <w:ind w:firstLine="420" w:firstLineChars="200"/>
        <w:rPr>
          <w:rFonts w:hint="eastAsia" w:ascii="宋体" w:hAnsi="宋体"/>
          <w:szCs w:val="24"/>
        </w:rPr>
      </w:pPr>
      <w:r>
        <w:rPr>
          <w:rFonts w:hint="eastAsia" w:ascii="宋体" w:hAnsi="宋体"/>
          <w:szCs w:val="24"/>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widowControl/>
        <w:spacing w:line="360" w:lineRule="auto"/>
        <w:ind w:firstLine="420" w:firstLineChars="200"/>
        <w:rPr>
          <w:rFonts w:hint="eastAsia" w:ascii="宋体" w:hAnsi="宋体"/>
          <w:szCs w:val="24"/>
        </w:rPr>
      </w:pPr>
      <w:r>
        <w:rPr>
          <w:rFonts w:hint="eastAsia" w:ascii="宋体" w:hAnsi="宋体"/>
          <w:szCs w:val="24"/>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widowControl/>
        <w:numPr>
          <w:ilvl w:val="-1"/>
          <w:numId w:val="0"/>
        </w:numPr>
        <w:spacing w:line="360" w:lineRule="auto"/>
        <w:ind w:firstLine="420" w:firstLineChars="200"/>
        <w:rPr>
          <w:rFonts w:hint="eastAsia" w:ascii="宋体" w:hAnsi="宋体"/>
          <w:szCs w:val="24"/>
        </w:rPr>
      </w:pPr>
      <w:r>
        <w:rPr>
          <w:rFonts w:hint="eastAsia" w:ascii="宋体" w:hAnsi="宋体"/>
          <w:szCs w:val="24"/>
        </w:rPr>
        <w:t>高级管理人员</w:t>
      </w:r>
    </w:p>
    <w:p>
      <w:pPr>
        <w:widowControl/>
        <w:spacing w:line="360" w:lineRule="auto"/>
        <w:ind w:firstLine="420" w:firstLineChars="200"/>
        <w:rPr>
          <w:rFonts w:hint="eastAsia" w:ascii="宋体" w:hAnsi="宋体"/>
          <w:szCs w:val="24"/>
        </w:rPr>
      </w:pPr>
      <w:r>
        <w:rPr>
          <w:rFonts w:hint="eastAsia" w:ascii="宋体" w:hAnsi="宋体"/>
          <w:szCs w:val="24"/>
        </w:rPr>
        <w:t>江向阳先生，简历同上。</w:t>
      </w:r>
    </w:p>
    <w:p>
      <w:pPr>
        <w:widowControl/>
        <w:spacing w:line="360" w:lineRule="auto"/>
        <w:ind w:firstLine="420" w:firstLineChars="200"/>
        <w:rPr>
          <w:rFonts w:hint="eastAsia" w:ascii="宋体" w:hAnsi="宋体"/>
          <w:szCs w:val="24"/>
        </w:rPr>
      </w:pPr>
      <w:r>
        <w:rPr>
          <w:rFonts w:hint="eastAsia" w:ascii="宋体" w:hAnsi="宋体"/>
          <w:szCs w:val="24"/>
        </w:rPr>
        <w:t>高阳先生，简历同上。</w:t>
      </w:r>
    </w:p>
    <w:p>
      <w:pPr>
        <w:widowControl/>
        <w:spacing w:line="360" w:lineRule="auto"/>
        <w:ind w:firstLine="420" w:firstLineChars="200"/>
        <w:rPr>
          <w:rFonts w:hint="eastAsia" w:ascii="宋体" w:hAnsi="宋体"/>
          <w:szCs w:val="24"/>
        </w:rPr>
      </w:pPr>
      <w:r>
        <w:rPr>
          <w:rFonts w:hint="eastAsia" w:ascii="宋体" w:hAnsi="宋体"/>
          <w:szCs w:val="24"/>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widowControl/>
        <w:spacing w:line="360" w:lineRule="auto"/>
        <w:ind w:firstLine="420" w:firstLineChars="200"/>
        <w:rPr>
          <w:rFonts w:hint="eastAsia" w:ascii="宋体" w:hAnsi="宋体"/>
          <w:szCs w:val="24"/>
        </w:rPr>
      </w:pPr>
      <w:r>
        <w:rPr>
          <w:rFonts w:hint="eastAsia" w:ascii="宋体" w:hAnsi="宋体"/>
          <w:szCs w:val="24"/>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widowControl/>
        <w:spacing w:line="360" w:lineRule="auto"/>
        <w:ind w:firstLine="420" w:firstLineChars="200"/>
        <w:rPr>
          <w:rFonts w:hint="eastAsia" w:ascii="宋体" w:hAnsi="宋体"/>
          <w:szCs w:val="24"/>
        </w:rPr>
      </w:pPr>
      <w:r>
        <w:rPr>
          <w:rFonts w:hint="eastAsia" w:ascii="宋体" w:hAnsi="宋体"/>
          <w:szCs w:val="24"/>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pStyle w:val="7"/>
        <w:spacing w:before="0" w:beforeAutospacing="0" w:after="0" w:afterAutospacing="0" w:line="360" w:lineRule="auto"/>
        <w:ind w:firstLine="420"/>
        <w:rPr>
          <w:sz w:val="21"/>
          <w:szCs w:val="21"/>
        </w:rPr>
      </w:pPr>
      <w:r>
        <w:rPr>
          <w:rFonts w:hint="eastAsia" w:ascii="宋体" w:hAnsi="宋体" w:eastAsiaTheme="minorEastAsia" w:cstheme="minorBidi"/>
          <w:kern w:val="2"/>
          <w:sz w:val="21"/>
          <w:szCs w:val="24"/>
        </w:rPr>
        <w:t>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w:t>
      </w:r>
      <w:r>
        <w:rPr>
          <w:rFonts w:hint="eastAsia"/>
          <w:sz w:val="21"/>
          <w:szCs w:val="21"/>
        </w:rPr>
        <w:t xml:space="preserve"> </w:t>
      </w:r>
      <w:bookmarkStart w:id="32" w:name="field_0_managerpersoninfo_1_end"/>
      <w:bookmarkEnd w:id="32"/>
      <w:r>
        <w:rPr>
          <w:rFonts w:hint="eastAsia"/>
          <w:sz w:val="21"/>
          <w:szCs w:val="21"/>
        </w:rPr>
        <w:t xml:space="preserve">  </w:t>
      </w:r>
    </w:p>
    <w:p>
      <w:pPr>
        <w:pStyle w:val="7"/>
        <w:spacing w:before="0" w:beforeAutospacing="0" w:after="0" w:afterAutospacing="0" w:line="360" w:lineRule="auto"/>
        <w:ind w:firstLine="420"/>
        <w:rPr>
          <w:sz w:val="21"/>
          <w:szCs w:val="21"/>
        </w:rPr>
      </w:pPr>
      <w:bookmarkStart w:id="33" w:name="chapter_level1_5_53_section_2"/>
      <w:bookmarkEnd w:id="33"/>
      <w:r>
        <w:rPr>
          <w:rFonts w:hint="eastAsia"/>
          <w:sz w:val="21"/>
          <w:szCs w:val="21"/>
        </w:rPr>
        <w:t xml:space="preserve">4、本基金基金经理 </w:t>
      </w:r>
    </w:p>
    <w:p>
      <w:pPr>
        <w:pStyle w:val="7"/>
        <w:spacing w:before="0" w:beforeAutospacing="0" w:after="0" w:afterAutospacing="0" w:line="360" w:lineRule="auto"/>
        <w:ind w:firstLine="420"/>
        <w:rPr>
          <w:rFonts w:hint="eastAsia" w:ascii="宋体" w:hAnsi="宋体" w:eastAsiaTheme="minorEastAsia" w:cstheme="minorBidi"/>
          <w:i w:val="0"/>
          <w:iCs w:val="0"/>
          <w:caps w:val="0"/>
          <w:spacing w:val="0"/>
          <w:kern w:val="2"/>
          <w:sz w:val="21"/>
          <w:szCs w:val="24"/>
          <w:shd w:val="clear"/>
        </w:rPr>
      </w:pPr>
      <w:bookmarkStart w:id="34" w:name="field_0_fundmanagerresume_1_start"/>
      <w:bookmarkEnd w:id="34"/>
      <w:r>
        <w:rPr>
          <w:rFonts w:hint="eastAsia" w:ascii="宋体" w:hAnsi="宋体" w:eastAsiaTheme="minorEastAsia" w:cstheme="minorBidi"/>
          <w:i w:val="0"/>
          <w:iCs w:val="0"/>
          <w:caps w:val="0"/>
          <w:spacing w:val="0"/>
          <w:kern w:val="2"/>
          <w:sz w:val="21"/>
          <w:szCs w:val="24"/>
          <w:shd w:val="clear"/>
        </w:rPr>
        <w:t>杨永光先生，硕士。1993年至1997年先后在桂林电器科学研究所、深圳迈瑞生物医疗电子股份公司工作。2001年起在国海证券历任债券研究员、债券投资经理助理、高级投资经理、投资主办人。2011年加入博时基金管理有限公司。历任投资经理、博时稳定价值债券投资基金(2014年2月13日-2015年5月22日)、上证企债30交易型开放式指数证券投资基金(2013年7月11日-2016年4月25日)、博时天颐债券型证券投资基金(2012年2月29日-2016年8月1日)、博时招财一号大数据保本混合型证券投资基金(2015年4月29日-2016年8月1日)、博时新机遇混合型证券投资基金(2015年9月11日-2016年9月29日)的基金经理、固定收益总部公募基金组投资副总监、股票投资部绝对收益组投资副总监、博时泰安债券型证券投资基金(2016年12月21日-2018年3月8日)、博时优势收益信用债债券型证券投资基金(2014年9月15日-2018年3月9日)、博时景兴纯债债券型证券投资基金(2016年5月20日-2018年3月15日)、博时富宁纯债债券型证券投资基金(2016年8月17日-2018年3月15日)、博时臻选纯债债券型证券投资基金(2016年11月7日-2018年3月15日)、博时聚源纯债债券型证券投资基金(2017年2月9日-2018年3月15日)、博时华盈纯债债券型证券投资基金(2017年3月9日-2018年3月15日)、博时富瑞纯债债券型证券投资基金(2017年3月3日-2018年4月9日)、博时富益纯债债券型证券投资基金(2016年11月4日-2018年5月9日)、博时广利纯债债券型证券投资基金(2017年2月16日-2018年5月17日)、博时广利纯债3个月定期开放债券型发起式证券投资基金(2018年5月18日-2018年5月28日)、博时保泽保本混合型证券投资基金(2016年4月7日-2018年6月16日)、博时保泰保本混合型证券投资基金(2016年6月24日-2018年7月23日)、博时保丰保本混合型证券投资基金(2016年6月6日-2018年8月9日)、博时富海纯债债券型证券投资基金(2017年3月6日-2018年8月23日)、博时富华纯债债券型证券投资基金(2016年11月25日-2018年9月19日)、博时招财二号大数据保本混合型证券投资基金(2016年8月9日-2018年9月28日)、博时境源保本混合型证券投资基金(2015年12月18日-2019年3月2日)、博时鑫丰灵活配置混合型证券投资基金(2016年12月27日-2019年4月25日)、博时新机遇混合型证券投资基金(2018年2月6日-2019年9月27日)的基金经理、绝对收益投资部副总经理。现任博时鑫泰灵活配置混合型证券投资基金(2017年1月10日—至今)、博时鑫惠灵活配置混合型证券投资基金(2017年1月23日—至今)、博时新策略灵活配置混合型证券投资基金(2018年2月6日—至今)、博时颐泰混合型证券投资基金(2018年7月23日—至今)、博时平衡配置混合型证券投资基金(2022年1月4日—至今)的基金经理。</w:t>
      </w:r>
    </w:p>
    <w:p>
      <w:pPr>
        <w:pStyle w:val="7"/>
        <w:spacing w:before="0" w:beforeAutospacing="0" w:after="0" w:afterAutospacing="0" w:line="360" w:lineRule="auto"/>
        <w:ind w:firstLine="420"/>
        <w:rPr>
          <w:sz w:val="21"/>
          <w:szCs w:val="21"/>
        </w:rPr>
      </w:pPr>
      <w:r>
        <w:rPr>
          <w:rFonts w:hint="eastAsia" w:ascii="宋体" w:hAnsi="宋体" w:eastAsiaTheme="minorEastAsia" w:cstheme="minorBidi"/>
          <w:i w:val="0"/>
          <w:iCs w:val="0"/>
          <w:caps w:val="0"/>
          <w:spacing w:val="0"/>
          <w:kern w:val="2"/>
          <w:sz w:val="21"/>
          <w:szCs w:val="24"/>
          <w:shd w:val="clear"/>
        </w:rPr>
        <w:t>孙少锋先生，硕士。2004年起先后在东方航空财务公司、华为技术公司、招商基金工作。2015年加入博时基金管理有限公司。历任投资经理、博时保丰保本混合型证券投资基金 (2016年6月6日-2017年6月15日)、博时保泽保本混合型证券投资基金(2016年4月7日-2018年6月16日)、博时保泰保本混合型证券投资基金(2016年6月24日-2018年7月23日)、博时境源保本混合型证券投资基金(2015年12月18日-2019年3月2日)、博时策略灵活配置混合型证券投资基金(2015年9月23日-2021年12月21日)的基金经理。现任博时颐泰混合型证券投资基金(2018年7月23日—至今)、博时平衡配置混合型证券投资基金(2020年11月3日—至今)的基金经理。</w:t>
      </w:r>
      <w:bookmarkStart w:id="35" w:name="field_0_fundmanagerresume_1_end"/>
      <w:bookmarkEnd w:id="35"/>
      <w:r>
        <w:rPr>
          <w:rFonts w:hint="eastAsia"/>
          <w:sz w:val="21"/>
          <w:szCs w:val="21"/>
        </w:rPr>
        <w:t xml:space="preserve">  </w:t>
      </w:r>
    </w:p>
    <w:p>
      <w:pPr>
        <w:pStyle w:val="7"/>
        <w:spacing w:before="0" w:beforeAutospacing="0" w:after="0" w:afterAutospacing="0" w:line="360" w:lineRule="auto"/>
        <w:ind w:firstLine="420"/>
        <w:rPr>
          <w:sz w:val="21"/>
          <w:szCs w:val="21"/>
        </w:rPr>
      </w:pPr>
      <w:bookmarkStart w:id="36" w:name="field_0_fundmanagershis_1_start"/>
      <w:bookmarkEnd w:id="36"/>
      <w:r>
        <w:rPr>
          <w:rFonts w:hint="eastAsia"/>
          <w:sz w:val="21"/>
          <w:szCs w:val="21"/>
        </w:rPr>
        <w:t>本基金历任基金经理：黄健斌（2006年7月1日-2009年12月10日）、杨锐（2006年5月31日-2012年8月10日）、姜文涛（2012年7月17日-2015年1月15日）、曾升（2013年11月12日-2015年2月13日）、皮敏（2009年12月10日-2015年7月16日）、陈雷（2015年2月13日-2016年4月20日）、魏凤春（2015年11月30日-2016年12月19日）、张李陵（2015年7月16日-2020年2月24日）、刘思</w:t>
      </w:r>
      <w:bookmarkStart w:id="37" w:name="chapter_level1_5_53_section_2_end"/>
      <w:bookmarkEnd w:id="37"/>
      <w:r>
        <w:rPr>
          <w:rFonts w:hint="eastAsia"/>
          <w:sz w:val="21"/>
          <w:szCs w:val="21"/>
        </w:rPr>
        <w:t>甸（2016年4月20日-2020年11月3日）、王申（2020年2月24日-2022年1月4日）。</w:t>
      </w:r>
      <w:bookmarkStart w:id="38" w:name="field_0_fundmanagershis_1_end"/>
      <w:bookmarkEnd w:id="38"/>
      <w:r>
        <w:rPr>
          <w:rFonts w:hint="eastAsia"/>
          <w:sz w:val="21"/>
          <w:szCs w:val="21"/>
        </w:rPr>
        <w:t xml:space="preserve">  </w:t>
      </w:r>
    </w:p>
    <w:p>
      <w:pPr>
        <w:pStyle w:val="7"/>
        <w:spacing w:before="0" w:beforeAutospacing="0" w:after="0" w:afterAutospacing="0" w:line="360" w:lineRule="auto"/>
        <w:ind w:firstLine="420"/>
        <w:rPr>
          <w:sz w:val="21"/>
          <w:szCs w:val="21"/>
        </w:rPr>
      </w:pPr>
      <w:bookmarkStart w:id="39" w:name="chapter_level1_5_53_section_3"/>
      <w:bookmarkEnd w:id="39"/>
      <w:bookmarkStart w:id="40" w:name="field_0_managerpersoninfo2_1_start"/>
      <w:bookmarkEnd w:id="40"/>
      <w:r>
        <w:rPr>
          <w:rFonts w:hint="eastAsia"/>
          <w:sz w:val="21"/>
          <w:szCs w:val="21"/>
        </w:rPr>
        <w:t xml:space="preserve">5、投资决策委员会成员 </w:t>
      </w:r>
    </w:p>
    <w:p>
      <w:pPr>
        <w:widowControl/>
        <w:spacing w:line="360" w:lineRule="auto"/>
        <w:ind w:firstLine="420" w:firstLineChars="200"/>
        <w:rPr>
          <w:rFonts w:hint="eastAsia" w:ascii="宋体" w:hAnsi="宋体"/>
          <w:szCs w:val="24"/>
        </w:rPr>
      </w:pPr>
      <w:r>
        <w:rPr>
          <w:rFonts w:hint="eastAsia" w:ascii="宋体" w:hAnsi="宋体"/>
          <w:szCs w:val="24"/>
        </w:rPr>
        <w:t>公司总经理高阳先生。</w:t>
      </w:r>
    </w:p>
    <w:p>
      <w:pPr>
        <w:widowControl/>
        <w:spacing w:line="360" w:lineRule="auto"/>
        <w:ind w:firstLine="420" w:firstLineChars="200"/>
        <w:rPr>
          <w:rFonts w:hint="eastAsia" w:ascii="宋体" w:hAnsi="宋体"/>
          <w:szCs w:val="24"/>
        </w:rPr>
      </w:pPr>
      <w:r>
        <w:rPr>
          <w:rFonts w:hint="eastAsia" w:ascii="宋体" w:hAnsi="宋体"/>
          <w:szCs w:val="24"/>
        </w:rPr>
        <w:t>公司首席资产配置官黄健斌先生。</w:t>
      </w:r>
    </w:p>
    <w:p>
      <w:pPr>
        <w:widowControl/>
        <w:spacing w:line="360" w:lineRule="auto"/>
        <w:ind w:firstLine="420" w:firstLineChars="200"/>
        <w:rPr>
          <w:rFonts w:hint="eastAsia" w:ascii="宋体" w:hAnsi="宋体"/>
          <w:szCs w:val="24"/>
        </w:rPr>
      </w:pPr>
      <w:r>
        <w:rPr>
          <w:rFonts w:hint="eastAsia" w:ascii="宋体" w:hAnsi="宋体"/>
          <w:szCs w:val="24"/>
        </w:rPr>
        <w:t>首席基金经理过钧先生。</w:t>
      </w:r>
    </w:p>
    <w:p>
      <w:pPr>
        <w:widowControl/>
        <w:spacing w:line="360" w:lineRule="auto"/>
        <w:ind w:firstLine="420" w:firstLineChars="200"/>
        <w:rPr>
          <w:rFonts w:hint="eastAsia" w:ascii="宋体" w:hAnsi="宋体"/>
          <w:szCs w:val="24"/>
        </w:rPr>
      </w:pPr>
      <w:r>
        <w:rPr>
          <w:rFonts w:hint="eastAsia" w:ascii="宋体" w:hAnsi="宋体"/>
          <w:szCs w:val="24"/>
        </w:rPr>
        <w:t>公司董事总经理兼权益投研一体化总监、权益投资四部总经理、权益投资四部投资总监、境外投资部总经理曾鹏先生。</w:t>
      </w:r>
    </w:p>
    <w:p>
      <w:pPr>
        <w:widowControl/>
        <w:spacing w:line="360" w:lineRule="auto"/>
        <w:ind w:firstLine="420" w:firstLineChars="200"/>
        <w:rPr>
          <w:rFonts w:hint="eastAsia" w:ascii="宋体" w:hAnsi="宋体"/>
          <w:szCs w:val="24"/>
        </w:rPr>
      </w:pPr>
      <w:r>
        <w:rPr>
          <w:rFonts w:hint="eastAsia" w:ascii="宋体" w:hAnsi="宋体"/>
          <w:szCs w:val="24"/>
        </w:rPr>
        <w:t>权益投资三部投资总监蔡滨先生。</w:t>
      </w:r>
    </w:p>
    <w:p>
      <w:pPr>
        <w:widowControl/>
        <w:spacing w:line="360" w:lineRule="auto"/>
        <w:ind w:firstLine="420" w:firstLineChars="200"/>
        <w:rPr>
          <w:rFonts w:hint="eastAsia" w:ascii="宋体" w:hAnsi="宋体"/>
          <w:szCs w:val="24"/>
        </w:rPr>
      </w:pPr>
      <w:r>
        <w:rPr>
          <w:rFonts w:hint="eastAsia" w:ascii="宋体" w:hAnsi="宋体"/>
          <w:szCs w:val="24"/>
        </w:rPr>
        <w:t>公司董事总经理兼年金投资部总经理、投资总监杨帆先生。</w:t>
      </w:r>
    </w:p>
    <w:p>
      <w:pPr>
        <w:widowControl/>
        <w:spacing w:line="360" w:lineRule="auto"/>
        <w:ind w:firstLine="420" w:firstLineChars="200"/>
        <w:rPr>
          <w:rFonts w:hint="eastAsia" w:ascii="宋体" w:hAnsi="宋体"/>
          <w:szCs w:val="24"/>
        </w:rPr>
      </w:pPr>
      <w:r>
        <w:rPr>
          <w:rFonts w:hint="eastAsia" w:ascii="宋体" w:hAnsi="宋体"/>
          <w:szCs w:val="24"/>
        </w:rPr>
        <w:t>指数与量化投资部投资总监赵云阳先生。</w:t>
      </w:r>
    </w:p>
    <w:p>
      <w:pPr>
        <w:pStyle w:val="7"/>
        <w:spacing w:before="0" w:beforeAutospacing="0" w:after="0" w:afterAutospacing="0" w:line="360" w:lineRule="auto"/>
        <w:ind w:firstLine="420"/>
        <w:rPr>
          <w:sz w:val="21"/>
          <w:szCs w:val="21"/>
        </w:rPr>
      </w:pPr>
      <w:r>
        <w:rPr>
          <w:rFonts w:hint="eastAsia" w:ascii="宋体" w:hAnsi="宋体" w:eastAsiaTheme="minorEastAsia" w:cstheme="minorBidi"/>
          <w:kern w:val="2"/>
          <w:sz w:val="21"/>
          <w:szCs w:val="24"/>
        </w:rPr>
        <w:t>行业研究部研究总监兼副总经理金晟哲先生。</w:t>
      </w:r>
      <w:r>
        <w:rPr>
          <w:rFonts w:hint="eastAsia"/>
          <w:sz w:val="21"/>
          <w:szCs w:val="21"/>
        </w:rPr>
        <w:t xml:space="preserve"> </w:t>
      </w:r>
    </w:p>
    <w:p>
      <w:pPr>
        <w:pStyle w:val="7"/>
        <w:spacing w:before="0" w:beforeAutospacing="0" w:after="0" w:afterAutospacing="0" w:line="360" w:lineRule="auto"/>
        <w:ind w:firstLine="420"/>
        <w:rPr>
          <w:sz w:val="21"/>
          <w:szCs w:val="21"/>
        </w:rPr>
      </w:pPr>
      <w:bookmarkStart w:id="41" w:name="chapter_level1_5_53_section_3_end"/>
      <w:bookmarkEnd w:id="41"/>
      <w:r>
        <w:rPr>
          <w:rFonts w:hint="eastAsia"/>
          <w:sz w:val="21"/>
          <w:szCs w:val="21"/>
        </w:rPr>
        <w:t xml:space="preserve">6、上述人员之间均不存在近亲属关系。 </w:t>
      </w:r>
      <w:bookmarkStart w:id="42" w:name="field_0_managerpersoninfo2_1_end"/>
      <w:bookmarkEnd w:id="42"/>
      <w:r>
        <w:rPr>
          <w:rFonts w:hint="eastAsia"/>
          <w:sz w:val="21"/>
          <w:szCs w:val="21"/>
        </w:rPr>
        <w:t xml:space="preserve">  </w:t>
      </w:r>
    </w:p>
    <w:p>
      <w:pPr>
        <w:pStyle w:val="7"/>
        <w:spacing w:before="0" w:beforeAutospacing="0" w:after="0" w:afterAutospacing="0" w:line="360" w:lineRule="auto"/>
        <w:ind w:firstLine="420"/>
        <w:rPr>
          <w:sz w:val="21"/>
          <w:szCs w:val="21"/>
        </w:rPr>
      </w:pPr>
      <w:bookmarkStart w:id="43" w:name="chapter_level1_5_53_section_4"/>
      <w:bookmarkEnd w:id="43"/>
      <w:r>
        <w:rPr>
          <w:rStyle w:val="11"/>
          <w:rFonts w:hint="eastAsia"/>
          <w:sz w:val="21"/>
          <w:szCs w:val="21"/>
        </w:rPr>
        <w:t>（三）基金管理人的职责</w:t>
      </w:r>
    </w:p>
    <w:p>
      <w:pPr>
        <w:pStyle w:val="7"/>
        <w:spacing w:before="0" w:beforeAutospacing="0" w:after="0" w:afterAutospacing="0" w:line="360" w:lineRule="auto"/>
        <w:ind w:firstLine="420"/>
        <w:rPr>
          <w:sz w:val="21"/>
          <w:szCs w:val="21"/>
        </w:rPr>
      </w:pPr>
      <w:r>
        <w:rPr>
          <w:rFonts w:hint="eastAsia"/>
          <w:sz w:val="21"/>
          <w:szCs w:val="21"/>
        </w:rPr>
        <w:t xml:space="preserve">依法募集基金，办理或者委托经国务院证券监督管理机构认定的其他机构代为办理基金份额的发售、申购、赎回和登记事宜；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对所管理的不同基金财产分别管理、分别记账，进行证券投资；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按照基金合同的约定确定基金收益分配方案，及时向基金份额持有人分配收益； </w:t>
      </w:r>
    </w:p>
    <w:p>
      <w:pPr>
        <w:pStyle w:val="7"/>
        <w:spacing w:before="0" w:beforeAutospacing="0" w:after="0" w:afterAutospacing="0" w:line="360" w:lineRule="auto"/>
        <w:ind w:firstLine="420"/>
        <w:rPr>
          <w:sz w:val="21"/>
          <w:szCs w:val="21"/>
        </w:rPr>
      </w:pPr>
      <w:r>
        <w:rPr>
          <w:rFonts w:hint="eastAsia"/>
          <w:sz w:val="21"/>
          <w:szCs w:val="21"/>
        </w:rPr>
        <w:t xml:space="preserve">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计算并公告基金净值信息，确定基金份额申购、赎回价格；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办理与基金财产管理业务活动有关的信息披露事项；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保存基金财产管理业务活动的记录、账册、报表和其他相关资料； </w:t>
      </w:r>
    </w:p>
    <w:p>
      <w:pPr>
        <w:pStyle w:val="7"/>
        <w:spacing w:before="0" w:beforeAutospacing="0" w:after="0" w:afterAutospacing="0" w:line="360" w:lineRule="auto"/>
        <w:ind w:firstLine="420"/>
        <w:rPr>
          <w:sz w:val="21"/>
          <w:szCs w:val="21"/>
        </w:rPr>
      </w:pPr>
      <w:r>
        <w:rPr>
          <w:rFonts w:hint="eastAsia"/>
          <w:sz w:val="21"/>
          <w:szCs w:val="21"/>
        </w:rPr>
        <w:t xml:space="preserve">以基金管理人名义，代表基金份额持有人利益行使诉讼权利或者实施其他法律行为；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国务院证券监督管理机构规定的其他职责。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1、基金管理人承诺不从事违反《证券法》的行为，并承诺建立健全内部控制制度，采取有效措施，防止违反《证券法》行为的发生；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2、基金管理人承诺不从事违反《基金法》的行为，并承诺建立健全内部风险控制制度，采取有效措施，防止违反《基金法》行为的发生；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5、基金管理人承诺不从事其他证券法规规定禁止从事的行为。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 </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1、依照有关法律、法规、规章和基金合同的规定，本着谨慎的原则为基金份额持有人谋取最大利益；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2、不利用职务之便为自己、受雇人或任何第三者谋取利益；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Style w:val="11"/>
          <w:rFonts w:hint="eastAsia"/>
          <w:sz w:val="21"/>
          <w:szCs w:val="21"/>
        </w:rPr>
        <w:t>（六）基金管理人的内部控制制度</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公司设立独立的监察法律部，监察法律部保持高度的独立性和权威性，负责对公司各部门风险控制工作进行稽核和检查。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4" w:name="chapter_level1_5_53_section_4_end"/>
      <w:bookmarkEnd w:id="44"/>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5" w:name="chapter_level1_6_55"/>
      <w:bookmarkStart w:id="46" w:name="_Toc113522946"/>
      <w:r>
        <w:rPr>
          <w:rFonts w:hint="eastAsia" w:ascii="宋体" w:hAnsi="宋体" w:eastAsia="宋体"/>
          <w:sz w:val="30"/>
        </w:rPr>
        <w:t>四、基金托管人</w:t>
      </w:r>
      <w:bookmarkEnd w:id="45"/>
      <w:bookmarkEnd w:id="46"/>
    </w:p>
    <w:p>
      <w:pPr>
        <w:pStyle w:val="7"/>
        <w:spacing w:before="0" w:beforeAutospacing="0" w:after="0" w:afterAutospacing="0" w:line="360" w:lineRule="auto"/>
        <w:ind w:firstLine="420"/>
        <w:rPr>
          <w:sz w:val="21"/>
          <w:szCs w:val="21"/>
        </w:rPr>
      </w:pPr>
      <w:bookmarkStart w:id="47" w:name="chapter_level1_6_55_section_1"/>
      <w:bookmarkEnd w:id="47"/>
      <w:bookmarkStart w:id="48" w:name="field_0_trustcompanyinfo_1_start"/>
      <w:bookmarkEnd w:id="48"/>
      <w:r>
        <w:rPr>
          <w:rFonts w:hint="eastAsia"/>
          <w:sz w:val="21"/>
          <w:szCs w:val="21"/>
        </w:rPr>
        <w:t xml:space="preserve">一、基金托管人基本情况 </w:t>
      </w:r>
    </w:p>
    <w:p>
      <w:pPr>
        <w:pStyle w:val="7"/>
        <w:spacing w:before="0" w:beforeAutospacing="0" w:after="0" w:afterAutospacing="0" w:line="360" w:lineRule="auto"/>
        <w:ind w:firstLine="420"/>
        <w:rPr>
          <w:sz w:val="21"/>
          <w:szCs w:val="21"/>
        </w:rPr>
      </w:pPr>
      <w:r>
        <w:rPr>
          <w:rFonts w:hint="eastAsia"/>
          <w:sz w:val="21"/>
          <w:szCs w:val="21"/>
        </w:rPr>
        <w:t xml:space="preserve">名称：中国工商银行股份有限公司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注册地址：北京市西城区复兴门内大街55号 </w:t>
      </w:r>
    </w:p>
    <w:p>
      <w:pPr>
        <w:pStyle w:val="7"/>
        <w:spacing w:before="0" w:beforeAutospacing="0" w:after="0" w:afterAutospacing="0" w:line="360" w:lineRule="auto"/>
        <w:ind w:firstLine="420"/>
        <w:rPr>
          <w:sz w:val="21"/>
          <w:szCs w:val="21"/>
        </w:rPr>
      </w:pPr>
      <w:r>
        <w:rPr>
          <w:rFonts w:hint="eastAsia"/>
          <w:sz w:val="21"/>
          <w:szCs w:val="21"/>
        </w:rPr>
        <w:t xml:space="preserve">成立时间：1984年1月1日 </w:t>
      </w:r>
    </w:p>
    <w:p>
      <w:pPr>
        <w:pStyle w:val="7"/>
        <w:spacing w:before="0" w:beforeAutospacing="0" w:after="0" w:afterAutospacing="0" w:line="360" w:lineRule="auto"/>
        <w:ind w:firstLine="420"/>
        <w:rPr>
          <w:sz w:val="21"/>
          <w:szCs w:val="21"/>
        </w:rPr>
      </w:pPr>
      <w:r>
        <w:rPr>
          <w:rFonts w:hint="eastAsia"/>
          <w:sz w:val="21"/>
          <w:szCs w:val="21"/>
        </w:rPr>
        <w:t xml:space="preserve">法定代表人： 陈四清 </w:t>
      </w:r>
    </w:p>
    <w:p>
      <w:pPr>
        <w:pStyle w:val="7"/>
        <w:spacing w:before="0" w:beforeAutospacing="0" w:after="0" w:afterAutospacing="0" w:line="360" w:lineRule="auto"/>
        <w:ind w:firstLine="420"/>
        <w:rPr>
          <w:sz w:val="21"/>
          <w:szCs w:val="21"/>
        </w:rPr>
      </w:pPr>
      <w:r>
        <w:rPr>
          <w:rFonts w:hint="eastAsia"/>
          <w:sz w:val="21"/>
          <w:szCs w:val="21"/>
        </w:rPr>
        <w:t xml:space="preserve">注册资本：人民币35,640,625.7089万元 </w:t>
      </w:r>
    </w:p>
    <w:p>
      <w:pPr>
        <w:pStyle w:val="7"/>
        <w:spacing w:before="0" w:beforeAutospacing="0" w:after="0" w:afterAutospacing="0" w:line="360" w:lineRule="auto"/>
        <w:ind w:firstLine="420"/>
        <w:rPr>
          <w:sz w:val="21"/>
          <w:szCs w:val="21"/>
        </w:rPr>
      </w:pPr>
      <w:r>
        <w:rPr>
          <w:rFonts w:hint="eastAsia"/>
          <w:sz w:val="21"/>
          <w:szCs w:val="21"/>
        </w:rPr>
        <w:t xml:space="preserve">联系电话：010-66105799 </w:t>
      </w:r>
    </w:p>
    <w:p>
      <w:pPr>
        <w:pStyle w:val="7"/>
        <w:spacing w:before="0" w:beforeAutospacing="0" w:after="0" w:afterAutospacing="0" w:line="360" w:lineRule="auto"/>
        <w:ind w:firstLine="420"/>
        <w:rPr>
          <w:sz w:val="21"/>
          <w:szCs w:val="21"/>
        </w:rPr>
      </w:pPr>
      <w:r>
        <w:rPr>
          <w:rFonts w:hint="eastAsia"/>
          <w:sz w:val="21"/>
          <w:szCs w:val="21"/>
        </w:rPr>
        <w:t xml:space="preserve">联系人：郭明 </w:t>
      </w:r>
    </w:p>
    <w:p>
      <w:pPr>
        <w:pStyle w:val="7"/>
        <w:spacing w:before="0" w:beforeAutospacing="0" w:after="0" w:afterAutospacing="0" w:line="360" w:lineRule="auto"/>
        <w:ind w:firstLine="420"/>
        <w:rPr>
          <w:sz w:val="21"/>
          <w:szCs w:val="21"/>
        </w:rPr>
      </w:pPr>
      <w:r>
        <w:rPr>
          <w:rFonts w:hint="eastAsia"/>
          <w:sz w:val="21"/>
          <w:szCs w:val="21"/>
        </w:rPr>
        <w:t xml:space="preserve">二、主要人员情况 </w:t>
      </w:r>
    </w:p>
    <w:p>
      <w:pPr>
        <w:pStyle w:val="7"/>
        <w:spacing w:before="0" w:beforeAutospacing="0" w:after="0" w:afterAutospacing="0" w:line="360" w:lineRule="auto"/>
        <w:ind w:firstLine="420"/>
        <w:rPr>
          <w:sz w:val="21"/>
          <w:szCs w:val="21"/>
        </w:rPr>
      </w:pPr>
      <w:r>
        <w:rPr>
          <w:rFonts w:hint="eastAsia"/>
          <w:sz w:val="21"/>
          <w:szCs w:val="21"/>
        </w:rPr>
        <w:t xml:space="preserve">截至2021年12月，中国工商银行资产托管部共有员工214人，平均年龄34岁，95%以上员工拥有大学本科以上学历，高管人员均拥有研究生以上学历或高级技术职称。 </w:t>
      </w:r>
    </w:p>
    <w:p>
      <w:pPr>
        <w:pStyle w:val="7"/>
        <w:spacing w:before="0" w:beforeAutospacing="0" w:after="0" w:afterAutospacing="0" w:line="360" w:lineRule="auto"/>
        <w:ind w:firstLine="420"/>
        <w:rPr>
          <w:sz w:val="21"/>
          <w:szCs w:val="21"/>
        </w:rPr>
      </w:pPr>
      <w:r>
        <w:rPr>
          <w:rFonts w:hint="eastAsia"/>
          <w:sz w:val="21"/>
          <w:szCs w:val="21"/>
        </w:rPr>
        <w:t xml:space="preserve">三、基金托管业务经营情况 </w:t>
      </w:r>
    </w:p>
    <w:p>
      <w:pPr>
        <w:pStyle w:val="7"/>
        <w:spacing w:before="0" w:beforeAutospacing="0" w:after="0" w:afterAutospacing="0" w:line="360" w:lineRule="auto"/>
        <w:ind w:firstLine="420"/>
        <w:rPr>
          <w:sz w:val="21"/>
          <w:szCs w:val="21"/>
        </w:rPr>
      </w:pPr>
      <w:r>
        <w:rPr>
          <w:rFonts w:hint="eastAsia"/>
          <w:sz w:val="21"/>
          <w:szCs w:val="21"/>
        </w:rPr>
        <w:t xml:space="preserve">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12月，中国工商银行共托管证券投资基金1288只。自2003年以来，本行连续十八年获得香港《亚洲货币》、英国《全球托管人》、香港《财资》、美国《环球金融》、内地《证券时报》、《上海证券报》等境内外权威财经媒体评选的80项最佳托管银行大奖；是获得奖项最多的国内托管银行，优良的服务品质获得国内外金融领域的持续认可和广泛好评。 </w:t>
      </w:r>
    </w:p>
    <w:p>
      <w:pPr>
        <w:pStyle w:val="7"/>
        <w:spacing w:before="0" w:beforeAutospacing="0" w:after="0" w:afterAutospacing="0" w:line="360" w:lineRule="auto"/>
        <w:ind w:firstLine="420"/>
        <w:rPr>
          <w:sz w:val="21"/>
          <w:szCs w:val="21"/>
        </w:rPr>
      </w:pPr>
      <w:r>
        <w:rPr>
          <w:rFonts w:hint="eastAsia"/>
          <w:sz w:val="21"/>
          <w:szCs w:val="21"/>
        </w:rPr>
        <w:t xml:space="preserve">四、基金托管人的职责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6、按规定开设基金财产的资金账户和证券账户，按照基金合同的约定，根据基金管理人的投资指令，及时办理清算、交割事宜；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15、按照规定召集基金份额持有人大会或配合基金管理人、基金份额持有人依法自行召集基金份额持有人大会；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pPr>
        <w:pStyle w:val="7"/>
        <w:spacing w:before="0" w:beforeAutospacing="0" w:after="0" w:afterAutospacing="0" w:line="360" w:lineRule="auto"/>
        <w:ind w:firstLine="420"/>
        <w:rPr>
          <w:sz w:val="21"/>
          <w:szCs w:val="21"/>
        </w:rPr>
      </w:pPr>
      <w:bookmarkStart w:id="49" w:name="chapter_level1_6_55_section_1_end"/>
      <w:bookmarkEnd w:id="49"/>
      <w:r>
        <w:rPr>
          <w:rFonts w:hint="eastAsia"/>
          <w:sz w:val="21"/>
          <w:szCs w:val="21"/>
        </w:rPr>
        <w:t xml:space="preserve">22、法律法规及中国证监会规定的和基金合同约定的其他义务。 </w:t>
      </w:r>
      <w:bookmarkStart w:id="50" w:name="field_0_trustcompanyinfo_1_end"/>
      <w:bookmarkEnd w:id="50"/>
      <w:r>
        <w:rPr>
          <w:rFonts w:hint="eastAsia"/>
          <w:sz w:val="21"/>
          <w:szCs w:val="21"/>
        </w:rPr>
        <w:t xml:space="preserve">  </w:t>
      </w:r>
    </w:p>
    <w:p>
      <w:pPr>
        <w:pStyle w:val="7"/>
        <w:spacing w:before="0" w:beforeAutospacing="0" w:after="0" w:afterAutospacing="0" w:line="360" w:lineRule="auto"/>
        <w:ind w:firstLine="420"/>
        <w:rPr>
          <w:sz w:val="21"/>
          <w:szCs w:val="21"/>
        </w:rPr>
      </w:pPr>
      <w:bookmarkStart w:id="51" w:name="field_0_trustcontrollawinfo_1_start"/>
      <w:bookmarkEnd w:id="51"/>
      <w:bookmarkStart w:id="52" w:name="chapter_level1_6_55_section_2"/>
      <w:bookmarkEnd w:id="52"/>
      <w:r>
        <w:rPr>
          <w:rFonts w:hint="eastAsia"/>
          <w:sz w:val="21"/>
          <w:szCs w:val="21"/>
        </w:rPr>
        <w:t xml:space="preserve">五、基金托管人的内部控制制度 </w:t>
      </w:r>
    </w:p>
    <w:p>
      <w:pPr>
        <w:pStyle w:val="7"/>
        <w:spacing w:before="0" w:beforeAutospacing="0" w:after="0" w:afterAutospacing="0" w:line="360" w:lineRule="auto"/>
        <w:ind w:firstLine="420"/>
        <w:rPr>
          <w:sz w:val="21"/>
          <w:szCs w:val="21"/>
        </w:rPr>
      </w:pPr>
      <w:r>
        <w:rPr>
          <w:rFonts w:hint="eastAsia"/>
          <w:sz w:val="21"/>
          <w:szCs w:val="21"/>
        </w:rPr>
        <w:t xml:space="preserve">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五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pPr>
        <w:pStyle w:val="7"/>
        <w:spacing w:before="0" w:beforeAutospacing="0" w:after="0" w:afterAutospacing="0" w:line="360" w:lineRule="auto"/>
        <w:ind w:firstLine="420"/>
        <w:rPr>
          <w:sz w:val="21"/>
          <w:szCs w:val="21"/>
        </w:rPr>
      </w:pPr>
      <w:r>
        <w:rPr>
          <w:rFonts w:hint="eastAsia"/>
          <w:sz w:val="21"/>
          <w:szCs w:val="21"/>
        </w:rPr>
        <w:t xml:space="preserve">1、内部风险控制目标 </w:t>
      </w:r>
    </w:p>
    <w:p>
      <w:pPr>
        <w:pStyle w:val="7"/>
        <w:spacing w:before="0" w:beforeAutospacing="0" w:after="0" w:afterAutospacing="0" w:line="360" w:lineRule="auto"/>
        <w:ind w:firstLine="420"/>
        <w:rPr>
          <w:sz w:val="21"/>
          <w:szCs w:val="21"/>
        </w:rPr>
      </w:pPr>
      <w:r>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pPr>
        <w:pStyle w:val="7"/>
        <w:spacing w:before="0" w:beforeAutospacing="0" w:after="0" w:afterAutospacing="0" w:line="360" w:lineRule="auto"/>
        <w:ind w:firstLine="420"/>
        <w:rPr>
          <w:sz w:val="21"/>
          <w:szCs w:val="21"/>
        </w:rPr>
      </w:pPr>
      <w:r>
        <w:rPr>
          <w:rFonts w:hint="eastAsia"/>
          <w:sz w:val="21"/>
          <w:szCs w:val="21"/>
        </w:rPr>
        <w:t xml:space="preserve">2、内部风险控制组织结构 </w:t>
      </w:r>
    </w:p>
    <w:p>
      <w:pPr>
        <w:pStyle w:val="7"/>
        <w:spacing w:before="0" w:beforeAutospacing="0" w:after="0" w:afterAutospacing="0" w:line="360" w:lineRule="auto"/>
        <w:ind w:firstLine="420"/>
        <w:rPr>
          <w:sz w:val="21"/>
          <w:szCs w:val="21"/>
        </w:rPr>
      </w:pPr>
      <w:r>
        <w:rPr>
          <w:rFonts w:hint="eastAsia"/>
          <w:sz w:val="21"/>
          <w:szCs w:val="21"/>
        </w:rPr>
        <w:t xml:space="preserve">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pPr>
        <w:pStyle w:val="7"/>
        <w:spacing w:before="0" w:beforeAutospacing="0" w:after="0" w:afterAutospacing="0" w:line="360" w:lineRule="auto"/>
        <w:ind w:firstLine="420"/>
        <w:rPr>
          <w:sz w:val="21"/>
          <w:szCs w:val="21"/>
        </w:rPr>
      </w:pPr>
      <w:r>
        <w:rPr>
          <w:rFonts w:hint="eastAsia"/>
          <w:sz w:val="21"/>
          <w:szCs w:val="21"/>
        </w:rPr>
        <w:t xml:space="preserve">3、内部风险控制原则 </w:t>
      </w:r>
    </w:p>
    <w:p>
      <w:pPr>
        <w:pStyle w:val="7"/>
        <w:spacing w:before="0" w:beforeAutospacing="0" w:after="0" w:afterAutospacing="0" w:line="360" w:lineRule="auto"/>
        <w:ind w:firstLine="420"/>
        <w:rPr>
          <w:sz w:val="21"/>
          <w:szCs w:val="21"/>
        </w:rPr>
      </w:pPr>
      <w:r>
        <w:rPr>
          <w:rFonts w:hint="eastAsia"/>
          <w:sz w:val="21"/>
          <w:szCs w:val="21"/>
        </w:rPr>
        <w:t xml:space="preserve">（1）合法性原则。内控制度应当符合国家法律法规及监管机构的监管要求，并贯穿于托管业务经营管理活动的始终。 </w:t>
      </w:r>
    </w:p>
    <w:p>
      <w:pPr>
        <w:pStyle w:val="7"/>
        <w:spacing w:before="0" w:beforeAutospacing="0" w:after="0" w:afterAutospacing="0" w:line="360" w:lineRule="auto"/>
        <w:ind w:firstLine="420"/>
        <w:rPr>
          <w:sz w:val="21"/>
          <w:szCs w:val="21"/>
        </w:rPr>
      </w:pPr>
      <w:r>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pPr>
        <w:pStyle w:val="7"/>
        <w:spacing w:before="0" w:beforeAutospacing="0" w:after="0" w:afterAutospacing="0" w:line="360" w:lineRule="auto"/>
        <w:ind w:firstLine="420"/>
        <w:rPr>
          <w:sz w:val="21"/>
          <w:szCs w:val="21"/>
        </w:rPr>
      </w:pPr>
      <w:r>
        <w:rPr>
          <w:rFonts w:hint="eastAsia"/>
          <w:sz w:val="21"/>
          <w:szCs w:val="21"/>
        </w:rPr>
        <w:t xml:space="preserve">（3）及时性原则。托管业务经营活动必须在发生时能准确及时地记录；按照“内控优先”的原则，新设机构或新增业务品种时，必须做到已建立相关的规章制度。 </w:t>
      </w:r>
    </w:p>
    <w:p>
      <w:pPr>
        <w:pStyle w:val="7"/>
        <w:spacing w:before="0" w:beforeAutospacing="0" w:after="0" w:afterAutospacing="0" w:line="360" w:lineRule="auto"/>
        <w:ind w:firstLine="420"/>
        <w:rPr>
          <w:sz w:val="21"/>
          <w:szCs w:val="21"/>
        </w:rPr>
      </w:pPr>
      <w:r>
        <w:rPr>
          <w:rFonts w:hint="eastAsia"/>
          <w:sz w:val="21"/>
          <w:szCs w:val="21"/>
        </w:rPr>
        <w:t xml:space="preserve">（4）审慎性原则。各项业务经营活动必须防范风险，审慎经营，保证基金资产和其他委托资产的安全与完整。 </w:t>
      </w:r>
    </w:p>
    <w:p>
      <w:pPr>
        <w:pStyle w:val="7"/>
        <w:spacing w:before="0" w:beforeAutospacing="0" w:after="0" w:afterAutospacing="0" w:line="360" w:lineRule="auto"/>
        <w:ind w:firstLine="420"/>
        <w:rPr>
          <w:sz w:val="21"/>
          <w:szCs w:val="21"/>
        </w:rPr>
      </w:pPr>
      <w:r>
        <w:rPr>
          <w:rFonts w:hint="eastAsia"/>
          <w:sz w:val="21"/>
          <w:szCs w:val="21"/>
        </w:rPr>
        <w:t xml:space="preserve">（5）有效性原则。内控制度应根据国家政策、法律及经营管理的需要适时修改完善，并保证得到全面落实执行，不得有任何空间、时限及人员的例外。 </w:t>
      </w:r>
    </w:p>
    <w:p>
      <w:pPr>
        <w:pStyle w:val="7"/>
        <w:spacing w:before="0" w:beforeAutospacing="0" w:after="0" w:afterAutospacing="0" w:line="360" w:lineRule="auto"/>
        <w:ind w:firstLine="420"/>
        <w:rPr>
          <w:sz w:val="21"/>
          <w:szCs w:val="21"/>
        </w:rPr>
      </w:pPr>
      <w:r>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pPr>
        <w:pStyle w:val="7"/>
        <w:spacing w:before="0" w:beforeAutospacing="0" w:after="0" w:afterAutospacing="0" w:line="360" w:lineRule="auto"/>
        <w:ind w:firstLine="420"/>
        <w:rPr>
          <w:sz w:val="21"/>
          <w:szCs w:val="21"/>
        </w:rPr>
      </w:pPr>
      <w:r>
        <w:rPr>
          <w:rFonts w:hint="eastAsia"/>
          <w:sz w:val="21"/>
          <w:szCs w:val="21"/>
        </w:rPr>
        <w:t xml:space="preserve">4、内部风险控制措施实施 </w:t>
      </w:r>
    </w:p>
    <w:p>
      <w:pPr>
        <w:pStyle w:val="7"/>
        <w:spacing w:before="0" w:beforeAutospacing="0" w:after="0" w:afterAutospacing="0" w:line="360" w:lineRule="auto"/>
        <w:ind w:firstLine="420"/>
        <w:rPr>
          <w:sz w:val="21"/>
          <w:szCs w:val="21"/>
        </w:rPr>
      </w:pPr>
      <w:r>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pPr>
        <w:pStyle w:val="7"/>
        <w:spacing w:before="0" w:beforeAutospacing="0" w:after="0" w:afterAutospacing="0" w:line="360" w:lineRule="auto"/>
        <w:ind w:firstLine="420"/>
        <w:rPr>
          <w:sz w:val="21"/>
          <w:szCs w:val="21"/>
        </w:rPr>
      </w:pPr>
      <w:r>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pPr>
        <w:pStyle w:val="7"/>
        <w:spacing w:before="0" w:beforeAutospacing="0" w:after="0" w:afterAutospacing="0" w:line="360" w:lineRule="auto"/>
        <w:ind w:firstLine="420"/>
        <w:rPr>
          <w:sz w:val="21"/>
          <w:szCs w:val="21"/>
        </w:rPr>
      </w:pPr>
      <w:r>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pPr>
        <w:pStyle w:val="7"/>
        <w:spacing w:before="0" w:beforeAutospacing="0" w:after="0" w:afterAutospacing="0" w:line="360" w:lineRule="auto"/>
        <w:ind w:firstLine="420"/>
        <w:rPr>
          <w:sz w:val="21"/>
          <w:szCs w:val="21"/>
        </w:rPr>
      </w:pPr>
      <w:r>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pPr>
        <w:pStyle w:val="7"/>
        <w:spacing w:before="0" w:beforeAutospacing="0" w:after="0" w:afterAutospacing="0" w:line="360" w:lineRule="auto"/>
        <w:ind w:firstLine="420"/>
        <w:rPr>
          <w:sz w:val="21"/>
          <w:szCs w:val="21"/>
        </w:rPr>
      </w:pPr>
      <w:r>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pPr>
        <w:pStyle w:val="7"/>
        <w:spacing w:before="0" w:beforeAutospacing="0" w:after="0" w:afterAutospacing="0" w:line="360" w:lineRule="auto"/>
        <w:ind w:firstLine="420"/>
        <w:rPr>
          <w:sz w:val="21"/>
          <w:szCs w:val="21"/>
        </w:rPr>
      </w:pPr>
      <w:r>
        <w:rPr>
          <w:rFonts w:hint="eastAsia"/>
          <w:sz w:val="21"/>
          <w:szCs w:val="21"/>
        </w:rPr>
        <w:t xml:space="preserve">（6）数据安全控制。我们通过业务操作区相对独立、数据和传真加密、数据传输线路的冗余备份、监控设施的运用和保障等措施来保障数据安全。 </w:t>
      </w:r>
    </w:p>
    <w:p>
      <w:pPr>
        <w:pStyle w:val="7"/>
        <w:spacing w:before="0" w:beforeAutospacing="0" w:after="0" w:afterAutospacing="0" w:line="360" w:lineRule="auto"/>
        <w:ind w:firstLine="420"/>
        <w:rPr>
          <w:sz w:val="21"/>
          <w:szCs w:val="21"/>
        </w:rPr>
      </w:pPr>
      <w:r>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pPr>
        <w:pStyle w:val="7"/>
        <w:spacing w:before="0" w:beforeAutospacing="0" w:after="0" w:afterAutospacing="0" w:line="360" w:lineRule="auto"/>
        <w:ind w:firstLine="420"/>
        <w:rPr>
          <w:sz w:val="21"/>
          <w:szCs w:val="21"/>
        </w:rPr>
      </w:pPr>
      <w:r>
        <w:rPr>
          <w:rFonts w:hint="eastAsia"/>
          <w:sz w:val="21"/>
          <w:szCs w:val="21"/>
        </w:rPr>
        <w:t xml:space="preserve">5、资产托管部内部风险控制情况 </w:t>
      </w:r>
    </w:p>
    <w:p>
      <w:pPr>
        <w:pStyle w:val="7"/>
        <w:spacing w:before="0" w:beforeAutospacing="0" w:after="0" w:afterAutospacing="0" w:line="360" w:lineRule="auto"/>
        <w:ind w:firstLine="420"/>
        <w:rPr>
          <w:sz w:val="21"/>
          <w:szCs w:val="21"/>
        </w:rPr>
      </w:pPr>
      <w:r>
        <w:rPr>
          <w:rFonts w:hint="eastAsia"/>
          <w:sz w:val="21"/>
          <w:szCs w:val="21"/>
        </w:rPr>
        <w:t xml:space="preserve">（1）资产托管部内部设置专职稽核监察部门，配备专职稽核监察人员，在总经理的直接领导下，依照有关法律规章，全面贯彻落实全程监控思想，确保资产托管业务健康、稳定地发展。 </w:t>
      </w:r>
    </w:p>
    <w:p>
      <w:pPr>
        <w:pStyle w:val="7"/>
        <w:spacing w:before="0" w:beforeAutospacing="0" w:after="0" w:afterAutospacing="0" w:line="360" w:lineRule="auto"/>
        <w:ind w:firstLine="420"/>
        <w:rPr>
          <w:sz w:val="21"/>
          <w:szCs w:val="21"/>
        </w:rPr>
      </w:pPr>
      <w:r>
        <w:rPr>
          <w:rFonts w:hint="eastAsia"/>
          <w:sz w:val="21"/>
          <w:szCs w:val="21"/>
        </w:rPr>
        <w:t xml:space="preserve">（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 </w:t>
      </w:r>
    </w:p>
    <w:p>
      <w:pPr>
        <w:pStyle w:val="7"/>
        <w:spacing w:before="0" w:beforeAutospacing="0" w:after="0" w:afterAutospacing="0" w:line="360" w:lineRule="auto"/>
        <w:ind w:firstLine="420"/>
        <w:rPr>
          <w:sz w:val="21"/>
          <w:szCs w:val="21"/>
        </w:rPr>
      </w:pPr>
      <w:r>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pPr>
        <w:pStyle w:val="7"/>
        <w:spacing w:before="0" w:beforeAutospacing="0" w:after="0" w:afterAutospacing="0" w:line="360" w:lineRule="auto"/>
        <w:ind w:firstLine="420"/>
        <w:rPr>
          <w:sz w:val="21"/>
          <w:szCs w:val="21"/>
        </w:rPr>
      </w:pPr>
      <w:r>
        <w:rPr>
          <w:rFonts w:hint="eastAsia"/>
          <w:sz w:val="21"/>
          <w:szCs w:val="21"/>
        </w:rPr>
        <w:t xml:space="preserve">（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 </w:t>
      </w:r>
    </w:p>
    <w:p>
      <w:pPr>
        <w:pStyle w:val="7"/>
        <w:spacing w:before="0" w:beforeAutospacing="0" w:after="0" w:afterAutospacing="0" w:line="360" w:lineRule="auto"/>
        <w:ind w:firstLine="420"/>
        <w:rPr>
          <w:sz w:val="21"/>
          <w:szCs w:val="21"/>
        </w:rPr>
      </w:pPr>
      <w:r>
        <w:rPr>
          <w:rFonts w:hint="eastAsia"/>
          <w:sz w:val="21"/>
          <w:szCs w:val="21"/>
        </w:rPr>
        <w:t xml:space="preserve">六、基金托管人对基金管理人运作基金进行监督的方法和程序 </w:t>
      </w:r>
    </w:p>
    <w:p>
      <w:pPr>
        <w:pStyle w:val="7"/>
        <w:spacing w:before="0" w:beforeAutospacing="0" w:after="0" w:afterAutospacing="0" w:line="360" w:lineRule="auto"/>
        <w:ind w:firstLine="420"/>
        <w:rPr>
          <w:sz w:val="21"/>
          <w:szCs w:val="21"/>
        </w:rPr>
      </w:pPr>
      <w:r>
        <w:rPr>
          <w:rFonts w:hint="eastAsia"/>
          <w:sz w:val="21"/>
          <w:szCs w:val="21"/>
        </w:rPr>
        <w:t xml:space="preserve">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 xml:space="preserve">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 </w:t>
      </w:r>
    </w:p>
    <w:p>
      <w:pPr>
        <w:pStyle w:val="7"/>
        <w:spacing w:before="0" w:beforeAutospacing="0" w:after="0" w:afterAutospacing="0" w:line="360" w:lineRule="auto"/>
        <w:ind w:firstLine="420"/>
        <w:rPr>
          <w:sz w:val="21"/>
          <w:szCs w:val="21"/>
        </w:rPr>
      </w:pPr>
      <w:r>
        <w:rPr>
          <w:rFonts w:hint="eastAsia"/>
          <w:sz w:val="21"/>
          <w:szCs w:val="21"/>
        </w:rPr>
        <w:t>基金托管人发现基金管理人有重大违规行为，应立即报告中国证监会，同时通知基金管</w:t>
      </w:r>
      <w:bookmarkStart w:id="53" w:name="chapter_level1_6_55_section_2_end"/>
      <w:bookmarkEnd w:id="53"/>
      <w:r>
        <w:rPr>
          <w:rFonts w:hint="eastAsia"/>
          <w:sz w:val="21"/>
          <w:szCs w:val="21"/>
        </w:rPr>
        <w:t xml:space="preserve">理人限期纠正。 </w:t>
      </w:r>
      <w:bookmarkStart w:id="54" w:name="field_0_trustcontrollawinfo_1_end"/>
      <w:bookmarkEnd w:id="54"/>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5" w:name="chapter_level1_7_56"/>
      <w:bookmarkStart w:id="56" w:name="_Toc113522947"/>
      <w:r>
        <w:rPr>
          <w:rFonts w:hint="eastAsia" w:ascii="宋体" w:hAnsi="宋体" w:eastAsia="宋体"/>
          <w:sz w:val="30"/>
        </w:rPr>
        <w:t>五、相关服务机构</w:t>
      </w:r>
      <w:bookmarkEnd w:id="55"/>
      <w:bookmarkEnd w:id="56"/>
    </w:p>
    <w:p>
      <w:pPr>
        <w:pStyle w:val="7"/>
        <w:spacing w:before="0" w:beforeAutospacing="0" w:after="0" w:afterAutospacing="0" w:line="360" w:lineRule="auto"/>
        <w:ind w:firstLine="420"/>
        <w:rPr>
          <w:sz w:val="21"/>
          <w:szCs w:val="21"/>
        </w:rPr>
      </w:pPr>
      <w:bookmarkStart w:id="57" w:name="chapter_level1_7_56_section_1"/>
      <w:bookmarkEnd w:id="57"/>
      <w:r>
        <w:rPr>
          <w:rFonts w:hint="eastAsia"/>
          <w:b/>
          <w:bCs/>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58" w:name="field_0_marketcompanyinfo_1_start"/>
      <w:bookmarkEnd w:id="58"/>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59" w:name="chapter_level1_7_56_section_1_end"/>
      <w:bookmarkEnd w:id="59"/>
      <w:r>
        <w:rPr>
          <w:rFonts w:hint="eastAsia"/>
          <w:sz w:val="21"/>
          <w:szCs w:val="21"/>
        </w:rPr>
        <w:t xml:space="preserve">博时一线通：95105568（免长途话费） </w:t>
      </w:r>
      <w:bookmarkStart w:id="60" w:name="field_0_marketcompanyinfo_1_end"/>
      <w:bookmarkEnd w:id="60"/>
      <w:r>
        <w:rPr>
          <w:rFonts w:hint="eastAsia"/>
          <w:sz w:val="21"/>
          <w:szCs w:val="21"/>
        </w:rPr>
        <w:t xml:space="preserve">  </w:t>
      </w:r>
    </w:p>
    <w:p>
      <w:pPr>
        <w:pStyle w:val="7"/>
        <w:spacing w:before="0" w:beforeAutospacing="0" w:after="0" w:afterAutospacing="0" w:line="360" w:lineRule="auto"/>
        <w:ind w:firstLine="420"/>
        <w:rPr>
          <w:sz w:val="21"/>
          <w:szCs w:val="21"/>
        </w:rPr>
      </w:pPr>
      <w:bookmarkStart w:id="61" w:name="chapter_level1_7_56_section_2"/>
      <w:bookmarkEnd w:id="61"/>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62" w:name="field_0_allproxysaletables_1_start"/>
      <w:bookmarkEnd w:id="62"/>
      <w:r>
        <w:rPr>
          <w:rFonts w:hint="eastAsia"/>
          <w:b/>
          <w:bCs/>
          <w:sz w:val="21"/>
          <w:szCs w:val="21"/>
        </w:rPr>
        <w:t>(1)中国工商银行股份有限公司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陈四清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010－66107914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http://www.icbc.com.cn/ </w:t>
            </w:r>
          </w:p>
        </w:tc>
      </w:tr>
    </w:tbl>
    <w:p>
      <w:pPr>
        <w:pStyle w:val="7"/>
        <w:spacing w:before="0" w:beforeAutospacing="0" w:after="0" w:afterAutospacing="0" w:line="360" w:lineRule="auto"/>
        <w:ind w:firstLine="420"/>
        <w:rPr>
          <w:sz w:val="21"/>
          <w:szCs w:val="21"/>
        </w:rPr>
      </w:pPr>
      <w:r>
        <w:rPr>
          <w:rFonts w:hint="eastAsia"/>
          <w:b/>
          <w:bCs/>
          <w:sz w:val="21"/>
          <w:szCs w:val="21"/>
        </w:rPr>
        <w:t>(2)中国农业银行股份有限公司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周慕冰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http://www.abchina.com </w:t>
            </w:r>
          </w:p>
        </w:tc>
      </w:tr>
    </w:tbl>
    <w:p>
      <w:pPr>
        <w:pStyle w:val="7"/>
        <w:spacing w:before="0" w:beforeAutospacing="0" w:after="0" w:afterAutospacing="0" w:line="360" w:lineRule="auto"/>
        <w:ind w:firstLine="420"/>
        <w:rPr>
          <w:sz w:val="21"/>
          <w:szCs w:val="21"/>
        </w:rPr>
      </w:pPr>
      <w:r>
        <w:rPr>
          <w:rFonts w:hint="eastAsia"/>
          <w:b/>
          <w:bCs/>
          <w:sz w:val="21"/>
          <w:szCs w:val="21"/>
        </w:rPr>
        <w:t>(3)中国建设银行股份有限公司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北京市西城区闹市口大街1号院1号楼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田国立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010－66275654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http://www.ccb.com/ </w:t>
            </w:r>
          </w:p>
        </w:tc>
      </w:tr>
    </w:tbl>
    <w:p>
      <w:pPr>
        <w:pStyle w:val="7"/>
        <w:spacing w:before="0" w:beforeAutospacing="0" w:after="0" w:afterAutospacing="0" w:line="360" w:lineRule="auto"/>
        <w:ind w:firstLine="420"/>
        <w:rPr>
          <w:sz w:val="21"/>
          <w:szCs w:val="21"/>
        </w:rPr>
      </w:pPr>
      <w:r>
        <w:rPr>
          <w:rFonts w:hint="eastAsia"/>
          <w:b/>
          <w:bCs/>
          <w:sz w:val="21"/>
          <w:szCs w:val="21"/>
        </w:rPr>
        <w:t>(4)交通银行股份有限公司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(5)招商银行股份有限公司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(6)中信银行股份有限公司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http://bank.ecitic.com/ </w:t>
            </w:r>
          </w:p>
        </w:tc>
      </w:tr>
    </w:tbl>
    <w:p>
      <w:pPr>
        <w:pStyle w:val="7"/>
        <w:spacing w:before="0" w:beforeAutospacing="0" w:after="0" w:afterAutospacing="0" w:line="360" w:lineRule="auto"/>
        <w:ind w:firstLine="420"/>
        <w:rPr>
          <w:sz w:val="21"/>
          <w:szCs w:val="21"/>
        </w:rPr>
      </w:pPr>
      <w:r>
        <w:rPr>
          <w:rFonts w:hint="eastAsia"/>
          <w:b/>
          <w:bCs/>
          <w:sz w:val="21"/>
          <w:szCs w:val="21"/>
        </w:rPr>
        <w:t>(7)上海浦东发展银行股份有限公司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(8)中国光大银行股份有限公司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北京市西城区太平桥大街25号、甲25号中国光大中心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北京市西城区太平桥大街25号光大中心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010－63636153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010－63636157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http://www.cebbank.com </w:t>
            </w:r>
          </w:p>
        </w:tc>
      </w:tr>
    </w:tbl>
    <w:p>
      <w:pPr>
        <w:pStyle w:val="7"/>
        <w:spacing w:before="0" w:beforeAutospacing="0" w:after="0" w:afterAutospacing="0" w:line="360" w:lineRule="auto"/>
        <w:ind w:firstLine="420"/>
        <w:rPr>
          <w:sz w:val="21"/>
          <w:szCs w:val="21"/>
        </w:rPr>
      </w:pPr>
      <w:r>
        <w:rPr>
          <w:rFonts w:hint="eastAsia"/>
          <w:b/>
          <w:bCs/>
          <w:sz w:val="21"/>
          <w:szCs w:val="21"/>
        </w:rPr>
        <w:t>(9)中国民生银行股份有限公司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王继伟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010－58560666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010－57092611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http://www.cmbc.com.cn/ </w:t>
            </w:r>
          </w:p>
        </w:tc>
      </w:tr>
    </w:tbl>
    <w:p>
      <w:pPr>
        <w:pStyle w:val="7"/>
        <w:spacing w:before="0" w:beforeAutospacing="0" w:after="0" w:afterAutospacing="0" w:line="360" w:lineRule="auto"/>
        <w:ind w:firstLine="420"/>
        <w:rPr>
          <w:sz w:val="21"/>
          <w:szCs w:val="21"/>
        </w:rPr>
      </w:pPr>
      <w:r>
        <w:rPr>
          <w:rFonts w:hint="eastAsia"/>
          <w:b/>
          <w:bCs/>
          <w:sz w:val="21"/>
          <w:szCs w:val="21"/>
        </w:rPr>
        <w:t>(10)中国邮政储蓄银行股份有限公司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张金良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010－68858117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http://www.psbc.com </w:t>
            </w:r>
          </w:p>
        </w:tc>
      </w:tr>
    </w:tbl>
    <w:p>
      <w:pPr>
        <w:pStyle w:val="7"/>
        <w:spacing w:before="0" w:beforeAutospacing="0" w:after="0" w:afterAutospacing="0" w:line="360" w:lineRule="auto"/>
        <w:ind w:firstLine="420"/>
        <w:rPr>
          <w:sz w:val="21"/>
          <w:szCs w:val="21"/>
        </w:rPr>
      </w:pPr>
      <w:r>
        <w:rPr>
          <w:rFonts w:hint="eastAsia"/>
          <w:b/>
          <w:bCs/>
          <w:sz w:val="21"/>
          <w:szCs w:val="21"/>
        </w:rPr>
        <w:t>(11)北京银行股份有限公司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北京市西城区金融大街甲17号首层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北京市西城区金融大街丙17号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张东宁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010－66226045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http://www.bankofbeijing.com.cn/ </w:t>
            </w:r>
          </w:p>
        </w:tc>
      </w:tr>
    </w:tbl>
    <w:p>
      <w:pPr>
        <w:pStyle w:val="7"/>
        <w:spacing w:before="0" w:beforeAutospacing="0" w:after="0" w:afterAutospacing="0" w:line="360" w:lineRule="auto"/>
        <w:ind w:firstLine="420"/>
        <w:rPr>
          <w:sz w:val="21"/>
          <w:szCs w:val="21"/>
        </w:rPr>
      </w:pPr>
      <w:r>
        <w:rPr>
          <w:rFonts w:hint="eastAsia"/>
          <w:b/>
          <w:bCs/>
          <w:sz w:val="21"/>
          <w:szCs w:val="21"/>
        </w:rPr>
        <w:t>(12)华夏银行股份有限公司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李民吉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010－85238667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010－85238680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http://www.hxb.com.cn/ </w:t>
            </w:r>
          </w:p>
        </w:tc>
      </w:tr>
    </w:tbl>
    <w:p>
      <w:pPr>
        <w:pStyle w:val="7"/>
        <w:spacing w:before="0" w:beforeAutospacing="0" w:after="0" w:afterAutospacing="0" w:line="360" w:lineRule="auto"/>
        <w:ind w:firstLine="420"/>
        <w:rPr>
          <w:sz w:val="21"/>
          <w:szCs w:val="21"/>
        </w:rPr>
      </w:pPr>
      <w:r>
        <w:rPr>
          <w:rFonts w:hint="eastAsia"/>
          <w:b/>
          <w:bCs/>
          <w:sz w:val="21"/>
          <w:szCs w:val="21"/>
        </w:rPr>
        <w:t>(13)广发银行股份有限公司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(14)平安银行股份有限公司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(15)宁波银行股份有限公司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(16)上海农村商业银行股份有限公司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http://www.srcb.com/ </w:t>
            </w:r>
          </w:p>
        </w:tc>
      </w:tr>
    </w:tbl>
    <w:p>
      <w:pPr>
        <w:pStyle w:val="7"/>
        <w:spacing w:before="0" w:beforeAutospacing="0" w:after="0" w:afterAutospacing="0" w:line="360" w:lineRule="auto"/>
        <w:ind w:firstLine="420"/>
        <w:rPr>
          <w:sz w:val="21"/>
          <w:szCs w:val="21"/>
        </w:rPr>
      </w:pPr>
      <w:r>
        <w:rPr>
          <w:rFonts w:hint="eastAsia"/>
          <w:b/>
          <w:bCs/>
          <w:sz w:val="21"/>
          <w:szCs w:val="21"/>
        </w:rPr>
        <w:t>(17)北京农村商业银行股份有限公司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http://www.bjrcb.com </w:t>
            </w:r>
          </w:p>
        </w:tc>
      </w:tr>
    </w:tbl>
    <w:p>
      <w:pPr>
        <w:pStyle w:val="7"/>
        <w:spacing w:before="0" w:beforeAutospacing="0" w:after="0" w:afterAutospacing="0" w:line="360" w:lineRule="auto"/>
        <w:ind w:firstLine="420"/>
        <w:rPr>
          <w:sz w:val="21"/>
          <w:szCs w:val="21"/>
        </w:rPr>
      </w:pPr>
      <w:r>
        <w:rPr>
          <w:rFonts w:hint="eastAsia"/>
          <w:b/>
          <w:bCs/>
          <w:sz w:val="21"/>
          <w:szCs w:val="21"/>
        </w:rPr>
        <w:t>(18)青岛银行股份有限公司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郭少泉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徐伟静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0532-68629925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0532-68629939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96588（青岛）  400-669-6588（全国）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http://www.qdccb.com </w:t>
            </w:r>
          </w:p>
        </w:tc>
      </w:tr>
    </w:tbl>
    <w:p>
      <w:pPr>
        <w:pStyle w:val="7"/>
        <w:spacing w:before="0" w:beforeAutospacing="0" w:after="0" w:afterAutospacing="0" w:line="360" w:lineRule="auto"/>
        <w:ind w:firstLine="420"/>
        <w:rPr>
          <w:sz w:val="21"/>
          <w:szCs w:val="21"/>
        </w:rPr>
      </w:pPr>
      <w:r>
        <w:rPr>
          <w:rFonts w:hint="eastAsia"/>
          <w:b/>
          <w:bCs/>
          <w:sz w:val="21"/>
          <w:szCs w:val="21"/>
        </w:rPr>
        <w:t>(19)徽商银行股份有限公司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合肥市安庆路79号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合肥市安庆路79号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王晓昕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叶卓伟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0551-2667635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0551-2667857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4008896588(安徽省外)、96588(安徽省内)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http://www.hsbank.com.cn </w:t>
            </w:r>
          </w:p>
        </w:tc>
      </w:tr>
    </w:tbl>
    <w:p>
      <w:pPr>
        <w:pStyle w:val="7"/>
        <w:spacing w:before="0" w:beforeAutospacing="0" w:after="0" w:afterAutospacing="0" w:line="360" w:lineRule="auto"/>
        <w:ind w:firstLine="420"/>
        <w:rPr>
          <w:sz w:val="21"/>
          <w:szCs w:val="21"/>
        </w:rPr>
      </w:pPr>
      <w:r>
        <w:rPr>
          <w:rFonts w:hint="eastAsia"/>
          <w:b/>
          <w:bCs/>
          <w:sz w:val="21"/>
          <w:szCs w:val="21"/>
        </w:rPr>
        <w:t>(20)浙商银行股份有限公司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张达洋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毛真海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0571-87659546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0571-87659188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http://www.czbank.com </w:t>
            </w:r>
          </w:p>
        </w:tc>
      </w:tr>
    </w:tbl>
    <w:p>
      <w:pPr>
        <w:pStyle w:val="7"/>
        <w:spacing w:before="0" w:beforeAutospacing="0" w:after="0" w:afterAutospacing="0" w:line="360" w:lineRule="auto"/>
        <w:ind w:firstLine="420"/>
        <w:rPr>
          <w:sz w:val="21"/>
          <w:szCs w:val="21"/>
        </w:rPr>
      </w:pPr>
      <w:r>
        <w:rPr>
          <w:rFonts w:hint="eastAsia"/>
          <w:b/>
          <w:bCs/>
          <w:sz w:val="21"/>
          <w:szCs w:val="21"/>
        </w:rPr>
        <w:t>(21)东莞银行股份有限公司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卢国锋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吴照群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0769－22117730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4001196228;0769-96228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http://www.dongguanbank.cn </w:t>
            </w:r>
          </w:p>
        </w:tc>
      </w:tr>
    </w:tbl>
    <w:p>
      <w:pPr>
        <w:pStyle w:val="7"/>
        <w:spacing w:before="0" w:beforeAutospacing="0" w:after="0" w:afterAutospacing="0" w:line="360" w:lineRule="auto"/>
        <w:ind w:firstLine="420"/>
        <w:rPr>
          <w:sz w:val="21"/>
          <w:szCs w:val="21"/>
        </w:rPr>
      </w:pPr>
      <w:r>
        <w:rPr>
          <w:rFonts w:hint="eastAsia"/>
          <w:b/>
          <w:bCs/>
          <w:sz w:val="21"/>
          <w:szCs w:val="21"/>
        </w:rPr>
        <w:t>(22)杭州银行股份有限公司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陈震山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0571－85108195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0571－85106576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http://www.hzbank.com.cn </w:t>
            </w:r>
          </w:p>
        </w:tc>
      </w:tr>
    </w:tbl>
    <w:p>
      <w:pPr>
        <w:pStyle w:val="7"/>
        <w:spacing w:before="0" w:beforeAutospacing="0" w:after="0" w:afterAutospacing="0" w:line="360" w:lineRule="auto"/>
        <w:ind w:firstLine="420"/>
        <w:rPr>
          <w:sz w:val="21"/>
          <w:szCs w:val="21"/>
        </w:rPr>
      </w:pPr>
      <w:r>
        <w:rPr>
          <w:rFonts w:hint="eastAsia"/>
          <w:b/>
          <w:bCs/>
          <w:sz w:val="21"/>
          <w:szCs w:val="21"/>
        </w:rPr>
        <w:t>(23)南京银行股份有限公司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http://www.njcb.com.cn </w:t>
            </w:r>
          </w:p>
        </w:tc>
      </w:tr>
    </w:tbl>
    <w:p>
      <w:pPr>
        <w:pStyle w:val="7"/>
        <w:spacing w:before="0" w:beforeAutospacing="0" w:after="0" w:afterAutospacing="0" w:line="360" w:lineRule="auto"/>
        <w:ind w:firstLine="420"/>
        <w:rPr>
          <w:sz w:val="21"/>
          <w:szCs w:val="21"/>
        </w:rPr>
      </w:pPr>
      <w:r>
        <w:rPr>
          <w:rFonts w:hint="eastAsia"/>
          <w:b/>
          <w:bCs/>
          <w:sz w:val="21"/>
          <w:szCs w:val="21"/>
        </w:rPr>
        <w:t>(24)温州银行股份有限公司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温州市车站大道196号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温州市车站大道196号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邢增福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林波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0577-88990082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0577-88995217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（0577）96699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http://www.wzbank.cn </w:t>
            </w:r>
          </w:p>
        </w:tc>
      </w:tr>
    </w:tbl>
    <w:p>
      <w:pPr>
        <w:pStyle w:val="7"/>
        <w:spacing w:before="0" w:beforeAutospacing="0" w:after="0" w:afterAutospacing="0" w:line="360" w:lineRule="auto"/>
        <w:ind w:firstLine="420"/>
        <w:rPr>
          <w:sz w:val="21"/>
          <w:szCs w:val="21"/>
        </w:rPr>
      </w:pPr>
      <w:r>
        <w:rPr>
          <w:rFonts w:hint="eastAsia"/>
          <w:b/>
          <w:bCs/>
          <w:sz w:val="21"/>
          <w:szCs w:val="21"/>
        </w:rPr>
        <w:t>(25)汉口银行股份有限公司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武汉市江汉区建设大道933号汉口银行大厦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武汉市江汉区建设大道933号汉口银行大厦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陈新民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027-82656704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027-82656236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027-96558（武汉）;4006096558（全国）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http://www.hkbchina.com </w:t>
            </w:r>
          </w:p>
        </w:tc>
      </w:tr>
    </w:tbl>
    <w:p>
      <w:pPr>
        <w:pStyle w:val="7"/>
        <w:spacing w:before="0" w:beforeAutospacing="0" w:after="0" w:afterAutospacing="0" w:line="360" w:lineRule="auto"/>
        <w:ind w:firstLine="420"/>
        <w:rPr>
          <w:sz w:val="21"/>
          <w:szCs w:val="21"/>
        </w:rPr>
      </w:pPr>
      <w:r>
        <w:rPr>
          <w:rFonts w:hint="eastAsia"/>
          <w:b/>
          <w:bCs/>
          <w:sz w:val="21"/>
          <w:szCs w:val="21"/>
        </w:rPr>
        <w:t>(26)江苏银行股份有限公司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南京市洪武北路55号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田春慧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025-58587018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025-58587038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http://www.jsbchina.cn </w:t>
            </w:r>
          </w:p>
        </w:tc>
      </w:tr>
    </w:tbl>
    <w:p>
      <w:pPr>
        <w:pStyle w:val="7"/>
        <w:spacing w:before="0" w:beforeAutospacing="0" w:after="0" w:afterAutospacing="0" w:line="360" w:lineRule="auto"/>
        <w:ind w:firstLine="420"/>
        <w:rPr>
          <w:sz w:val="21"/>
          <w:szCs w:val="21"/>
        </w:rPr>
      </w:pPr>
      <w:r>
        <w:rPr>
          <w:rFonts w:hint="eastAsia"/>
          <w:b/>
          <w:bCs/>
          <w:sz w:val="21"/>
          <w:szCs w:val="21"/>
        </w:rPr>
        <w:t>(27)渤海银行股份有限公司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(28)江苏张家港农村商业银行股份有限公司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张家港市杨舍镇人民中路66号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张家港市杨舍镇人民中路66号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王自忠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0512-58236370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0512-58236370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0512-96065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http://www.zrcbank.com </w:t>
            </w:r>
          </w:p>
        </w:tc>
      </w:tr>
    </w:tbl>
    <w:p>
      <w:pPr>
        <w:pStyle w:val="7"/>
        <w:spacing w:before="0" w:beforeAutospacing="0" w:after="0" w:afterAutospacing="0" w:line="360" w:lineRule="auto"/>
        <w:ind w:firstLine="420"/>
        <w:rPr>
          <w:sz w:val="21"/>
          <w:szCs w:val="21"/>
        </w:rPr>
      </w:pPr>
      <w:r>
        <w:rPr>
          <w:rFonts w:hint="eastAsia"/>
          <w:b/>
          <w:bCs/>
          <w:sz w:val="21"/>
          <w:szCs w:val="21"/>
        </w:rPr>
        <w:t>(29)深圳农村商业银行股份有限公司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常志勇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0755-25188781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0755-25188785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961200，4001961200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http://www.4001961200.com </w:t>
            </w:r>
          </w:p>
        </w:tc>
      </w:tr>
    </w:tbl>
    <w:p>
      <w:pPr>
        <w:pStyle w:val="7"/>
        <w:spacing w:before="0" w:beforeAutospacing="0" w:after="0" w:afterAutospacing="0" w:line="360" w:lineRule="auto"/>
        <w:ind w:firstLine="420"/>
        <w:rPr>
          <w:sz w:val="21"/>
          <w:szCs w:val="21"/>
        </w:rPr>
      </w:pPr>
      <w:r>
        <w:rPr>
          <w:rFonts w:hint="eastAsia"/>
          <w:b/>
          <w:bCs/>
          <w:sz w:val="21"/>
          <w:szCs w:val="21"/>
        </w:rPr>
        <w:t>(30)烟台银行股份有限公司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山东省烟台市芝罘区海港路25号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山东省烟台市芝罘区海港路25号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叶文君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王淑华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0535-6699660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0535-6699884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4008-311-777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http://www.yantaibank.net/ </w:t>
            </w:r>
          </w:p>
        </w:tc>
      </w:tr>
    </w:tbl>
    <w:p>
      <w:pPr>
        <w:pStyle w:val="7"/>
        <w:spacing w:before="0" w:beforeAutospacing="0" w:after="0" w:afterAutospacing="0" w:line="360" w:lineRule="auto"/>
        <w:ind w:firstLine="420"/>
        <w:rPr>
          <w:sz w:val="21"/>
          <w:szCs w:val="21"/>
        </w:rPr>
      </w:pPr>
      <w:r>
        <w:rPr>
          <w:rFonts w:hint="eastAsia"/>
          <w:b/>
          <w:bCs/>
          <w:sz w:val="21"/>
          <w:szCs w:val="21"/>
        </w:rPr>
        <w:t>(31)齐商银行股份有限公司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淄博市张店区中心路105号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淄博市张店区中心路105号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杲传勇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肖 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0533-2178888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0533-2180303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0533-96588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http://www.qsbank.cc </w:t>
            </w:r>
          </w:p>
        </w:tc>
      </w:tr>
    </w:tbl>
    <w:p>
      <w:pPr>
        <w:pStyle w:val="7"/>
        <w:spacing w:before="0" w:beforeAutospacing="0" w:after="0" w:afterAutospacing="0" w:line="360" w:lineRule="auto"/>
        <w:ind w:firstLine="420"/>
        <w:rPr>
          <w:sz w:val="21"/>
          <w:szCs w:val="21"/>
        </w:rPr>
      </w:pPr>
      <w:r>
        <w:rPr>
          <w:rFonts w:hint="eastAsia"/>
          <w:b/>
          <w:bCs/>
          <w:sz w:val="21"/>
          <w:szCs w:val="21"/>
        </w:rPr>
        <w:t>(32)大连银行股份有限公司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辽宁省大连市中山区中山路88号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大连市中山区中山路88号天安国际大厦43楼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陈占维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0411-82311131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4006640099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http://www.bankofdl.com </w:t>
            </w:r>
          </w:p>
        </w:tc>
      </w:tr>
    </w:tbl>
    <w:p>
      <w:pPr>
        <w:pStyle w:val="7"/>
        <w:spacing w:before="0" w:beforeAutospacing="0" w:after="0" w:afterAutospacing="0" w:line="360" w:lineRule="auto"/>
        <w:ind w:firstLine="420"/>
        <w:rPr>
          <w:sz w:val="21"/>
          <w:szCs w:val="21"/>
        </w:rPr>
      </w:pPr>
      <w:r>
        <w:rPr>
          <w:rFonts w:hint="eastAsia"/>
          <w:b/>
          <w:bCs/>
          <w:sz w:val="21"/>
          <w:szCs w:val="21"/>
        </w:rPr>
        <w:t>(33)哈尔滨银行股份有限公司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哈尔滨市道里区尚志大街160号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哈尔滨市道里区上江街888号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郭志文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李至北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0451-87792450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0451-87792682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http://www.hrbb.com.cn </w:t>
            </w:r>
          </w:p>
        </w:tc>
      </w:tr>
    </w:tbl>
    <w:p>
      <w:pPr>
        <w:pStyle w:val="7"/>
        <w:spacing w:before="0" w:beforeAutospacing="0" w:after="0" w:afterAutospacing="0" w:line="360" w:lineRule="auto"/>
        <w:ind w:firstLine="420"/>
        <w:rPr>
          <w:sz w:val="21"/>
          <w:szCs w:val="21"/>
        </w:rPr>
      </w:pPr>
      <w:r>
        <w:rPr>
          <w:rFonts w:hint="eastAsia"/>
          <w:b/>
          <w:bCs/>
          <w:sz w:val="21"/>
          <w:szCs w:val="21"/>
        </w:rPr>
        <w:t>(34)重庆银行股份有限公司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甘为民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孔文超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023- 63792212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023- 63792412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96899（重庆）、400-70-96899（其他地区）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http://www.cqcbank.com </w:t>
            </w:r>
          </w:p>
        </w:tc>
      </w:tr>
    </w:tbl>
    <w:p>
      <w:pPr>
        <w:pStyle w:val="7"/>
        <w:spacing w:before="0" w:beforeAutospacing="0" w:after="0" w:afterAutospacing="0" w:line="360" w:lineRule="auto"/>
        <w:ind w:firstLine="420"/>
        <w:rPr>
          <w:sz w:val="21"/>
          <w:szCs w:val="21"/>
        </w:rPr>
      </w:pPr>
      <w:r>
        <w:rPr>
          <w:rFonts w:hint="eastAsia"/>
          <w:b/>
          <w:bCs/>
          <w:sz w:val="21"/>
          <w:szCs w:val="21"/>
        </w:rPr>
        <w:t>(35)浙江稠州商业银行股份有限公司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浙江省义乌市江滨路义乌乐园东侧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浙江省义乌市江滨路义乌乐园东侧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金子军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董晓岚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0571-87117617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0571-87117616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4008096527、（0571）96527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http://www.czcb.com.cn </w:t>
            </w:r>
          </w:p>
        </w:tc>
      </w:tr>
    </w:tbl>
    <w:p>
      <w:pPr>
        <w:pStyle w:val="7"/>
        <w:spacing w:before="0" w:beforeAutospacing="0" w:after="0" w:afterAutospacing="0" w:line="360" w:lineRule="auto"/>
        <w:ind w:firstLine="420"/>
        <w:rPr>
          <w:sz w:val="21"/>
          <w:szCs w:val="21"/>
        </w:rPr>
      </w:pPr>
      <w:r>
        <w:rPr>
          <w:rFonts w:hint="eastAsia"/>
          <w:b/>
          <w:bCs/>
          <w:sz w:val="21"/>
          <w:szCs w:val="21"/>
        </w:rPr>
        <w:t>(36)东莞农村商业银行股份有限公司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(37)河北银行股份有限公司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乔志强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王丽辉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0311-67806407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0311-88627027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http://www.hebbank.com </w:t>
            </w:r>
          </w:p>
        </w:tc>
      </w:tr>
    </w:tbl>
    <w:p>
      <w:pPr>
        <w:pStyle w:val="7"/>
        <w:spacing w:before="0" w:beforeAutospacing="0" w:after="0" w:afterAutospacing="0" w:line="360" w:lineRule="auto"/>
        <w:ind w:firstLine="420"/>
        <w:rPr>
          <w:sz w:val="21"/>
          <w:szCs w:val="21"/>
        </w:rPr>
      </w:pPr>
      <w:r>
        <w:rPr>
          <w:rFonts w:hint="eastAsia"/>
          <w:b/>
          <w:bCs/>
          <w:sz w:val="21"/>
          <w:szCs w:val="21"/>
        </w:rPr>
        <w:t>(38)嘉兴银行股份有限公司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(39)江苏常熟农村商业银行股份有限公司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宋建明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0512-52909125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0512-52909122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400-996-2000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http://www.csrcbank.com </w:t>
            </w:r>
          </w:p>
        </w:tc>
      </w:tr>
    </w:tbl>
    <w:p>
      <w:pPr>
        <w:pStyle w:val="7"/>
        <w:spacing w:before="0" w:beforeAutospacing="0" w:after="0" w:afterAutospacing="0" w:line="360" w:lineRule="auto"/>
        <w:ind w:firstLine="420"/>
        <w:rPr>
          <w:sz w:val="21"/>
          <w:szCs w:val="21"/>
        </w:rPr>
      </w:pPr>
      <w:r>
        <w:rPr>
          <w:rFonts w:hint="eastAsia"/>
          <w:b/>
          <w:bCs/>
          <w:sz w:val="21"/>
          <w:szCs w:val="21"/>
        </w:rPr>
        <w:t>(40)广东顺德农村商业银行股份有限公司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姚真勇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胡健强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0757-22386489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0757-22388235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0757-2223388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www.sdebank.com </w:t>
            </w:r>
          </w:p>
        </w:tc>
      </w:tr>
    </w:tbl>
    <w:p>
      <w:pPr>
        <w:pStyle w:val="7"/>
        <w:spacing w:before="0" w:beforeAutospacing="0" w:after="0" w:afterAutospacing="0" w:line="360" w:lineRule="auto"/>
        <w:ind w:firstLine="420"/>
        <w:rPr>
          <w:sz w:val="21"/>
          <w:szCs w:val="21"/>
        </w:rPr>
      </w:pPr>
      <w:r>
        <w:rPr>
          <w:rFonts w:hint="eastAsia"/>
          <w:b/>
          <w:bCs/>
          <w:sz w:val="21"/>
          <w:szCs w:val="21"/>
        </w:rPr>
        <w:t>(41)江苏苏州农村商业银行股份有限公司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徐晓军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葛晓亮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www.szrcb.com </w:t>
            </w:r>
          </w:p>
        </w:tc>
      </w:tr>
    </w:tbl>
    <w:p>
      <w:pPr>
        <w:pStyle w:val="7"/>
        <w:spacing w:before="0" w:beforeAutospacing="0" w:after="0" w:afterAutospacing="0" w:line="360" w:lineRule="auto"/>
        <w:ind w:firstLine="420"/>
        <w:rPr>
          <w:sz w:val="21"/>
          <w:szCs w:val="21"/>
        </w:rPr>
      </w:pPr>
      <w:r>
        <w:rPr>
          <w:rFonts w:hint="eastAsia"/>
          <w:b/>
          <w:bCs/>
          <w:sz w:val="21"/>
          <w:szCs w:val="21"/>
        </w:rPr>
        <w:t>(42)西安银行股份有限公司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白智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www.xacbank.com </w:t>
            </w:r>
          </w:p>
        </w:tc>
      </w:tr>
    </w:tbl>
    <w:p>
      <w:pPr>
        <w:pStyle w:val="7"/>
        <w:spacing w:before="0" w:beforeAutospacing="0" w:after="0" w:afterAutospacing="0" w:line="360" w:lineRule="auto"/>
        <w:ind w:firstLine="420"/>
        <w:rPr>
          <w:sz w:val="21"/>
          <w:szCs w:val="21"/>
        </w:rPr>
      </w:pPr>
      <w:r>
        <w:rPr>
          <w:rFonts w:hint="eastAsia"/>
          <w:b/>
          <w:bCs/>
          <w:sz w:val="21"/>
          <w:szCs w:val="21"/>
        </w:rPr>
        <w:t>(43)金华银行股份有限公司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徐雅清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徐晓峰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0579-83207775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0579-82178321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400-711-6668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http://www.jhccb.com.cn </w:t>
            </w:r>
          </w:p>
        </w:tc>
      </w:tr>
    </w:tbl>
    <w:p>
      <w:pPr>
        <w:pStyle w:val="7"/>
        <w:spacing w:before="0" w:beforeAutospacing="0" w:after="0" w:afterAutospacing="0" w:line="360" w:lineRule="auto"/>
        <w:ind w:firstLine="420"/>
        <w:rPr>
          <w:sz w:val="21"/>
          <w:szCs w:val="21"/>
        </w:rPr>
      </w:pPr>
      <w:r>
        <w:rPr>
          <w:rFonts w:hint="eastAsia"/>
          <w:b/>
          <w:bCs/>
          <w:sz w:val="21"/>
          <w:szCs w:val="21"/>
        </w:rPr>
        <w:t>(44)江苏江南农村商业银行股份有限公司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常州市延陵中路668号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常州市和平中路413号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陆向阳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包静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0519-89995066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0519-89995170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0519-96005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http://www.jnbank.cc </w:t>
            </w:r>
          </w:p>
        </w:tc>
      </w:tr>
    </w:tbl>
    <w:p>
      <w:pPr>
        <w:pStyle w:val="7"/>
        <w:spacing w:before="0" w:beforeAutospacing="0" w:after="0" w:afterAutospacing="0" w:line="360" w:lineRule="auto"/>
        <w:ind w:firstLine="420"/>
        <w:rPr>
          <w:sz w:val="21"/>
          <w:szCs w:val="21"/>
        </w:rPr>
      </w:pPr>
      <w:r>
        <w:rPr>
          <w:rFonts w:hint="eastAsia"/>
          <w:b/>
          <w:bCs/>
          <w:sz w:val="21"/>
          <w:szCs w:val="21"/>
        </w:rPr>
        <w:t>(45)江苏江阴农村商业银行股份有限公司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江苏省江阴市澄江中路1号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江苏省江阴市澄江中路1号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李仁法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陆建生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0510-86823403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0510-86805815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0510-96078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http://www.jybank.com.cn/ </w:t>
            </w:r>
          </w:p>
        </w:tc>
      </w:tr>
    </w:tbl>
    <w:p>
      <w:pPr>
        <w:pStyle w:val="7"/>
        <w:spacing w:before="0" w:beforeAutospacing="0" w:after="0" w:afterAutospacing="0" w:line="360" w:lineRule="auto"/>
        <w:ind w:firstLine="420"/>
        <w:rPr>
          <w:sz w:val="21"/>
          <w:szCs w:val="21"/>
        </w:rPr>
      </w:pPr>
      <w:r>
        <w:rPr>
          <w:rFonts w:hint="eastAsia"/>
          <w:b/>
          <w:bCs/>
          <w:sz w:val="21"/>
          <w:szCs w:val="21"/>
        </w:rPr>
        <w:t>(46)吉林银行股份有限公司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唐国兴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http://www.jlbank.com.cn </w:t>
            </w:r>
          </w:p>
        </w:tc>
      </w:tr>
    </w:tbl>
    <w:p>
      <w:pPr>
        <w:pStyle w:val="7"/>
        <w:spacing w:before="0" w:beforeAutospacing="0" w:after="0" w:afterAutospacing="0" w:line="360" w:lineRule="auto"/>
        <w:ind w:firstLine="420"/>
        <w:rPr>
          <w:sz w:val="21"/>
          <w:szCs w:val="21"/>
        </w:rPr>
      </w:pPr>
      <w:r>
        <w:rPr>
          <w:rFonts w:hint="eastAsia"/>
          <w:b/>
          <w:bCs/>
          <w:sz w:val="21"/>
          <w:szCs w:val="21"/>
        </w:rPr>
        <w:t>(47)苏州银行股份有限公司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(48)杭州联合农村商业银行股份有限公司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0571-87923324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0571-87923314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www.urcb.com </w:t>
            </w:r>
          </w:p>
        </w:tc>
      </w:tr>
    </w:tbl>
    <w:p>
      <w:pPr>
        <w:pStyle w:val="7"/>
        <w:spacing w:before="0" w:beforeAutospacing="0" w:after="0" w:afterAutospacing="0" w:line="360" w:lineRule="auto"/>
        <w:ind w:firstLine="420"/>
        <w:rPr>
          <w:sz w:val="21"/>
          <w:szCs w:val="21"/>
        </w:rPr>
      </w:pPr>
      <w:r>
        <w:rPr>
          <w:rFonts w:hint="eastAsia"/>
          <w:b/>
          <w:bCs/>
          <w:sz w:val="21"/>
          <w:szCs w:val="21"/>
        </w:rPr>
        <w:t>(49)威海市商业银行股份有限公司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威海市宝泉路9号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济南市经十路奥体金融中心d栋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谭先国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武芳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0531-68978175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0531-68978176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省内96636、境内4000096636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http://www.whccb.com/ </w:t>
            </w:r>
          </w:p>
        </w:tc>
      </w:tr>
    </w:tbl>
    <w:p>
      <w:pPr>
        <w:pStyle w:val="7"/>
        <w:spacing w:before="0" w:beforeAutospacing="0" w:after="0" w:afterAutospacing="0" w:line="360" w:lineRule="auto"/>
        <w:ind w:firstLine="420"/>
        <w:rPr>
          <w:sz w:val="21"/>
          <w:szCs w:val="21"/>
        </w:rPr>
      </w:pPr>
      <w:r>
        <w:rPr>
          <w:rFonts w:hint="eastAsia"/>
          <w:b/>
          <w:bCs/>
          <w:sz w:val="21"/>
          <w:szCs w:val="21"/>
        </w:rPr>
        <w:t>(50)花旗银行（中国）有限公司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上海市浦东新区花园石桥路33号花旗集团大厦主楼28楼01A单元和02A单元、29楼02单元、30楼01单元、32楼01单元和01B单元、33楼01单元和03单元、34楼01单元及35楼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上海市浦东新区花园石桥路33号花旗集团大厦主楼30楼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欧兆伦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021-28966000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4008211880 / 8008301880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http://www.citibank.com.cn </w:t>
            </w:r>
          </w:p>
        </w:tc>
      </w:tr>
    </w:tbl>
    <w:p>
      <w:pPr>
        <w:pStyle w:val="7"/>
        <w:spacing w:before="0" w:beforeAutospacing="0" w:after="0" w:afterAutospacing="0" w:line="360" w:lineRule="auto"/>
        <w:ind w:firstLine="420"/>
        <w:rPr>
          <w:sz w:val="21"/>
          <w:szCs w:val="21"/>
        </w:rPr>
      </w:pPr>
      <w:r>
        <w:rPr>
          <w:rFonts w:hint="eastAsia"/>
          <w:b/>
          <w:bCs/>
          <w:sz w:val="21"/>
          <w:szCs w:val="21"/>
        </w:rPr>
        <w:t>(51)日照银行股份有限公司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0633-8081626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0633-8081629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96588（日照）、400-68-96588（全国）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https://www.bankofrizhao.com.cn/ </w:t>
            </w:r>
          </w:p>
        </w:tc>
      </w:tr>
    </w:tbl>
    <w:p>
      <w:pPr>
        <w:pStyle w:val="7"/>
        <w:spacing w:before="0" w:beforeAutospacing="0" w:after="0" w:afterAutospacing="0" w:line="360" w:lineRule="auto"/>
        <w:ind w:firstLine="420"/>
        <w:rPr>
          <w:sz w:val="21"/>
          <w:szCs w:val="21"/>
        </w:rPr>
      </w:pPr>
      <w:r>
        <w:rPr>
          <w:rFonts w:hint="eastAsia"/>
          <w:b/>
          <w:bCs/>
          <w:sz w:val="21"/>
          <w:szCs w:val="21"/>
        </w:rPr>
        <w:t>(52)浙江绍兴瑞丰农村商业银行股份有限公司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俞俊海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孟建潮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0575-84788101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0575-84788134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http://www.borf.cn </w:t>
            </w:r>
          </w:p>
        </w:tc>
      </w:tr>
    </w:tbl>
    <w:p>
      <w:pPr>
        <w:pStyle w:val="7"/>
        <w:spacing w:before="0" w:beforeAutospacing="0" w:after="0" w:afterAutospacing="0" w:line="360" w:lineRule="auto"/>
        <w:ind w:firstLine="420"/>
        <w:rPr>
          <w:sz w:val="21"/>
          <w:szCs w:val="21"/>
        </w:rPr>
      </w:pPr>
      <w:r>
        <w:rPr>
          <w:rFonts w:hint="eastAsia"/>
          <w:b/>
          <w:bCs/>
          <w:sz w:val="21"/>
          <w:szCs w:val="21"/>
        </w:rPr>
        <w:t>(53)天相投资顾问有限公司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北京市西城区金融街19号富凯大厦B座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北京市西城区新街口外大街28号C座5层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林义相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尹伶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010-66045529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010－66045500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010-66045678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http://www.txsec.com </w:t>
            </w:r>
          </w:p>
        </w:tc>
      </w:tr>
    </w:tbl>
    <w:p>
      <w:pPr>
        <w:pStyle w:val="7"/>
        <w:spacing w:before="0" w:beforeAutospacing="0" w:after="0" w:afterAutospacing="0" w:line="360" w:lineRule="auto"/>
        <w:ind w:firstLine="420"/>
        <w:rPr>
          <w:sz w:val="21"/>
          <w:szCs w:val="21"/>
        </w:rPr>
      </w:pPr>
      <w:r>
        <w:rPr>
          <w:rFonts w:hint="eastAsia"/>
          <w:b/>
          <w:bCs/>
          <w:sz w:val="21"/>
          <w:szCs w:val="21"/>
        </w:rPr>
        <w:t>(54)深圳市新兰德证券投资咨询有限公司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(55)和讯信息科技有限公司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张紫薇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0755-82721122-8625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0755-82029055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400-920-0022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http://Licaike.hexun.com </w:t>
            </w:r>
          </w:p>
        </w:tc>
      </w:tr>
    </w:tbl>
    <w:p>
      <w:pPr>
        <w:pStyle w:val="7"/>
        <w:spacing w:before="0" w:beforeAutospacing="0" w:after="0" w:afterAutospacing="0" w:line="360" w:lineRule="auto"/>
        <w:ind w:firstLine="420"/>
        <w:rPr>
          <w:sz w:val="21"/>
          <w:szCs w:val="21"/>
        </w:rPr>
      </w:pPr>
      <w:r>
        <w:rPr>
          <w:rFonts w:hint="eastAsia"/>
          <w:b/>
          <w:bCs/>
          <w:sz w:val="21"/>
          <w:szCs w:val="21"/>
        </w:rPr>
        <w:t>(56)厦门市鑫鼎盛控股有限公司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(57)江苏天鼎证券投资咨询有限公司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025-962155 </w:t>
            </w:r>
          </w:p>
        </w:tc>
      </w:tr>
    </w:tbl>
    <w:p>
      <w:pPr>
        <w:pStyle w:val="7"/>
        <w:spacing w:before="0" w:beforeAutospacing="0" w:after="0" w:afterAutospacing="0" w:line="360" w:lineRule="auto"/>
        <w:ind w:firstLine="420"/>
        <w:rPr>
          <w:sz w:val="21"/>
          <w:szCs w:val="21"/>
        </w:rPr>
      </w:pPr>
      <w:r>
        <w:rPr>
          <w:rFonts w:hint="eastAsia"/>
          <w:b/>
          <w:bCs/>
          <w:sz w:val="21"/>
          <w:szCs w:val="21"/>
        </w:rPr>
        <w:t>(58)上海挖财基金销售有限公司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http://wacaijijin.com/ </w:t>
            </w:r>
          </w:p>
        </w:tc>
      </w:tr>
    </w:tbl>
    <w:p>
      <w:pPr>
        <w:pStyle w:val="7"/>
        <w:spacing w:before="0" w:beforeAutospacing="0" w:after="0" w:afterAutospacing="0" w:line="360" w:lineRule="auto"/>
        <w:ind w:firstLine="420"/>
        <w:rPr>
          <w:sz w:val="21"/>
          <w:szCs w:val="21"/>
        </w:rPr>
      </w:pPr>
      <w:r>
        <w:rPr>
          <w:rFonts w:hint="eastAsia"/>
          <w:b/>
          <w:bCs/>
          <w:sz w:val="21"/>
          <w:szCs w:val="21"/>
        </w:rPr>
        <w:t>(59)大河财富基金销售有限公司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www.urainf.com </w:t>
            </w:r>
          </w:p>
        </w:tc>
      </w:tr>
    </w:tbl>
    <w:p>
      <w:pPr>
        <w:pStyle w:val="7"/>
        <w:spacing w:before="0" w:beforeAutospacing="0" w:after="0" w:afterAutospacing="0" w:line="360" w:lineRule="auto"/>
        <w:ind w:firstLine="420"/>
        <w:rPr>
          <w:sz w:val="21"/>
          <w:szCs w:val="21"/>
        </w:rPr>
      </w:pPr>
      <w:r>
        <w:rPr>
          <w:rFonts w:hint="eastAsia"/>
          <w:b/>
          <w:bCs/>
          <w:sz w:val="21"/>
          <w:szCs w:val="21"/>
        </w:rPr>
        <w:t>(60)腾安基金销售（深圳）有限公司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(61)民商基金销售（上海）有限公司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www.msftec.com </w:t>
            </w:r>
          </w:p>
        </w:tc>
      </w:tr>
    </w:tbl>
    <w:p>
      <w:pPr>
        <w:pStyle w:val="7"/>
        <w:spacing w:before="0" w:beforeAutospacing="0" w:after="0" w:afterAutospacing="0" w:line="360" w:lineRule="auto"/>
        <w:ind w:firstLine="420"/>
        <w:rPr>
          <w:sz w:val="21"/>
          <w:szCs w:val="21"/>
        </w:rPr>
      </w:pPr>
      <w:r>
        <w:rPr>
          <w:rFonts w:hint="eastAsia"/>
          <w:b/>
          <w:bCs/>
          <w:sz w:val="21"/>
          <w:szCs w:val="21"/>
        </w:rPr>
        <w:t>(62)北京度小满基金销售有限公司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www.duxiaomanfund.com </w:t>
            </w:r>
          </w:p>
        </w:tc>
      </w:tr>
    </w:tbl>
    <w:p>
      <w:pPr>
        <w:pStyle w:val="7"/>
        <w:spacing w:before="0" w:beforeAutospacing="0" w:after="0" w:afterAutospacing="0" w:line="360" w:lineRule="auto"/>
        <w:ind w:firstLine="420"/>
        <w:rPr>
          <w:sz w:val="21"/>
          <w:szCs w:val="21"/>
        </w:rPr>
      </w:pPr>
      <w:r>
        <w:rPr>
          <w:rFonts w:hint="eastAsia"/>
          <w:b/>
          <w:bCs/>
          <w:sz w:val="21"/>
          <w:szCs w:val="21"/>
        </w:rPr>
        <w:t>(63)博时财富基金销售有限公司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www.boserawealth.com </w:t>
            </w:r>
          </w:p>
        </w:tc>
      </w:tr>
    </w:tbl>
    <w:p>
      <w:pPr>
        <w:pStyle w:val="7"/>
        <w:spacing w:before="0" w:beforeAutospacing="0" w:after="0" w:afterAutospacing="0" w:line="360" w:lineRule="auto"/>
        <w:ind w:firstLine="420"/>
        <w:rPr>
          <w:sz w:val="21"/>
          <w:szCs w:val="21"/>
        </w:rPr>
      </w:pPr>
      <w:r>
        <w:rPr>
          <w:rFonts w:hint="eastAsia"/>
          <w:b/>
          <w:bCs/>
          <w:sz w:val="21"/>
          <w:szCs w:val="21"/>
        </w:rPr>
        <w:t>(64)诺亚正行基金销售有限公司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(65)深圳众禄基金销售股份有限公司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(66)上海天天基金销售有限公司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(67)上海好买基金销售有限公司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(68)蚂蚁（杭州）基金销售有限公司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(69)上海长量基金销售有限公司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(70)浙江同花顺基金销售有限公司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(71)北京展恒基金销售股份有限公司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北京市顺义区后沙峪镇安富街6号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北京市朝阳区德胜门外华严北里2号民建大厦6层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闫振杰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焦琳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010--62020088-8288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010—62020088-8802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400-888-6661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http://www.myfund.com </w:t>
            </w:r>
          </w:p>
        </w:tc>
      </w:tr>
    </w:tbl>
    <w:p>
      <w:pPr>
        <w:pStyle w:val="7"/>
        <w:spacing w:before="0" w:beforeAutospacing="0" w:after="0" w:afterAutospacing="0" w:line="360" w:lineRule="auto"/>
        <w:ind w:firstLine="420"/>
        <w:rPr>
          <w:sz w:val="21"/>
          <w:szCs w:val="21"/>
        </w:rPr>
      </w:pPr>
      <w:r>
        <w:rPr>
          <w:rFonts w:hint="eastAsia"/>
          <w:b/>
          <w:bCs/>
          <w:sz w:val="21"/>
          <w:szCs w:val="21"/>
        </w:rPr>
        <w:t>(72)上海利得基金销售有限公司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(73)北京中期时代基金销售有限公司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北京市朝阳区建国门外光华路14号1幢11层1103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北京市朝阳区建国门外光华路14号1幢11层1103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田宏莉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朱剑林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010-59539866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010-59539866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010-65807159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http://www.cifcofund.com/ </w:t>
            </w:r>
          </w:p>
        </w:tc>
      </w:tr>
    </w:tbl>
    <w:p>
      <w:pPr>
        <w:pStyle w:val="7"/>
        <w:spacing w:before="0" w:beforeAutospacing="0" w:after="0" w:afterAutospacing="0" w:line="360" w:lineRule="auto"/>
        <w:ind w:firstLine="420"/>
        <w:rPr>
          <w:sz w:val="21"/>
          <w:szCs w:val="21"/>
        </w:rPr>
      </w:pPr>
      <w:r>
        <w:rPr>
          <w:rFonts w:hint="eastAsia"/>
          <w:b/>
          <w:bCs/>
          <w:sz w:val="21"/>
          <w:szCs w:val="21"/>
        </w:rPr>
        <w:t>(74)嘉实财富管理有限公司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(75)乾道金融信息服务（北京）有限公司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北京市海淀区东北旺村南1号楼7层7117室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北京市西城区德外大街合生财富广场1302室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王兴吉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高雪超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010-62062880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010-82057741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www.qiandaojr.com </w:t>
            </w:r>
          </w:p>
        </w:tc>
      </w:tr>
    </w:tbl>
    <w:p>
      <w:pPr>
        <w:pStyle w:val="7"/>
        <w:spacing w:before="0" w:beforeAutospacing="0" w:after="0" w:afterAutospacing="0" w:line="360" w:lineRule="auto"/>
        <w:ind w:firstLine="420"/>
        <w:rPr>
          <w:sz w:val="21"/>
          <w:szCs w:val="21"/>
        </w:rPr>
      </w:pPr>
      <w:r>
        <w:rPr>
          <w:rFonts w:hint="eastAsia"/>
          <w:b/>
          <w:bCs/>
          <w:sz w:val="21"/>
          <w:szCs w:val="21"/>
        </w:rPr>
        <w:t>(76)北京创金启富基金销售有限公司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梁蓉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010-66154828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010-88067526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010-88067525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www.5irich.com </w:t>
            </w:r>
          </w:p>
        </w:tc>
      </w:tr>
    </w:tbl>
    <w:p>
      <w:pPr>
        <w:pStyle w:val="7"/>
        <w:spacing w:before="0" w:beforeAutospacing="0" w:after="0" w:afterAutospacing="0" w:line="360" w:lineRule="auto"/>
        <w:ind w:firstLine="420"/>
        <w:rPr>
          <w:sz w:val="21"/>
          <w:szCs w:val="21"/>
        </w:rPr>
      </w:pPr>
      <w:r>
        <w:rPr>
          <w:rFonts w:hint="eastAsia"/>
          <w:b/>
          <w:bCs/>
          <w:sz w:val="21"/>
          <w:szCs w:val="21"/>
        </w:rPr>
        <w:t>(77)泛华普益基金销售有限公司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于海锋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028-66980977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028-82000996-805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028-84252474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www.puyiwm.com </w:t>
            </w:r>
          </w:p>
        </w:tc>
      </w:tr>
    </w:tbl>
    <w:p>
      <w:pPr>
        <w:pStyle w:val="7"/>
        <w:spacing w:before="0" w:beforeAutospacing="0" w:after="0" w:afterAutospacing="0" w:line="360" w:lineRule="auto"/>
        <w:ind w:firstLine="420"/>
        <w:rPr>
          <w:sz w:val="21"/>
          <w:szCs w:val="21"/>
        </w:rPr>
      </w:pPr>
      <w:r>
        <w:rPr>
          <w:rFonts w:hint="eastAsia"/>
          <w:b/>
          <w:bCs/>
          <w:sz w:val="21"/>
          <w:szCs w:val="21"/>
        </w:rPr>
        <w:t>(78)宜信普泽（北京）基金销售有限公司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(79)南京苏宁基金销售有限公司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(80)浦领基金销售有限公司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www.zscffund.com </w:t>
            </w:r>
          </w:p>
        </w:tc>
      </w:tr>
    </w:tbl>
    <w:p>
      <w:pPr>
        <w:pStyle w:val="7"/>
        <w:spacing w:before="0" w:beforeAutospacing="0" w:after="0" w:afterAutospacing="0" w:line="360" w:lineRule="auto"/>
        <w:ind w:firstLine="420"/>
        <w:rPr>
          <w:sz w:val="21"/>
          <w:szCs w:val="21"/>
        </w:rPr>
      </w:pPr>
      <w:r>
        <w:rPr>
          <w:rFonts w:hint="eastAsia"/>
          <w:b/>
          <w:bCs/>
          <w:sz w:val="21"/>
          <w:szCs w:val="21"/>
        </w:rPr>
        <w:t>(81)北京增财基金销售有限公司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北京市西城区南礼士路66号1号楼12层1208号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北京市西城区南礼士路66号建威大厦1208室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王昌庆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罗细安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010-67000988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010-67000988-6000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400-001-8811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http://www.zcvc.com.cn </w:t>
            </w:r>
          </w:p>
        </w:tc>
      </w:tr>
    </w:tbl>
    <w:p>
      <w:pPr>
        <w:pStyle w:val="7"/>
        <w:spacing w:before="0" w:beforeAutospacing="0" w:after="0" w:afterAutospacing="0" w:line="360" w:lineRule="auto"/>
        <w:ind w:firstLine="420"/>
        <w:rPr>
          <w:sz w:val="21"/>
          <w:szCs w:val="21"/>
        </w:rPr>
      </w:pPr>
      <w:r>
        <w:rPr>
          <w:rFonts w:hint="eastAsia"/>
          <w:b/>
          <w:bCs/>
          <w:sz w:val="21"/>
          <w:szCs w:val="21"/>
        </w:rPr>
        <w:t>(82)深圳腾元基金销售有限公司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曾革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鄢萌莎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0755-33376922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0755-33065516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www.tenyuanfund.com </w:t>
            </w:r>
          </w:p>
        </w:tc>
      </w:tr>
    </w:tbl>
    <w:p>
      <w:pPr>
        <w:pStyle w:val="7"/>
        <w:spacing w:before="0" w:beforeAutospacing="0" w:after="0" w:afterAutospacing="0" w:line="360" w:lineRule="auto"/>
        <w:ind w:firstLine="420"/>
        <w:rPr>
          <w:sz w:val="21"/>
          <w:szCs w:val="21"/>
        </w:rPr>
      </w:pPr>
      <w:r>
        <w:rPr>
          <w:rFonts w:hint="eastAsia"/>
          <w:b/>
          <w:bCs/>
          <w:sz w:val="21"/>
          <w:szCs w:val="21"/>
        </w:rPr>
        <w:t>(83)通华财富（上海）基金销售有限公司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上海市虹口区同丰路667弄107号201室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杨徐霆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021-60818249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021-60818280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400-101-9301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https://www.tonghuafund.com </w:t>
            </w:r>
          </w:p>
        </w:tc>
      </w:tr>
    </w:tbl>
    <w:p>
      <w:pPr>
        <w:pStyle w:val="7"/>
        <w:spacing w:before="0" w:beforeAutospacing="0" w:after="0" w:afterAutospacing="0" w:line="360" w:lineRule="auto"/>
        <w:ind w:firstLine="420"/>
        <w:rPr>
          <w:sz w:val="21"/>
          <w:szCs w:val="21"/>
        </w:rPr>
      </w:pPr>
      <w:r>
        <w:rPr>
          <w:rFonts w:hint="eastAsia"/>
          <w:b/>
          <w:bCs/>
          <w:sz w:val="21"/>
          <w:szCs w:val="21"/>
        </w:rPr>
        <w:t>(84)北京中植基金销售有限公司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http://www.zzfund.com </w:t>
            </w:r>
          </w:p>
        </w:tc>
      </w:tr>
    </w:tbl>
    <w:p>
      <w:pPr>
        <w:pStyle w:val="7"/>
        <w:spacing w:before="0" w:beforeAutospacing="0" w:after="0" w:afterAutospacing="0" w:line="360" w:lineRule="auto"/>
        <w:ind w:firstLine="420"/>
        <w:rPr>
          <w:sz w:val="21"/>
          <w:szCs w:val="21"/>
        </w:rPr>
      </w:pPr>
      <w:r>
        <w:rPr>
          <w:rFonts w:hint="eastAsia"/>
          <w:b/>
          <w:bCs/>
          <w:sz w:val="21"/>
          <w:szCs w:val="21"/>
        </w:rPr>
        <w:t>(85)北京汇成基金销售有限公司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(86)一路财富（北京）基金销售股份有限公司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北京市西城区车公庄大街9号院5号楼702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北京市西城区阜成门外大街2号万通新世界A座2208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吴雪秀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段京璐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010-88312877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010-88312099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400-001-1566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http://www.yilucaifu.com </w:t>
            </w:r>
          </w:p>
        </w:tc>
      </w:tr>
    </w:tbl>
    <w:p>
      <w:pPr>
        <w:pStyle w:val="7"/>
        <w:spacing w:before="0" w:beforeAutospacing="0" w:after="0" w:afterAutospacing="0" w:line="360" w:lineRule="auto"/>
        <w:ind w:firstLine="420"/>
        <w:rPr>
          <w:sz w:val="21"/>
          <w:szCs w:val="21"/>
        </w:rPr>
      </w:pPr>
      <w:r>
        <w:rPr>
          <w:rFonts w:hint="eastAsia"/>
          <w:b/>
          <w:bCs/>
          <w:sz w:val="21"/>
          <w:szCs w:val="21"/>
        </w:rPr>
        <w:t>(87)北京钱景基金销售有限公司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www.qianjing.com </w:t>
            </w:r>
          </w:p>
        </w:tc>
      </w:tr>
    </w:tbl>
    <w:p>
      <w:pPr>
        <w:pStyle w:val="7"/>
        <w:spacing w:before="0" w:beforeAutospacing="0" w:after="0" w:afterAutospacing="0" w:line="360" w:lineRule="auto"/>
        <w:ind w:firstLine="420"/>
        <w:rPr>
          <w:sz w:val="21"/>
          <w:szCs w:val="21"/>
        </w:rPr>
      </w:pPr>
      <w:r>
        <w:rPr>
          <w:rFonts w:hint="eastAsia"/>
          <w:b/>
          <w:bCs/>
          <w:sz w:val="21"/>
          <w:szCs w:val="21"/>
        </w:rPr>
        <w:t>(88)海银基金销售有限公司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中国（上海）自由贸易试验区银城中路8号402室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巩巧丽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021-80133597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021-80133413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400-808-1016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www.fundhaiyin.com </w:t>
            </w:r>
          </w:p>
        </w:tc>
      </w:tr>
    </w:tbl>
    <w:p>
      <w:pPr>
        <w:pStyle w:val="7"/>
        <w:spacing w:before="0" w:beforeAutospacing="0" w:after="0" w:afterAutospacing="0" w:line="360" w:lineRule="auto"/>
        <w:ind w:firstLine="420"/>
        <w:rPr>
          <w:sz w:val="21"/>
          <w:szCs w:val="21"/>
        </w:rPr>
      </w:pPr>
      <w:r>
        <w:rPr>
          <w:rFonts w:hint="eastAsia"/>
          <w:b/>
          <w:bCs/>
          <w:sz w:val="21"/>
          <w:szCs w:val="21"/>
        </w:rPr>
        <w:t>(89)北京广源达信投资管理有限公司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北京市西城区新街口外大街28号C座6层605室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北京市朝阳区望京东园四区13号楼浦项中心B座19层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齐剑辉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王英俊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010-82055860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www.niuniufund.com </w:t>
            </w:r>
          </w:p>
        </w:tc>
      </w:tr>
    </w:tbl>
    <w:p>
      <w:pPr>
        <w:pStyle w:val="7"/>
        <w:spacing w:before="0" w:beforeAutospacing="0" w:after="0" w:afterAutospacing="0" w:line="360" w:lineRule="auto"/>
        <w:ind w:firstLine="420"/>
        <w:rPr>
          <w:sz w:val="21"/>
          <w:szCs w:val="21"/>
        </w:rPr>
      </w:pPr>
      <w:r>
        <w:rPr>
          <w:rFonts w:hint="eastAsia"/>
          <w:b/>
          <w:bCs/>
          <w:sz w:val="21"/>
          <w:szCs w:val="21"/>
        </w:rPr>
        <w:t>(90)天津国美基金销售有限公司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天津经济技术开发区南港工业区综合服务区办公楼D座二层202-124室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北京市朝阳区霄云路26号鹏润大厦B座19层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杨志涌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郭宝亮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010-59287061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010-59287825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400-111-0889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www.gomefund.com </w:t>
            </w:r>
          </w:p>
        </w:tc>
      </w:tr>
    </w:tbl>
    <w:p>
      <w:pPr>
        <w:pStyle w:val="7"/>
        <w:spacing w:before="0" w:beforeAutospacing="0" w:after="0" w:afterAutospacing="0" w:line="360" w:lineRule="auto"/>
        <w:ind w:firstLine="420"/>
        <w:rPr>
          <w:sz w:val="21"/>
          <w:szCs w:val="21"/>
        </w:rPr>
      </w:pPr>
      <w:r>
        <w:rPr>
          <w:rFonts w:hint="eastAsia"/>
          <w:b/>
          <w:bCs/>
          <w:sz w:val="21"/>
          <w:szCs w:val="21"/>
        </w:rPr>
        <w:t>(91)北京新浪仓石基金销售有限公司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北京市海淀区东北旺西路中关村软件园二期（西扩）N-1、N-2地块新浪总部科研楼5层518室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北京市海淀区西北旺东路10号院东区3号楼为明大厦C座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010-62675768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010-62676582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010-62675369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www.xincai.com </w:t>
            </w:r>
          </w:p>
        </w:tc>
      </w:tr>
    </w:tbl>
    <w:p>
      <w:pPr>
        <w:pStyle w:val="7"/>
        <w:spacing w:before="0" w:beforeAutospacing="0" w:after="0" w:afterAutospacing="0" w:line="360" w:lineRule="auto"/>
        <w:ind w:firstLine="420"/>
        <w:rPr>
          <w:sz w:val="21"/>
          <w:szCs w:val="21"/>
        </w:rPr>
      </w:pPr>
      <w:r>
        <w:rPr>
          <w:rFonts w:hint="eastAsia"/>
          <w:b/>
          <w:bCs/>
          <w:sz w:val="21"/>
          <w:szCs w:val="21"/>
        </w:rPr>
        <w:t>(92)北京加和基金销售有限公司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北京市西城区车公庄大街4号5号楼1层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北京市西城区车公庄大街4号北礼士路甲129号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徐福星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陈莹莹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010-68998820-8306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010-88381550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400-600-0030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www.bzfunds.com </w:t>
            </w:r>
          </w:p>
        </w:tc>
      </w:tr>
    </w:tbl>
    <w:p>
      <w:pPr>
        <w:pStyle w:val="7"/>
        <w:spacing w:before="0" w:beforeAutospacing="0" w:after="0" w:afterAutospacing="0" w:line="360" w:lineRule="auto"/>
        <w:ind w:firstLine="420"/>
        <w:rPr>
          <w:sz w:val="21"/>
          <w:szCs w:val="21"/>
        </w:rPr>
      </w:pPr>
      <w:r>
        <w:rPr>
          <w:rFonts w:hint="eastAsia"/>
          <w:b/>
          <w:bCs/>
          <w:sz w:val="21"/>
          <w:szCs w:val="21"/>
        </w:rPr>
        <w:t>(93)北京辉腾汇富基金销售有限公司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北京市东城区建国门内大街18号15层办公楼一座1502室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北京市东城区朝阳门北大街8号富华大厦F座12层B室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65181028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65174782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400-829-1218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http://www.htfund.com </w:t>
            </w:r>
          </w:p>
        </w:tc>
      </w:tr>
    </w:tbl>
    <w:p>
      <w:pPr>
        <w:pStyle w:val="7"/>
        <w:spacing w:before="0" w:beforeAutospacing="0" w:after="0" w:afterAutospacing="0" w:line="360" w:lineRule="auto"/>
        <w:ind w:firstLine="420"/>
        <w:rPr>
          <w:sz w:val="21"/>
          <w:szCs w:val="21"/>
        </w:rPr>
      </w:pPr>
      <w:r>
        <w:rPr>
          <w:rFonts w:hint="eastAsia"/>
          <w:b/>
          <w:bCs/>
          <w:sz w:val="21"/>
          <w:szCs w:val="21"/>
        </w:rPr>
        <w:t>(94)上海万得基金销售有限公司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(95)凤凰金信（海口）基金销售有限公司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宁夏回族自治区银川市金凤区阅海湾中央商务区万寿路142号14层1402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北京市朝阳区紫月路18号院 朝来高科技产业园18号楼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010-58160168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010-58160173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400-810-5919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www.fengfd.com </w:t>
            </w:r>
          </w:p>
        </w:tc>
      </w:tr>
    </w:tbl>
    <w:p>
      <w:pPr>
        <w:pStyle w:val="7"/>
        <w:spacing w:before="0" w:beforeAutospacing="0" w:after="0" w:afterAutospacing="0" w:line="360" w:lineRule="auto"/>
        <w:ind w:firstLine="420"/>
        <w:rPr>
          <w:sz w:val="21"/>
          <w:szCs w:val="21"/>
        </w:rPr>
      </w:pPr>
      <w:r>
        <w:rPr>
          <w:rFonts w:hint="eastAsia"/>
          <w:b/>
          <w:bCs/>
          <w:sz w:val="21"/>
          <w:szCs w:val="21"/>
        </w:rPr>
        <w:t>(96)上海联泰基金销售有限公司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(97)深圳市金海九州基金销售有限公司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深圳市福田区富德生命人寿大厦1106室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0755-81994266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0755-84333886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4000-099-3333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www.jhjzfund.com </w:t>
            </w:r>
          </w:p>
        </w:tc>
      </w:tr>
    </w:tbl>
    <w:p>
      <w:pPr>
        <w:pStyle w:val="7"/>
        <w:spacing w:before="0" w:beforeAutospacing="0" w:after="0" w:afterAutospacing="0" w:line="360" w:lineRule="auto"/>
        <w:ind w:firstLine="420"/>
        <w:rPr>
          <w:sz w:val="21"/>
          <w:szCs w:val="21"/>
        </w:rPr>
      </w:pPr>
      <w:r>
        <w:rPr>
          <w:rFonts w:hint="eastAsia"/>
          <w:b/>
          <w:bCs/>
          <w:sz w:val="21"/>
          <w:szCs w:val="21"/>
        </w:rPr>
        <w:t>(98)上海汇付金融服务有限公司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上海市黄浦区中山南路100号19层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上海市黄浦区中山南路100号金外滩国际广场19层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冯修敏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黄敏儿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021-33323999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021-33323830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fund.bundtrade.com </w:t>
            </w:r>
          </w:p>
        </w:tc>
      </w:tr>
    </w:tbl>
    <w:p>
      <w:pPr>
        <w:pStyle w:val="7"/>
        <w:spacing w:before="0" w:beforeAutospacing="0" w:after="0" w:afterAutospacing="0" w:line="360" w:lineRule="auto"/>
        <w:ind w:firstLine="420"/>
        <w:rPr>
          <w:sz w:val="21"/>
          <w:szCs w:val="21"/>
        </w:rPr>
      </w:pPr>
      <w:r>
        <w:rPr>
          <w:rFonts w:hint="eastAsia"/>
          <w:b/>
          <w:bCs/>
          <w:sz w:val="21"/>
          <w:szCs w:val="21"/>
        </w:rPr>
        <w:t>(99)北京坤元基金销售有限公司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北京市延庆县延庆经济开发区百泉街10号2栋871室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北京市东城区建国门内大街8号B座501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李雪松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010-85264505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010-85264522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010-85264528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http://www.kunyuanfund.com </w:t>
            </w:r>
          </w:p>
        </w:tc>
      </w:tr>
    </w:tbl>
    <w:p>
      <w:pPr>
        <w:pStyle w:val="7"/>
        <w:spacing w:before="0" w:beforeAutospacing="0" w:after="0" w:afterAutospacing="0" w:line="360" w:lineRule="auto"/>
        <w:ind w:firstLine="420"/>
        <w:rPr>
          <w:sz w:val="21"/>
          <w:szCs w:val="21"/>
        </w:rPr>
      </w:pPr>
      <w:r>
        <w:rPr>
          <w:rFonts w:hint="eastAsia"/>
          <w:b/>
          <w:bCs/>
          <w:sz w:val="21"/>
          <w:szCs w:val="21"/>
        </w:rPr>
        <w:t>(100)江西正融基金销售有限公司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13879129841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0791-86692502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www.jxzrzg.com.cn </w:t>
            </w:r>
          </w:p>
        </w:tc>
      </w:tr>
    </w:tbl>
    <w:p>
      <w:pPr>
        <w:pStyle w:val="7"/>
        <w:spacing w:before="0" w:beforeAutospacing="0" w:after="0" w:afterAutospacing="0" w:line="360" w:lineRule="auto"/>
        <w:ind w:firstLine="420"/>
        <w:rPr>
          <w:sz w:val="21"/>
          <w:szCs w:val="21"/>
        </w:rPr>
      </w:pPr>
      <w:r>
        <w:rPr>
          <w:rFonts w:hint="eastAsia"/>
          <w:b/>
          <w:bCs/>
          <w:sz w:val="21"/>
          <w:szCs w:val="21"/>
        </w:rPr>
        <w:t>(101)上海基煜基金销售有限公司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(102)上海凯石财富基金销售有限公司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上海市黄浦区西藏南路765号602-115室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上海市黄浦区延安东路1号凯石大厦四楼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陈继武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李晓明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021-63333319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021-63332523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400-643-3389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www.lingxianfund.com </w:t>
            </w:r>
          </w:p>
        </w:tc>
      </w:tr>
    </w:tbl>
    <w:p>
      <w:pPr>
        <w:pStyle w:val="7"/>
        <w:spacing w:before="0" w:beforeAutospacing="0" w:after="0" w:afterAutospacing="0" w:line="360" w:lineRule="auto"/>
        <w:ind w:firstLine="420"/>
        <w:rPr>
          <w:sz w:val="21"/>
          <w:szCs w:val="21"/>
        </w:rPr>
      </w:pPr>
      <w:r>
        <w:rPr>
          <w:rFonts w:hint="eastAsia"/>
          <w:b/>
          <w:bCs/>
          <w:sz w:val="21"/>
          <w:szCs w:val="21"/>
        </w:rPr>
        <w:t>(103)上海中正达广基金销售有限公司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(104)北京虹点基金销售有限公司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北京市朝阳区西大望路1号1号楼1603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北京市朝阳区工人体育馆北路甲2号盈科中心B座裙楼二层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于婷婷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010-56409010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010-56580660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400-618-0707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www.hongdianfund.com </w:t>
            </w:r>
          </w:p>
        </w:tc>
      </w:tr>
    </w:tbl>
    <w:p>
      <w:pPr>
        <w:pStyle w:val="7"/>
        <w:spacing w:before="0" w:beforeAutospacing="0" w:after="0" w:afterAutospacing="0" w:line="360" w:lineRule="auto"/>
        <w:ind w:firstLine="420"/>
        <w:rPr>
          <w:sz w:val="21"/>
          <w:szCs w:val="21"/>
        </w:rPr>
      </w:pPr>
      <w:r>
        <w:rPr>
          <w:rFonts w:hint="eastAsia"/>
          <w:b/>
          <w:bCs/>
          <w:sz w:val="21"/>
          <w:szCs w:val="21"/>
        </w:rPr>
        <w:t>(105)深圳新华信通基金销售有限公司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(106)深圳富济基金销售有限公司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祝中村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曾瑶敏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0755-83999926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www.fujifund.cn </w:t>
            </w:r>
          </w:p>
        </w:tc>
      </w:tr>
    </w:tbl>
    <w:p>
      <w:pPr>
        <w:pStyle w:val="7"/>
        <w:spacing w:before="0" w:beforeAutospacing="0" w:after="0" w:afterAutospacing="0" w:line="360" w:lineRule="auto"/>
        <w:ind w:firstLine="420"/>
        <w:rPr>
          <w:sz w:val="21"/>
          <w:szCs w:val="21"/>
        </w:rPr>
      </w:pPr>
      <w:r>
        <w:rPr>
          <w:rFonts w:hint="eastAsia"/>
          <w:b/>
          <w:bCs/>
          <w:sz w:val="21"/>
          <w:szCs w:val="21"/>
        </w:rPr>
        <w:t>(107)上海陆金所基金销售有限公司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(108)珠海盈米基金销售有限公司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(109)和耕传承基金销售有限公司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(110)南京途牛基金销售有限公司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http://jr.tuniu.com/ </w:t>
            </w:r>
          </w:p>
        </w:tc>
      </w:tr>
    </w:tbl>
    <w:p>
      <w:pPr>
        <w:pStyle w:val="7"/>
        <w:spacing w:before="0" w:beforeAutospacing="0" w:after="0" w:afterAutospacing="0" w:line="360" w:lineRule="auto"/>
        <w:ind w:firstLine="420"/>
        <w:rPr>
          <w:sz w:val="21"/>
          <w:szCs w:val="21"/>
        </w:rPr>
      </w:pPr>
      <w:r>
        <w:rPr>
          <w:rFonts w:hint="eastAsia"/>
          <w:b/>
          <w:bCs/>
          <w:sz w:val="21"/>
          <w:szCs w:val="21"/>
        </w:rPr>
        <w:t>(111)奕丰基金销售有限公司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 栋 201 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深圳市南山区海德三路海岸大厦东座1116室及1307室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TAN YIK KUAN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许雅君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0755-89460502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0755-21674453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0755-89460500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www.ifastps.com.cn </w:t>
            </w:r>
          </w:p>
        </w:tc>
      </w:tr>
    </w:tbl>
    <w:p>
      <w:pPr>
        <w:pStyle w:val="7"/>
        <w:spacing w:before="0" w:beforeAutospacing="0" w:after="0" w:afterAutospacing="0" w:line="360" w:lineRule="auto"/>
        <w:ind w:firstLine="420"/>
        <w:rPr>
          <w:sz w:val="21"/>
          <w:szCs w:val="21"/>
        </w:rPr>
      </w:pPr>
      <w:r>
        <w:rPr>
          <w:rFonts w:hint="eastAsia"/>
          <w:b/>
          <w:bCs/>
          <w:sz w:val="21"/>
          <w:szCs w:val="21"/>
        </w:rPr>
        <w:t>(112)中证金牛（北京）基金销售有限公司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www.jnlc.com </w:t>
            </w:r>
          </w:p>
        </w:tc>
      </w:tr>
    </w:tbl>
    <w:p>
      <w:pPr>
        <w:pStyle w:val="7"/>
        <w:spacing w:before="0" w:beforeAutospacing="0" w:after="0" w:afterAutospacing="0" w:line="360" w:lineRule="auto"/>
        <w:ind w:firstLine="420"/>
        <w:rPr>
          <w:sz w:val="21"/>
          <w:szCs w:val="21"/>
        </w:rPr>
      </w:pPr>
      <w:r>
        <w:rPr>
          <w:rFonts w:hint="eastAsia"/>
          <w:b/>
          <w:bCs/>
          <w:sz w:val="21"/>
          <w:szCs w:val="21"/>
        </w:rPr>
        <w:t>(113)北京懒猫基金销售有限公司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北京市石景山区石景山路31号院盛景国际广场3号楼1119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北京市朝阳区呼家楼安联大厦715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许现良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张苗苗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15110085067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010-87723200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400-150-0882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www.lanmao.com </w:t>
            </w:r>
          </w:p>
        </w:tc>
      </w:tr>
    </w:tbl>
    <w:p>
      <w:pPr>
        <w:pStyle w:val="7"/>
        <w:spacing w:before="0" w:beforeAutospacing="0" w:after="0" w:afterAutospacing="0" w:line="360" w:lineRule="auto"/>
        <w:ind w:firstLine="420"/>
        <w:rPr>
          <w:sz w:val="21"/>
          <w:szCs w:val="21"/>
        </w:rPr>
      </w:pPr>
      <w:r>
        <w:rPr>
          <w:rFonts w:hint="eastAsia"/>
          <w:b/>
          <w:bCs/>
          <w:sz w:val="21"/>
          <w:szCs w:val="21"/>
        </w:rPr>
        <w:t>(114)京东肯特瑞基金销售有限公司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(115)大连网金基金销售有限公司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0411-39027800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0411-39027888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http://www.yibaijin.com/ </w:t>
            </w:r>
          </w:p>
        </w:tc>
      </w:tr>
    </w:tbl>
    <w:p>
      <w:pPr>
        <w:pStyle w:val="7"/>
        <w:spacing w:before="0" w:beforeAutospacing="0" w:after="0" w:afterAutospacing="0" w:line="360" w:lineRule="auto"/>
        <w:ind w:firstLine="420"/>
        <w:rPr>
          <w:sz w:val="21"/>
          <w:szCs w:val="21"/>
        </w:rPr>
      </w:pPr>
      <w:r>
        <w:rPr>
          <w:rFonts w:hint="eastAsia"/>
          <w:b/>
          <w:bCs/>
          <w:sz w:val="21"/>
          <w:szCs w:val="21"/>
        </w:rPr>
        <w:t>(116)深圳市金斧子基金销售有限公司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(117)北京雪球基金销售有限公司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(118)深圳前海欧中联合基金销售有限公司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深圳市宝安中心区海秀路19号国际西岸商务大厦703、705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0755-23328531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http://www.ecpefund.com/ </w:t>
            </w:r>
          </w:p>
        </w:tc>
      </w:tr>
    </w:tbl>
    <w:p>
      <w:pPr>
        <w:pStyle w:val="7"/>
        <w:spacing w:before="0" w:beforeAutospacing="0" w:after="0" w:afterAutospacing="0" w:line="360" w:lineRule="auto"/>
        <w:ind w:firstLine="420"/>
        <w:rPr>
          <w:sz w:val="21"/>
          <w:szCs w:val="21"/>
        </w:rPr>
      </w:pPr>
      <w:r>
        <w:rPr>
          <w:rFonts w:hint="eastAsia"/>
          <w:b/>
          <w:bCs/>
          <w:sz w:val="21"/>
          <w:szCs w:val="21"/>
        </w:rPr>
        <w:t>(119)深圳前海财厚基金销售有限公司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(120)万家财富基金销售（天津）有限公司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北京市西城区丰盛胡同28号太平洋保险大厦5层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李修辞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010-59013707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http://www.wanjiawealth.com/ </w:t>
            </w:r>
          </w:p>
        </w:tc>
      </w:tr>
    </w:tbl>
    <w:p>
      <w:pPr>
        <w:pStyle w:val="7"/>
        <w:spacing w:before="0" w:beforeAutospacing="0" w:after="0" w:afterAutospacing="0" w:line="360" w:lineRule="auto"/>
        <w:ind w:firstLine="420"/>
        <w:rPr>
          <w:sz w:val="21"/>
          <w:szCs w:val="21"/>
        </w:rPr>
      </w:pPr>
      <w:r>
        <w:rPr>
          <w:rFonts w:hint="eastAsia"/>
          <w:b/>
          <w:bCs/>
          <w:sz w:val="21"/>
          <w:szCs w:val="21"/>
        </w:rPr>
        <w:t>(121)上海华夏财富投资管理有限公司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毛淮平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张静怡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010-88066326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400-817-5666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https://www.amcfortune.com/ </w:t>
            </w:r>
          </w:p>
        </w:tc>
      </w:tr>
    </w:tbl>
    <w:p>
      <w:pPr>
        <w:pStyle w:val="7"/>
        <w:spacing w:before="0" w:beforeAutospacing="0" w:after="0" w:afterAutospacing="0" w:line="360" w:lineRule="auto"/>
        <w:ind w:firstLine="420"/>
        <w:rPr>
          <w:sz w:val="21"/>
          <w:szCs w:val="21"/>
        </w:rPr>
      </w:pPr>
      <w:r>
        <w:rPr>
          <w:rFonts w:hint="eastAsia"/>
          <w:b/>
          <w:bCs/>
          <w:sz w:val="21"/>
          <w:szCs w:val="21"/>
        </w:rPr>
        <w:t>(122)洪泰财富（青岛）基金销售有限责任公司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(123)中国国际期货股份有限公司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北京市朝阳区建国门外光华路14号1幢1层、2层、9层、11层、12层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北京市朝阳区麦子店西路3号新恒基国际大厦15层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010-59539864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95162、400-8888-160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http://www.cifco.net </w:t>
            </w:r>
          </w:p>
        </w:tc>
      </w:tr>
    </w:tbl>
    <w:p>
      <w:pPr>
        <w:pStyle w:val="7"/>
        <w:spacing w:before="0" w:beforeAutospacing="0" w:after="0" w:afterAutospacing="0" w:line="360" w:lineRule="auto"/>
        <w:ind w:firstLine="420"/>
        <w:rPr>
          <w:sz w:val="21"/>
          <w:szCs w:val="21"/>
        </w:rPr>
      </w:pPr>
      <w:r>
        <w:rPr>
          <w:rFonts w:hint="eastAsia"/>
          <w:b/>
          <w:bCs/>
          <w:sz w:val="21"/>
          <w:szCs w:val="21"/>
        </w:rPr>
        <w:t>(124)中信建投期货有限公司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重庆市渝中区中山三路107号上站大楼平街11-B，名义层11-A，8-B4，9-B、C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重庆市渝中区中山三路107号皇冠大厦11楼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彭文德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023-89769637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023-86769629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400-8877-780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www.cfc108.com </w:t>
            </w:r>
          </w:p>
        </w:tc>
      </w:tr>
    </w:tbl>
    <w:p>
      <w:pPr>
        <w:pStyle w:val="7"/>
        <w:spacing w:before="0" w:beforeAutospacing="0" w:after="0" w:afterAutospacing="0" w:line="360" w:lineRule="auto"/>
        <w:ind w:firstLine="420"/>
        <w:rPr>
          <w:sz w:val="21"/>
          <w:szCs w:val="21"/>
        </w:rPr>
      </w:pPr>
      <w:r>
        <w:rPr>
          <w:rFonts w:hint="eastAsia"/>
          <w:b/>
          <w:bCs/>
          <w:sz w:val="21"/>
          <w:szCs w:val="21"/>
        </w:rPr>
        <w:t>(125)中信期货有限公司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(126)徽商期货有限责任公司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杨彩格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0551-62865999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0551-62865899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400-887-8707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www.hsqh.net </w:t>
            </w:r>
          </w:p>
        </w:tc>
      </w:tr>
    </w:tbl>
    <w:p>
      <w:pPr>
        <w:pStyle w:val="7"/>
        <w:spacing w:before="0" w:beforeAutospacing="0" w:after="0" w:afterAutospacing="0" w:line="360" w:lineRule="auto"/>
        <w:ind w:firstLine="420"/>
        <w:rPr>
          <w:sz w:val="21"/>
          <w:szCs w:val="21"/>
        </w:rPr>
      </w:pPr>
      <w:r>
        <w:rPr>
          <w:rFonts w:hint="eastAsia"/>
          <w:b/>
          <w:bCs/>
          <w:sz w:val="21"/>
          <w:szCs w:val="21"/>
        </w:rPr>
        <w:t>(127)东海期货有限责任公司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江苏省常州市延陵西路23、25、27、29号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上海市浦东新区东方路1928号东海证券大厦8楼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陈太康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李天雨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021-68757102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021-68757102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www.qh168.com.cn </w:t>
            </w:r>
          </w:p>
        </w:tc>
      </w:tr>
    </w:tbl>
    <w:p>
      <w:pPr>
        <w:pStyle w:val="7"/>
        <w:spacing w:before="0" w:beforeAutospacing="0" w:after="0" w:afterAutospacing="0" w:line="360" w:lineRule="auto"/>
        <w:ind w:firstLine="420"/>
        <w:rPr>
          <w:sz w:val="21"/>
          <w:szCs w:val="21"/>
        </w:rPr>
      </w:pPr>
      <w:r>
        <w:rPr>
          <w:rFonts w:hint="eastAsia"/>
          <w:b/>
          <w:bCs/>
          <w:sz w:val="21"/>
          <w:szCs w:val="21"/>
        </w:rPr>
        <w:t>(128)弘业期货股份有限公司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周剑秋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孙朝旺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025-52278870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025-52313068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400-828-1288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www.ftol.com.cn </w:t>
            </w:r>
          </w:p>
        </w:tc>
      </w:tr>
    </w:tbl>
    <w:p>
      <w:pPr>
        <w:pStyle w:val="7"/>
        <w:spacing w:before="0" w:beforeAutospacing="0" w:after="0" w:afterAutospacing="0" w:line="360" w:lineRule="auto"/>
        <w:ind w:firstLine="420"/>
        <w:rPr>
          <w:sz w:val="21"/>
          <w:szCs w:val="21"/>
        </w:rPr>
      </w:pPr>
      <w:r>
        <w:rPr>
          <w:rFonts w:hint="eastAsia"/>
          <w:b/>
          <w:bCs/>
          <w:sz w:val="21"/>
          <w:szCs w:val="21"/>
        </w:rPr>
        <w:t>(129)大有期货有限公司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沈众辉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0731-84409000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0731-84409009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400-636-5058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www.dayouf.com </w:t>
            </w:r>
          </w:p>
        </w:tc>
      </w:tr>
    </w:tbl>
    <w:p>
      <w:pPr>
        <w:pStyle w:val="7"/>
        <w:spacing w:before="0" w:beforeAutospacing="0" w:after="0" w:afterAutospacing="0" w:line="360" w:lineRule="auto"/>
        <w:ind w:firstLine="420"/>
        <w:rPr>
          <w:sz w:val="21"/>
          <w:szCs w:val="21"/>
        </w:rPr>
      </w:pPr>
      <w:r>
        <w:rPr>
          <w:rFonts w:hint="eastAsia"/>
          <w:b/>
          <w:bCs/>
          <w:sz w:val="21"/>
          <w:szCs w:val="21"/>
        </w:rPr>
        <w:t>(130)和合期货有限公司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(131)国泰君安证券股份有限公司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(132)中信建投证券股份有限公司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(133)国信证券股份有限公司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http://www.guosen.com.cn/ </w:t>
            </w:r>
          </w:p>
        </w:tc>
      </w:tr>
    </w:tbl>
    <w:p>
      <w:pPr>
        <w:pStyle w:val="7"/>
        <w:spacing w:before="0" w:beforeAutospacing="0" w:after="0" w:afterAutospacing="0" w:line="360" w:lineRule="auto"/>
        <w:ind w:firstLine="420"/>
        <w:rPr>
          <w:sz w:val="21"/>
          <w:szCs w:val="21"/>
        </w:rPr>
      </w:pPr>
      <w:r>
        <w:rPr>
          <w:rFonts w:hint="eastAsia"/>
          <w:b/>
          <w:bCs/>
          <w:sz w:val="21"/>
          <w:szCs w:val="21"/>
        </w:rPr>
        <w:t>(134)招商证券股份有限公司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(135)广发证券股份有限公司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林传辉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http://www.gf.com.cn/ </w:t>
            </w:r>
          </w:p>
        </w:tc>
      </w:tr>
    </w:tbl>
    <w:p>
      <w:pPr>
        <w:pStyle w:val="7"/>
        <w:spacing w:before="0" w:beforeAutospacing="0" w:after="0" w:afterAutospacing="0" w:line="360" w:lineRule="auto"/>
        <w:ind w:firstLine="420"/>
        <w:rPr>
          <w:sz w:val="21"/>
          <w:szCs w:val="21"/>
        </w:rPr>
      </w:pPr>
      <w:r>
        <w:rPr>
          <w:rFonts w:hint="eastAsia"/>
          <w:b/>
          <w:bCs/>
          <w:sz w:val="21"/>
          <w:szCs w:val="21"/>
        </w:rPr>
        <w:t>(136)中信证券股份有限公司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(137)中国银河证券股份有限公司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北京市丰台区西营街8号院1号楼7至18层101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www.chinastock.com.cn/ </w:t>
            </w:r>
          </w:p>
        </w:tc>
      </w:tr>
    </w:tbl>
    <w:p>
      <w:pPr>
        <w:pStyle w:val="7"/>
        <w:spacing w:before="0" w:beforeAutospacing="0" w:after="0" w:afterAutospacing="0" w:line="360" w:lineRule="auto"/>
        <w:ind w:firstLine="420"/>
        <w:rPr>
          <w:sz w:val="21"/>
          <w:szCs w:val="21"/>
        </w:rPr>
      </w:pPr>
      <w:r>
        <w:rPr>
          <w:rFonts w:hint="eastAsia"/>
          <w:b/>
          <w:bCs/>
          <w:sz w:val="21"/>
          <w:szCs w:val="21"/>
        </w:rPr>
        <w:t>(138)海通证券股份有限公司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(139)申万宏源证券有限公司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上海市徐汇区长乐路989号世纪商贸广场45层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(140)兴业证券股份有限公司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福州市湖东路268号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上海市浦东民生路1199弄五道口广场1号楼21层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杨华辉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乔琳雪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021-38565547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021－38565783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4008888123/95562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http://www.xyzq.com.cn/ </w:t>
            </w:r>
          </w:p>
        </w:tc>
      </w:tr>
    </w:tbl>
    <w:p>
      <w:pPr>
        <w:pStyle w:val="7"/>
        <w:spacing w:before="0" w:beforeAutospacing="0" w:after="0" w:afterAutospacing="0" w:line="360" w:lineRule="auto"/>
        <w:ind w:firstLine="420"/>
        <w:rPr>
          <w:sz w:val="21"/>
          <w:szCs w:val="21"/>
        </w:rPr>
      </w:pPr>
      <w:r>
        <w:rPr>
          <w:rFonts w:hint="eastAsia"/>
          <w:b/>
          <w:bCs/>
          <w:sz w:val="21"/>
          <w:szCs w:val="21"/>
        </w:rPr>
        <w:t>(141)长江证券股份有限公司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http://www.95579.com/ </w:t>
            </w:r>
          </w:p>
        </w:tc>
      </w:tr>
    </w:tbl>
    <w:p>
      <w:pPr>
        <w:pStyle w:val="7"/>
        <w:spacing w:before="0" w:beforeAutospacing="0" w:after="0" w:afterAutospacing="0" w:line="360" w:lineRule="auto"/>
        <w:ind w:firstLine="420"/>
        <w:rPr>
          <w:sz w:val="21"/>
          <w:szCs w:val="21"/>
        </w:rPr>
      </w:pPr>
      <w:r>
        <w:rPr>
          <w:rFonts w:hint="eastAsia"/>
          <w:b/>
          <w:bCs/>
          <w:sz w:val="21"/>
          <w:szCs w:val="21"/>
        </w:rPr>
        <w:t>(142)安信证券股份有限公司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(143)西南证券股份有限公司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重庆市江北区桥北苑8号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重庆市江北区桥北苑8号西南证券大厦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廖庆轩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023-67616310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023-63786212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4008096096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http://www.swsc.com.cn </w:t>
            </w:r>
          </w:p>
        </w:tc>
      </w:tr>
    </w:tbl>
    <w:p>
      <w:pPr>
        <w:pStyle w:val="7"/>
        <w:spacing w:before="0" w:beforeAutospacing="0" w:after="0" w:afterAutospacing="0" w:line="360" w:lineRule="auto"/>
        <w:ind w:firstLine="420"/>
        <w:rPr>
          <w:sz w:val="21"/>
          <w:szCs w:val="21"/>
        </w:rPr>
      </w:pPr>
      <w:r>
        <w:rPr>
          <w:rFonts w:hint="eastAsia"/>
          <w:b/>
          <w:bCs/>
          <w:sz w:val="21"/>
          <w:szCs w:val="21"/>
        </w:rPr>
        <w:t>(144)湘财证券股份有限公司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林俊波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021-38784580-8920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http://www.xcsc.com </w:t>
            </w:r>
          </w:p>
        </w:tc>
      </w:tr>
    </w:tbl>
    <w:p>
      <w:pPr>
        <w:pStyle w:val="7"/>
        <w:spacing w:before="0" w:beforeAutospacing="0" w:after="0" w:afterAutospacing="0" w:line="360" w:lineRule="auto"/>
        <w:ind w:firstLine="420"/>
        <w:rPr>
          <w:sz w:val="21"/>
          <w:szCs w:val="21"/>
        </w:rPr>
      </w:pPr>
      <w:r>
        <w:rPr>
          <w:rFonts w:hint="eastAsia"/>
          <w:b/>
          <w:bCs/>
          <w:sz w:val="21"/>
          <w:szCs w:val="21"/>
        </w:rPr>
        <w:t>(145)万联证券股份有限公司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广州市天河区珠江东路11号18、19楼全层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广东省广州市天河区珠江东路13号高德置地广场E座12层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袁笑一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020-83988334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020－22373718－1013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http://www.wlzq.cn </w:t>
            </w:r>
          </w:p>
        </w:tc>
      </w:tr>
    </w:tbl>
    <w:p>
      <w:pPr>
        <w:pStyle w:val="7"/>
        <w:spacing w:before="0" w:beforeAutospacing="0" w:after="0" w:afterAutospacing="0" w:line="360" w:lineRule="auto"/>
        <w:ind w:firstLine="420"/>
        <w:rPr>
          <w:sz w:val="21"/>
          <w:szCs w:val="21"/>
        </w:rPr>
      </w:pPr>
      <w:r>
        <w:rPr>
          <w:rFonts w:hint="eastAsia"/>
          <w:b/>
          <w:bCs/>
          <w:sz w:val="21"/>
          <w:szCs w:val="21"/>
        </w:rPr>
        <w:t>(146)国元证券股份有限公司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凤良志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0551－2272101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0551－2272100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全国统一热线4008888777，安徽省内热线96888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http://www.gyzq.com.cn </w:t>
            </w:r>
          </w:p>
        </w:tc>
      </w:tr>
    </w:tbl>
    <w:p>
      <w:pPr>
        <w:pStyle w:val="7"/>
        <w:spacing w:before="0" w:beforeAutospacing="0" w:after="0" w:afterAutospacing="0" w:line="360" w:lineRule="auto"/>
        <w:ind w:firstLine="420"/>
        <w:rPr>
          <w:sz w:val="21"/>
          <w:szCs w:val="21"/>
        </w:rPr>
      </w:pPr>
      <w:r>
        <w:rPr>
          <w:rFonts w:hint="eastAsia"/>
          <w:b/>
          <w:bCs/>
          <w:sz w:val="21"/>
          <w:szCs w:val="21"/>
        </w:rPr>
        <w:t>(147)渤海证券股份有限公司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天津经济技术开发区第二大街42号写字楼101室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天津市南开区宾水西道8号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安志勇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022-23861692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022－28451892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4006515988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http://www.ewww.com.cn </w:t>
            </w:r>
          </w:p>
        </w:tc>
      </w:tr>
    </w:tbl>
    <w:p>
      <w:pPr>
        <w:pStyle w:val="7"/>
        <w:spacing w:before="0" w:beforeAutospacing="0" w:after="0" w:afterAutospacing="0" w:line="360" w:lineRule="auto"/>
        <w:ind w:firstLine="420"/>
        <w:rPr>
          <w:sz w:val="21"/>
          <w:szCs w:val="21"/>
        </w:rPr>
      </w:pPr>
      <w:r>
        <w:rPr>
          <w:rFonts w:hint="eastAsia"/>
          <w:b/>
          <w:bCs/>
          <w:sz w:val="21"/>
          <w:szCs w:val="21"/>
        </w:rPr>
        <w:t>(148)华泰证券股份有限公司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办公地址 南京市建邺区江东中路228号华泰证券广场、深圳市福田区深南大道4011号港中旅大厦18楼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0755-82492962（深圳）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http://www.htsc.com.cn/ </w:t>
            </w:r>
          </w:p>
        </w:tc>
      </w:tr>
    </w:tbl>
    <w:p>
      <w:pPr>
        <w:pStyle w:val="7"/>
        <w:spacing w:before="0" w:beforeAutospacing="0" w:after="0" w:afterAutospacing="0" w:line="360" w:lineRule="auto"/>
        <w:ind w:firstLine="420"/>
        <w:rPr>
          <w:sz w:val="21"/>
          <w:szCs w:val="21"/>
        </w:rPr>
      </w:pPr>
      <w:r>
        <w:rPr>
          <w:rFonts w:hint="eastAsia"/>
          <w:b/>
          <w:bCs/>
          <w:sz w:val="21"/>
          <w:szCs w:val="21"/>
        </w:rPr>
        <w:t>(149)山西证券股份有限公司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侯巍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0351－8686659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0351－8686619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4006661618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http://www.i618.com.cn/ </w:t>
            </w:r>
          </w:p>
        </w:tc>
      </w:tr>
    </w:tbl>
    <w:p>
      <w:pPr>
        <w:pStyle w:val="7"/>
        <w:spacing w:before="0" w:beforeAutospacing="0" w:after="0" w:afterAutospacing="0" w:line="360" w:lineRule="auto"/>
        <w:ind w:firstLine="420"/>
        <w:rPr>
          <w:sz w:val="21"/>
          <w:szCs w:val="21"/>
        </w:rPr>
      </w:pPr>
      <w:r>
        <w:rPr>
          <w:rFonts w:hint="eastAsia"/>
          <w:b/>
          <w:bCs/>
          <w:sz w:val="21"/>
          <w:szCs w:val="21"/>
        </w:rPr>
        <w:t>(150)中信证券（山东）有限责任公司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(151)东兴证券股份有限公司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北京市西城区金融大街5号（新盛大厦）12、15层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北京市西城区金融大街5号新盛大厦B座12-15层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魏庆华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郑旷怡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010-66559039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010-66555133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http://www.dxzq.net </w:t>
            </w:r>
          </w:p>
        </w:tc>
      </w:tr>
    </w:tbl>
    <w:p>
      <w:pPr>
        <w:pStyle w:val="7"/>
        <w:spacing w:before="0" w:beforeAutospacing="0" w:after="0" w:afterAutospacing="0" w:line="360" w:lineRule="auto"/>
        <w:ind w:firstLine="420"/>
        <w:rPr>
          <w:sz w:val="21"/>
          <w:szCs w:val="21"/>
        </w:rPr>
      </w:pPr>
      <w:r>
        <w:rPr>
          <w:rFonts w:hint="eastAsia"/>
          <w:b/>
          <w:bCs/>
          <w:sz w:val="21"/>
          <w:szCs w:val="21"/>
        </w:rPr>
        <w:t>(152)东吴证券股份有限公司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江苏省苏州市翠园路181号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江苏省苏州市星阳街5号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范力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陆晓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0512-62938521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0512－65588021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4008601555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http://www.dwjq.com.cn </w:t>
            </w:r>
          </w:p>
        </w:tc>
      </w:tr>
    </w:tbl>
    <w:p>
      <w:pPr>
        <w:pStyle w:val="7"/>
        <w:spacing w:before="0" w:beforeAutospacing="0" w:after="0" w:afterAutospacing="0" w:line="360" w:lineRule="auto"/>
        <w:ind w:firstLine="420"/>
        <w:rPr>
          <w:sz w:val="21"/>
          <w:szCs w:val="21"/>
        </w:rPr>
      </w:pPr>
      <w:r>
        <w:rPr>
          <w:rFonts w:hint="eastAsia"/>
          <w:b/>
          <w:bCs/>
          <w:sz w:val="21"/>
          <w:szCs w:val="21"/>
        </w:rPr>
        <w:t>(153)信达证券股份有限公司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王薇安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010－83252170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010－63081344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http://www.cindasc.com </w:t>
            </w:r>
          </w:p>
        </w:tc>
      </w:tr>
    </w:tbl>
    <w:p>
      <w:pPr>
        <w:pStyle w:val="7"/>
        <w:spacing w:before="0" w:beforeAutospacing="0" w:after="0" w:afterAutospacing="0" w:line="360" w:lineRule="auto"/>
        <w:ind w:firstLine="420"/>
        <w:rPr>
          <w:sz w:val="21"/>
          <w:szCs w:val="21"/>
        </w:rPr>
      </w:pPr>
      <w:r>
        <w:rPr>
          <w:rFonts w:hint="eastAsia"/>
          <w:b/>
          <w:bCs/>
          <w:sz w:val="21"/>
          <w:szCs w:val="21"/>
        </w:rPr>
        <w:t>(154)东方证券股份有限公司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上海市中山南路318号2号楼22层－29层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上海市中山南路318号2号楼21层－29层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金文忠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朱琼玉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021-63325888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021－63326729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http://www.dfzq.com.cn </w:t>
            </w:r>
          </w:p>
        </w:tc>
      </w:tr>
    </w:tbl>
    <w:p>
      <w:pPr>
        <w:pStyle w:val="7"/>
        <w:spacing w:before="0" w:beforeAutospacing="0" w:after="0" w:afterAutospacing="0" w:line="360" w:lineRule="auto"/>
        <w:ind w:firstLine="420"/>
        <w:rPr>
          <w:sz w:val="21"/>
          <w:szCs w:val="21"/>
        </w:rPr>
      </w:pPr>
      <w:r>
        <w:rPr>
          <w:rFonts w:hint="eastAsia"/>
          <w:b/>
          <w:bCs/>
          <w:sz w:val="21"/>
          <w:szCs w:val="21"/>
        </w:rPr>
        <w:t>(155)方正证券股份有限公司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010-56437060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0731-85832214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http://www.foundersc.com </w:t>
            </w:r>
          </w:p>
        </w:tc>
      </w:tr>
    </w:tbl>
    <w:p>
      <w:pPr>
        <w:pStyle w:val="7"/>
        <w:spacing w:before="0" w:beforeAutospacing="0" w:after="0" w:afterAutospacing="0" w:line="360" w:lineRule="auto"/>
        <w:ind w:firstLine="420"/>
        <w:rPr>
          <w:sz w:val="21"/>
          <w:szCs w:val="21"/>
        </w:rPr>
      </w:pPr>
      <w:r>
        <w:rPr>
          <w:rFonts w:hint="eastAsia"/>
          <w:b/>
          <w:bCs/>
          <w:sz w:val="21"/>
          <w:szCs w:val="21"/>
        </w:rPr>
        <w:t>(156)长城证券股份有限公司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深圳市深南大道6008号特区报业大厦16、17层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深圳市深南大道6008号特区报业大厦14、16、17层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丁益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0755-83464734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0755－83515567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http://www.cgws.com </w:t>
            </w:r>
          </w:p>
        </w:tc>
      </w:tr>
    </w:tbl>
    <w:p>
      <w:pPr>
        <w:pStyle w:val="7"/>
        <w:spacing w:before="0" w:beforeAutospacing="0" w:after="0" w:afterAutospacing="0" w:line="360" w:lineRule="auto"/>
        <w:ind w:firstLine="420"/>
        <w:rPr>
          <w:sz w:val="21"/>
          <w:szCs w:val="21"/>
        </w:rPr>
      </w:pPr>
      <w:r>
        <w:rPr>
          <w:rFonts w:hint="eastAsia"/>
          <w:b/>
          <w:bCs/>
          <w:sz w:val="21"/>
          <w:szCs w:val="21"/>
        </w:rPr>
        <w:t>(157)光大证券股份有限公司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(158)中信证券华南股份有限公司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(159)东北证券股份有限公司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http://www.nesc.cn </w:t>
            </w:r>
          </w:p>
        </w:tc>
      </w:tr>
    </w:tbl>
    <w:p>
      <w:pPr>
        <w:pStyle w:val="7"/>
        <w:spacing w:before="0" w:beforeAutospacing="0" w:after="0" w:afterAutospacing="0" w:line="360" w:lineRule="auto"/>
        <w:ind w:firstLine="420"/>
        <w:rPr>
          <w:sz w:val="21"/>
          <w:szCs w:val="21"/>
        </w:rPr>
      </w:pPr>
      <w:r>
        <w:rPr>
          <w:rFonts w:hint="eastAsia"/>
          <w:b/>
          <w:bCs/>
          <w:sz w:val="21"/>
          <w:szCs w:val="21"/>
        </w:rPr>
        <w:t>(160)南京证券股份有限公司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http://www.njzq.com.cn </w:t>
            </w:r>
          </w:p>
        </w:tc>
      </w:tr>
    </w:tbl>
    <w:p>
      <w:pPr>
        <w:pStyle w:val="7"/>
        <w:spacing w:before="0" w:beforeAutospacing="0" w:after="0" w:afterAutospacing="0" w:line="360" w:lineRule="auto"/>
        <w:ind w:firstLine="420"/>
        <w:rPr>
          <w:sz w:val="21"/>
          <w:szCs w:val="21"/>
        </w:rPr>
      </w:pPr>
      <w:r>
        <w:rPr>
          <w:rFonts w:hint="eastAsia"/>
          <w:b/>
          <w:bCs/>
          <w:sz w:val="21"/>
          <w:szCs w:val="21"/>
        </w:rPr>
        <w:t>(161)上海证券有限责任公司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https://www.shzq.com/ </w:t>
            </w:r>
          </w:p>
        </w:tc>
      </w:tr>
    </w:tbl>
    <w:p>
      <w:pPr>
        <w:pStyle w:val="7"/>
        <w:spacing w:before="0" w:beforeAutospacing="0" w:after="0" w:afterAutospacing="0" w:line="360" w:lineRule="auto"/>
        <w:ind w:firstLine="420"/>
        <w:rPr>
          <w:sz w:val="21"/>
          <w:szCs w:val="21"/>
        </w:rPr>
      </w:pPr>
      <w:r>
        <w:rPr>
          <w:rFonts w:hint="eastAsia"/>
          <w:b/>
          <w:bCs/>
          <w:sz w:val="21"/>
          <w:szCs w:val="21"/>
        </w:rPr>
        <w:t>(162)诚通证券股份有限公司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http://www.xsdzq.cn </w:t>
            </w:r>
          </w:p>
        </w:tc>
      </w:tr>
    </w:tbl>
    <w:p>
      <w:pPr>
        <w:pStyle w:val="7"/>
        <w:spacing w:before="0" w:beforeAutospacing="0" w:after="0" w:afterAutospacing="0" w:line="360" w:lineRule="auto"/>
        <w:ind w:firstLine="420"/>
        <w:rPr>
          <w:sz w:val="21"/>
          <w:szCs w:val="21"/>
        </w:rPr>
      </w:pPr>
      <w:r>
        <w:rPr>
          <w:rFonts w:hint="eastAsia"/>
          <w:b/>
          <w:bCs/>
          <w:sz w:val="21"/>
          <w:szCs w:val="21"/>
        </w:rPr>
        <w:t>(163)大同证券有限责任公司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山西省大同市平城区迎宾街15号桐城中央21层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山西省太原市小店区长治路111号山西世贸中心A座F12、F13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0351-7219891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www.dtsbc.com.cn </w:t>
            </w:r>
          </w:p>
        </w:tc>
      </w:tr>
    </w:tbl>
    <w:p>
      <w:pPr>
        <w:pStyle w:val="7"/>
        <w:spacing w:before="0" w:beforeAutospacing="0" w:after="0" w:afterAutospacing="0" w:line="360" w:lineRule="auto"/>
        <w:ind w:firstLine="420"/>
        <w:rPr>
          <w:sz w:val="21"/>
          <w:szCs w:val="21"/>
        </w:rPr>
      </w:pPr>
      <w:r>
        <w:rPr>
          <w:rFonts w:hint="eastAsia"/>
          <w:b/>
          <w:bCs/>
          <w:sz w:val="21"/>
          <w:szCs w:val="21"/>
        </w:rPr>
        <w:t>(164)国联证券股份有限公司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无锡市县前东街168号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江苏省无锡市太湖新城金融一街8号国联金融大厦702室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祁昊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0510-82831662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0510-82830162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http://www.glsc.com.cn </w:t>
            </w:r>
          </w:p>
        </w:tc>
      </w:tr>
    </w:tbl>
    <w:p>
      <w:pPr>
        <w:pStyle w:val="7"/>
        <w:spacing w:before="0" w:beforeAutospacing="0" w:after="0" w:afterAutospacing="0" w:line="360" w:lineRule="auto"/>
        <w:ind w:firstLine="420"/>
        <w:rPr>
          <w:sz w:val="21"/>
          <w:szCs w:val="21"/>
        </w:rPr>
      </w:pPr>
      <w:r>
        <w:rPr>
          <w:rFonts w:hint="eastAsia"/>
          <w:b/>
          <w:bCs/>
          <w:sz w:val="21"/>
          <w:szCs w:val="21"/>
        </w:rPr>
        <w:t>(165)浙商证券股份有限公司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浙江省杭州市江干区五星路201号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浙江省杭州市江干区四季青街道五星路201号浙商证券5楼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吴承根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沈高亮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0571-87902239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0571－87901913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http://www.stocke.com.cn/ </w:t>
            </w:r>
          </w:p>
        </w:tc>
      </w:tr>
    </w:tbl>
    <w:p>
      <w:pPr>
        <w:pStyle w:val="7"/>
        <w:spacing w:before="0" w:beforeAutospacing="0" w:after="0" w:afterAutospacing="0" w:line="360" w:lineRule="auto"/>
        <w:ind w:firstLine="420"/>
        <w:rPr>
          <w:sz w:val="21"/>
          <w:szCs w:val="21"/>
        </w:rPr>
      </w:pPr>
      <w:r>
        <w:rPr>
          <w:rFonts w:hint="eastAsia"/>
          <w:b/>
          <w:bCs/>
          <w:sz w:val="21"/>
          <w:szCs w:val="21"/>
        </w:rPr>
        <w:t>(166)平安证券股份有限公司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http:www.stock.pingan.com </w:t>
            </w:r>
          </w:p>
        </w:tc>
      </w:tr>
    </w:tbl>
    <w:p>
      <w:pPr>
        <w:pStyle w:val="7"/>
        <w:spacing w:before="0" w:beforeAutospacing="0" w:after="0" w:afterAutospacing="0" w:line="360" w:lineRule="auto"/>
        <w:ind w:firstLine="420"/>
        <w:rPr>
          <w:sz w:val="21"/>
          <w:szCs w:val="21"/>
        </w:rPr>
      </w:pPr>
      <w:r>
        <w:rPr>
          <w:rFonts w:hint="eastAsia"/>
          <w:b/>
          <w:bCs/>
          <w:sz w:val="21"/>
          <w:szCs w:val="21"/>
        </w:rPr>
        <w:t>(167)华安证券股份有限公司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安徽省合肥市政务文化新区天鹅湖路198号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安徽省合肥市南二环959号财智中心B1座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章宏韬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0551-65161821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0551－65161672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http://www.hazq.com/ </w:t>
            </w:r>
          </w:p>
        </w:tc>
      </w:tr>
    </w:tbl>
    <w:p>
      <w:pPr>
        <w:pStyle w:val="7"/>
        <w:spacing w:before="0" w:beforeAutospacing="0" w:after="0" w:afterAutospacing="0" w:line="360" w:lineRule="auto"/>
        <w:ind w:firstLine="420"/>
        <w:rPr>
          <w:sz w:val="21"/>
          <w:szCs w:val="21"/>
        </w:rPr>
      </w:pPr>
      <w:r>
        <w:rPr>
          <w:rFonts w:hint="eastAsia"/>
          <w:b/>
          <w:bCs/>
          <w:sz w:val="21"/>
          <w:szCs w:val="21"/>
        </w:rPr>
        <w:t>(168)国海证券股份有限公司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广西桂林市辅星路13号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深圳市福田区竹子林四路光大银行大厦3楼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张雅锋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0755－83707413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0755－83700205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4008888100（全国），96100（广西）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http://www.ghzq.com.cn </w:t>
            </w:r>
          </w:p>
        </w:tc>
      </w:tr>
    </w:tbl>
    <w:p>
      <w:pPr>
        <w:pStyle w:val="7"/>
        <w:spacing w:before="0" w:beforeAutospacing="0" w:after="0" w:afterAutospacing="0" w:line="360" w:lineRule="auto"/>
        <w:ind w:firstLine="420"/>
        <w:rPr>
          <w:sz w:val="21"/>
          <w:szCs w:val="21"/>
        </w:rPr>
      </w:pPr>
      <w:r>
        <w:rPr>
          <w:rFonts w:hint="eastAsia"/>
          <w:b/>
          <w:bCs/>
          <w:sz w:val="21"/>
          <w:szCs w:val="21"/>
        </w:rPr>
        <w:t>(169)财信证券有限责任公司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蔡一兵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0731-84403319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0731-84403439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0731-84403360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http://www.cfzq.com/ </w:t>
            </w:r>
          </w:p>
        </w:tc>
      </w:tr>
    </w:tbl>
    <w:p>
      <w:pPr>
        <w:pStyle w:val="7"/>
        <w:spacing w:before="0" w:beforeAutospacing="0" w:after="0" w:afterAutospacing="0" w:line="360" w:lineRule="auto"/>
        <w:ind w:firstLine="420"/>
        <w:rPr>
          <w:sz w:val="21"/>
          <w:szCs w:val="21"/>
        </w:rPr>
      </w:pPr>
      <w:r>
        <w:rPr>
          <w:rFonts w:hint="eastAsia"/>
          <w:b/>
          <w:bCs/>
          <w:sz w:val="21"/>
          <w:szCs w:val="21"/>
        </w:rPr>
        <w:t>(170)东莞证券有限责任公司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陈照星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叶玉琪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0769-22115712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http://www.dgzq.com.cn </w:t>
            </w:r>
          </w:p>
        </w:tc>
      </w:tr>
    </w:tbl>
    <w:p>
      <w:pPr>
        <w:pStyle w:val="7"/>
        <w:spacing w:before="0" w:beforeAutospacing="0" w:after="0" w:afterAutospacing="0" w:line="360" w:lineRule="auto"/>
        <w:ind w:firstLine="420"/>
        <w:rPr>
          <w:sz w:val="21"/>
          <w:szCs w:val="21"/>
        </w:rPr>
      </w:pPr>
      <w:r>
        <w:rPr>
          <w:rFonts w:hint="eastAsia"/>
          <w:b/>
          <w:bCs/>
          <w:sz w:val="21"/>
          <w:szCs w:val="21"/>
        </w:rPr>
        <w:t>(171)中原证券股份有限公司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菅明军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李盼盼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0371-69099882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0371--65585665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0371-967218;4008139666/95377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http://www.ccnew.com/ </w:t>
            </w:r>
          </w:p>
        </w:tc>
      </w:tr>
    </w:tbl>
    <w:p>
      <w:pPr>
        <w:pStyle w:val="7"/>
        <w:spacing w:before="0" w:beforeAutospacing="0" w:after="0" w:afterAutospacing="0" w:line="360" w:lineRule="auto"/>
        <w:ind w:firstLine="420"/>
        <w:rPr>
          <w:sz w:val="21"/>
          <w:szCs w:val="21"/>
        </w:rPr>
      </w:pPr>
      <w:r>
        <w:rPr>
          <w:rFonts w:hint="eastAsia"/>
          <w:b/>
          <w:bCs/>
          <w:sz w:val="21"/>
          <w:szCs w:val="21"/>
        </w:rPr>
        <w:t>(172)东海证券股份有限公司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江苏省常州延陵西路23号投资广场18层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上海市浦东新区东方路1928号东海证券大厦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钱俊文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王一彦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021-20333333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021-50498825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4008888588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http://www.longone.com.cn </w:t>
            </w:r>
          </w:p>
        </w:tc>
      </w:tr>
    </w:tbl>
    <w:p>
      <w:pPr>
        <w:pStyle w:val="7"/>
        <w:spacing w:before="0" w:beforeAutospacing="0" w:after="0" w:afterAutospacing="0" w:line="360" w:lineRule="auto"/>
        <w:ind w:firstLine="420"/>
        <w:rPr>
          <w:sz w:val="21"/>
          <w:szCs w:val="21"/>
        </w:rPr>
      </w:pPr>
      <w:r>
        <w:rPr>
          <w:rFonts w:hint="eastAsia"/>
          <w:b/>
          <w:bCs/>
          <w:sz w:val="21"/>
          <w:szCs w:val="21"/>
        </w:rPr>
        <w:t>(173)中银国际证券股份有限公司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 中国上海浦东银城中路200号中银大厦39-40层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上海市浦东新区银城中路200号中银大厦39层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宁敏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王炜哲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021－50372474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4006208888；021-61195566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http://www.bocichina.com </w:t>
            </w:r>
          </w:p>
        </w:tc>
      </w:tr>
    </w:tbl>
    <w:p>
      <w:pPr>
        <w:pStyle w:val="7"/>
        <w:spacing w:before="0" w:beforeAutospacing="0" w:after="0" w:afterAutospacing="0" w:line="360" w:lineRule="auto"/>
        <w:ind w:firstLine="420"/>
        <w:rPr>
          <w:sz w:val="21"/>
          <w:szCs w:val="21"/>
        </w:rPr>
      </w:pPr>
      <w:r>
        <w:rPr>
          <w:rFonts w:hint="eastAsia"/>
          <w:b/>
          <w:bCs/>
          <w:sz w:val="21"/>
          <w:szCs w:val="21"/>
        </w:rPr>
        <w:t>(174)恒泰证券股份有限公司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庞介民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0471－4972675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http://www.cnht.com.cn/ </w:t>
            </w:r>
          </w:p>
        </w:tc>
      </w:tr>
    </w:tbl>
    <w:p>
      <w:pPr>
        <w:pStyle w:val="7"/>
        <w:spacing w:before="0" w:beforeAutospacing="0" w:after="0" w:afterAutospacing="0" w:line="360" w:lineRule="auto"/>
        <w:ind w:firstLine="420"/>
        <w:rPr>
          <w:sz w:val="21"/>
          <w:szCs w:val="21"/>
        </w:rPr>
      </w:pPr>
      <w:r>
        <w:rPr>
          <w:rFonts w:hint="eastAsia"/>
          <w:b/>
          <w:bCs/>
          <w:sz w:val="21"/>
          <w:szCs w:val="21"/>
        </w:rPr>
        <w:t>(175)国盛证券有限责任公司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江西省南昌市新建区子实路1589号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江西省南昌市红谷滩新区凤凰中大道1115号北京银行大厦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占文驰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0791－86283372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0791－6289395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https://www.gszq.com/ </w:t>
            </w:r>
          </w:p>
        </w:tc>
      </w:tr>
    </w:tbl>
    <w:p>
      <w:pPr>
        <w:pStyle w:val="7"/>
        <w:spacing w:before="0" w:beforeAutospacing="0" w:after="0" w:afterAutospacing="0" w:line="360" w:lineRule="auto"/>
        <w:ind w:firstLine="420"/>
        <w:rPr>
          <w:sz w:val="21"/>
          <w:szCs w:val="21"/>
        </w:rPr>
      </w:pPr>
      <w:r>
        <w:rPr>
          <w:rFonts w:hint="eastAsia"/>
          <w:b/>
          <w:bCs/>
          <w:sz w:val="21"/>
          <w:szCs w:val="21"/>
        </w:rPr>
        <w:t>(176)华西证券股份有限公司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http://www.hx168.com.cn </w:t>
            </w:r>
          </w:p>
        </w:tc>
      </w:tr>
    </w:tbl>
    <w:p>
      <w:pPr>
        <w:pStyle w:val="7"/>
        <w:spacing w:before="0" w:beforeAutospacing="0" w:after="0" w:afterAutospacing="0" w:line="360" w:lineRule="auto"/>
        <w:ind w:firstLine="420"/>
        <w:rPr>
          <w:sz w:val="21"/>
          <w:szCs w:val="21"/>
        </w:rPr>
      </w:pPr>
      <w:r>
        <w:rPr>
          <w:rFonts w:hint="eastAsia"/>
          <w:b/>
          <w:bCs/>
          <w:sz w:val="21"/>
          <w:szCs w:val="21"/>
        </w:rPr>
        <w:t>(177)申万宏源西部证券有限公司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王献军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0991-2307105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010-88085195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(178)中泰证券股份有限公司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山东省济南市经十路20518号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山东省济南市经七路86号23层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021-20315161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0531-68889357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www.zts.com.cn </w:t>
            </w:r>
          </w:p>
        </w:tc>
      </w:tr>
    </w:tbl>
    <w:p>
      <w:pPr>
        <w:pStyle w:val="7"/>
        <w:spacing w:before="0" w:beforeAutospacing="0" w:after="0" w:afterAutospacing="0" w:line="360" w:lineRule="auto"/>
        <w:ind w:firstLine="420"/>
        <w:rPr>
          <w:sz w:val="21"/>
          <w:szCs w:val="21"/>
        </w:rPr>
      </w:pPr>
      <w:r>
        <w:rPr>
          <w:rFonts w:hint="eastAsia"/>
          <w:b/>
          <w:bCs/>
          <w:sz w:val="21"/>
          <w:szCs w:val="21"/>
        </w:rPr>
        <w:t>(179)世纪证券有限责任公司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深圳市前海深港合作区南山街道桂湾五路128号前海深港基金小镇对冲基金中心406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广东省深圳市福田区福田街道金田路2026号能源大厦北塔23-25楼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徐玲娟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0755-83199599-9135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http://www.csco.com.cn/ </w:t>
            </w:r>
          </w:p>
        </w:tc>
      </w:tr>
    </w:tbl>
    <w:p>
      <w:pPr>
        <w:pStyle w:val="7"/>
        <w:spacing w:before="0" w:beforeAutospacing="0" w:after="0" w:afterAutospacing="0" w:line="360" w:lineRule="auto"/>
        <w:ind w:firstLine="420"/>
        <w:rPr>
          <w:sz w:val="21"/>
          <w:szCs w:val="21"/>
        </w:rPr>
      </w:pPr>
      <w:r>
        <w:rPr>
          <w:rFonts w:hint="eastAsia"/>
          <w:b/>
          <w:bCs/>
          <w:sz w:val="21"/>
          <w:szCs w:val="21"/>
        </w:rPr>
        <w:t>(180)第一创业证券股份有限公司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http://www.firstcapital.com.cn/ </w:t>
            </w:r>
          </w:p>
        </w:tc>
      </w:tr>
    </w:tbl>
    <w:p>
      <w:pPr>
        <w:pStyle w:val="7"/>
        <w:spacing w:before="0" w:beforeAutospacing="0" w:after="0" w:afterAutospacing="0" w:line="360" w:lineRule="auto"/>
        <w:ind w:firstLine="420"/>
        <w:rPr>
          <w:sz w:val="21"/>
          <w:szCs w:val="21"/>
        </w:rPr>
      </w:pPr>
      <w:r>
        <w:rPr>
          <w:rFonts w:hint="eastAsia"/>
          <w:b/>
          <w:bCs/>
          <w:sz w:val="21"/>
          <w:szCs w:val="21"/>
        </w:rPr>
        <w:t>(181)中航证券有限公司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丛中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王丹妮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0791-6768763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0791-6789414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400-8866-567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http://www.avicsec.com/ </w:t>
            </w:r>
          </w:p>
        </w:tc>
      </w:tr>
    </w:tbl>
    <w:p>
      <w:pPr>
        <w:pStyle w:val="7"/>
        <w:spacing w:before="0" w:beforeAutospacing="0" w:after="0" w:afterAutospacing="0" w:line="360" w:lineRule="auto"/>
        <w:ind w:firstLine="420"/>
        <w:rPr>
          <w:sz w:val="21"/>
          <w:szCs w:val="21"/>
        </w:rPr>
      </w:pPr>
      <w:r>
        <w:rPr>
          <w:rFonts w:hint="eastAsia"/>
          <w:b/>
          <w:bCs/>
          <w:sz w:val="21"/>
          <w:szCs w:val="21"/>
        </w:rPr>
        <w:t>(182)华林证券股份有限公司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0755－82707855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0755－23613751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4001883888 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http://www.chinalin.com/ </w:t>
            </w:r>
          </w:p>
        </w:tc>
      </w:tr>
    </w:tbl>
    <w:p>
      <w:pPr>
        <w:pStyle w:val="7"/>
        <w:spacing w:before="0" w:beforeAutospacing="0" w:after="0" w:afterAutospacing="0" w:line="360" w:lineRule="auto"/>
        <w:ind w:firstLine="420"/>
        <w:rPr>
          <w:sz w:val="21"/>
          <w:szCs w:val="21"/>
        </w:rPr>
      </w:pPr>
      <w:r>
        <w:rPr>
          <w:rFonts w:hint="eastAsia"/>
          <w:b/>
          <w:bCs/>
          <w:sz w:val="21"/>
          <w:szCs w:val="21"/>
        </w:rPr>
        <w:t>(183)德邦证券股份有限公司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上海市普陀区曹杨路510号南半幢9楼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上海市浦东新区福山路500号城建国际中心26楼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武晓春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021-68761616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021-68767981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http://www.tebon.com.cn </w:t>
            </w:r>
          </w:p>
        </w:tc>
      </w:tr>
    </w:tbl>
    <w:p>
      <w:pPr>
        <w:pStyle w:val="7"/>
        <w:spacing w:before="0" w:beforeAutospacing="0" w:after="0" w:afterAutospacing="0" w:line="360" w:lineRule="auto"/>
        <w:ind w:firstLine="420"/>
        <w:rPr>
          <w:sz w:val="21"/>
          <w:szCs w:val="21"/>
        </w:rPr>
      </w:pPr>
      <w:r>
        <w:rPr>
          <w:rFonts w:hint="eastAsia"/>
          <w:b/>
          <w:bCs/>
          <w:sz w:val="21"/>
          <w:szCs w:val="21"/>
        </w:rPr>
        <w:t>(184)西部证券股份有限公司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陕西省西安市新城区东新街319号8幢10000室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西安市新城区东新街319号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徐朝晖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029-87211668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029-87406117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http://www.west95582.com/ </w:t>
            </w:r>
          </w:p>
        </w:tc>
      </w:tr>
    </w:tbl>
    <w:p>
      <w:pPr>
        <w:pStyle w:val="7"/>
        <w:spacing w:before="0" w:beforeAutospacing="0" w:after="0" w:afterAutospacing="0" w:line="360" w:lineRule="auto"/>
        <w:ind w:firstLine="420"/>
        <w:rPr>
          <w:sz w:val="21"/>
          <w:szCs w:val="21"/>
        </w:rPr>
      </w:pPr>
      <w:r>
        <w:rPr>
          <w:rFonts w:hint="eastAsia"/>
          <w:b/>
          <w:bCs/>
          <w:sz w:val="21"/>
          <w:szCs w:val="21"/>
        </w:rPr>
        <w:t>(185)华福证券有限责任公司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福州市五四路157号新天地大厦7、8层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福州市五四路157号新天地大厦7至10层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黄金琳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021-20655183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0591－87383610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http://www.hfzq.com.cn </w:t>
            </w:r>
          </w:p>
        </w:tc>
      </w:tr>
    </w:tbl>
    <w:p>
      <w:pPr>
        <w:pStyle w:val="7"/>
        <w:spacing w:before="0" w:beforeAutospacing="0" w:after="0" w:afterAutospacing="0" w:line="360" w:lineRule="auto"/>
        <w:ind w:firstLine="420"/>
        <w:rPr>
          <w:sz w:val="21"/>
          <w:szCs w:val="21"/>
        </w:rPr>
      </w:pPr>
      <w:r>
        <w:rPr>
          <w:rFonts w:hint="eastAsia"/>
          <w:b/>
          <w:bCs/>
          <w:sz w:val="21"/>
          <w:szCs w:val="21"/>
        </w:rPr>
        <w:t>(186)华龙证券股份有限公司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兰州市城关区东岗西路638号兰州财富中心21楼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甘肃省兰州市城关区东岗西路638号财富大厦19楼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祁建邦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0931-4890208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0931-4890628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95368/400689888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www.hlzq.com/  </w:t>
            </w:r>
          </w:p>
        </w:tc>
      </w:tr>
    </w:tbl>
    <w:p>
      <w:pPr>
        <w:pStyle w:val="7"/>
        <w:spacing w:before="0" w:beforeAutospacing="0" w:after="0" w:afterAutospacing="0" w:line="360" w:lineRule="auto"/>
        <w:ind w:firstLine="420"/>
        <w:rPr>
          <w:sz w:val="21"/>
          <w:szCs w:val="21"/>
        </w:rPr>
      </w:pPr>
      <w:r>
        <w:rPr>
          <w:rFonts w:hint="eastAsia"/>
          <w:b/>
          <w:bCs/>
          <w:sz w:val="21"/>
          <w:szCs w:val="21"/>
        </w:rPr>
        <w:t>(187)中国国际金融股份有限公司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沈如军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010－65051156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http://www.cicc.com.cn/ </w:t>
            </w:r>
          </w:p>
        </w:tc>
      </w:tr>
    </w:tbl>
    <w:p>
      <w:pPr>
        <w:pStyle w:val="7"/>
        <w:spacing w:before="0" w:beforeAutospacing="0" w:after="0" w:afterAutospacing="0" w:line="360" w:lineRule="auto"/>
        <w:ind w:firstLine="420"/>
        <w:rPr>
          <w:sz w:val="21"/>
          <w:szCs w:val="21"/>
        </w:rPr>
      </w:pPr>
      <w:r>
        <w:rPr>
          <w:rFonts w:hint="eastAsia"/>
          <w:b/>
          <w:bCs/>
          <w:sz w:val="21"/>
          <w:szCs w:val="21"/>
        </w:rPr>
        <w:t>(188)财通证券股份有限公司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杭州市解放路111号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浙江省杭州市天目山路198号财通双冠大厦西楼1201室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蔡还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0571-87789160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0571－85071387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95336（上海地区962336）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http://www.ctsec.com </w:t>
            </w:r>
          </w:p>
        </w:tc>
      </w:tr>
    </w:tbl>
    <w:p>
      <w:pPr>
        <w:pStyle w:val="7"/>
        <w:spacing w:before="0" w:beforeAutospacing="0" w:after="0" w:afterAutospacing="0" w:line="360" w:lineRule="auto"/>
        <w:ind w:firstLine="420"/>
        <w:rPr>
          <w:sz w:val="21"/>
          <w:szCs w:val="21"/>
        </w:rPr>
      </w:pPr>
      <w:r>
        <w:rPr>
          <w:rFonts w:hint="eastAsia"/>
          <w:b/>
          <w:bCs/>
          <w:sz w:val="21"/>
          <w:szCs w:val="21"/>
        </w:rPr>
        <w:t>(189)甬兴证券有限公司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浙江省宁波市鄞州区海晏北路565、577号8-11层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浙江省宁波市鄞州区海晏北路565、577号8-11层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021-38784818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021-38784818-8508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400-916-0666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https://www.yongxingsec.com/ </w:t>
            </w:r>
          </w:p>
        </w:tc>
      </w:tr>
    </w:tbl>
    <w:p>
      <w:pPr>
        <w:pStyle w:val="7"/>
        <w:spacing w:before="0" w:beforeAutospacing="0" w:after="0" w:afterAutospacing="0" w:line="360" w:lineRule="auto"/>
        <w:ind w:firstLine="420"/>
        <w:rPr>
          <w:sz w:val="21"/>
          <w:szCs w:val="21"/>
        </w:rPr>
      </w:pPr>
      <w:r>
        <w:rPr>
          <w:rFonts w:hint="eastAsia"/>
          <w:b/>
          <w:bCs/>
          <w:sz w:val="21"/>
          <w:szCs w:val="21"/>
        </w:rPr>
        <w:t>(190)五矿证券有限公司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深圳市福田区金田路4028号荣超经贸中心办公楼47层01单元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深圳市福田区金田路4028号荣超经贸中心47-49楼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张永衡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赖君伟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0755-23902400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0755-82545500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4001840028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http://www.wkzq.com.cn </w:t>
            </w:r>
          </w:p>
        </w:tc>
      </w:tr>
    </w:tbl>
    <w:p>
      <w:pPr>
        <w:pStyle w:val="7"/>
        <w:spacing w:before="0" w:beforeAutospacing="0" w:after="0" w:afterAutospacing="0" w:line="360" w:lineRule="auto"/>
        <w:ind w:firstLine="420"/>
        <w:rPr>
          <w:sz w:val="21"/>
          <w:szCs w:val="21"/>
        </w:rPr>
      </w:pPr>
      <w:r>
        <w:rPr>
          <w:rFonts w:hint="eastAsia"/>
          <w:b/>
          <w:bCs/>
          <w:sz w:val="21"/>
          <w:szCs w:val="21"/>
        </w:rPr>
        <w:t>(191)华鑫证券有限责任公司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深圳市福田区莲花街道福中社区深南大道2008号中国凤凰大厦1栋20C-1房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021-54967656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021-64333051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95323,021-32109999,029-68918888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http://www.cfsc.com.cn </w:t>
            </w:r>
          </w:p>
        </w:tc>
      </w:tr>
    </w:tbl>
    <w:p>
      <w:pPr>
        <w:pStyle w:val="7"/>
        <w:spacing w:before="0" w:beforeAutospacing="0" w:after="0" w:afterAutospacing="0" w:line="360" w:lineRule="auto"/>
        <w:ind w:firstLine="420"/>
        <w:rPr>
          <w:sz w:val="21"/>
          <w:szCs w:val="21"/>
        </w:rPr>
      </w:pPr>
      <w:r>
        <w:rPr>
          <w:rFonts w:hint="eastAsia"/>
          <w:b/>
          <w:bCs/>
          <w:sz w:val="21"/>
          <w:szCs w:val="21"/>
        </w:rPr>
        <w:t>(192)中国中金财富证券有限公司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http://www.china-invs.cn/ </w:t>
            </w:r>
          </w:p>
        </w:tc>
      </w:tr>
    </w:tbl>
    <w:p>
      <w:pPr>
        <w:pStyle w:val="7"/>
        <w:spacing w:before="0" w:beforeAutospacing="0" w:after="0" w:afterAutospacing="0" w:line="360" w:lineRule="auto"/>
        <w:ind w:firstLine="420"/>
        <w:rPr>
          <w:sz w:val="21"/>
          <w:szCs w:val="21"/>
        </w:rPr>
      </w:pPr>
      <w:r>
        <w:rPr>
          <w:rFonts w:hint="eastAsia"/>
          <w:b/>
          <w:bCs/>
          <w:sz w:val="21"/>
          <w:szCs w:val="21"/>
        </w:rPr>
        <w:t>(193)中山证券有限责任公司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吴小静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http://www.zszq.com </w:t>
            </w:r>
          </w:p>
        </w:tc>
      </w:tr>
    </w:tbl>
    <w:p>
      <w:pPr>
        <w:pStyle w:val="7"/>
        <w:spacing w:before="0" w:beforeAutospacing="0" w:after="0" w:afterAutospacing="0" w:line="360" w:lineRule="auto"/>
        <w:ind w:firstLine="420"/>
        <w:rPr>
          <w:sz w:val="21"/>
          <w:szCs w:val="21"/>
        </w:rPr>
      </w:pPr>
      <w:r>
        <w:rPr>
          <w:rFonts w:hint="eastAsia"/>
          <w:b/>
          <w:bCs/>
          <w:sz w:val="21"/>
          <w:szCs w:val="21"/>
        </w:rPr>
        <w:t>(194)东方财富证券股份有限公司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(195)国融证券股份有限公司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内蒙古自治区呼和浩特市武川县腾飞大道与呈祥路交汇处武川立农村镇银行股份有限公司四楼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内蒙古自治区呼和浩特市武川县腾飞大道与呈祥路交汇处武川立农村镇银行股份有限公司四楼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张智河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陈韦杉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+86 10 83991888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+86 10 88086637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 0471-6919911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http://www.grzq.com/ </w:t>
            </w:r>
          </w:p>
        </w:tc>
      </w:tr>
    </w:tbl>
    <w:p>
      <w:pPr>
        <w:pStyle w:val="7"/>
        <w:spacing w:before="0" w:beforeAutospacing="0" w:after="0" w:afterAutospacing="0" w:line="360" w:lineRule="auto"/>
        <w:ind w:firstLine="420"/>
        <w:rPr>
          <w:sz w:val="21"/>
          <w:szCs w:val="21"/>
        </w:rPr>
      </w:pPr>
      <w:r>
        <w:rPr>
          <w:rFonts w:hint="eastAsia"/>
          <w:b/>
          <w:bCs/>
          <w:sz w:val="21"/>
          <w:szCs w:val="21"/>
        </w:rPr>
        <w:t>(196)粤开证券股份有限公司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广州经济技术开发区科学大道60号开发区控股中心21、22、23层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http://www.ykzq.com </w:t>
            </w:r>
          </w:p>
        </w:tc>
      </w:tr>
    </w:tbl>
    <w:p>
      <w:pPr>
        <w:pStyle w:val="7"/>
        <w:spacing w:before="0" w:beforeAutospacing="0" w:after="0" w:afterAutospacing="0" w:line="360" w:lineRule="auto"/>
        <w:ind w:firstLine="420"/>
        <w:rPr>
          <w:sz w:val="21"/>
          <w:szCs w:val="21"/>
        </w:rPr>
      </w:pPr>
      <w:r>
        <w:rPr>
          <w:rFonts w:hint="eastAsia"/>
          <w:b/>
          <w:bCs/>
          <w:sz w:val="21"/>
          <w:szCs w:val="21"/>
        </w:rPr>
        <w:t>(197)江海证券有限公司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孙名扬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王金娇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0451-87765732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0451－82287211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4006662288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http://www.jhzq.com.cn </w:t>
            </w:r>
          </w:p>
        </w:tc>
      </w:tr>
    </w:tbl>
    <w:p>
      <w:pPr>
        <w:pStyle w:val="7"/>
        <w:spacing w:before="0" w:beforeAutospacing="0" w:after="0" w:afterAutospacing="0" w:line="360" w:lineRule="auto"/>
        <w:ind w:firstLine="420"/>
        <w:rPr>
          <w:sz w:val="21"/>
          <w:szCs w:val="21"/>
        </w:rPr>
      </w:pPr>
      <w:r>
        <w:rPr>
          <w:rFonts w:hint="eastAsia"/>
          <w:b/>
          <w:bCs/>
          <w:sz w:val="21"/>
          <w:szCs w:val="21"/>
        </w:rPr>
        <w:t>(198)九州证券股份有限公司 </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青海省西宁市城中区西大街11号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北京市西城区金融大街7号英蓝国际金融中心D座5层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魏先锋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张晓黎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010-57672186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4006543218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http://www.tyzq.com.cn </w:t>
            </w:r>
          </w:p>
        </w:tc>
      </w:tr>
    </w:tbl>
    <w:p>
      <w:pPr>
        <w:pStyle w:val="7"/>
        <w:spacing w:before="0" w:beforeAutospacing="0" w:after="0" w:afterAutospacing="0" w:line="360" w:lineRule="auto"/>
        <w:ind w:firstLine="420"/>
        <w:rPr>
          <w:sz w:val="21"/>
          <w:szCs w:val="21"/>
        </w:rPr>
      </w:pPr>
      <w:r>
        <w:rPr>
          <w:rFonts w:hint="eastAsia"/>
          <w:b/>
          <w:bCs/>
          <w:sz w:val="21"/>
          <w:szCs w:val="21"/>
        </w:rPr>
        <w:t>(199)国金证券股份有限公司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(200)华宝证券股份有限公司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刘加海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刘闻川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021-68777222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021－68777822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4008209898;021-38929908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http://www.cnhbstock.com </w:t>
            </w:r>
          </w:p>
        </w:tc>
      </w:tr>
    </w:tbl>
    <w:p>
      <w:pPr>
        <w:pStyle w:val="7"/>
        <w:spacing w:before="0" w:beforeAutospacing="0" w:after="0" w:afterAutospacing="0" w:line="360" w:lineRule="auto"/>
        <w:ind w:firstLine="420"/>
        <w:rPr>
          <w:sz w:val="21"/>
          <w:szCs w:val="21"/>
        </w:rPr>
      </w:pPr>
      <w:r>
        <w:rPr>
          <w:rFonts w:hint="eastAsia"/>
          <w:b/>
          <w:bCs/>
          <w:sz w:val="21"/>
          <w:szCs w:val="21"/>
        </w:rPr>
        <w:t>(201)长城国瑞证券有限公司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布前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010-68080680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0592-2079228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0592-5163588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http://www.xmzq.cn </w:t>
            </w:r>
          </w:p>
        </w:tc>
      </w:tr>
    </w:tbl>
    <w:p>
      <w:pPr>
        <w:pStyle w:val="7"/>
        <w:spacing w:before="0" w:beforeAutospacing="0" w:after="0" w:afterAutospacing="0" w:line="360" w:lineRule="auto"/>
        <w:ind w:firstLine="420"/>
        <w:rPr>
          <w:sz w:val="21"/>
          <w:szCs w:val="21"/>
        </w:rPr>
      </w:pPr>
      <w:r>
        <w:rPr>
          <w:rFonts w:hint="eastAsia"/>
          <w:b/>
          <w:bCs/>
          <w:sz w:val="21"/>
          <w:szCs w:val="21"/>
        </w:rPr>
        <w:t>(202)爱建证券有限责任公司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中国（上海）自由贸易试验区世纪大道1600号1幢32楼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上海市浦东新区世纪大道1600号32楼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姚盛盛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021-32229888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021- 68728703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4001-962-502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http://www.ajzq.com </w:t>
            </w:r>
          </w:p>
        </w:tc>
      </w:tr>
    </w:tbl>
    <w:p>
      <w:pPr>
        <w:pStyle w:val="7"/>
        <w:spacing w:before="0" w:beforeAutospacing="0" w:after="0" w:afterAutospacing="0" w:line="360" w:lineRule="auto"/>
        <w:ind w:firstLine="420"/>
        <w:rPr>
          <w:sz w:val="21"/>
          <w:szCs w:val="21"/>
        </w:rPr>
      </w:pPr>
      <w:r>
        <w:rPr>
          <w:rFonts w:hint="eastAsia"/>
          <w:b/>
          <w:bCs/>
          <w:sz w:val="21"/>
          <w:szCs w:val="21"/>
        </w:rPr>
        <w:t>(203)英大证券有限责任公司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吴尔晖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0755-83007159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0755-83007034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4000-188-688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http://www.ydsc.com.cn </w:t>
            </w:r>
          </w:p>
        </w:tc>
      </w:tr>
    </w:tbl>
    <w:p>
      <w:pPr>
        <w:pStyle w:val="7"/>
        <w:spacing w:before="0" w:beforeAutospacing="0" w:after="0" w:afterAutospacing="0" w:line="360" w:lineRule="auto"/>
        <w:ind w:firstLine="420"/>
        <w:rPr>
          <w:sz w:val="21"/>
          <w:szCs w:val="21"/>
        </w:rPr>
      </w:pPr>
      <w:r>
        <w:rPr>
          <w:rFonts w:hint="eastAsia"/>
          <w:b/>
          <w:bCs/>
          <w:sz w:val="21"/>
          <w:szCs w:val="21"/>
        </w:rPr>
        <w:t>(204)财达证券股份有限公司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翟建强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刘亚静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0311-66006393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0311-66006249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http://www.S10000.com </w:t>
            </w:r>
          </w:p>
        </w:tc>
      </w:tr>
    </w:tbl>
    <w:p>
      <w:pPr>
        <w:pStyle w:val="7"/>
        <w:spacing w:before="0" w:beforeAutospacing="0" w:after="0" w:afterAutospacing="0" w:line="360" w:lineRule="auto"/>
        <w:ind w:firstLine="420"/>
        <w:rPr>
          <w:sz w:val="21"/>
          <w:szCs w:val="21"/>
        </w:rPr>
      </w:pPr>
      <w:r>
        <w:rPr>
          <w:rFonts w:hint="eastAsia"/>
          <w:b/>
          <w:bCs/>
          <w:sz w:val="21"/>
          <w:szCs w:val="21"/>
        </w:rPr>
        <w:t>(205)大通证券股份有限公司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辽宁省大连市中山区人民路24号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辽宁省大连市沙河口区会展路129号大连期货大厦39层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于宏民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谢立军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0411-39673202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0411-39673219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4008169169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http://www.daton.com.cn </w:t>
            </w:r>
          </w:p>
        </w:tc>
      </w:tr>
    </w:tbl>
    <w:p>
      <w:pPr>
        <w:pStyle w:val="7"/>
        <w:spacing w:before="0" w:beforeAutospacing="0" w:after="0" w:afterAutospacing="0" w:line="360" w:lineRule="auto"/>
        <w:ind w:firstLine="420"/>
        <w:rPr>
          <w:sz w:val="21"/>
          <w:szCs w:val="21"/>
        </w:rPr>
      </w:pPr>
      <w:r>
        <w:rPr>
          <w:rFonts w:hint="eastAsia"/>
          <w:b/>
          <w:bCs/>
          <w:sz w:val="21"/>
          <w:szCs w:val="21"/>
        </w:rPr>
        <w:t>(206)首创证券股份有限公司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北京市西城区德胜门外大街115号德胜尚城E座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北京市朝阳区安定路5号院北投投资大厦A座18层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毕劲松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010－81152418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010－81152982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www.sczq.com.cn </w:t>
            </w:r>
          </w:p>
        </w:tc>
      </w:tr>
    </w:tbl>
    <w:p>
      <w:pPr>
        <w:pStyle w:val="7"/>
        <w:spacing w:before="0" w:beforeAutospacing="0" w:after="0" w:afterAutospacing="0" w:line="360" w:lineRule="auto"/>
        <w:ind w:firstLine="420"/>
        <w:rPr>
          <w:sz w:val="21"/>
          <w:szCs w:val="21"/>
        </w:rPr>
      </w:pPr>
      <w:r>
        <w:rPr>
          <w:rFonts w:hint="eastAsia"/>
          <w:b/>
          <w:bCs/>
          <w:sz w:val="21"/>
          <w:szCs w:val="21"/>
        </w:rPr>
        <w:t>(207)太平洋证券股份有限公司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云南省昆明市青年路389号志远大厦18层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北京市西城区北展北街九号华远企业号D座三单元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李长伟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0871-68885858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0871-68898100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400-665-0999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http://www.tpyzq.com/ </w:t>
            </w:r>
          </w:p>
        </w:tc>
      </w:tr>
    </w:tbl>
    <w:p>
      <w:pPr>
        <w:pStyle w:val="7"/>
        <w:spacing w:before="0" w:beforeAutospacing="0" w:after="0" w:afterAutospacing="0" w:line="360" w:lineRule="auto"/>
        <w:ind w:firstLine="420"/>
        <w:rPr>
          <w:sz w:val="21"/>
          <w:szCs w:val="21"/>
        </w:rPr>
      </w:pPr>
      <w:r>
        <w:rPr>
          <w:rFonts w:hint="eastAsia"/>
          <w:b/>
          <w:bCs/>
          <w:sz w:val="21"/>
          <w:szCs w:val="21"/>
        </w:rPr>
        <w:t>(208)联储证券有限责任公司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吕春卫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张婉婷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010-86499765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0755-82075835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4006206868/010-56177851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http://www.lczq.com/ </w:t>
            </w:r>
          </w:p>
        </w:tc>
      </w:tr>
    </w:tbl>
    <w:p>
      <w:pPr>
        <w:pStyle w:val="7"/>
        <w:spacing w:before="0" w:beforeAutospacing="0" w:after="0" w:afterAutospacing="0" w:line="360" w:lineRule="auto"/>
        <w:ind w:firstLine="420"/>
        <w:rPr>
          <w:sz w:val="21"/>
          <w:szCs w:val="21"/>
        </w:rPr>
      </w:pPr>
      <w:r>
        <w:rPr>
          <w:rFonts w:hint="eastAsia"/>
          <w:b/>
          <w:bCs/>
          <w:sz w:val="21"/>
          <w:szCs w:val="21"/>
        </w:rPr>
        <w:t>(209)华瑞保险销售有限公司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(210)玄元保险代理有限公司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(211)阳光人寿保险股份有限公司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(212)中国人寿保险股份有限公司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(213)泉州银行股份有限公司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傅子能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董培姗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0595-22551071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0595-22505215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www.qzccbank.com </w:t>
            </w:r>
          </w:p>
        </w:tc>
      </w:tr>
    </w:tbl>
    <w:p>
      <w:pPr>
        <w:pStyle w:val="7"/>
        <w:spacing w:before="0" w:beforeAutospacing="0" w:after="0" w:afterAutospacing="0" w:line="360" w:lineRule="auto"/>
        <w:ind w:firstLine="420"/>
        <w:rPr>
          <w:sz w:val="21"/>
          <w:szCs w:val="21"/>
        </w:rPr>
      </w:pPr>
      <w:r>
        <w:rPr>
          <w:rFonts w:hint="eastAsia"/>
          <w:b/>
          <w:bCs/>
          <w:sz w:val="21"/>
          <w:szCs w:val="21"/>
        </w:rPr>
        <w:t>(214)龙江银行股份有限公司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张建辉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闫勇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4006458888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www.lj-bank.com </w:t>
            </w:r>
          </w:p>
        </w:tc>
      </w:tr>
    </w:tbl>
    <w:p>
      <w:pPr>
        <w:pStyle w:val="7"/>
        <w:spacing w:before="0" w:beforeAutospacing="0" w:after="0" w:afterAutospacing="0" w:line="360" w:lineRule="auto"/>
        <w:ind w:firstLine="420"/>
        <w:rPr>
          <w:sz w:val="21"/>
          <w:szCs w:val="21"/>
        </w:rPr>
      </w:pPr>
      <w:r>
        <w:rPr>
          <w:rFonts w:hint="eastAsia"/>
          <w:b/>
          <w:bCs/>
          <w:sz w:val="21"/>
          <w:szCs w:val="21"/>
        </w:rPr>
        <w:t>(215)浙江乐清农村商业银行股份有限公司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浙江省乐清市城南街道伯乐西路99号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浙江省乐清市城南街道伯乐西路99号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高剑飞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金晓娇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0577-61566028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0577-61566063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96596 </w:t>
            </w:r>
          </w:p>
        </w:tc>
      </w:tr>
    </w:tbl>
    <w:p>
      <w:pPr>
        <w:pStyle w:val="7"/>
        <w:spacing w:before="0" w:beforeAutospacing="0" w:after="0" w:afterAutospacing="0" w:line="360" w:lineRule="auto"/>
        <w:ind w:firstLine="420"/>
        <w:rPr>
          <w:sz w:val="21"/>
          <w:szCs w:val="21"/>
        </w:rPr>
      </w:pPr>
      <w:r>
        <w:rPr>
          <w:rFonts w:hint="eastAsia"/>
          <w:b/>
          <w:bCs/>
          <w:sz w:val="21"/>
          <w:szCs w:val="21"/>
        </w:rPr>
        <w:t>(216)青岛农村商业银行股份有限公司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刘仲生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0532-66957360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0532-66957229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0532-96668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www.qrcb.com.cn </w:t>
            </w:r>
          </w:p>
        </w:tc>
      </w:tr>
    </w:tbl>
    <w:p>
      <w:pPr>
        <w:pStyle w:val="7"/>
        <w:spacing w:before="0" w:beforeAutospacing="0" w:after="0" w:afterAutospacing="0" w:line="360" w:lineRule="auto"/>
        <w:ind w:firstLine="420"/>
        <w:rPr>
          <w:sz w:val="21"/>
          <w:szCs w:val="21"/>
        </w:rPr>
      </w:pPr>
      <w:r>
        <w:rPr>
          <w:rFonts w:hint="eastAsia"/>
          <w:b/>
          <w:bCs/>
          <w:sz w:val="21"/>
          <w:szCs w:val="21"/>
        </w:rPr>
        <w:t>(217)桂林银行股份有限公司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周佩玲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0773-3810130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0773-3851691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www.guilinbank.com.cn </w:t>
            </w:r>
          </w:p>
        </w:tc>
      </w:tr>
    </w:tbl>
    <w:p>
      <w:pPr>
        <w:pStyle w:val="7"/>
        <w:spacing w:before="0" w:beforeAutospacing="0" w:after="0" w:afterAutospacing="0" w:line="360" w:lineRule="auto"/>
        <w:ind w:firstLine="420"/>
        <w:rPr>
          <w:sz w:val="21"/>
          <w:szCs w:val="21"/>
        </w:rPr>
      </w:pPr>
      <w:r>
        <w:rPr>
          <w:rFonts w:hint="eastAsia"/>
          <w:b/>
          <w:bCs/>
          <w:sz w:val="21"/>
          <w:szCs w:val="21"/>
        </w:rPr>
        <w:t>(218)德州银行股份有限公司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孙玉芝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王方震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0534-2297326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0534-2297327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40084-96588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www.dzbchina.com </w:t>
            </w:r>
          </w:p>
        </w:tc>
      </w:tr>
    </w:tbl>
    <w:p>
      <w:pPr>
        <w:rPr>
          <w:rFonts w:ascii="宋体" w:hAnsi="宋体" w:eastAsia="宋体"/>
          <w:sz w:val="24"/>
          <w:szCs w:val="24"/>
        </w:rPr>
      </w:pPr>
      <w:bookmarkStart w:id="63" w:name="field_0_allproxysaletables_1_end"/>
      <w:bookmarkEnd w:id="63"/>
      <w:r>
        <w:rPr>
          <w:rFonts w:ascii="宋体" w:hAnsi="宋体" w:eastAsia="宋体"/>
        </w:rPr>
        <w:t xml:space="preserve">  </w:t>
      </w:r>
    </w:p>
    <w:p>
      <w:pPr>
        <w:pStyle w:val="7"/>
        <w:spacing w:before="0" w:beforeAutospacing="0" w:after="0" w:afterAutospacing="0" w:line="360" w:lineRule="auto"/>
        <w:ind w:firstLine="420"/>
        <w:rPr>
          <w:sz w:val="21"/>
          <w:szCs w:val="21"/>
        </w:rPr>
      </w:pPr>
      <w:bookmarkStart w:id="64" w:name="chapter_level1_7_56_section_2_end"/>
      <w:bookmarkEnd w:id="64"/>
    </w:p>
    <w:p>
      <w:pPr>
        <w:pStyle w:val="7"/>
        <w:spacing w:before="0" w:beforeAutospacing="0" w:after="0" w:afterAutospacing="0" w:line="360" w:lineRule="auto"/>
        <w:ind w:firstLine="420"/>
        <w:rPr>
          <w:sz w:val="21"/>
          <w:szCs w:val="21"/>
        </w:rPr>
      </w:pPr>
      <w:bookmarkStart w:id="65" w:name="chapter_level1_7_56_section_3"/>
      <w:bookmarkEnd w:id="65"/>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66" w:name="field_0_registercompanyinfo_1_start"/>
      <w:bookmarkEnd w:id="66"/>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67" w:name="field_0_registercompanyinfo_1_end"/>
      <w:bookmarkEnd w:id="67"/>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三、出具法律意见书的律师事务所</w:t>
      </w:r>
    </w:p>
    <w:p>
      <w:pPr>
        <w:pStyle w:val="7"/>
        <w:spacing w:before="0" w:beforeAutospacing="0" w:after="0" w:afterAutospacing="0" w:line="360" w:lineRule="auto"/>
        <w:ind w:firstLine="420"/>
        <w:rPr>
          <w:sz w:val="21"/>
          <w:szCs w:val="21"/>
        </w:rPr>
      </w:pPr>
      <w:r>
        <w:rPr>
          <w:rFonts w:hint="eastAsia"/>
          <w:sz w:val="21"/>
          <w:szCs w:val="21"/>
        </w:rPr>
        <w:t xml:space="preserve">名称：上海市通力律师事务所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办公地址：上海市银城中路68号时代金融中心19楼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电话： 021- 31358666 </w:t>
      </w:r>
    </w:p>
    <w:p>
      <w:pPr>
        <w:pStyle w:val="7"/>
        <w:spacing w:before="0" w:beforeAutospacing="0" w:after="0" w:afterAutospacing="0" w:line="360" w:lineRule="auto"/>
        <w:ind w:firstLine="420"/>
        <w:rPr>
          <w:sz w:val="21"/>
          <w:szCs w:val="21"/>
        </w:rPr>
      </w:pPr>
      <w:r>
        <w:rPr>
          <w:rFonts w:hint="eastAsia"/>
          <w:sz w:val="21"/>
          <w:szCs w:val="21"/>
        </w:rPr>
        <w:t xml:space="preserve">传真： 021- 31358600 </w:t>
      </w:r>
    </w:p>
    <w:p>
      <w:pPr>
        <w:pStyle w:val="7"/>
        <w:spacing w:before="0" w:beforeAutospacing="0" w:after="0" w:afterAutospacing="0" w:line="360" w:lineRule="auto"/>
        <w:ind w:firstLine="420"/>
        <w:rPr>
          <w:sz w:val="21"/>
          <w:szCs w:val="21"/>
        </w:rPr>
      </w:pPr>
      <w:r>
        <w:rPr>
          <w:rFonts w:hint="eastAsia"/>
          <w:sz w:val="21"/>
          <w:szCs w:val="21"/>
        </w:rPr>
        <w:t xml:space="preserve">负责人：俞卫锋 </w:t>
      </w:r>
    </w:p>
    <w:p>
      <w:pPr>
        <w:pStyle w:val="7"/>
        <w:spacing w:before="0" w:beforeAutospacing="0" w:after="0" w:afterAutospacing="0" w:line="360" w:lineRule="auto"/>
        <w:ind w:firstLine="420"/>
        <w:rPr>
          <w:sz w:val="21"/>
          <w:szCs w:val="21"/>
        </w:rPr>
      </w:pPr>
      <w:r>
        <w:rPr>
          <w:rFonts w:hint="eastAsia"/>
          <w:sz w:val="21"/>
          <w:szCs w:val="21"/>
        </w:rPr>
        <w:t xml:space="preserve">联系人：陆奇 </w:t>
      </w:r>
    </w:p>
    <w:p>
      <w:pPr>
        <w:pStyle w:val="7"/>
        <w:spacing w:before="0" w:beforeAutospacing="0" w:after="0" w:afterAutospacing="0" w:line="360" w:lineRule="auto"/>
        <w:ind w:firstLine="420"/>
        <w:rPr>
          <w:sz w:val="21"/>
          <w:szCs w:val="21"/>
        </w:rPr>
      </w:pPr>
      <w:r>
        <w:rPr>
          <w:rFonts w:hint="eastAsia"/>
          <w:sz w:val="21"/>
          <w:szCs w:val="21"/>
        </w:rPr>
        <w:t xml:space="preserve">经办律师：安冬、陆奇 </w:t>
      </w:r>
    </w:p>
    <w:p>
      <w:pPr>
        <w:pStyle w:val="7"/>
        <w:spacing w:before="0" w:beforeAutospacing="0" w:after="0" w:afterAutospacing="0" w:line="360" w:lineRule="auto"/>
        <w:ind w:firstLine="420"/>
        <w:rPr>
          <w:sz w:val="21"/>
          <w:szCs w:val="21"/>
        </w:rPr>
      </w:pPr>
      <w:r>
        <w:rPr>
          <w:rStyle w:val="11"/>
          <w:rFonts w:hint="eastAsia"/>
          <w:sz w:val="21"/>
          <w:szCs w:val="21"/>
        </w:rPr>
        <w:t>四、审计基金财产的会计师事务所</w:t>
      </w:r>
    </w:p>
    <w:p>
      <w:pPr>
        <w:pStyle w:val="7"/>
        <w:spacing w:before="0" w:beforeAutospacing="0" w:after="0" w:afterAutospacing="0" w:line="360" w:lineRule="auto"/>
        <w:ind w:firstLine="420"/>
        <w:rPr>
          <w:sz w:val="21"/>
          <w:szCs w:val="21"/>
        </w:rPr>
      </w:pPr>
      <w:bookmarkStart w:id="68" w:name="field_0_accountingcompanyinfo_1_start"/>
      <w:bookmarkEnd w:id="68"/>
      <w:r>
        <w:rPr>
          <w:rFonts w:hint="eastAsia"/>
          <w:sz w:val="21"/>
          <w:szCs w:val="21"/>
        </w:rPr>
        <w:t xml:space="preserve">名称：普华永道中天会计师事务所(特殊普通合伙）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7"/>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7"/>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7"/>
        <w:spacing w:before="0" w:beforeAutospacing="0" w:after="0" w:afterAutospacing="0" w:line="360" w:lineRule="auto"/>
        <w:ind w:firstLine="420"/>
        <w:rPr>
          <w:sz w:val="21"/>
          <w:szCs w:val="21"/>
        </w:rPr>
      </w:pPr>
      <w:r>
        <w:rPr>
          <w:rFonts w:hint="eastAsia"/>
          <w:sz w:val="21"/>
          <w:szCs w:val="21"/>
        </w:rPr>
        <w:t xml:space="preserve">联系电话：（021）23238888  </w:t>
      </w:r>
    </w:p>
    <w:p>
      <w:pPr>
        <w:pStyle w:val="7"/>
        <w:spacing w:before="0" w:beforeAutospacing="0" w:after="0" w:afterAutospacing="0" w:line="360" w:lineRule="auto"/>
        <w:ind w:firstLine="420"/>
        <w:rPr>
          <w:sz w:val="21"/>
          <w:szCs w:val="21"/>
        </w:rPr>
      </w:pPr>
      <w:r>
        <w:rPr>
          <w:rFonts w:hint="eastAsia"/>
          <w:sz w:val="21"/>
          <w:szCs w:val="21"/>
        </w:rPr>
        <w:t xml:space="preserve">传真：（021）23238800  </w:t>
      </w:r>
    </w:p>
    <w:p>
      <w:pPr>
        <w:pStyle w:val="7"/>
        <w:spacing w:before="0" w:beforeAutospacing="0" w:after="0" w:afterAutospacing="0" w:line="360" w:lineRule="auto"/>
        <w:ind w:firstLine="420"/>
        <w:rPr>
          <w:sz w:val="21"/>
          <w:szCs w:val="21"/>
        </w:rPr>
      </w:pPr>
      <w:r>
        <w:rPr>
          <w:rFonts w:hint="eastAsia"/>
          <w:sz w:val="21"/>
          <w:szCs w:val="21"/>
        </w:rPr>
        <w:t xml:space="preserve">联系人：沈兆杰 </w:t>
      </w:r>
    </w:p>
    <w:p>
      <w:pPr>
        <w:pStyle w:val="7"/>
        <w:spacing w:before="0" w:beforeAutospacing="0" w:after="0" w:afterAutospacing="0" w:line="360" w:lineRule="auto"/>
        <w:ind w:firstLine="420"/>
        <w:rPr>
          <w:sz w:val="21"/>
          <w:szCs w:val="21"/>
        </w:rPr>
      </w:pPr>
      <w:bookmarkStart w:id="69" w:name="chapter_level1_7_56_section_3_end"/>
      <w:bookmarkEnd w:id="69"/>
      <w:r>
        <w:rPr>
          <w:rFonts w:hint="eastAsia"/>
          <w:sz w:val="21"/>
          <w:szCs w:val="21"/>
        </w:rPr>
        <w:t xml:space="preserve">经办注册会计师：薛竞、沈兆杰 </w:t>
      </w:r>
      <w:bookmarkStart w:id="70" w:name="field_0_accountingcompanyinfo_1_end"/>
      <w:bookmarkEnd w:id="70"/>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1" w:name="_Toc113522948"/>
      <w:bookmarkStart w:id="72" w:name="chapter_level1_9_58"/>
      <w:r>
        <w:rPr>
          <w:rFonts w:hint="eastAsia" w:ascii="宋体" w:hAnsi="宋体" w:eastAsia="宋体"/>
          <w:sz w:val="30"/>
        </w:rPr>
        <w:t>六、基金的募集</w:t>
      </w:r>
      <w:bookmarkEnd w:id="71"/>
      <w:bookmarkEnd w:id="72"/>
    </w:p>
    <w:p>
      <w:pPr>
        <w:pStyle w:val="7"/>
        <w:spacing w:before="0" w:beforeAutospacing="0" w:after="0" w:afterAutospacing="0" w:line="360" w:lineRule="auto"/>
        <w:ind w:firstLine="420"/>
        <w:rPr>
          <w:sz w:val="21"/>
          <w:szCs w:val="21"/>
        </w:rPr>
      </w:pPr>
      <w:bookmarkStart w:id="73" w:name="chapter_level1_9_58_section_1"/>
      <w:bookmarkEnd w:id="73"/>
      <w:r>
        <w:rPr>
          <w:rFonts w:hint="eastAsia"/>
          <w:sz w:val="21"/>
          <w:szCs w:val="21"/>
        </w:rPr>
        <w:t>本基金由基金管理人依照《基金法》、《运作办法》、《销售办法》、基金合同及其他有关规定，并经中国证监会</w:t>
      </w:r>
      <w:bookmarkStart w:id="74" w:name="field_2343_approveddate_2"/>
      <w:r>
        <w:rPr>
          <w:sz w:val="21"/>
          <w:szCs w:val="21"/>
        </w:rPr>
        <w:t>2006年4月10日</w:t>
      </w:r>
      <w:bookmarkEnd w:id="74"/>
      <w:r>
        <w:rPr>
          <w:rFonts w:hint="eastAsia"/>
          <w:sz w:val="21"/>
          <w:szCs w:val="21"/>
        </w:rPr>
        <w:t>证监基金字</w:t>
      </w:r>
      <w:bookmarkStart w:id="75" w:name="field_2343_lotnumber_2"/>
      <w:r>
        <w:rPr>
          <w:sz w:val="21"/>
          <w:szCs w:val="21"/>
        </w:rPr>
        <w:t>[2006]68</w:t>
      </w:r>
      <w:bookmarkEnd w:id="75"/>
      <w:r>
        <w:rPr>
          <w:rFonts w:hint="eastAsia"/>
          <w:sz w:val="21"/>
          <w:szCs w:val="21"/>
        </w:rPr>
        <w:t>号文批准募集发售。设立募集期从</w:t>
      </w:r>
      <w:bookmarkStart w:id="76" w:name="field_58_raisebegindate_1"/>
      <w:r>
        <w:rPr>
          <w:sz w:val="21"/>
          <w:szCs w:val="21"/>
        </w:rPr>
        <w:t>2006年4月18日</w:t>
      </w:r>
      <w:bookmarkEnd w:id="76"/>
      <w:r>
        <w:rPr>
          <w:rFonts w:hint="eastAsia"/>
          <w:sz w:val="21"/>
          <w:szCs w:val="21"/>
        </w:rPr>
        <w:t>起至</w:t>
      </w:r>
      <w:bookmarkStart w:id="77" w:name="field_58_raiseenddate_1"/>
      <w:r>
        <w:rPr>
          <w:sz w:val="21"/>
          <w:szCs w:val="21"/>
        </w:rPr>
        <w:t>2006年5月26日</w:t>
      </w:r>
      <w:bookmarkEnd w:id="77"/>
      <w:r>
        <w:rPr>
          <w:rFonts w:hint="eastAsia"/>
          <w:sz w:val="21"/>
          <w:szCs w:val="21"/>
        </w:rPr>
        <w:t>止，共募集</w:t>
      </w:r>
      <w:bookmarkStart w:id="78" w:name="field_58_raisetotal_1"/>
      <w:r>
        <w:rPr>
          <w:sz w:val="21"/>
          <w:szCs w:val="21"/>
        </w:rPr>
        <w:t>2,364,021,808.26</w:t>
      </w:r>
      <w:bookmarkEnd w:id="78"/>
      <w:r>
        <w:rPr>
          <w:rFonts w:hint="eastAsia"/>
          <w:sz w:val="21"/>
          <w:szCs w:val="21"/>
        </w:rPr>
        <w:t>份基金份额，有效认购户数为</w:t>
      </w:r>
      <w:bookmarkStart w:id="79" w:name="field_58_effectivetotal_1"/>
      <w:r>
        <w:rPr>
          <w:sz w:val="21"/>
          <w:szCs w:val="21"/>
        </w:rPr>
        <w:t>57,243</w:t>
      </w:r>
      <w:bookmarkEnd w:id="79"/>
      <w:r>
        <w:rPr>
          <w:rFonts w:hint="eastAsia"/>
          <w:sz w:val="21"/>
          <w:szCs w:val="21"/>
        </w:rPr>
        <w:t xml:space="preserve">户。  </w:t>
      </w:r>
    </w:p>
    <w:p>
      <w:pPr>
        <w:pStyle w:val="7"/>
        <w:spacing w:before="0" w:beforeAutospacing="0" w:after="0" w:afterAutospacing="0" w:line="360" w:lineRule="auto"/>
        <w:ind w:firstLine="420"/>
        <w:rPr>
          <w:sz w:val="21"/>
          <w:szCs w:val="21"/>
        </w:rPr>
      </w:pPr>
      <w:bookmarkStart w:id="80" w:name="chapter_level1_9_58_section_1_end"/>
      <w:bookmarkEnd w:id="80"/>
      <w:r>
        <w:rPr>
          <w:rFonts w:hint="eastAsia"/>
          <w:sz w:val="21"/>
          <w:szCs w:val="21"/>
        </w:rPr>
        <w:t>本基金运作方式为</w:t>
      </w:r>
      <w:bookmarkStart w:id="81" w:name="field_58_operation_1"/>
      <w:r>
        <w:rPr>
          <w:rFonts w:hint="eastAsia"/>
          <w:sz w:val="21"/>
          <w:szCs w:val="21"/>
        </w:rPr>
        <w:t>契约型开放式</w:t>
      </w:r>
      <w:bookmarkEnd w:id="81"/>
      <w:r>
        <w:rPr>
          <w:rFonts w:hint="eastAsia"/>
          <w:sz w:val="21"/>
          <w:szCs w:val="21"/>
        </w:rPr>
        <w:t>，存续期间为</w:t>
      </w:r>
      <w:bookmarkStart w:id="82" w:name="field_58_duration_1"/>
      <w:r>
        <w:rPr>
          <w:rFonts w:hint="eastAsia"/>
          <w:sz w:val="21"/>
          <w:szCs w:val="21"/>
        </w:rPr>
        <w:t>不定期</w:t>
      </w:r>
      <w:bookmarkEnd w:id="82"/>
      <w:r>
        <w:rPr>
          <w:rFonts w:hint="eastAsia"/>
          <w:sz w:val="21"/>
          <w:szCs w:val="21"/>
        </w:rPr>
        <w:t xml:space="preserve">。 </w:t>
      </w:r>
    </w:p>
    <w:p>
      <w:pPr>
        <w:rPr>
          <w:rFonts w:ascii="宋体" w:hAnsi="宋体" w:eastAsia="宋体"/>
        </w:rPr>
      </w:pPr>
      <w:bookmarkStart w:id="83" w:name="chapter_level1_9_58_section_2"/>
      <w:bookmarkEnd w:id="83"/>
      <w:bookmarkStart w:id="84" w:name="chapter_level1_9_58_section_2_end"/>
      <w:bookmarkEnd w:id="84"/>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85" w:name="_Toc113522949"/>
      <w:bookmarkStart w:id="86" w:name="chapter_level1_10_22784"/>
      <w:r>
        <w:rPr>
          <w:rFonts w:hint="eastAsia" w:ascii="宋体" w:hAnsi="宋体" w:eastAsia="宋体"/>
          <w:sz w:val="30"/>
        </w:rPr>
        <w:t>七、基金合同的生效</w:t>
      </w:r>
      <w:bookmarkEnd w:id="85"/>
      <w:bookmarkEnd w:id="86"/>
    </w:p>
    <w:p>
      <w:pPr>
        <w:pStyle w:val="7"/>
        <w:spacing w:before="0" w:beforeAutospacing="0" w:after="0" w:afterAutospacing="0" w:line="360" w:lineRule="auto"/>
        <w:ind w:firstLine="420"/>
        <w:rPr>
          <w:sz w:val="21"/>
          <w:szCs w:val="21"/>
        </w:rPr>
      </w:pPr>
      <w:bookmarkStart w:id="87" w:name="chapter_level1_10_22784_section_1_end"/>
      <w:bookmarkEnd w:id="87"/>
      <w:bookmarkStart w:id="88" w:name="chapter_level1_10_22784_section_1"/>
      <w:bookmarkEnd w:id="88"/>
      <w:r>
        <w:rPr>
          <w:rFonts w:hint="eastAsia"/>
          <w:sz w:val="21"/>
          <w:szCs w:val="21"/>
        </w:rPr>
        <w:t>本基金的基金合同已于</w:t>
      </w:r>
      <w:bookmarkStart w:id="89" w:name="field_0_foundday_1"/>
      <w:r>
        <w:rPr>
          <w:sz w:val="21"/>
          <w:szCs w:val="21"/>
        </w:rPr>
        <w:t>2006年5月31日</w:t>
      </w:r>
      <w:bookmarkEnd w:id="89"/>
      <w:r>
        <w:rPr>
          <w:rFonts w:hint="eastAsia"/>
          <w:sz w:val="21"/>
          <w:szCs w:val="21"/>
        </w:rPr>
        <w:t xml:space="preserve">正式生效。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90" w:name="chapter_level1_11_59"/>
      <w:bookmarkStart w:id="91" w:name="_Toc113522950"/>
      <w:r>
        <w:rPr>
          <w:rFonts w:hint="eastAsia" w:ascii="宋体" w:hAnsi="宋体" w:eastAsia="宋体"/>
          <w:sz w:val="30"/>
        </w:rPr>
        <w:t>八、基金份额的申购与赎回</w:t>
      </w:r>
      <w:bookmarkEnd w:id="90"/>
      <w:bookmarkEnd w:id="91"/>
    </w:p>
    <w:p>
      <w:pPr>
        <w:pStyle w:val="7"/>
        <w:spacing w:before="0" w:beforeAutospacing="0" w:after="0" w:afterAutospacing="0" w:line="360" w:lineRule="auto"/>
        <w:ind w:firstLine="420"/>
        <w:rPr>
          <w:sz w:val="21"/>
          <w:szCs w:val="21"/>
        </w:rPr>
      </w:pPr>
      <w:bookmarkStart w:id="92" w:name="chapter_level1_11_59_section_1"/>
      <w:bookmarkEnd w:id="92"/>
      <w:r>
        <w:rPr>
          <w:rStyle w:val="11"/>
          <w:rFonts w:hint="eastAsia"/>
          <w:sz w:val="21"/>
          <w:szCs w:val="21"/>
        </w:rPr>
        <w:t>（一）申购和赎回的场所</w:t>
      </w:r>
    </w:p>
    <w:p>
      <w:pPr>
        <w:pStyle w:val="7"/>
        <w:spacing w:before="0" w:beforeAutospacing="0" w:after="0" w:afterAutospacing="0" w:line="360" w:lineRule="auto"/>
        <w:ind w:firstLine="420"/>
        <w:rPr>
          <w:sz w:val="21"/>
          <w:szCs w:val="21"/>
        </w:rPr>
      </w:pPr>
      <w:r>
        <w:rPr>
          <w:rFonts w:hint="eastAsia"/>
          <w:sz w:val="21"/>
          <w:szCs w:val="21"/>
        </w:rPr>
        <w:t xml:space="preserve">申购与赎回应当在本基金的销售机构办理。本基金的销售机构包括基金管理人和基金管理人委托或授权的销售代理人。基金管理人可根据实际情况变更或增减基金销售代理人，并在基金管理人网站公示。 </w:t>
      </w:r>
    </w:p>
    <w:p>
      <w:pPr>
        <w:pStyle w:val="7"/>
        <w:spacing w:before="0" w:beforeAutospacing="0" w:after="0" w:afterAutospacing="0" w:line="360" w:lineRule="auto"/>
        <w:ind w:firstLine="420"/>
        <w:rPr>
          <w:sz w:val="21"/>
          <w:szCs w:val="21"/>
        </w:rPr>
      </w:pPr>
      <w:r>
        <w:rPr>
          <w:rFonts w:hint="eastAsia"/>
          <w:sz w:val="21"/>
          <w:szCs w:val="21"/>
        </w:rPr>
        <w:t>投资人应该在销售机构指定的营业场所按照指定的方式和程序办理申购赎回等业务。销售机构也可以提供电话委托、传真交易或者网上交易等非现场方式，为投资人办理申购、赎</w:t>
      </w:r>
      <w:bookmarkStart w:id="93" w:name="chapter_level1_11_59_section_1_end"/>
      <w:bookmarkEnd w:id="93"/>
      <w:r>
        <w:rPr>
          <w:rFonts w:hint="eastAsia"/>
          <w:sz w:val="21"/>
          <w:szCs w:val="21"/>
        </w:rPr>
        <w:t xml:space="preserve">回等业务。 </w:t>
      </w:r>
    </w:p>
    <w:p>
      <w:pPr>
        <w:pStyle w:val="7"/>
        <w:spacing w:before="0" w:beforeAutospacing="0" w:after="0" w:afterAutospacing="0" w:line="360" w:lineRule="auto"/>
        <w:ind w:firstLine="420"/>
        <w:rPr>
          <w:sz w:val="21"/>
          <w:szCs w:val="21"/>
        </w:rPr>
      </w:pPr>
      <w:bookmarkStart w:id="94" w:name="chapter_level1_11_59_section_2"/>
      <w:bookmarkEnd w:id="94"/>
      <w:r>
        <w:rPr>
          <w:rStyle w:val="11"/>
          <w:rFonts w:hint="eastAsia"/>
          <w:sz w:val="21"/>
          <w:szCs w:val="21"/>
        </w:rPr>
        <w:t>（二）申购和赎回的办理时间</w:t>
      </w:r>
    </w:p>
    <w:p>
      <w:pPr>
        <w:pStyle w:val="7"/>
        <w:spacing w:before="0" w:beforeAutospacing="0" w:after="0" w:afterAutospacing="0" w:line="360" w:lineRule="auto"/>
        <w:ind w:firstLine="420"/>
        <w:rPr>
          <w:sz w:val="21"/>
          <w:szCs w:val="21"/>
        </w:rPr>
      </w:pPr>
      <w:r>
        <w:rPr>
          <w:rFonts w:hint="eastAsia"/>
          <w:sz w:val="21"/>
          <w:szCs w:val="21"/>
        </w:rPr>
        <w:t xml:space="preserve">本基金已于2006年7月5日开始办理日常申购、赎回业务。 </w:t>
      </w:r>
    </w:p>
    <w:p>
      <w:pPr>
        <w:pStyle w:val="7"/>
        <w:spacing w:before="0" w:beforeAutospacing="0" w:after="0" w:afterAutospacing="0" w:line="360" w:lineRule="auto"/>
        <w:ind w:firstLine="420"/>
        <w:rPr>
          <w:sz w:val="21"/>
          <w:szCs w:val="21"/>
        </w:rPr>
      </w:pPr>
      <w:r>
        <w:rPr>
          <w:rFonts w:hint="eastAsia"/>
          <w:sz w:val="21"/>
          <w:szCs w:val="21"/>
        </w:rPr>
        <w:t xml:space="preserve">申购和赎回的开放日为证券交易所交易日（基金管理人公告暂停申购、赎回时除外）。开放日的具体业务办理时间在相关披露文件中规定。基金投资人在基金合同约定之外的日期和时间提出申购、赎回或者转换申请的，其基金份额申购、赎回价格为下次办理基金份额申购、赎回时间所在开放日的价格。 </w:t>
      </w:r>
    </w:p>
    <w:p>
      <w:pPr>
        <w:pStyle w:val="7"/>
        <w:spacing w:before="0" w:beforeAutospacing="0" w:after="0" w:afterAutospacing="0" w:line="360" w:lineRule="auto"/>
        <w:ind w:firstLine="420"/>
        <w:rPr>
          <w:sz w:val="21"/>
          <w:szCs w:val="21"/>
        </w:rPr>
      </w:pPr>
      <w:r>
        <w:rPr>
          <w:rFonts w:hint="eastAsia"/>
          <w:sz w:val="21"/>
          <w:szCs w:val="21"/>
        </w:rPr>
        <w:t>若出现新的证券交易市场或交易所交易时间更改或实际情况需要，基金管理人可对申购、赎回时间进行调整，但此项调整不应对投资人利益造成实质影响，并在调整生效日的前按规</w:t>
      </w:r>
      <w:bookmarkStart w:id="95" w:name="chapter_level1_11_59_section_2_end"/>
      <w:bookmarkEnd w:id="95"/>
      <w:r>
        <w:rPr>
          <w:rFonts w:hint="eastAsia"/>
          <w:sz w:val="21"/>
          <w:szCs w:val="21"/>
        </w:rPr>
        <w:t xml:space="preserve">定在指定媒介上公告。 </w:t>
      </w:r>
    </w:p>
    <w:p>
      <w:pPr>
        <w:pStyle w:val="7"/>
        <w:spacing w:before="0" w:beforeAutospacing="0" w:after="0" w:afterAutospacing="0" w:line="360" w:lineRule="auto"/>
        <w:ind w:firstLine="420"/>
        <w:rPr>
          <w:sz w:val="21"/>
          <w:szCs w:val="21"/>
        </w:rPr>
      </w:pPr>
      <w:bookmarkStart w:id="96" w:name="chapter_level1_11_59_section_3"/>
      <w:bookmarkEnd w:id="96"/>
      <w:r>
        <w:rPr>
          <w:rStyle w:val="11"/>
          <w:rFonts w:hint="eastAsia"/>
          <w:sz w:val="21"/>
          <w:szCs w:val="21"/>
        </w:rPr>
        <w:t>（三）申购和赎回的原则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1、“未知价”原则，即申购、赎回价格以申请当日的基金份额净值为基准进行计算；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3、赎回遵循“先进先出”原则，即按照投资人认购、申购的先后次序进行顺序赎回；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4、当日的申购与赎回申请可以在基金管理人规定的时间以内按约定方式撤销； </w:t>
      </w:r>
    </w:p>
    <w:p>
      <w:pPr>
        <w:pStyle w:val="7"/>
        <w:spacing w:before="0" w:beforeAutospacing="0" w:after="0" w:afterAutospacing="0" w:line="360" w:lineRule="auto"/>
        <w:ind w:firstLine="420"/>
        <w:rPr>
          <w:sz w:val="21"/>
          <w:szCs w:val="21"/>
        </w:rPr>
      </w:pPr>
      <w:r>
        <w:rPr>
          <w:rFonts w:hint="eastAsia"/>
          <w:sz w:val="21"/>
          <w:szCs w:val="21"/>
        </w:rPr>
        <w:t xml:space="preserve">5、基金管理人可根据基金运作的实际情况并在不影响基金份额持有人实质利益的前提下调整上述原则。基金管理人必须在新规则开始实施前按规定在指定媒介上公告。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（四）申购和赎回的数额限制</w:t>
      </w:r>
    </w:p>
    <w:p>
      <w:pPr>
        <w:pStyle w:val="7"/>
        <w:spacing w:before="0" w:beforeAutospacing="0" w:after="0" w:afterAutospacing="0" w:line="360" w:lineRule="auto"/>
        <w:ind w:firstLine="420"/>
        <w:rPr>
          <w:sz w:val="21"/>
          <w:szCs w:val="21"/>
        </w:rPr>
      </w:pPr>
      <w:r>
        <w:rPr>
          <w:rFonts w:hint="eastAsia"/>
          <w:sz w:val="21"/>
          <w:szCs w:val="21"/>
        </w:rPr>
        <w:t>1、通过代销机构购买的，首次购买基金份额的单笔最低金额为</w:t>
      </w:r>
      <w:bookmarkStart w:id="97" w:name="field_59_dealerfirstpurminamount_1"/>
      <w:r>
        <w:rPr>
          <w:sz w:val="21"/>
          <w:szCs w:val="21"/>
        </w:rPr>
        <w:t>1</w:t>
      </w:r>
      <w:r>
        <w:rPr>
          <w:rFonts w:hint="eastAsia"/>
          <w:sz w:val="21"/>
          <w:szCs w:val="21"/>
          <w:lang w:val="en-US" w:eastAsia="zh-CN"/>
        </w:rPr>
        <w:t>.0</w:t>
      </w:r>
      <w:r>
        <w:rPr>
          <w:sz w:val="21"/>
          <w:szCs w:val="21"/>
        </w:rPr>
        <w:t>0</w:t>
      </w:r>
      <w:bookmarkEnd w:id="97"/>
      <w:r>
        <w:rPr>
          <w:rFonts w:hint="eastAsia"/>
          <w:sz w:val="21"/>
          <w:szCs w:val="21"/>
        </w:rPr>
        <w:t>元，追加购买最低金额为</w:t>
      </w:r>
      <w:bookmarkStart w:id="98" w:name="field_59_dealerlaterpurminamount_1"/>
      <w:r>
        <w:rPr>
          <w:sz w:val="21"/>
          <w:szCs w:val="21"/>
        </w:rPr>
        <w:t>1</w:t>
      </w:r>
      <w:r>
        <w:rPr>
          <w:rFonts w:hint="eastAsia"/>
          <w:sz w:val="21"/>
          <w:szCs w:val="21"/>
          <w:lang w:val="en-US" w:eastAsia="zh-CN"/>
        </w:rPr>
        <w:t>.0</w:t>
      </w:r>
      <w:r>
        <w:rPr>
          <w:sz w:val="21"/>
          <w:szCs w:val="21"/>
        </w:rPr>
        <w:t>0</w:t>
      </w:r>
      <w:bookmarkEnd w:id="98"/>
      <w:r>
        <w:rPr>
          <w:rFonts w:hint="eastAsia"/>
          <w:sz w:val="21"/>
          <w:szCs w:val="21"/>
        </w:rPr>
        <w:t>元,详情请见当地销售机构公告.通过直销机构购买的，首次购买基金份额的单笔最低金额为</w:t>
      </w:r>
      <w:bookmarkStart w:id="99" w:name="field_59_directfirstpurminamount_1"/>
      <w:r>
        <w:rPr>
          <w:sz w:val="21"/>
          <w:szCs w:val="21"/>
        </w:rPr>
        <w:t>1</w:t>
      </w:r>
      <w:r>
        <w:rPr>
          <w:rFonts w:hint="eastAsia"/>
          <w:sz w:val="21"/>
          <w:szCs w:val="21"/>
          <w:lang w:val="en-US" w:eastAsia="zh-CN"/>
        </w:rPr>
        <w:t>.0</w:t>
      </w:r>
      <w:r>
        <w:rPr>
          <w:sz w:val="21"/>
          <w:szCs w:val="21"/>
        </w:rPr>
        <w:t>0</w:t>
      </w:r>
      <w:bookmarkEnd w:id="99"/>
      <w:r>
        <w:rPr>
          <w:rFonts w:hint="eastAsia"/>
          <w:sz w:val="21"/>
          <w:szCs w:val="21"/>
        </w:rPr>
        <w:t>元，追加购买最低金额为</w:t>
      </w:r>
      <w:bookmarkStart w:id="100" w:name="field_59_directlaterpurminamount_1"/>
      <w:r>
        <w:rPr>
          <w:sz w:val="21"/>
          <w:szCs w:val="21"/>
        </w:rPr>
        <w:t>1</w:t>
      </w:r>
      <w:r>
        <w:rPr>
          <w:rFonts w:hint="eastAsia"/>
          <w:sz w:val="21"/>
          <w:szCs w:val="21"/>
          <w:lang w:val="en-US" w:eastAsia="zh-CN"/>
        </w:rPr>
        <w:t>.0</w:t>
      </w:r>
      <w:r>
        <w:rPr>
          <w:sz w:val="21"/>
          <w:szCs w:val="21"/>
        </w:rPr>
        <w:t>0</w:t>
      </w:r>
      <w:bookmarkEnd w:id="100"/>
      <w:r>
        <w:rPr>
          <w:rFonts w:hint="eastAsia"/>
          <w:sz w:val="21"/>
          <w:szCs w:val="21"/>
        </w:rPr>
        <w:t xml:space="preserve">元。 </w:t>
      </w:r>
    </w:p>
    <w:p>
      <w:pPr>
        <w:pStyle w:val="7"/>
        <w:spacing w:before="0" w:beforeAutospacing="0" w:after="0" w:afterAutospacing="0" w:line="360" w:lineRule="auto"/>
        <w:ind w:firstLine="420"/>
        <w:rPr>
          <w:sz w:val="21"/>
          <w:szCs w:val="21"/>
        </w:rPr>
      </w:pPr>
      <w:r>
        <w:rPr>
          <w:rFonts w:hint="eastAsia"/>
          <w:sz w:val="21"/>
          <w:szCs w:val="21"/>
        </w:rPr>
        <w:t>2、每个交易账户最低持有基金份额余额为</w:t>
      </w:r>
      <w:bookmarkStart w:id="101" w:name="field_59_minholdshare_1"/>
      <w:r>
        <w:rPr>
          <w:sz w:val="21"/>
          <w:szCs w:val="21"/>
        </w:rPr>
        <w:t>1</w:t>
      </w:r>
      <w:bookmarkEnd w:id="101"/>
      <w:r>
        <w:rPr>
          <w:rFonts w:hint="eastAsia"/>
          <w:sz w:val="21"/>
          <w:szCs w:val="21"/>
        </w:rPr>
        <w:t>份，若某笔赎回导致单个交易账户的基金份额余额少于</w:t>
      </w:r>
      <w:bookmarkStart w:id="102" w:name="field_59_minholdshare_2"/>
      <w:r>
        <w:rPr>
          <w:sz w:val="21"/>
          <w:szCs w:val="21"/>
        </w:rPr>
        <w:t>1</w:t>
      </w:r>
      <w:bookmarkEnd w:id="102"/>
      <w:r>
        <w:rPr>
          <w:rFonts w:hint="eastAsia"/>
          <w:sz w:val="21"/>
          <w:szCs w:val="21"/>
        </w:rPr>
        <w:t xml:space="preserve">份时，余额部分基金份额必须一同赎回。 </w:t>
      </w:r>
    </w:p>
    <w:p>
      <w:pPr>
        <w:pStyle w:val="7"/>
        <w:spacing w:before="0" w:beforeAutospacing="0" w:after="0" w:afterAutospacing="0" w:line="360" w:lineRule="auto"/>
        <w:ind w:firstLine="420"/>
        <w:rPr>
          <w:sz w:val="21"/>
          <w:szCs w:val="21"/>
        </w:rPr>
      </w:pPr>
      <w:r>
        <w:rPr>
          <w:rFonts w:hint="eastAsia"/>
          <w:sz w:val="21"/>
          <w:szCs w:val="21"/>
        </w:rPr>
        <w:t xml:space="preserve">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更新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4、单个投资人持有基金份额比例上限需符合法律法规、监管机构的规定和基金合同的约定。 </w:t>
      </w:r>
    </w:p>
    <w:p>
      <w:pPr>
        <w:pStyle w:val="7"/>
        <w:spacing w:before="0" w:beforeAutospacing="0" w:after="0" w:afterAutospacing="0" w:line="360" w:lineRule="auto"/>
        <w:ind w:firstLine="420"/>
        <w:rPr>
          <w:sz w:val="21"/>
          <w:szCs w:val="21"/>
        </w:rPr>
      </w:pPr>
      <w:r>
        <w:rPr>
          <w:rFonts w:hint="eastAsia"/>
          <w:sz w:val="21"/>
          <w:szCs w:val="21"/>
        </w:rPr>
        <w:t xml:space="preserve">5、基金管理人可根据有关法律规定和市场情况，调整申购金额、赎回份额和账户最低持有余额的数量限制，基金管理人必须最迟在调整前按规定在指定媒介上公告。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（五）申购和赎回的程序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基金投资人必须根据基金销售机构规定的程序，在开放日的业务办理时间向基金销售机构提出申购或赎回的申请。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投资人在申购本基金时须按销售机构规定的方式备足申购资金。投资人在提交赎回申请时，其在销售机构（网点）必须有足够的基金份额余额，否则所提交的申购、赎回的申请无效而不予成交。 </w:t>
      </w:r>
    </w:p>
    <w:p>
      <w:pPr>
        <w:pStyle w:val="7"/>
        <w:spacing w:before="0" w:beforeAutospacing="0" w:after="0" w:afterAutospacing="0" w:line="360" w:lineRule="auto"/>
        <w:ind w:firstLine="420"/>
        <w:rPr>
          <w:sz w:val="21"/>
          <w:szCs w:val="21"/>
        </w:rPr>
      </w:pPr>
      <w:r>
        <w:rPr>
          <w:rFonts w:hint="eastAsia"/>
          <w:sz w:val="21"/>
          <w:szCs w:val="21"/>
        </w:rPr>
        <w:t xml:space="preserve">2、申购和赎回申请的确认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T日规定时间受理的申请，正常情况下，本登记机构在T+1日内为投资人对该交易的有效性进行确认，在T＋2日后（包括该日）投资人可向销售机构或以销售机构规定的其他方式查询申购与赎回的成交情况。投资人在办理基金业务时提交的资料信息须真实、有效。于交易日（T日）提交的申请，投资人应在T+2日到销售网点柜台或销售机构规定的其他方式查询申请的确认情况，投资人提交的申请经登记机构确认（或不被确认）的后果由投资人承担。 </w:t>
      </w:r>
    </w:p>
    <w:p>
      <w:pPr>
        <w:pStyle w:val="7"/>
        <w:spacing w:before="0" w:beforeAutospacing="0" w:after="0" w:afterAutospacing="0" w:line="360" w:lineRule="auto"/>
        <w:ind w:firstLine="420"/>
        <w:rPr>
          <w:sz w:val="21"/>
          <w:szCs w:val="21"/>
        </w:rPr>
      </w:pPr>
      <w:r>
        <w:rPr>
          <w:rFonts w:hint="eastAsia"/>
          <w:sz w:val="21"/>
          <w:szCs w:val="21"/>
        </w:rPr>
        <w:t xml:space="preserve">3、申购和赎回的款项支付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申购采用全额缴款方式。若申购不成功或无效，基金管理人或基金管理人指定或委托的销售代理人应将投资人已缴付的申购款项退回投资人账户。 </w:t>
      </w:r>
    </w:p>
    <w:p>
      <w:pPr>
        <w:pStyle w:val="7"/>
        <w:spacing w:before="0" w:beforeAutospacing="0" w:after="0" w:afterAutospacing="0" w:line="360" w:lineRule="auto"/>
        <w:ind w:firstLine="420"/>
        <w:rPr>
          <w:sz w:val="21"/>
          <w:szCs w:val="21"/>
        </w:rPr>
      </w:pPr>
      <w:r>
        <w:rPr>
          <w:rFonts w:hint="eastAsia"/>
          <w:sz w:val="21"/>
          <w:szCs w:val="21"/>
        </w:rPr>
        <w:t xml:space="preserve">投资人赎回申请成功后，基金管理人应通知基金托管人按有关规定将赎回款项在自接受有效赎回申请之日起不超过7个工作日的时间内划往基金份额持有人账户。在发生巨额赎回时，款项的支付办法按《基金合同》或本招募说明书等的有关规定处理。 </w:t>
      </w:r>
    </w:p>
    <w:p>
      <w:pPr>
        <w:pStyle w:val="7"/>
        <w:spacing w:before="0" w:beforeAutospacing="0" w:after="0" w:afterAutospacing="0" w:line="360" w:lineRule="auto"/>
        <w:ind w:firstLine="420"/>
        <w:rPr>
          <w:sz w:val="21"/>
          <w:szCs w:val="21"/>
        </w:rPr>
      </w:pPr>
      <w:r>
        <w:rPr>
          <w:rStyle w:val="11"/>
          <w:rFonts w:hint="eastAsia"/>
          <w:sz w:val="21"/>
          <w:szCs w:val="21"/>
        </w:rPr>
        <w:t>（六）申购和赎回的数额和价格</w:t>
      </w:r>
    </w:p>
    <w:p>
      <w:pPr>
        <w:pStyle w:val="7"/>
        <w:spacing w:before="0" w:beforeAutospacing="0" w:after="0" w:afterAutospacing="0" w:line="360" w:lineRule="auto"/>
        <w:ind w:firstLine="420"/>
        <w:rPr>
          <w:sz w:val="21"/>
          <w:szCs w:val="21"/>
        </w:rPr>
      </w:pPr>
      <w:r>
        <w:rPr>
          <w:rFonts w:hint="eastAsia"/>
          <w:sz w:val="21"/>
          <w:szCs w:val="21"/>
        </w:rPr>
        <w:t xml:space="preserve">1、申购和赎回费率 </w:t>
      </w:r>
    </w:p>
    <w:p>
      <w:pPr>
        <w:pStyle w:val="7"/>
        <w:spacing w:before="0" w:beforeAutospacing="0" w:after="0" w:afterAutospacing="0" w:line="360" w:lineRule="auto"/>
        <w:ind w:firstLine="420"/>
        <w:rPr>
          <w:sz w:val="21"/>
          <w:szCs w:val="21"/>
        </w:rPr>
      </w:pPr>
      <w:r>
        <w:rPr>
          <w:rFonts w:hint="eastAsia"/>
          <w:sz w:val="21"/>
          <w:szCs w:val="21"/>
        </w:rPr>
        <w:t xml:space="preserve">本基金的申购费率最高不超过3.0%，本基金初次公告的申购费率如下表列：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3"/>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M＜100万元 </w:t>
            </w:r>
          </w:p>
        </w:tc>
        <w:tc>
          <w:tcPr>
            <w:tcW w:w="0" w:type="auto"/>
            <w:shd w:val="clear" w:color="auto" w:fill="auto"/>
          </w:tcPr>
          <w:p>
            <w:pPr>
              <w:pStyle w:val="7"/>
            </w:pPr>
            <w:r>
              <w:rPr>
                <w:rFonts w:hint="eastAsia"/>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100万元≤M＜500万元 </w:t>
            </w:r>
          </w:p>
        </w:tc>
        <w:tc>
          <w:tcPr>
            <w:tcW w:w="0" w:type="auto"/>
            <w:shd w:val="clear" w:color="auto" w:fill="auto"/>
          </w:tcPr>
          <w:p>
            <w:pPr>
              <w:pStyle w:val="7"/>
            </w:pPr>
            <w:r>
              <w:rPr>
                <w:rFonts w:hint="eastAsia"/>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500万元≤M＜1000万元 </w:t>
            </w:r>
          </w:p>
        </w:tc>
        <w:tc>
          <w:tcPr>
            <w:tcW w:w="0" w:type="auto"/>
            <w:shd w:val="clear" w:color="auto" w:fill="auto"/>
          </w:tcPr>
          <w:p>
            <w:pPr>
              <w:pStyle w:val="7"/>
            </w:pPr>
            <w:r>
              <w:rPr>
                <w:rFonts w:hint="eastAsia"/>
              </w:rPr>
              <w:t xml:space="preserve">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M≥1000万元 </w:t>
            </w:r>
          </w:p>
        </w:tc>
        <w:tc>
          <w:tcPr>
            <w:tcW w:w="0" w:type="auto"/>
            <w:shd w:val="clear" w:color="auto" w:fill="auto"/>
          </w:tcPr>
          <w:p>
            <w:pPr>
              <w:pStyle w:val="7"/>
            </w:pPr>
            <w:r>
              <w:rPr>
                <w:rFonts w:hint="eastAsia"/>
              </w:rPr>
              <w:t xml:space="preserve">收取固定费用1000元 </w:t>
            </w:r>
          </w:p>
        </w:tc>
      </w:tr>
    </w:tbl>
    <w:p>
      <w:pPr>
        <w:pStyle w:val="7"/>
        <w:spacing w:before="0" w:beforeAutospacing="0" w:after="0" w:afterAutospacing="0" w:line="360" w:lineRule="auto"/>
        <w:ind w:firstLine="420"/>
        <w:rPr>
          <w:sz w:val="21"/>
          <w:szCs w:val="21"/>
        </w:rPr>
      </w:pPr>
      <w:r>
        <w:rPr>
          <w:rFonts w:hint="eastAsia"/>
          <w:sz w:val="21"/>
          <w:szCs w:val="21"/>
        </w:rPr>
        <w:t xml:space="preserve">本基金的赎回费率最高不超过1.5%，本基金初次公告的赎回费率如下表列：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1"/>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持有基金份额期限(Y) </w:t>
            </w:r>
          </w:p>
        </w:tc>
        <w:tc>
          <w:tcPr>
            <w:tcW w:w="0" w:type="auto"/>
            <w:shd w:val="clear" w:color="auto" w:fill="auto"/>
          </w:tcPr>
          <w:p>
            <w:pPr>
              <w:pStyle w:val="7"/>
            </w:pPr>
            <w:r>
              <w:rPr>
                <w:rFonts w:hint="eastAsia"/>
              </w:rPr>
              <w:t xml:space="preserve">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Y＜7日 </w:t>
            </w:r>
          </w:p>
        </w:tc>
        <w:tc>
          <w:tcPr>
            <w:tcW w:w="0" w:type="auto"/>
            <w:shd w:val="clear" w:color="auto" w:fill="auto"/>
          </w:tcPr>
          <w:p>
            <w:pPr>
              <w:pStyle w:val="7"/>
            </w:pPr>
            <w:r>
              <w:rPr>
                <w:rFonts w:hint="eastAsia"/>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7日≤Y＜两年 </w:t>
            </w:r>
          </w:p>
        </w:tc>
        <w:tc>
          <w:tcPr>
            <w:tcW w:w="0" w:type="auto"/>
            <w:shd w:val="clear" w:color="auto" w:fill="auto"/>
          </w:tcPr>
          <w:p>
            <w:pPr>
              <w:pStyle w:val="7"/>
            </w:pPr>
            <w:r>
              <w:rPr>
                <w:rFonts w:hint="eastAsia"/>
              </w:rPr>
              <w:t xml:space="preserve">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三年＞ Y≥两年 </w:t>
            </w:r>
          </w:p>
        </w:tc>
        <w:tc>
          <w:tcPr>
            <w:tcW w:w="0" w:type="auto"/>
            <w:shd w:val="clear" w:color="auto" w:fill="auto"/>
          </w:tcPr>
          <w:p>
            <w:pPr>
              <w:pStyle w:val="7"/>
            </w:pPr>
            <w:r>
              <w:rPr>
                <w:rFonts w:hint="eastAsia"/>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Y≥三年 </w:t>
            </w:r>
          </w:p>
        </w:tc>
        <w:tc>
          <w:tcPr>
            <w:tcW w:w="0" w:type="auto"/>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2、本基金的申购费用由投资人承担，不列入基金资产，申购费主要用于本基金的市场推广和销售、注册登记等各项费用。 </w:t>
      </w:r>
    </w:p>
    <w:p>
      <w:pPr>
        <w:pStyle w:val="7"/>
        <w:spacing w:before="0" w:beforeAutospacing="0" w:after="0" w:afterAutospacing="0" w:line="360" w:lineRule="auto"/>
        <w:ind w:firstLine="420"/>
        <w:rPr>
          <w:sz w:val="21"/>
          <w:szCs w:val="21"/>
        </w:rPr>
      </w:pPr>
      <w:r>
        <w:rPr>
          <w:rFonts w:hint="eastAsia"/>
          <w:sz w:val="21"/>
          <w:szCs w:val="21"/>
        </w:rPr>
        <w:t xml:space="preserve">3、本基金的赎回费用在基金份额持有人赎回本基金份额时收取，赎回费率最高不超过赎回金额的1.5%，扣除归基金财产部分后的余额用于注册登记等费用，赎回费归基金财产的部分不低于赎回费的25%。对持续持有期少于7日的投资者收取的赎回费全额计入基金财产。 </w:t>
      </w:r>
    </w:p>
    <w:p>
      <w:pPr>
        <w:pStyle w:val="7"/>
        <w:spacing w:before="0" w:beforeAutospacing="0" w:after="0" w:afterAutospacing="0" w:line="360" w:lineRule="auto"/>
        <w:ind w:firstLine="420"/>
        <w:rPr>
          <w:sz w:val="21"/>
          <w:szCs w:val="21"/>
        </w:rPr>
      </w:pPr>
      <w:r>
        <w:rPr>
          <w:rFonts w:hint="eastAsia"/>
          <w:sz w:val="21"/>
          <w:szCs w:val="21"/>
        </w:rPr>
        <w:t xml:space="preserve">4、基金管理人可以根据情况调整申购费率，但最高不超过3％。基金管理人可以在确保如前所述赎回费率最高不超过1%的前提下，决定对不同持有期限的基金份额等实行差别化的赎回费率，并予公告，而无须召开基金份额持有人大会。赎回费率模式需公告并公平地对待同类投资人。基金管理人必须最迟于新的费率实施日按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（七）申购份额与赎回金额的计算方式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1、基金申购份额的计算 </w:t>
      </w:r>
    </w:p>
    <w:p>
      <w:pPr>
        <w:pStyle w:val="7"/>
        <w:spacing w:before="0" w:beforeAutospacing="0" w:after="0" w:afterAutospacing="0" w:line="360" w:lineRule="auto"/>
        <w:ind w:firstLine="420"/>
        <w:rPr>
          <w:sz w:val="21"/>
          <w:szCs w:val="21"/>
        </w:rPr>
      </w:pPr>
      <w:r>
        <w:rPr>
          <w:rFonts w:hint="eastAsia"/>
          <w:sz w:val="21"/>
          <w:szCs w:val="21"/>
        </w:rPr>
        <w:t xml:space="preserve">基金申购采用金额申购的方式，投资人在申购时支付申购费用，申购费率随申购金额的不同而有所不同。计算公式为： </w:t>
      </w:r>
    </w:p>
    <w:p>
      <w:pPr>
        <w:pStyle w:val="7"/>
        <w:spacing w:before="0" w:beforeAutospacing="0" w:after="0" w:afterAutospacing="0" w:line="360" w:lineRule="auto"/>
        <w:ind w:firstLine="420"/>
        <w:rPr>
          <w:sz w:val="21"/>
          <w:szCs w:val="21"/>
        </w:rPr>
      </w:pPr>
      <w:r>
        <w:rPr>
          <w:rFonts w:hint="eastAsia"/>
          <w:sz w:val="21"/>
          <w:szCs w:val="21"/>
        </w:rPr>
        <w:t xml:space="preserve">申购费用=申购金额×申购费率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净申购金额=申购金额-申购费用 </w:t>
      </w:r>
    </w:p>
    <w:p>
      <w:pPr>
        <w:pStyle w:val="7"/>
        <w:spacing w:before="0" w:beforeAutospacing="0" w:after="0" w:afterAutospacing="0" w:line="360" w:lineRule="auto"/>
        <w:ind w:firstLine="420"/>
        <w:rPr>
          <w:sz w:val="21"/>
          <w:szCs w:val="21"/>
        </w:rPr>
      </w:pPr>
      <w:r>
        <w:rPr>
          <w:rFonts w:hint="eastAsia"/>
          <w:sz w:val="21"/>
          <w:szCs w:val="21"/>
        </w:rPr>
        <w:t xml:space="preserve">申购份额数=净申购金额/基金份额净值 </w:t>
      </w:r>
    </w:p>
    <w:p>
      <w:pPr>
        <w:pStyle w:val="7"/>
        <w:spacing w:before="0" w:beforeAutospacing="0" w:after="0" w:afterAutospacing="0" w:line="360" w:lineRule="auto"/>
        <w:ind w:firstLine="420"/>
        <w:rPr>
          <w:sz w:val="21"/>
          <w:szCs w:val="21"/>
        </w:rPr>
      </w:pPr>
      <w:r>
        <w:rPr>
          <w:rFonts w:hint="eastAsia"/>
          <w:sz w:val="21"/>
          <w:szCs w:val="21"/>
        </w:rPr>
        <w:t xml:space="preserve">申购费用计算结果、申购份额计算结果均按四舍五入方式保留到小数点后两位，由此产生的损失由基金财产承担，取得的收益归入基金财产。 </w:t>
      </w:r>
    </w:p>
    <w:p>
      <w:pPr>
        <w:pStyle w:val="7"/>
        <w:spacing w:before="0" w:beforeAutospacing="0" w:after="0" w:afterAutospacing="0" w:line="360" w:lineRule="auto"/>
        <w:ind w:firstLine="420"/>
        <w:rPr>
          <w:sz w:val="21"/>
          <w:szCs w:val="21"/>
        </w:rPr>
      </w:pPr>
      <w:r>
        <w:rPr>
          <w:rFonts w:hint="eastAsia"/>
          <w:sz w:val="21"/>
          <w:szCs w:val="21"/>
        </w:rPr>
        <w:t xml:space="preserve">举例：某投资人申购本基金100000元，申购费率为1.5％，假设申购当日基金份额净值为1.040元，则其可得到的申购份额为： </w:t>
      </w:r>
    </w:p>
    <w:p>
      <w:pPr>
        <w:pStyle w:val="7"/>
        <w:spacing w:before="0" w:beforeAutospacing="0" w:after="0" w:afterAutospacing="0" w:line="360" w:lineRule="auto"/>
        <w:ind w:firstLine="420"/>
        <w:rPr>
          <w:sz w:val="21"/>
          <w:szCs w:val="21"/>
        </w:rPr>
      </w:pPr>
      <w:r>
        <w:rPr>
          <w:rFonts w:hint="eastAsia"/>
          <w:sz w:val="21"/>
          <w:szCs w:val="21"/>
        </w:rPr>
        <w:t xml:space="preserve">申购费用＝100000×1.5％＝1500元 </w:t>
      </w:r>
    </w:p>
    <w:p>
      <w:pPr>
        <w:pStyle w:val="7"/>
        <w:spacing w:before="0" w:beforeAutospacing="0" w:after="0" w:afterAutospacing="0" w:line="360" w:lineRule="auto"/>
        <w:ind w:firstLine="420"/>
        <w:rPr>
          <w:sz w:val="21"/>
          <w:szCs w:val="21"/>
        </w:rPr>
      </w:pPr>
      <w:r>
        <w:rPr>
          <w:rFonts w:hint="eastAsia"/>
          <w:sz w:val="21"/>
          <w:szCs w:val="21"/>
        </w:rPr>
        <w:t xml:space="preserve">净申购金额 ＝100000－1500＝98500元 </w:t>
      </w:r>
    </w:p>
    <w:p>
      <w:pPr>
        <w:pStyle w:val="7"/>
        <w:spacing w:before="0" w:beforeAutospacing="0" w:after="0" w:afterAutospacing="0" w:line="360" w:lineRule="auto"/>
        <w:ind w:firstLine="420"/>
        <w:rPr>
          <w:sz w:val="21"/>
          <w:szCs w:val="21"/>
        </w:rPr>
      </w:pPr>
      <w:r>
        <w:rPr>
          <w:rFonts w:hint="eastAsia"/>
          <w:sz w:val="21"/>
          <w:szCs w:val="21"/>
        </w:rPr>
        <w:t xml:space="preserve">申购份额数 ＝ 98500/1.0400＝94711.54份 </w:t>
      </w:r>
    </w:p>
    <w:p>
      <w:pPr>
        <w:pStyle w:val="7"/>
        <w:spacing w:before="0" w:beforeAutospacing="0" w:after="0" w:afterAutospacing="0" w:line="360" w:lineRule="auto"/>
        <w:ind w:firstLine="420"/>
        <w:rPr>
          <w:sz w:val="21"/>
          <w:szCs w:val="21"/>
        </w:rPr>
      </w:pPr>
      <w:r>
        <w:rPr>
          <w:rFonts w:hint="eastAsia"/>
          <w:sz w:val="21"/>
          <w:szCs w:val="21"/>
        </w:rPr>
        <w:t xml:space="preserve">即：该投资人投资100000元申购本基金，假设申购当日基金份额净值为1.040元，则可得到94711.54份基金份额。 </w:t>
      </w:r>
    </w:p>
    <w:p>
      <w:pPr>
        <w:pStyle w:val="7"/>
        <w:spacing w:before="0" w:beforeAutospacing="0" w:after="0" w:afterAutospacing="0" w:line="360" w:lineRule="auto"/>
        <w:ind w:firstLine="420"/>
        <w:rPr>
          <w:sz w:val="21"/>
          <w:szCs w:val="21"/>
        </w:rPr>
      </w:pPr>
      <w:r>
        <w:rPr>
          <w:rFonts w:hint="eastAsia"/>
          <w:sz w:val="21"/>
          <w:szCs w:val="21"/>
        </w:rPr>
        <w:t xml:space="preserve">本公司于2007年5月15日公布了本基金基金申购费计算方法的调整。自2007年5月18日起，按调整后的申购费用及申购份额计算本基金的净申购金额、申购费用以及确认申购份额：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净申购金额=申购金额/[1+申购费率] </w:t>
      </w:r>
    </w:p>
    <w:p>
      <w:pPr>
        <w:pStyle w:val="7"/>
        <w:spacing w:before="0" w:beforeAutospacing="0" w:after="0" w:afterAutospacing="0" w:line="360" w:lineRule="auto"/>
        <w:ind w:firstLine="420"/>
        <w:rPr>
          <w:sz w:val="21"/>
          <w:szCs w:val="21"/>
        </w:rPr>
      </w:pPr>
      <w:r>
        <w:rPr>
          <w:rFonts w:hint="eastAsia"/>
          <w:sz w:val="21"/>
          <w:szCs w:val="21"/>
        </w:rPr>
        <w:t xml:space="preserve">申购费用=申购金额－净申购金额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 / 申购当日基金份额净值 </w:t>
      </w:r>
    </w:p>
    <w:p>
      <w:pPr>
        <w:pStyle w:val="7"/>
        <w:spacing w:before="0" w:beforeAutospacing="0" w:after="0" w:afterAutospacing="0" w:line="360" w:lineRule="auto"/>
        <w:ind w:firstLine="420"/>
        <w:rPr>
          <w:sz w:val="21"/>
          <w:szCs w:val="21"/>
        </w:rPr>
      </w:pPr>
      <w:r>
        <w:rPr>
          <w:rFonts w:hint="eastAsia"/>
          <w:sz w:val="21"/>
          <w:szCs w:val="21"/>
        </w:rPr>
        <w:t xml:space="preserve">2、基金赎回金额的计算 </w:t>
      </w:r>
    </w:p>
    <w:p>
      <w:pPr>
        <w:pStyle w:val="7"/>
        <w:spacing w:before="0" w:beforeAutospacing="0" w:after="0" w:afterAutospacing="0" w:line="360" w:lineRule="auto"/>
        <w:ind w:firstLine="420"/>
        <w:rPr>
          <w:sz w:val="21"/>
          <w:szCs w:val="21"/>
        </w:rPr>
      </w:pPr>
      <w:r>
        <w:rPr>
          <w:rFonts w:hint="eastAsia"/>
          <w:sz w:val="21"/>
          <w:szCs w:val="21"/>
        </w:rPr>
        <w:t xml:space="preserve">赎回金额为按实际确认的有效赎回份额乘以以当日基金份额净值为基准计算的赎回价格，赎回金额单位为“元”，计算结果保留到小数点后两位，第三位四舍五入。 </w:t>
      </w:r>
    </w:p>
    <w:p>
      <w:pPr>
        <w:pStyle w:val="7"/>
        <w:spacing w:before="0" w:beforeAutospacing="0" w:after="0" w:afterAutospacing="0" w:line="360" w:lineRule="auto"/>
        <w:ind w:firstLine="420"/>
        <w:rPr>
          <w:sz w:val="21"/>
          <w:szCs w:val="21"/>
        </w:rPr>
      </w:pPr>
      <w:r>
        <w:rPr>
          <w:rFonts w:hint="eastAsia"/>
          <w:sz w:val="21"/>
          <w:szCs w:val="21"/>
        </w:rPr>
        <w:t xml:space="preserve">基金份额赎回价格 = 基金份额净值×（1－赎回费率） </w:t>
      </w:r>
    </w:p>
    <w:p>
      <w:pPr>
        <w:pStyle w:val="7"/>
        <w:spacing w:before="0" w:beforeAutospacing="0" w:after="0" w:afterAutospacing="0" w:line="360" w:lineRule="auto"/>
        <w:ind w:firstLine="420"/>
        <w:rPr>
          <w:sz w:val="21"/>
          <w:szCs w:val="21"/>
        </w:rPr>
      </w:pPr>
      <w:r>
        <w:rPr>
          <w:rFonts w:hint="eastAsia"/>
          <w:sz w:val="21"/>
          <w:szCs w:val="21"/>
        </w:rPr>
        <w:t xml:space="preserve">赎回金额 = 基金份额赎回价格×赎回份额 </w:t>
      </w:r>
    </w:p>
    <w:p>
      <w:pPr>
        <w:pStyle w:val="7"/>
        <w:spacing w:before="0" w:beforeAutospacing="0" w:after="0" w:afterAutospacing="0" w:line="360" w:lineRule="auto"/>
        <w:ind w:firstLine="420"/>
        <w:rPr>
          <w:sz w:val="21"/>
          <w:szCs w:val="21"/>
        </w:rPr>
      </w:pPr>
      <w:r>
        <w:rPr>
          <w:rFonts w:hint="eastAsia"/>
          <w:sz w:val="21"/>
          <w:szCs w:val="21"/>
        </w:rPr>
        <w:t xml:space="preserve">举例：某投资人赎回10万份基金份额，对应的赎回费率为0.5%，假设赎回当日基金份额净值是1.016元，则其可得到的赎回金额为：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赎回价格 = 1.016 × （ 1 － 0.5％ ） ＝ 1.01092元 </w:t>
      </w:r>
    </w:p>
    <w:p>
      <w:pPr>
        <w:pStyle w:val="7"/>
        <w:spacing w:before="0" w:beforeAutospacing="0" w:after="0" w:afterAutospacing="0" w:line="360" w:lineRule="auto"/>
        <w:ind w:firstLine="420"/>
        <w:rPr>
          <w:sz w:val="21"/>
          <w:szCs w:val="21"/>
        </w:rPr>
      </w:pPr>
      <w:r>
        <w:rPr>
          <w:rFonts w:hint="eastAsia"/>
          <w:sz w:val="21"/>
          <w:szCs w:val="21"/>
        </w:rPr>
        <w:t xml:space="preserve">赎回金额 = 100000× 1.01092 ＝ 101092元 </w:t>
      </w:r>
    </w:p>
    <w:p>
      <w:pPr>
        <w:pStyle w:val="7"/>
        <w:spacing w:before="0" w:beforeAutospacing="0" w:after="0" w:afterAutospacing="0" w:line="360" w:lineRule="auto"/>
        <w:ind w:firstLine="420"/>
        <w:rPr>
          <w:sz w:val="21"/>
          <w:szCs w:val="21"/>
        </w:rPr>
      </w:pPr>
      <w:r>
        <w:rPr>
          <w:rFonts w:hint="eastAsia"/>
          <w:sz w:val="21"/>
          <w:szCs w:val="21"/>
        </w:rPr>
        <w:t xml:space="preserve">即：投资人赎回本基金10万份基金份额，假设赎回当日基金份额净值是1.016元，则其可得到的赎回金额为101092元。 </w:t>
      </w:r>
    </w:p>
    <w:p>
      <w:pPr>
        <w:pStyle w:val="7"/>
        <w:spacing w:before="0" w:beforeAutospacing="0" w:after="0" w:afterAutospacing="0" w:line="360" w:lineRule="auto"/>
        <w:ind w:firstLine="420"/>
        <w:rPr>
          <w:sz w:val="21"/>
          <w:szCs w:val="21"/>
        </w:rPr>
      </w:pPr>
      <w:r>
        <w:rPr>
          <w:rFonts w:hint="eastAsia"/>
          <w:sz w:val="21"/>
          <w:szCs w:val="21"/>
        </w:rPr>
        <w:t xml:space="preserve">3、基金份额净值的计算公式 </w:t>
      </w:r>
    </w:p>
    <w:p>
      <w:pPr>
        <w:pStyle w:val="7"/>
        <w:spacing w:before="0" w:beforeAutospacing="0" w:after="0" w:afterAutospacing="0" w:line="360" w:lineRule="auto"/>
        <w:ind w:firstLine="420"/>
        <w:rPr>
          <w:sz w:val="21"/>
          <w:szCs w:val="21"/>
        </w:rPr>
      </w:pPr>
      <w:r>
        <w:rPr>
          <w:rFonts w:hint="eastAsia"/>
          <w:sz w:val="21"/>
          <w:szCs w:val="21"/>
        </w:rPr>
        <w:t xml:space="preserve">基金份额净值=开放日收市后基金资产净值÷当日基金份额的余额数量 </w:t>
      </w:r>
    </w:p>
    <w:p>
      <w:pPr>
        <w:pStyle w:val="7"/>
        <w:spacing w:before="0" w:beforeAutospacing="0" w:after="0" w:afterAutospacing="0" w:line="360" w:lineRule="auto"/>
        <w:ind w:firstLine="420"/>
        <w:rPr>
          <w:sz w:val="21"/>
          <w:szCs w:val="21"/>
        </w:rPr>
      </w:pPr>
      <w:r>
        <w:rPr>
          <w:rFonts w:hint="eastAsia"/>
          <w:sz w:val="21"/>
          <w:szCs w:val="21"/>
        </w:rPr>
        <w:t>基金份额净值的计算，精确到小数点后第三位，小数点后第四位四舍五入，国家另有规</w:t>
      </w:r>
      <w:bookmarkStart w:id="103" w:name="chapter_level1_11_59_section_3_end"/>
      <w:bookmarkEnd w:id="103"/>
      <w:r>
        <w:rPr>
          <w:rFonts w:hint="eastAsia"/>
          <w:sz w:val="21"/>
          <w:szCs w:val="21"/>
        </w:rPr>
        <w:t xml:space="preserve">定的，从其规定。 </w:t>
      </w:r>
    </w:p>
    <w:p>
      <w:pPr>
        <w:pStyle w:val="7"/>
        <w:spacing w:before="0" w:beforeAutospacing="0" w:after="0" w:afterAutospacing="0" w:line="360" w:lineRule="auto"/>
        <w:ind w:firstLine="420"/>
        <w:rPr>
          <w:sz w:val="21"/>
          <w:szCs w:val="21"/>
        </w:rPr>
      </w:pPr>
      <w:bookmarkStart w:id="104" w:name="chapter_level1_11_59_section_4"/>
      <w:bookmarkEnd w:id="104"/>
      <w:r>
        <w:rPr>
          <w:rStyle w:val="11"/>
          <w:rFonts w:hint="eastAsia"/>
          <w:sz w:val="21"/>
          <w:szCs w:val="21"/>
        </w:rPr>
        <w:t>（八）基金转换业务</w:t>
      </w:r>
    </w:p>
    <w:p>
      <w:pPr>
        <w:pStyle w:val="7"/>
        <w:spacing w:before="0" w:beforeAutospacing="0" w:after="0" w:afterAutospacing="0" w:line="360" w:lineRule="auto"/>
        <w:ind w:firstLine="420"/>
        <w:rPr>
          <w:sz w:val="21"/>
          <w:szCs w:val="21"/>
        </w:rPr>
      </w:pPr>
      <w:r>
        <w:rPr>
          <w:rFonts w:hint="eastAsia"/>
          <w:sz w:val="21"/>
          <w:szCs w:val="21"/>
        </w:rPr>
        <w:t xml:space="preserve">自2006年7 月5日起本基金管理人和销售机构共同推出本基金的基金转换业务，具体适用基金详见公告。 </w:t>
      </w:r>
    </w:p>
    <w:p>
      <w:pPr>
        <w:pStyle w:val="7"/>
        <w:spacing w:before="0" w:beforeAutospacing="0" w:after="0" w:afterAutospacing="0" w:line="360" w:lineRule="auto"/>
        <w:ind w:firstLine="420"/>
        <w:rPr>
          <w:sz w:val="21"/>
          <w:szCs w:val="21"/>
        </w:rPr>
      </w:pPr>
      <w:r>
        <w:rPr>
          <w:rFonts w:hint="eastAsia"/>
          <w:sz w:val="21"/>
          <w:szCs w:val="21"/>
        </w:rPr>
        <w:t xml:space="preserve">（一）转换费用 </w:t>
      </w:r>
    </w:p>
    <w:p>
      <w:pPr>
        <w:pStyle w:val="7"/>
        <w:spacing w:before="0" w:beforeAutospacing="0" w:after="0" w:afterAutospacing="0" w:line="360" w:lineRule="auto"/>
        <w:ind w:firstLine="420"/>
        <w:rPr>
          <w:sz w:val="21"/>
          <w:szCs w:val="21"/>
        </w:rPr>
      </w:pPr>
      <w:r>
        <w:rPr>
          <w:rFonts w:hint="eastAsia"/>
          <w:sz w:val="21"/>
          <w:szCs w:val="21"/>
        </w:rPr>
        <w:t xml:space="preserve">基金转换费用由申购费补差和转出基金赎回费两部分构成，其中：申购费补差具体收取情况，视每次转换时的两只基金的费率的差异情况而定。基金转换费用由基金份额持有人承担，扣除转出基金赎回费应归基金财产部分后的余额归登记机构所有。 </w:t>
      </w:r>
    </w:p>
    <w:p>
      <w:pPr>
        <w:pStyle w:val="7"/>
        <w:spacing w:before="0" w:beforeAutospacing="0" w:after="0" w:afterAutospacing="0" w:line="360" w:lineRule="auto"/>
        <w:ind w:firstLine="420"/>
        <w:rPr>
          <w:sz w:val="21"/>
          <w:szCs w:val="21"/>
        </w:rPr>
      </w:pPr>
      <w:r>
        <w:rPr>
          <w:rFonts w:hint="eastAsia"/>
          <w:sz w:val="21"/>
          <w:szCs w:val="21"/>
        </w:rPr>
        <w:t xml:space="preserve">（二）业务规则 </w:t>
      </w:r>
    </w:p>
    <w:p>
      <w:pPr>
        <w:pStyle w:val="7"/>
        <w:spacing w:before="0" w:beforeAutospacing="0" w:after="0" w:afterAutospacing="0" w:line="360" w:lineRule="auto"/>
        <w:ind w:firstLine="420"/>
        <w:rPr>
          <w:sz w:val="21"/>
          <w:szCs w:val="21"/>
        </w:rPr>
      </w:pPr>
      <w:r>
        <w:rPr>
          <w:rFonts w:hint="eastAsia"/>
          <w:sz w:val="21"/>
          <w:szCs w:val="21"/>
        </w:rPr>
        <w:t xml:space="preserve">1、基金转换只能在同一销售机构进行。转换的两只基金必须都是该销售机构代理的同一基金管理人管理的、在同一登记机构处注册登记的基金。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7"/>
        <w:spacing w:before="0" w:beforeAutospacing="0" w:after="0" w:afterAutospacing="0" w:line="360" w:lineRule="auto"/>
        <w:ind w:firstLine="420"/>
        <w:rPr>
          <w:sz w:val="21"/>
          <w:szCs w:val="21"/>
        </w:rPr>
      </w:pPr>
      <w:r>
        <w:rPr>
          <w:rFonts w:hint="eastAsia"/>
          <w:sz w:val="21"/>
          <w:szCs w:val="21"/>
        </w:rPr>
        <w:t xml:space="preserve">3、基金转换的目标基金份额按新交易计算持有时间。基金转出视为赎回，转入视为申购。基金转换后可赎回的时间为T＋2日。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4、基金分红时再投资的份额可在权益登记日的T＋2日提交基金转换申请。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5、基金转换，以申请当日基金单位资产净值为基础计算。投资人采用“份额转换”的原则提交申请。转出基金份额必须是可用份额，并遵循“先进先出”的原则。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6、于交易日（T日）提交的申请，投资者应在T+2日到销售网点柜台或销售机构规定的其他方式查询申请的确认情况，投资人提交的申请经登记机构确认（或不被确认）的后果由投资人承担。 </w:t>
      </w:r>
    </w:p>
    <w:p>
      <w:pPr>
        <w:pStyle w:val="7"/>
        <w:spacing w:before="0" w:beforeAutospacing="0" w:after="0" w:afterAutospacing="0" w:line="360" w:lineRule="auto"/>
        <w:ind w:firstLine="420"/>
        <w:rPr>
          <w:sz w:val="21"/>
          <w:szCs w:val="21"/>
        </w:rPr>
      </w:pPr>
      <w:r>
        <w:rPr>
          <w:rFonts w:hint="eastAsia"/>
          <w:sz w:val="21"/>
          <w:szCs w:val="21"/>
        </w:rPr>
        <w:t xml:space="preserve">（三）暂停基金转换的情形及处理 </w:t>
      </w:r>
    </w:p>
    <w:p>
      <w:pPr>
        <w:pStyle w:val="7"/>
        <w:spacing w:before="0" w:beforeAutospacing="0" w:after="0" w:afterAutospacing="0" w:line="360" w:lineRule="auto"/>
        <w:ind w:firstLine="420"/>
        <w:rPr>
          <w:sz w:val="21"/>
          <w:szCs w:val="21"/>
        </w:rPr>
      </w:pPr>
      <w:r>
        <w:rPr>
          <w:rFonts w:hint="eastAsia"/>
          <w:sz w:val="21"/>
          <w:szCs w:val="21"/>
        </w:rPr>
        <w:t xml:space="preserve">出现下列情况之一时，基金管理人可以暂停基金转换业务：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1、不可抗力的原因导致基金无法正常运作。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2、证券交易场所在交易时间非正常停市，导致基金管理人无法计算当日基金资产净值。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3、单个开放日基金净赎回份额及净转换转出申请份额之和超出上一开放日基金总份额的10%时，为巨额赎回。发生巨额赎回时，基金管理人可以取消部分或全部当日已申请的基金转换业务并暂停基金转换业务。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4、法律、法规、规章规定的其它情形或其它在《基金合同》、《招募说明书》已载明并获中国证监会批准的特殊情形。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发生上述情形之一的，基金管理人应于规定期限内在指定媒介上刊登暂停公告。重新开放基金转换时，基金管理人应按规定在指定媒介上刊登重新开放基金转换的公告。 </w:t>
      </w:r>
    </w:p>
    <w:p>
      <w:pPr>
        <w:pStyle w:val="7"/>
        <w:spacing w:before="0" w:beforeAutospacing="0" w:after="0" w:afterAutospacing="0" w:line="360" w:lineRule="auto"/>
        <w:ind w:firstLine="420"/>
        <w:rPr>
          <w:sz w:val="21"/>
          <w:szCs w:val="21"/>
        </w:rPr>
      </w:pPr>
      <w:r>
        <w:rPr>
          <w:rFonts w:hint="eastAsia"/>
          <w:sz w:val="21"/>
          <w:szCs w:val="21"/>
        </w:rPr>
        <w:t xml:space="preserve">（四）重要提示 </w:t>
      </w:r>
    </w:p>
    <w:p>
      <w:pPr>
        <w:pStyle w:val="7"/>
        <w:spacing w:before="0" w:beforeAutospacing="0" w:after="0" w:afterAutospacing="0" w:line="360" w:lineRule="auto"/>
        <w:ind w:firstLine="420"/>
        <w:rPr>
          <w:sz w:val="21"/>
          <w:szCs w:val="21"/>
        </w:rPr>
      </w:pPr>
      <w:r>
        <w:rPr>
          <w:rFonts w:hint="eastAsia"/>
          <w:sz w:val="21"/>
          <w:szCs w:val="21"/>
        </w:rPr>
        <w:t>1、本基金转换业务适用于可以销售包括</w:t>
      </w:r>
      <w:bookmarkStart w:id="105" w:name="field_0_productfullname_7"/>
      <w:r>
        <w:rPr>
          <w:rFonts w:hint="eastAsia"/>
          <w:sz w:val="21"/>
          <w:szCs w:val="21"/>
        </w:rPr>
        <w:t>博时平衡配置混合型证券投资基金</w:t>
      </w:r>
      <w:bookmarkEnd w:id="105"/>
      <w:r>
        <w:rPr>
          <w:rFonts w:hint="eastAsia"/>
          <w:sz w:val="21"/>
          <w:szCs w:val="21"/>
        </w:rPr>
        <w:t xml:space="preserve">在内的两只以上（含二只），且基金登记机构为同一机构的博时旗下基金的销售机构。 </w:t>
      </w:r>
    </w:p>
    <w:p>
      <w:pPr>
        <w:pStyle w:val="7"/>
        <w:spacing w:before="0" w:beforeAutospacing="0" w:after="0" w:afterAutospacing="0" w:line="360" w:lineRule="auto"/>
        <w:ind w:firstLine="420"/>
        <w:rPr>
          <w:sz w:val="21"/>
          <w:szCs w:val="21"/>
        </w:rPr>
      </w:pPr>
      <w:r>
        <w:rPr>
          <w:rFonts w:hint="eastAsia"/>
          <w:sz w:val="21"/>
          <w:szCs w:val="21"/>
        </w:rPr>
        <w:t>2、转换业务的收费计算公式及举例参见《</w:t>
      </w:r>
      <w:bookmarkStart w:id="106" w:name="field_0_managerorgfullname_4"/>
      <w:r>
        <w:rPr>
          <w:rFonts w:hint="eastAsia"/>
          <w:sz w:val="21"/>
          <w:szCs w:val="21"/>
        </w:rPr>
        <w:t>博时基金管理有限公司</w:t>
      </w:r>
      <w:bookmarkEnd w:id="106"/>
      <w:r>
        <w:rPr>
          <w:rFonts w:hint="eastAsia"/>
          <w:sz w:val="21"/>
          <w:szCs w:val="21"/>
        </w:rPr>
        <w:t xml:space="preserve">关于旗下开放式基金转换业务的公告》（2010年3月16日）。 </w:t>
      </w:r>
    </w:p>
    <w:p>
      <w:pPr>
        <w:pStyle w:val="7"/>
        <w:spacing w:before="0" w:beforeAutospacing="0" w:after="0" w:afterAutospacing="0" w:line="360" w:lineRule="auto"/>
        <w:ind w:firstLine="420"/>
        <w:rPr>
          <w:sz w:val="21"/>
          <w:szCs w:val="21"/>
        </w:rPr>
      </w:pPr>
      <w:r>
        <w:rPr>
          <w:rFonts w:hint="eastAsia"/>
          <w:sz w:val="21"/>
          <w:szCs w:val="21"/>
        </w:rPr>
        <w:t xml:space="preserve">3、本公司有权根据市场情况调整上述转换的程序及有关限制，但应最迟在调整前按规定在指定媒介公告。 </w:t>
      </w:r>
    </w:p>
    <w:p>
      <w:pPr>
        <w:pStyle w:val="7"/>
        <w:spacing w:before="0" w:beforeAutospacing="0" w:after="0" w:afterAutospacing="0" w:line="360" w:lineRule="auto"/>
        <w:ind w:firstLine="420"/>
        <w:rPr>
          <w:sz w:val="21"/>
          <w:szCs w:val="21"/>
        </w:rPr>
      </w:pPr>
      <w:bookmarkStart w:id="107" w:name="chapter_level1_11_59_section_4_end"/>
      <w:bookmarkEnd w:id="107"/>
      <w:r>
        <w:rPr>
          <w:rFonts w:hint="eastAsia"/>
          <w:sz w:val="21"/>
          <w:szCs w:val="21"/>
        </w:rPr>
        <w:t xml:space="preserve">4、本公司管理基金的转换业务的解释权归本公司。 </w:t>
      </w:r>
    </w:p>
    <w:p>
      <w:pPr>
        <w:pStyle w:val="7"/>
        <w:spacing w:before="0" w:beforeAutospacing="0" w:after="0" w:afterAutospacing="0" w:line="360" w:lineRule="auto"/>
        <w:ind w:firstLine="420"/>
        <w:rPr>
          <w:sz w:val="21"/>
          <w:szCs w:val="21"/>
        </w:rPr>
      </w:pPr>
      <w:bookmarkStart w:id="108" w:name="chapter_level1_11_59_section_5"/>
      <w:bookmarkEnd w:id="108"/>
      <w:r>
        <w:rPr>
          <w:rStyle w:val="11"/>
          <w:rFonts w:hint="eastAsia"/>
          <w:sz w:val="21"/>
          <w:szCs w:val="21"/>
        </w:rPr>
        <w:t>（九）基金定期定额投资计划</w:t>
      </w:r>
    </w:p>
    <w:p>
      <w:pPr>
        <w:pStyle w:val="7"/>
        <w:spacing w:before="0" w:beforeAutospacing="0" w:after="0" w:afterAutospacing="0" w:line="360" w:lineRule="auto"/>
        <w:ind w:firstLine="420"/>
        <w:rPr>
          <w:sz w:val="21"/>
          <w:szCs w:val="21"/>
        </w:rPr>
      </w:pPr>
      <w:r>
        <w:rPr>
          <w:rFonts w:hint="eastAsia"/>
          <w:sz w:val="21"/>
          <w:szCs w:val="21"/>
        </w:rPr>
        <w:t xml:space="preserve">自2006年7 月5日起本基金管理人和销售机构共同推出本基金的定期定额计划投资业务。 </w:t>
      </w:r>
    </w:p>
    <w:p>
      <w:pPr>
        <w:pStyle w:val="7"/>
        <w:spacing w:before="0" w:beforeAutospacing="0" w:after="0" w:afterAutospacing="0" w:line="360" w:lineRule="auto"/>
        <w:ind w:firstLine="420"/>
        <w:rPr>
          <w:sz w:val="21"/>
          <w:szCs w:val="21"/>
        </w:rPr>
      </w:pPr>
      <w:r>
        <w:rPr>
          <w:rFonts w:hint="eastAsia"/>
          <w:sz w:val="21"/>
          <w:szCs w:val="21"/>
        </w:rPr>
        <w:t xml:space="preserve">（一）适用投资人范围 </w:t>
      </w:r>
    </w:p>
    <w:p>
      <w:pPr>
        <w:pStyle w:val="7"/>
        <w:spacing w:before="0" w:beforeAutospacing="0" w:after="0" w:afterAutospacing="0" w:line="360" w:lineRule="auto"/>
        <w:ind w:firstLine="420"/>
        <w:rPr>
          <w:sz w:val="21"/>
          <w:szCs w:val="21"/>
        </w:rPr>
      </w:pPr>
      <w:r>
        <w:rPr>
          <w:rFonts w:hint="eastAsia"/>
          <w:sz w:val="21"/>
          <w:szCs w:val="21"/>
        </w:rPr>
        <w:t xml:space="preserve">依法可以投资证券投资基金的个人投资者、机构投资者及合格境外机构投资者。 </w:t>
      </w:r>
    </w:p>
    <w:p>
      <w:pPr>
        <w:pStyle w:val="7"/>
        <w:spacing w:before="0" w:beforeAutospacing="0" w:after="0" w:afterAutospacing="0" w:line="360" w:lineRule="auto"/>
        <w:ind w:firstLine="420"/>
        <w:rPr>
          <w:sz w:val="21"/>
          <w:szCs w:val="21"/>
        </w:rPr>
      </w:pPr>
      <w:r>
        <w:rPr>
          <w:rFonts w:hint="eastAsia"/>
          <w:sz w:val="21"/>
          <w:szCs w:val="21"/>
        </w:rPr>
        <w:t xml:space="preserve">（二）申购费率 </w:t>
      </w:r>
    </w:p>
    <w:p>
      <w:pPr>
        <w:pStyle w:val="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pPr>
        <w:pStyle w:val="7"/>
        <w:spacing w:before="0" w:beforeAutospacing="0" w:after="0" w:afterAutospacing="0" w:line="360" w:lineRule="auto"/>
        <w:ind w:firstLine="420"/>
        <w:rPr>
          <w:sz w:val="21"/>
          <w:szCs w:val="21"/>
        </w:rPr>
      </w:pPr>
      <w:r>
        <w:rPr>
          <w:rFonts w:hint="eastAsia"/>
          <w:sz w:val="21"/>
          <w:szCs w:val="21"/>
        </w:rPr>
        <w:t xml:space="preserve">（三）扣款日期和扣款金额 </w:t>
      </w:r>
    </w:p>
    <w:p>
      <w:pPr>
        <w:pStyle w:val="7"/>
        <w:spacing w:before="0" w:beforeAutospacing="0" w:after="0" w:afterAutospacing="0" w:line="360" w:lineRule="auto"/>
        <w:ind w:firstLine="420"/>
        <w:rPr>
          <w:sz w:val="21"/>
          <w:szCs w:val="21"/>
        </w:rPr>
      </w:pPr>
      <w:r>
        <w:rPr>
          <w:rFonts w:hint="eastAsia"/>
          <w:sz w:val="21"/>
          <w:szCs w:val="21"/>
        </w:rPr>
        <w:t>投资人须遵循各销售机构有关扣款日期的规定，并与销售机构约定每月扣款金额,但最低每次不少于人民币1</w:t>
      </w:r>
      <w:r>
        <w:rPr>
          <w:rFonts w:hint="eastAsia"/>
          <w:sz w:val="21"/>
          <w:szCs w:val="21"/>
          <w:lang w:val="en-US" w:eastAsia="zh-CN"/>
        </w:rPr>
        <w:t>.0</w:t>
      </w:r>
      <w:r>
        <w:rPr>
          <w:rFonts w:hint="eastAsia"/>
          <w:sz w:val="21"/>
          <w:szCs w:val="21"/>
        </w:rPr>
        <w:t>0元(含1</w:t>
      </w:r>
      <w:r>
        <w:rPr>
          <w:rFonts w:hint="eastAsia"/>
          <w:sz w:val="21"/>
          <w:szCs w:val="21"/>
          <w:lang w:val="en-US" w:eastAsia="zh-CN"/>
        </w:rPr>
        <w:t>.0</w:t>
      </w:r>
      <w:r>
        <w:rPr>
          <w:rFonts w:hint="eastAsia"/>
          <w:sz w:val="21"/>
          <w:szCs w:val="21"/>
        </w:rPr>
        <w:t xml:space="preserve">0元)。 </w:t>
      </w:r>
    </w:p>
    <w:p>
      <w:pPr>
        <w:pStyle w:val="7"/>
        <w:spacing w:before="0" w:beforeAutospacing="0" w:after="0" w:afterAutospacing="0" w:line="360" w:lineRule="auto"/>
        <w:ind w:firstLine="420"/>
        <w:rPr>
          <w:sz w:val="21"/>
          <w:szCs w:val="21"/>
        </w:rPr>
      </w:pPr>
      <w:r>
        <w:rPr>
          <w:rFonts w:hint="eastAsia"/>
          <w:sz w:val="21"/>
          <w:szCs w:val="21"/>
        </w:rPr>
        <w:t xml:space="preserve">（四）重要提示 </w:t>
      </w:r>
    </w:p>
    <w:p>
      <w:pPr>
        <w:pStyle w:val="7"/>
        <w:spacing w:before="0" w:beforeAutospacing="0" w:after="0" w:afterAutospacing="0" w:line="360" w:lineRule="auto"/>
        <w:ind w:firstLine="420"/>
        <w:rPr>
          <w:sz w:val="21"/>
          <w:szCs w:val="21"/>
        </w:rPr>
      </w:pPr>
      <w:r>
        <w:rPr>
          <w:rFonts w:hint="eastAsia"/>
          <w:sz w:val="21"/>
          <w:szCs w:val="21"/>
        </w:rPr>
        <w:t xml:space="preserve">1、如有新增销售机构，本公司将及时公告。 </w:t>
      </w:r>
    </w:p>
    <w:p>
      <w:pPr>
        <w:pStyle w:val="7"/>
        <w:spacing w:before="0" w:beforeAutospacing="0" w:after="0" w:afterAutospacing="0" w:line="360" w:lineRule="auto"/>
        <w:ind w:firstLine="420"/>
        <w:rPr>
          <w:sz w:val="21"/>
          <w:szCs w:val="21"/>
        </w:rPr>
      </w:pPr>
      <w:r>
        <w:rPr>
          <w:rFonts w:hint="eastAsia"/>
          <w:sz w:val="21"/>
          <w:szCs w:val="21"/>
        </w:rPr>
        <w:t xml:space="preserve">2、凡申请办理本基金“定期定额投资计划”的投资人须首先开立本公司开放式基金基金账户。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 xml:space="preserve">3、本基金定期定额投资计划的每月实际扣款日即为基金申购申请日，并以该日（T日）的基金份额净值为基准计算申购份额。投资人可以从T+2日起通过本计划办理网点、致电博时公司客服电话或登录博时公司网站查询其每次申购申请的确认情况。申购份额将在确认成功后直接计入投资人的基金账户。 </w:t>
      </w:r>
    </w:p>
    <w:p>
      <w:pPr>
        <w:pStyle w:val="7"/>
        <w:spacing w:before="0" w:beforeAutospacing="0" w:after="0" w:afterAutospacing="0" w:line="360" w:lineRule="auto"/>
        <w:ind w:firstLine="420"/>
        <w:rPr>
          <w:sz w:val="21"/>
          <w:szCs w:val="21"/>
        </w:rPr>
      </w:pPr>
      <w:r>
        <w:rPr>
          <w:rFonts w:hint="eastAsia"/>
          <w:sz w:val="21"/>
          <w:szCs w:val="21"/>
        </w:rPr>
        <w:t xml:space="preserve">4、各机构办理业务情况见本公司发布的相关公告。 </w:t>
      </w:r>
    </w:p>
    <w:p>
      <w:pPr>
        <w:pStyle w:val="7"/>
        <w:spacing w:before="0" w:beforeAutospacing="0" w:after="0" w:afterAutospacing="0" w:line="360" w:lineRule="auto"/>
        <w:ind w:firstLine="420"/>
        <w:rPr>
          <w:sz w:val="21"/>
          <w:szCs w:val="21"/>
        </w:rPr>
      </w:pPr>
      <w:r>
        <w:rPr>
          <w:rFonts w:hint="eastAsia"/>
          <w:sz w:val="21"/>
          <w:szCs w:val="21"/>
        </w:rPr>
        <w:t>本公司网上直销交易已开通本基金的定期投资业务，详情可登录本公司网站www.bosera.com参阅《</w:t>
      </w:r>
      <w:bookmarkStart w:id="109" w:name="field_0_managerorgfullname_5"/>
      <w:r>
        <w:rPr>
          <w:rFonts w:hint="eastAsia"/>
          <w:sz w:val="21"/>
          <w:szCs w:val="21"/>
        </w:rPr>
        <w:t>博时基金管理有限公司</w:t>
      </w:r>
      <w:bookmarkEnd w:id="109"/>
      <w:r>
        <w:rPr>
          <w:rFonts w:hint="eastAsia"/>
          <w:sz w:val="21"/>
          <w:szCs w:val="21"/>
        </w:rPr>
        <w:t>直销定期投资业务</w:t>
      </w:r>
      <w:bookmarkStart w:id="110" w:name="chapter_level1_11_59_section_5_end"/>
      <w:bookmarkEnd w:id="110"/>
      <w:r>
        <w:rPr>
          <w:rFonts w:hint="eastAsia"/>
          <w:sz w:val="21"/>
          <w:szCs w:val="21"/>
        </w:rPr>
        <w:t xml:space="preserve">规则》，也可拨打博时一线通：95105568（免长途费）了解或咨询相关情况。 </w:t>
      </w:r>
    </w:p>
    <w:p>
      <w:pPr>
        <w:pStyle w:val="7"/>
        <w:spacing w:before="0" w:beforeAutospacing="0" w:after="0" w:afterAutospacing="0" w:line="360" w:lineRule="auto"/>
        <w:ind w:firstLine="420"/>
        <w:rPr>
          <w:sz w:val="21"/>
          <w:szCs w:val="21"/>
        </w:rPr>
      </w:pPr>
      <w:bookmarkStart w:id="111" w:name="chapter_level1_11_59_section_6"/>
      <w:bookmarkEnd w:id="111"/>
      <w:r>
        <w:rPr>
          <w:rStyle w:val="11"/>
          <w:rFonts w:hint="eastAsia"/>
          <w:sz w:val="21"/>
          <w:szCs w:val="21"/>
        </w:rPr>
        <w:t>（十）拒绝或暂停接受申购的情形和处理</w:t>
      </w:r>
    </w:p>
    <w:p>
      <w:pPr>
        <w:pStyle w:val="7"/>
        <w:spacing w:before="0" w:beforeAutospacing="0" w:after="0" w:afterAutospacing="0" w:line="360" w:lineRule="auto"/>
        <w:ind w:firstLine="420"/>
        <w:rPr>
          <w:sz w:val="21"/>
          <w:szCs w:val="21"/>
        </w:rPr>
      </w:pPr>
      <w:r>
        <w:rPr>
          <w:rFonts w:hint="eastAsia"/>
          <w:sz w:val="21"/>
          <w:szCs w:val="21"/>
        </w:rPr>
        <w:t xml:space="preserve">1、除出现如下情形，基金管理人不得拒绝或暂停基金投资人的申购申请：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（1）不可抗力的原因导致基金无法正常运作；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（2）证券交易场所在交易时间非正常停市，导致当日基金资产净值无法计算； </w:t>
      </w:r>
    </w:p>
    <w:p>
      <w:pPr>
        <w:pStyle w:val="7"/>
        <w:spacing w:before="0" w:beforeAutospacing="0" w:after="0" w:afterAutospacing="0" w:line="360" w:lineRule="auto"/>
        <w:ind w:firstLine="420"/>
        <w:rPr>
          <w:sz w:val="21"/>
          <w:szCs w:val="21"/>
        </w:rPr>
      </w:pPr>
      <w:r>
        <w:rPr>
          <w:rFonts w:hint="eastAsia"/>
          <w:sz w:val="21"/>
          <w:szCs w:val="21"/>
        </w:rPr>
        <w:t xml:space="preserve">（3）基金财产规模过大，使基金管理人无法找到合适的投资品种，或可能对基金业绩产生负面影响，从而损害现有基金份额持有人的利益； </w:t>
      </w:r>
    </w:p>
    <w:p>
      <w:pPr>
        <w:pStyle w:val="7"/>
        <w:spacing w:before="0" w:beforeAutospacing="0" w:after="0" w:afterAutospacing="0" w:line="360" w:lineRule="auto"/>
        <w:ind w:firstLine="420"/>
        <w:rPr>
          <w:sz w:val="21"/>
          <w:szCs w:val="21"/>
        </w:rPr>
      </w:pPr>
      <w:r>
        <w:rPr>
          <w:rFonts w:hint="eastAsia"/>
          <w:sz w:val="21"/>
          <w:szCs w:val="21"/>
        </w:rPr>
        <w:t xml:space="preserve">（4）当前一估值日基金资产净值50%以上的资产出现无可参考的活跃市场价格且采用估值技术仍导致公允价值存在重大不确定性时，经与基金托管人协商确认后，基金管理人应当暂停接受基金申购申请；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（5）法律、法规规定或中国证监会认定的其他可暂停申购的情形。 </w:t>
      </w:r>
    </w:p>
    <w:p>
      <w:pPr>
        <w:pStyle w:val="7"/>
        <w:spacing w:before="0" w:beforeAutospacing="0" w:after="0" w:afterAutospacing="0" w:line="360" w:lineRule="auto"/>
        <w:ind w:firstLine="420"/>
        <w:rPr>
          <w:sz w:val="21"/>
          <w:szCs w:val="21"/>
        </w:rPr>
      </w:pPr>
      <w:r>
        <w:rPr>
          <w:rFonts w:hint="eastAsia"/>
          <w:sz w:val="21"/>
          <w:szCs w:val="21"/>
        </w:rPr>
        <w:t xml:space="preserve">（6）基金管理人接受某笔或某些申购申请会对存量基金份额持有人利益构成潜在重大不利影响时； </w:t>
      </w:r>
    </w:p>
    <w:p>
      <w:pPr>
        <w:pStyle w:val="7"/>
        <w:spacing w:before="0" w:beforeAutospacing="0" w:after="0" w:afterAutospacing="0" w:line="360" w:lineRule="auto"/>
        <w:ind w:firstLine="420"/>
        <w:rPr>
          <w:sz w:val="21"/>
          <w:szCs w:val="21"/>
        </w:rPr>
      </w:pPr>
      <w:r>
        <w:rPr>
          <w:rFonts w:hint="eastAsia"/>
          <w:sz w:val="21"/>
          <w:szCs w:val="21"/>
        </w:rPr>
        <w:t xml:space="preserve">（7）基金管理人接受某笔或者某些申购申请有可能导致单一投资者持有基金份额的比例达到或超过50%，或者变相规避50%集中度的情形时。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发生上述（1）到（5）项暂停申购情形时，基金管理人应当在指定媒介上刊登暂停申购公告。 </w:t>
      </w:r>
    </w:p>
    <w:p>
      <w:pPr>
        <w:pStyle w:val="7"/>
        <w:spacing w:before="0" w:beforeAutospacing="0" w:after="0" w:afterAutospacing="0" w:line="360" w:lineRule="auto"/>
        <w:ind w:firstLine="420"/>
        <w:rPr>
          <w:sz w:val="21"/>
          <w:szCs w:val="21"/>
        </w:rPr>
      </w:pPr>
      <w:r>
        <w:rPr>
          <w:rFonts w:hint="eastAsia"/>
          <w:sz w:val="21"/>
          <w:szCs w:val="21"/>
        </w:rPr>
        <w:t xml:space="preserve">2、发生基金合同或招募说明书中未予载明的事项，但基金管理人有正当理由认为需要暂停基金申购，应当报中国证监会批准；经批准后，基金管理人应当按规定在指定媒介上刊登暂停申购公告。在暂停申购的情况清除时，基金管理人应及时恢复申购业务的办理。 </w:t>
      </w:r>
    </w:p>
    <w:p>
      <w:pPr>
        <w:pStyle w:val="7"/>
        <w:spacing w:before="0" w:beforeAutospacing="0" w:after="0" w:afterAutospacing="0" w:line="360" w:lineRule="auto"/>
        <w:ind w:firstLine="420"/>
        <w:rPr>
          <w:sz w:val="21"/>
          <w:szCs w:val="21"/>
        </w:rPr>
      </w:pPr>
      <w:r>
        <w:rPr>
          <w:rStyle w:val="11"/>
          <w:rFonts w:hint="eastAsia"/>
          <w:sz w:val="21"/>
          <w:szCs w:val="21"/>
        </w:rPr>
        <w:t>（十一）暂停赎回的情形和处理</w:t>
      </w:r>
    </w:p>
    <w:p>
      <w:pPr>
        <w:pStyle w:val="7"/>
        <w:spacing w:before="0" w:beforeAutospacing="0" w:after="0" w:afterAutospacing="0" w:line="360" w:lineRule="auto"/>
        <w:ind w:firstLine="420"/>
        <w:rPr>
          <w:sz w:val="21"/>
          <w:szCs w:val="21"/>
        </w:rPr>
      </w:pPr>
      <w:r>
        <w:rPr>
          <w:rFonts w:hint="eastAsia"/>
          <w:sz w:val="21"/>
          <w:szCs w:val="21"/>
        </w:rPr>
        <w:t xml:space="preserve">1、除出现如下情形，基金管理人不得拒绝接受或暂停基金份额持有人的赎回申请或者延缓支付赎回款项：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（1）不可抗力的原因导致基金无法正常运作；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（2）证券交易场所交易时间非正常停市，导致当日基金资产净值无法计算； </w:t>
      </w:r>
    </w:p>
    <w:p>
      <w:pPr>
        <w:pStyle w:val="7"/>
        <w:spacing w:before="0" w:beforeAutospacing="0" w:after="0" w:afterAutospacing="0" w:line="360" w:lineRule="auto"/>
        <w:ind w:firstLine="420"/>
        <w:rPr>
          <w:sz w:val="21"/>
          <w:szCs w:val="21"/>
        </w:rPr>
      </w:pPr>
      <w:r>
        <w:rPr>
          <w:rFonts w:hint="eastAsia"/>
          <w:sz w:val="21"/>
          <w:szCs w:val="21"/>
        </w:rPr>
        <w:t xml:space="preserve">（3）因市场剧烈波动或其他原因而出现连续巨额赎回，导致本基金的现金支付出现困难； </w:t>
      </w:r>
    </w:p>
    <w:p>
      <w:pPr>
        <w:pStyle w:val="7"/>
        <w:spacing w:before="0" w:beforeAutospacing="0" w:after="0" w:afterAutospacing="0" w:line="360" w:lineRule="auto"/>
        <w:ind w:firstLine="420"/>
        <w:rPr>
          <w:sz w:val="21"/>
          <w:szCs w:val="21"/>
        </w:rPr>
      </w:pPr>
      <w:r>
        <w:rPr>
          <w:rFonts w:hint="eastAsia"/>
          <w:sz w:val="21"/>
          <w:szCs w:val="21"/>
        </w:rPr>
        <w:t xml:space="preserve">（4）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（5）法律、法规规定或中国证监会认定的其他情形。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之一的，基金管理人应按规定报中国证监会备案。已接受的赎回申请，基金管理人将足额支付；如暂时不能足额支付时，其余部分由基金管理人按照发生的情况制定相应的处理办法在后续开放日予以支付。同时在出现上述第（3）款的情形时，对已接受的赎回申请可延期支付赎回款项，最长不超过正常支付时间20个工作日，并在指定媒介上公告，并以后续开放日的基金份额净值为依据计算赎回金额。投资人在申请赎回时可事先选择将当日可能未获受理部分予以撤销。 </w:t>
      </w:r>
    </w:p>
    <w:p>
      <w:pPr>
        <w:pStyle w:val="7"/>
        <w:spacing w:before="0" w:beforeAutospacing="0" w:after="0" w:afterAutospacing="0" w:line="360" w:lineRule="auto"/>
        <w:ind w:firstLine="420"/>
        <w:rPr>
          <w:sz w:val="21"/>
          <w:szCs w:val="21"/>
        </w:rPr>
      </w:pPr>
      <w:r>
        <w:rPr>
          <w:rFonts w:hint="eastAsia"/>
          <w:sz w:val="21"/>
          <w:szCs w:val="21"/>
        </w:rPr>
        <w:t xml:space="preserve">暂停基金的赎回，基金管理人应及时在指定媒介上刊登暂停赎回公告。 </w:t>
      </w:r>
    </w:p>
    <w:p>
      <w:pPr>
        <w:pStyle w:val="7"/>
        <w:spacing w:before="0" w:beforeAutospacing="0" w:after="0" w:afterAutospacing="0" w:line="360" w:lineRule="auto"/>
        <w:ind w:firstLine="420"/>
        <w:rPr>
          <w:sz w:val="21"/>
          <w:szCs w:val="21"/>
        </w:rPr>
      </w:pPr>
      <w:r>
        <w:rPr>
          <w:rFonts w:hint="eastAsia"/>
          <w:sz w:val="21"/>
          <w:szCs w:val="21"/>
        </w:rPr>
        <w:t xml:space="preserve">在暂停赎回的情况消除时，基金管理人应及时恢复赎回业务的办理。 </w:t>
      </w:r>
    </w:p>
    <w:p>
      <w:pPr>
        <w:pStyle w:val="7"/>
        <w:spacing w:before="0" w:beforeAutospacing="0" w:after="0" w:afterAutospacing="0" w:line="360" w:lineRule="auto"/>
        <w:ind w:firstLine="420"/>
        <w:rPr>
          <w:sz w:val="21"/>
          <w:szCs w:val="21"/>
        </w:rPr>
      </w:pPr>
      <w:r>
        <w:rPr>
          <w:rFonts w:hint="eastAsia"/>
          <w:sz w:val="21"/>
          <w:szCs w:val="21"/>
        </w:rPr>
        <w:t xml:space="preserve">2、发生基金合同或招募说明书中未予载明的事项，但基金管理人有正当理由认为需要暂停基金赎回时，应当报中国证监会批准；经批准后，基金管理人应当按规定在指定媒介上刊登暂停赎回公告。在暂停赎回的情况消除时，基金管理人应及时恢复赎回业务的办理。 </w:t>
      </w:r>
    </w:p>
    <w:p>
      <w:pPr>
        <w:pStyle w:val="7"/>
        <w:spacing w:before="0" w:beforeAutospacing="0" w:after="0" w:afterAutospacing="0" w:line="360" w:lineRule="auto"/>
        <w:ind w:firstLine="420"/>
        <w:rPr>
          <w:sz w:val="21"/>
          <w:szCs w:val="21"/>
        </w:rPr>
      </w:pPr>
      <w:r>
        <w:rPr>
          <w:rStyle w:val="11"/>
          <w:rFonts w:hint="eastAsia"/>
          <w:sz w:val="21"/>
          <w:szCs w:val="21"/>
        </w:rPr>
        <w:t>（十二）巨额赎回的情形及处理方式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若本基金单个开放日内的基金份额净赎回申请（赎回申请份额总数加上基金转换中转出申请份额总数后扣除申购申请份额总数及基金转换中转入申请份额总数后的余额）超过上一日的基金总份额的</w:t>
      </w:r>
      <w:bookmarkStart w:id="112" w:name="field_49_mintredeemscale_2"/>
      <w:r>
        <w:rPr>
          <w:sz w:val="21"/>
          <w:szCs w:val="21"/>
        </w:rPr>
        <w:t>10</w:t>
      </w:r>
      <w:bookmarkEnd w:id="112"/>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当出现巨额赎回时，基金管理人可以根据本基金当时的资产组合状况决定全额赎回或部分顺延赎回。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（2）部分顺延赎回：当基金管理人认为支付投资人的赎回申请有困难或认为支付投资人的赎回申请可能会对基金的资产净值造成较大波动时，基金管理人在当日接受赎回比例不低于上一日基金总份额的</w:t>
      </w:r>
      <w:bookmarkStart w:id="113" w:name="field_49_mintredeemscale_3"/>
      <w:r>
        <w:rPr>
          <w:sz w:val="21"/>
          <w:szCs w:val="21"/>
        </w:rPr>
        <w:t>10</w:t>
      </w:r>
      <w:bookmarkEnd w:id="113"/>
      <w:r>
        <w:rPr>
          <w:rFonts w:hint="eastAsia"/>
          <w:sz w:val="21"/>
          <w:szCs w:val="21"/>
        </w:rPr>
        <w:t xml:space="preserve">%的前提下，对其余赎回申请延期予以办理。对于当日的赎回申请，应当按单个账户赎回申请量占赎回申请总量的比例，确定当日受理的赎回份额；投资人未能赎回部分，除投资人在提交赎回申请时明确作出不参加顺延下一个开放日赎回的表示外，自动转为下一个开放日赎回处理。依照上述规定转入下一个开放日的赎回不享有赎回优先权并将以下一个开放日的基金份额净值为准进行计算，并以此类推，直到全部赎回为止。 </w:t>
      </w:r>
    </w:p>
    <w:p>
      <w:pPr>
        <w:pStyle w:val="7"/>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w:t>
      </w:r>
      <w:bookmarkStart w:id="114" w:name="field_49_mintredeemscale_4"/>
      <w:r>
        <w:rPr>
          <w:sz w:val="21"/>
          <w:szCs w:val="21"/>
        </w:rPr>
        <w:t>10</w:t>
      </w:r>
      <w:bookmarkEnd w:id="114"/>
      <w:r>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15" w:name="field_49_mintredeemscale_5"/>
      <w:r>
        <w:rPr>
          <w:sz w:val="21"/>
          <w:szCs w:val="21"/>
        </w:rPr>
        <w:t>10</w:t>
      </w:r>
      <w:bookmarkEnd w:id="115"/>
      <w:r>
        <w:rPr>
          <w:rFonts w:hint="eastAsia"/>
          <w:sz w:val="21"/>
          <w:szCs w:val="21"/>
        </w:rPr>
        <w:t xml:space="preserve">％的部分，基金管理人根据前段“（1）全额赎回”或“（2）部分顺延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（4）巨额赎回的公告：本基金发生巨额赎回并延期办理的，基金管理人应当通过邮寄、传真等方式，在3个交易日内通知基金份额持有人，说明有关处理方法，并在2日内在指定媒介上刊登公告。 </w:t>
      </w:r>
    </w:p>
    <w:p>
      <w:pPr>
        <w:pStyle w:val="7"/>
        <w:spacing w:before="0" w:beforeAutospacing="0" w:after="0" w:afterAutospacing="0" w:line="360" w:lineRule="auto"/>
        <w:ind w:firstLine="420"/>
        <w:rPr>
          <w:sz w:val="21"/>
          <w:szCs w:val="21"/>
        </w:rPr>
      </w:pPr>
      <w:r>
        <w:rPr>
          <w:rFonts w:hint="eastAsia"/>
          <w:sz w:val="21"/>
          <w:szCs w:val="21"/>
        </w:rPr>
        <w:t>本基金连续2个开放日以上发生巨额赎回，如基金管理人认为有必要，可暂停接受赎回申请；已经接受的赎回申请可以延缓支付赎回款项，但不得超过正常支付时间20个工作日，</w:t>
      </w:r>
      <w:bookmarkStart w:id="116" w:name="chapter_level1_11_59_section_6_end"/>
      <w:bookmarkEnd w:id="116"/>
      <w:r>
        <w:rPr>
          <w:rFonts w:hint="eastAsia"/>
          <w:sz w:val="21"/>
          <w:szCs w:val="21"/>
        </w:rPr>
        <w:t xml:space="preserve">并应当在指定媒介上公告。 </w:t>
      </w:r>
    </w:p>
    <w:p>
      <w:pPr>
        <w:pStyle w:val="7"/>
        <w:spacing w:before="0" w:beforeAutospacing="0" w:after="0" w:afterAutospacing="0" w:line="360" w:lineRule="auto"/>
        <w:ind w:firstLine="420"/>
        <w:rPr>
          <w:sz w:val="21"/>
          <w:szCs w:val="21"/>
        </w:rPr>
      </w:pPr>
      <w:bookmarkStart w:id="117" w:name="chapter_level1_11_59_section_7"/>
      <w:bookmarkEnd w:id="117"/>
      <w:r>
        <w:rPr>
          <w:rStyle w:val="11"/>
          <w:rFonts w:hint="eastAsia"/>
          <w:sz w:val="21"/>
          <w:szCs w:val="21"/>
        </w:rPr>
        <w:t>（十三）重新开放申购或赎回的公告 </w:t>
      </w:r>
    </w:p>
    <w:p>
      <w:pPr>
        <w:pStyle w:val="7"/>
        <w:spacing w:before="0" w:beforeAutospacing="0" w:after="0" w:afterAutospacing="0" w:line="360" w:lineRule="auto"/>
        <w:ind w:firstLine="420"/>
        <w:rPr>
          <w:sz w:val="21"/>
          <w:szCs w:val="21"/>
        </w:rPr>
      </w:pPr>
      <w:r>
        <w:rPr>
          <w:rFonts w:hint="eastAsia"/>
          <w:sz w:val="21"/>
          <w:szCs w:val="21"/>
        </w:rPr>
        <w:t xml:space="preserve">如果发生暂停的时间为1天，基金管理人应于重新开放日在指定媒介上刊登基金重新开放申购或赎回公告并公布最近一个开放日的基金份额净值。 </w:t>
      </w:r>
    </w:p>
    <w:p>
      <w:pPr>
        <w:pStyle w:val="7"/>
        <w:spacing w:before="0" w:beforeAutospacing="0" w:after="0" w:afterAutospacing="0" w:line="360" w:lineRule="auto"/>
        <w:ind w:firstLine="420"/>
        <w:rPr>
          <w:sz w:val="21"/>
          <w:szCs w:val="21"/>
        </w:rPr>
      </w:pPr>
      <w:r>
        <w:rPr>
          <w:rFonts w:hint="eastAsia"/>
          <w:sz w:val="21"/>
          <w:szCs w:val="21"/>
        </w:rPr>
        <w:t xml:space="preserve">如果发生暂停的时间为2天，暂停结束基金重新开放申购或赎回时，基金管理人应提前1个工作日在指定媒介刊登基金重新开放申购或赎回的公告， 并在重新开放申购或赎回日公告最近一个工作日的基金份额净值。 </w:t>
      </w:r>
    </w:p>
    <w:p>
      <w:pPr>
        <w:pStyle w:val="7"/>
        <w:spacing w:before="0" w:beforeAutospacing="0" w:after="0" w:afterAutospacing="0" w:line="360" w:lineRule="auto"/>
        <w:ind w:firstLine="420"/>
        <w:rPr>
          <w:sz w:val="21"/>
          <w:szCs w:val="21"/>
        </w:rPr>
      </w:pPr>
      <w:r>
        <w:rPr>
          <w:rFonts w:hint="eastAsia"/>
          <w:sz w:val="21"/>
          <w:szCs w:val="21"/>
        </w:rPr>
        <w:t xml:space="preserve">如果发生暂停的时间超过2天但少于两周，暂停结束基金重新开放申购或赎回时，基金管理人应按规定在指定媒介上刊登基金重新开放申购或赎回公告，并在重新开放申购或赎回日公告最近一个工作日的基金份额净值。 </w:t>
      </w:r>
    </w:p>
    <w:p>
      <w:pPr>
        <w:pStyle w:val="7"/>
        <w:spacing w:before="0" w:beforeAutospacing="0" w:after="0" w:afterAutospacing="0" w:line="360" w:lineRule="auto"/>
        <w:ind w:firstLine="420"/>
        <w:rPr>
          <w:sz w:val="21"/>
          <w:szCs w:val="21"/>
        </w:rPr>
      </w:pPr>
      <w:r>
        <w:rPr>
          <w:rFonts w:hint="eastAsia"/>
          <w:sz w:val="21"/>
          <w:szCs w:val="21"/>
        </w:rPr>
        <w:t xml:space="preserve">如果发生暂停的时间超过两周，暂停期间，基金管理人应每两周至少重复刊登暂停公告一次。当连续暂停时间超过两个月时，可对重复刊登暂停公告的频率进行调整。暂停结束基金重新开放申购或赎回时，基金管理人应按规定在指定媒介上连续刊登基金重新开放申购或赎回公告，并在重新开放申购或赎回日公告最近一个开放日的基金份额净值。 </w:t>
      </w:r>
    </w:p>
    <w:p>
      <w:pPr>
        <w:pStyle w:val="7"/>
        <w:spacing w:before="0" w:beforeAutospacing="0" w:after="0" w:afterAutospacing="0" w:line="360" w:lineRule="auto"/>
        <w:ind w:firstLine="420"/>
        <w:rPr>
          <w:sz w:val="21"/>
          <w:szCs w:val="21"/>
        </w:rPr>
      </w:pPr>
      <w:r>
        <w:rPr>
          <w:rStyle w:val="11"/>
          <w:rFonts w:hint="eastAsia"/>
          <w:sz w:val="21"/>
          <w:szCs w:val="21"/>
        </w:rPr>
        <w:t>（十四）基金的转托管</w:t>
      </w:r>
    </w:p>
    <w:p>
      <w:pPr>
        <w:pStyle w:val="7"/>
        <w:spacing w:before="0" w:beforeAutospacing="0" w:after="0" w:afterAutospacing="0" w:line="360" w:lineRule="auto"/>
        <w:ind w:firstLine="420"/>
        <w:rPr>
          <w:sz w:val="21"/>
          <w:szCs w:val="21"/>
        </w:rPr>
      </w:pPr>
      <w:r>
        <w:rPr>
          <w:rFonts w:hint="eastAsia"/>
          <w:sz w:val="21"/>
          <w:szCs w:val="21"/>
        </w:rPr>
        <w:t xml:space="preserve">基金份额持有人可办理已持有基金份额在不同销售机构之间的转托管，基金销售机构可以按照规定的标准收取转托管费。 </w:t>
      </w:r>
    </w:p>
    <w:p>
      <w:pPr>
        <w:pStyle w:val="7"/>
        <w:spacing w:before="0" w:beforeAutospacing="0" w:after="0" w:afterAutospacing="0" w:line="360" w:lineRule="auto"/>
        <w:ind w:firstLine="420"/>
        <w:rPr>
          <w:sz w:val="21"/>
          <w:szCs w:val="21"/>
        </w:rPr>
      </w:pPr>
      <w:r>
        <w:rPr>
          <w:rStyle w:val="11"/>
          <w:rFonts w:hint="eastAsia"/>
          <w:sz w:val="21"/>
          <w:szCs w:val="21"/>
        </w:rPr>
        <w:t>（十五）基金的非交易过户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基金的非交易过户是指登记机构受理继承、捐赠和司法强制执行而产生的非交易过户。无论在上述何种情况下，接受划转的主体必须是合格的投资人。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受理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登记机构要求提供的相关资料，对于符合条件的非交易过户申请自申请受理日起2个月内办理，并按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（十六）基金份额的冻结、解冻及质押</w:t>
      </w:r>
    </w:p>
    <w:p>
      <w:pPr>
        <w:pStyle w:val="7"/>
        <w:spacing w:before="0" w:beforeAutospacing="0" w:after="0" w:afterAutospacing="0" w:line="360" w:lineRule="auto"/>
        <w:ind w:firstLine="420"/>
        <w:rPr>
          <w:sz w:val="21"/>
          <w:szCs w:val="21"/>
        </w:rPr>
      </w:pPr>
      <w:r>
        <w:rPr>
          <w:rFonts w:hint="eastAsia"/>
          <w:sz w:val="21"/>
          <w:szCs w:val="21"/>
        </w:rPr>
        <w:t xml:space="preserve">登记机构只受理国家有权机关依法要求的基金份额的冻结与解冻以及登记机构认可的其他情况下的冻结与解冻。基金份额被冻结的，被冻结部分产生的权益（包括现金分红和红利再投资）一并冻结，被冻结部分份额仍然参与收益分配与支付。 </w:t>
      </w:r>
    </w:p>
    <w:p>
      <w:pPr>
        <w:pStyle w:val="7"/>
        <w:spacing w:before="0" w:beforeAutospacing="0" w:after="0" w:afterAutospacing="0" w:line="360" w:lineRule="auto"/>
        <w:ind w:firstLine="420"/>
        <w:rPr>
          <w:sz w:val="21"/>
          <w:szCs w:val="21"/>
        </w:rPr>
      </w:pPr>
      <w:r>
        <w:rPr>
          <w:rFonts w:hint="eastAsia"/>
          <w:sz w:val="21"/>
          <w:szCs w:val="21"/>
        </w:rPr>
        <w:t>在不违反届时有效的法律法规的条件下，登记机构将可以办理基金份额的质押业务或其</w:t>
      </w:r>
      <w:bookmarkStart w:id="118" w:name="chapter_level1_11_59_section_7_end"/>
      <w:bookmarkEnd w:id="118"/>
      <w:r>
        <w:rPr>
          <w:rFonts w:hint="eastAsia"/>
          <w:sz w:val="21"/>
          <w:szCs w:val="21"/>
        </w:rPr>
        <w:t xml:space="preserve">他业务，公布并实施相应的业务规则。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9" w:name="chapter_level1_12_60"/>
      <w:bookmarkStart w:id="120" w:name="_Toc113522951"/>
      <w:r>
        <w:rPr>
          <w:rFonts w:hint="eastAsia" w:ascii="宋体" w:hAnsi="宋体" w:eastAsia="宋体"/>
          <w:sz w:val="30"/>
        </w:rPr>
        <w:t>九、基金的投资</w:t>
      </w:r>
      <w:bookmarkEnd w:id="119"/>
      <w:bookmarkEnd w:id="120"/>
    </w:p>
    <w:p>
      <w:pPr>
        <w:pStyle w:val="7"/>
        <w:spacing w:before="0" w:beforeAutospacing="0" w:after="0" w:afterAutospacing="0" w:line="360" w:lineRule="auto"/>
        <w:ind w:firstLine="420"/>
        <w:rPr>
          <w:sz w:val="21"/>
          <w:szCs w:val="21"/>
        </w:rPr>
      </w:pPr>
      <w:bookmarkStart w:id="121" w:name="chapter_level1_12_60_section_1"/>
      <w:bookmarkEnd w:id="121"/>
      <w:r>
        <w:rPr>
          <w:rStyle w:val="11"/>
          <w:rFonts w:hint="eastAsia"/>
          <w:sz w:val="21"/>
          <w:szCs w:val="21"/>
        </w:rPr>
        <w:t>（一）投资理念</w:t>
      </w:r>
    </w:p>
    <w:p>
      <w:pPr>
        <w:pStyle w:val="7"/>
        <w:spacing w:before="0" w:beforeAutospacing="0" w:after="0" w:afterAutospacing="0" w:line="360" w:lineRule="auto"/>
        <w:ind w:firstLine="420"/>
        <w:rPr>
          <w:sz w:val="21"/>
          <w:szCs w:val="21"/>
        </w:rPr>
      </w:pPr>
      <w:r>
        <w:rPr>
          <w:rFonts w:hint="eastAsia"/>
          <w:sz w:val="21"/>
          <w:szCs w:val="21"/>
        </w:rPr>
        <w:t xml:space="preserve">本基金坚持价值投资理念，深入挖掘大类资产的投资价值，动态把握大类资产之间的适度配置，实现基金资产的长期持续稳定增长。 </w:t>
      </w:r>
    </w:p>
    <w:p>
      <w:pPr>
        <w:pStyle w:val="7"/>
        <w:spacing w:before="0" w:beforeAutospacing="0" w:after="0" w:afterAutospacing="0" w:line="360" w:lineRule="auto"/>
        <w:ind w:firstLine="420"/>
        <w:rPr>
          <w:sz w:val="21"/>
          <w:szCs w:val="21"/>
        </w:rPr>
      </w:pPr>
      <w:r>
        <w:rPr>
          <w:rStyle w:val="11"/>
          <w:rFonts w:hint="eastAsia"/>
          <w:sz w:val="21"/>
          <w:szCs w:val="21"/>
        </w:rPr>
        <w:t>（二）投资目标</w:t>
      </w:r>
    </w:p>
    <w:p>
      <w:pPr>
        <w:pStyle w:val="7"/>
        <w:spacing w:before="0" w:beforeAutospacing="0" w:after="0" w:afterAutospacing="0" w:line="360" w:lineRule="auto"/>
        <w:ind w:firstLine="420"/>
        <w:rPr>
          <w:sz w:val="21"/>
          <w:szCs w:val="21"/>
        </w:rPr>
      </w:pPr>
      <w:bookmarkStart w:id="122" w:name="field_60_investmenttarget_1_start"/>
      <w:bookmarkEnd w:id="122"/>
      <w:r>
        <w:rPr>
          <w:rFonts w:hint="eastAsia"/>
          <w:sz w:val="21"/>
          <w:szCs w:val="21"/>
        </w:rPr>
        <w:t xml:space="preserve">本基金力争在股票、固定收益证券和现金等大类资产的适度平衡配置与稳健投资下，获取长期持续稳定的合理回报。  </w:t>
      </w:r>
      <w:bookmarkStart w:id="123" w:name="field_60_investmenttarget_1_end"/>
      <w:bookmarkEnd w:id="123"/>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（三）投资方向</w:t>
      </w:r>
    </w:p>
    <w:p>
      <w:pPr>
        <w:pStyle w:val="7"/>
        <w:spacing w:before="0" w:beforeAutospacing="0" w:after="0" w:afterAutospacing="0" w:line="360" w:lineRule="auto"/>
        <w:ind w:firstLine="420"/>
        <w:rPr>
          <w:sz w:val="21"/>
          <w:szCs w:val="21"/>
        </w:rPr>
      </w:pPr>
      <w:r>
        <w:rPr>
          <w:rFonts w:hint="eastAsia"/>
          <w:sz w:val="21"/>
          <w:szCs w:val="21"/>
        </w:rPr>
        <w:t>本基金的投资范围界定为股票（含存托凭证）、债券以及国家证券监管机构允许基金投资的权证及其它金融工具。本基金组合投资比例是：股票资产（含存托凭证）30%-60%；现金和到期日不超过1年的政府债券不低于5%，其中，现金不包括结算备付金、存出保证金、</w:t>
      </w:r>
      <w:bookmarkStart w:id="124" w:name="chapter_level1_12_60_section_1_end"/>
      <w:bookmarkEnd w:id="124"/>
      <w:r>
        <w:rPr>
          <w:rFonts w:hint="eastAsia"/>
          <w:sz w:val="21"/>
          <w:szCs w:val="21"/>
        </w:rPr>
        <w:t xml:space="preserve">应收申购款等。 </w:t>
      </w:r>
    </w:p>
    <w:p>
      <w:pPr>
        <w:pStyle w:val="7"/>
        <w:spacing w:before="0" w:beforeAutospacing="0" w:after="0" w:afterAutospacing="0" w:line="360" w:lineRule="auto"/>
        <w:ind w:firstLine="420"/>
        <w:rPr>
          <w:sz w:val="21"/>
          <w:szCs w:val="21"/>
        </w:rPr>
      </w:pPr>
      <w:bookmarkStart w:id="125" w:name="chapter_level1_12_60_section_2"/>
      <w:bookmarkEnd w:id="125"/>
      <w:bookmarkStart w:id="126" w:name="chapter_level1_12_60_section_2_end"/>
      <w:bookmarkEnd w:id="126"/>
      <w:r>
        <w:rPr>
          <w:rStyle w:val="11"/>
          <w:rFonts w:hint="eastAsia"/>
          <w:sz w:val="21"/>
          <w:szCs w:val="21"/>
        </w:rPr>
        <w:t>（四）业绩比较基准</w:t>
      </w:r>
    </w:p>
    <w:p>
      <w:pPr>
        <w:pStyle w:val="7"/>
        <w:spacing w:before="0" w:beforeAutospacing="0" w:after="0" w:afterAutospacing="0" w:line="360" w:lineRule="auto"/>
        <w:ind w:firstLine="420"/>
        <w:rPr>
          <w:sz w:val="21"/>
          <w:szCs w:val="21"/>
        </w:rPr>
      </w:pPr>
      <w:bookmarkStart w:id="127" w:name="chapter_level1_12_60_section_3"/>
      <w:bookmarkEnd w:id="127"/>
      <w:r>
        <w:rPr>
          <w:rFonts w:hint="eastAsia"/>
          <w:sz w:val="21"/>
          <w:szCs w:val="21"/>
        </w:rPr>
        <w:t>本基金业绩比较基准为：</w:t>
      </w:r>
      <w:bookmarkStart w:id="128" w:name="field_60_benchmark_1_start"/>
      <w:bookmarkEnd w:id="128"/>
      <w:r>
        <w:rPr>
          <w:rFonts w:hint="eastAsia"/>
          <w:sz w:val="21"/>
          <w:szCs w:val="21"/>
        </w:rPr>
        <w:t xml:space="preserve">45%×中证800指数收益率＋50%×中国债券总指数收益率+5%×银行活期存款利率(税后)  </w:t>
      </w:r>
      <w:bookmarkStart w:id="129" w:name="field_60_benchmark_1_end"/>
      <w:bookmarkEnd w:id="129"/>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中证800指数是中证指数有限公司编制，由中证500和沪深300指数成份股组成，综合反映中国A股市场大中小市值公司的股票价格表现，适合作为本基金股票投资的业绩基准。中国债券总指数成份券由记账式国债、央行票据和政策性银行债组成，是一个反映境内利率类债券整体价格走势情况的分类指数，适合作为本基金债券投资的业绩基准。 </w:t>
      </w:r>
    </w:p>
    <w:p>
      <w:pPr>
        <w:pStyle w:val="7"/>
        <w:spacing w:before="0" w:beforeAutospacing="0" w:after="0" w:afterAutospacing="0" w:line="360" w:lineRule="auto"/>
        <w:ind w:firstLine="420"/>
        <w:rPr>
          <w:sz w:val="21"/>
          <w:szCs w:val="21"/>
        </w:rPr>
      </w:pPr>
      <w:r>
        <w:rPr>
          <w:rFonts w:hint="eastAsia"/>
          <w:sz w:val="21"/>
          <w:szCs w:val="21"/>
        </w:rPr>
        <w:t>随着市场环境的变化，如果上述业绩比较基准不适用本基金时，本基金管理人可以依据维护基金份额持有人合法权益的原则，根据实际情况对业绩比较基准进行相应调整，而无需召开基金份额持有人大会。调整业绩比较基准应经基金托管人同意，报中国证监会备案，基金管理人应在调整实施前依照《信息披露办法》的有关规定在中国证监会指定媒介上刊登公</w:t>
      </w:r>
      <w:bookmarkStart w:id="130" w:name="chapter_level1_12_60_section_3_end"/>
      <w:bookmarkEnd w:id="130"/>
      <w:r>
        <w:rPr>
          <w:rFonts w:hint="eastAsia"/>
          <w:sz w:val="21"/>
          <w:szCs w:val="21"/>
        </w:rPr>
        <w:t xml:space="preserve">告。 </w:t>
      </w:r>
    </w:p>
    <w:p>
      <w:pPr>
        <w:pStyle w:val="7"/>
        <w:spacing w:before="0" w:beforeAutospacing="0" w:after="0" w:afterAutospacing="0" w:line="360" w:lineRule="auto"/>
        <w:ind w:firstLine="420"/>
        <w:rPr>
          <w:sz w:val="21"/>
          <w:szCs w:val="21"/>
        </w:rPr>
      </w:pPr>
      <w:bookmarkStart w:id="131" w:name="chapter_level1_12_60_section_4"/>
      <w:bookmarkEnd w:id="131"/>
      <w:r>
        <w:rPr>
          <w:rStyle w:val="11"/>
          <w:rFonts w:hint="eastAsia"/>
          <w:sz w:val="21"/>
          <w:szCs w:val="21"/>
        </w:rPr>
        <w:t>（五）风险收益特征</w:t>
      </w:r>
    </w:p>
    <w:p>
      <w:pPr>
        <w:pStyle w:val="7"/>
        <w:spacing w:before="0" w:beforeAutospacing="0" w:after="0" w:afterAutospacing="0" w:line="360" w:lineRule="auto"/>
        <w:ind w:firstLine="420"/>
        <w:rPr>
          <w:sz w:val="21"/>
          <w:szCs w:val="21"/>
        </w:rPr>
      </w:pPr>
      <w:bookmarkStart w:id="132" w:name="field_60_riskyield_1_start"/>
      <w:bookmarkEnd w:id="132"/>
      <w:r>
        <w:rPr>
          <w:rFonts w:hint="eastAsia"/>
          <w:sz w:val="21"/>
          <w:szCs w:val="21"/>
        </w:rPr>
        <w:t xml:space="preserve">本基金的预期风险低于股票基金，预期收益高于债券基金。本基金属于证券投资基金中的中等风险、中等收益品种。  </w:t>
      </w:r>
      <w:bookmarkStart w:id="133" w:name="field_60_riskyield_1_end"/>
      <w:bookmarkEnd w:id="133"/>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（六）投资范围</w:t>
      </w:r>
    </w:p>
    <w:p>
      <w:pPr>
        <w:pStyle w:val="7"/>
        <w:spacing w:before="0" w:beforeAutospacing="0" w:after="0" w:afterAutospacing="0" w:line="360" w:lineRule="auto"/>
        <w:ind w:firstLine="420"/>
        <w:rPr>
          <w:sz w:val="21"/>
          <w:szCs w:val="21"/>
        </w:rPr>
      </w:pPr>
      <w:bookmarkStart w:id="134" w:name="field_60_investmentrange_1_start"/>
      <w:bookmarkEnd w:id="134"/>
      <w:r>
        <w:rPr>
          <w:rFonts w:hint="eastAsia"/>
          <w:sz w:val="21"/>
          <w:szCs w:val="21"/>
        </w:rPr>
        <w:t xml:space="preserve">本基金主要投资于国内依法公开发行上市的股票（含存托凭证）、权证和国债、政策性金融债、企业债、次级债、短期融资券、可转换债券、债券回购、中央银行票据、银行存款，以及法律、法规或中国证监会允许基金投资的其他金融工具。 </w:t>
      </w:r>
    </w:p>
    <w:p>
      <w:pPr>
        <w:pStyle w:val="7"/>
        <w:spacing w:before="0" w:beforeAutospacing="0" w:after="0" w:afterAutospacing="0" w:line="360" w:lineRule="auto"/>
        <w:ind w:firstLine="420"/>
        <w:rPr>
          <w:sz w:val="21"/>
          <w:szCs w:val="21"/>
        </w:rPr>
      </w:pPr>
      <w:r>
        <w:rPr>
          <w:rFonts w:hint="eastAsia"/>
          <w:sz w:val="21"/>
          <w:szCs w:val="21"/>
        </w:rPr>
        <w:t xml:space="preserve">本基金投资组合中股票投资比例为基金资产（含存托凭证）净值的30%-60%，股权分置改革中产生的权证的投资比例不得超过基金资产净值的3%并计入股票投资比例，现金以及到期日在一年以内的政府债券投资比例合计不低于基金资产净值的5%，其中，现金不包括结算备付金、存出保证金、应收申购款等。 </w:t>
      </w:r>
      <w:bookmarkStart w:id="135" w:name="field_60_investmentrange_1_end"/>
      <w:bookmarkEnd w:id="135"/>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（七）投资风格</w:t>
      </w:r>
    </w:p>
    <w:p>
      <w:pPr>
        <w:pStyle w:val="7"/>
        <w:spacing w:before="0" w:beforeAutospacing="0" w:after="0" w:afterAutospacing="0" w:line="360" w:lineRule="auto"/>
        <w:ind w:firstLine="420"/>
        <w:rPr>
          <w:sz w:val="21"/>
          <w:szCs w:val="21"/>
        </w:rPr>
      </w:pPr>
      <w:r>
        <w:rPr>
          <w:rFonts w:hint="eastAsia"/>
          <w:sz w:val="21"/>
          <w:szCs w:val="21"/>
        </w:rPr>
        <w:t xml:space="preserve">本基金是一只主动式管理基金。 </w:t>
      </w:r>
    </w:p>
    <w:p>
      <w:pPr>
        <w:pStyle w:val="7"/>
        <w:spacing w:before="0" w:beforeAutospacing="0" w:after="0" w:afterAutospacing="0" w:line="360" w:lineRule="auto"/>
        <w:ind w:firstLine="420"/>
        <w:rPr>
          <w:sz w:val="21"/>
          <w:szCs w:val="21"/>
        </w:rPr>
      </w:pPr>
      <w:r>
        <w:rPr>
          <w:rStyle w:val="11"/>
          <w:rFonts w:hint="eastAsia"/>
          <w:sz w:val="21"/>
          <w:szCs w:val="21"/>
        </w:rPr>
        <w:t>（八）投资策略</w:t>
      </w:r>
    </w:p>
    <w:p>
      <w:pPr>
        <w:pStyle w:val="7"/>
        <w:spacing w:before="0" w:beforeAutospacing="0" w:after="0" w:afterAutospacing="0" w:line="360" w:lineRule="auto"/>
        <w:ind w:firstLine="420"/>
        <w:rPr>
          <w:sz w:val="21"/>
          <w:szCs w:val="21"/>
        </w:rPr>
      </w:pPr>
      <w:bookmarkStart w:id="136" w:name="field_60_investmentstrategy_1_start"/>
      <w:bookmarkEnd w:id="136"/>
      <w:r>
        <w:rPr>
          <w:rFonts w:hint="eastAsia"/>
          <w:sz w:val="21"/>
          <w:szCs w:val="21"/>
        </w:rPr>
        <w:t xml:space="preserve">本基金遵循经济周期性波动规律，通过定性与定量分析，动态把握不同资产类在不同时期的投资价值、投资时机以及其风险收益特征的相对变化，追求股票、固定收益证券和现金等大类资产的适度平衡配置。在严格控制投资风险的前提下，追求基金资产的长期持续稳定增长。 </w:t>
      </w:r>
      <w:bookmarkStart w:id="137" w:name="field_60_investmentstrategy_1_end"/>
      <w:bookmarkEnd w:id="13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Style w:val="11"/>
          <w:rFonts w:hint="eastAsia"/>
          <w:sz w:val="21"/>
          <w:szCs w:val="21"/>
        </w:rPr>
        <w:t>（九）投资决策与投资决策机制</w:t>
      </w:r>
    </w:p>
    <w:p>
      <w:pPr>
        <w:pStyle w:val="7"/>
        <w:spacing w:before="0" w:beforeAutospacing="0" w:after="0" w:afterAutospacing="0" w:line="360" w:lineRule="auto"/>
        <w:ind w:firstLine="420"/>
        <w:rPr>
          <w:sz w:val="21"/>
          <w:szCs w:val="21"/>
        </w:rPr>
      </w:pPr>
      <w:r>
        <w:rPr>
          <w:rFonts w:hint="eastAsia"/>
          <w:sz w:val="21"/>
          <w:szCs w:val="21"/>
        </w:rPr>
        <w:t xml:space="preserve">1．投资决策依据 </w:t>
      </w:r>
    </w:p>
    <w:p>
      <w:pPr>
        <w:pStyle w:val="7"/>
        <w:spacing w:before="0" w:beforeAutospacing="0" w:after="0" w:afterAutospacing="0" w:line="360" w:lineRule="auto"/>
        <w:ind w:firstLine="420"/>
        <w:rPr>
          <w:sz w:val="21"/>
          <w:szCs w:val="21"/>
        </w:rPr>
      </w:pPr>
      <w:r>
        <w:rPr>
          <w:rFonts w:hint="eastAsia"/>
          <w:sz w:val="21"/>
          <w:szCs w:val="21"/>
        </w:rPr>
        <w:t xml:space="preserve">（1）国家有关法律、法规和基金合同的有关规定。 </w:t>
      </w:r>
    </w:p>
    <w:p>
      <w:pPr>
        <w:pStyle w:val="7"/>
        <w:spacing w:before="0" w:beforeAutospacing="0" w:after="0" w:afterAutospacing="0" w:line="360" w:lineRule="auto"/>
        <w:ind w:firstLine="420"/>
        <w:rPr>
          <w:sz w:val="21"/>
          <w:szCs w:val="21"/>
        </w:rPr>
      </w:pPr>
      <w:r>
        <w:rPr>
          <w:rFonts w:hint="eastAsia"/>
          <w:sz w:val="21"/>
          <w:szCs w:val="21"/>
        </w:rPr>
        <w:t xml:space="preserve">（2）宏观经济发展环境、微观企业经济运行态势和证券市场走势。 </w:t>
      </w:r>
    </w:p>
    <w:p>
      <w:pPr>
        <w:pStyle w:val="7"/>
        <w:spacing w:before="0" w:beforeAutospacing="0" w:after="0" w:afterAutospacing="0" w:line="360" w:lineRule="auto"/>
        <w:ind w:firstLine="420"/>
        <w:rPr>
          <w:sz w:val="21"/>
          <w:szCs w:val="21"/>
        </w:rPr>
      </w:pPr>
      <w:r>
        <w:rPr>
          <w:rFonts w:hint="eastAsia"/>
          <w:sz w:val="21"/>
          <w:szCs w:val="21"/>
        </w:rPr>
        <w:t xml:space="preserve">2．投资决策机制 </w:t>
      </w:r>
    </w:p>
    <w:p>
      <w:pPr>
        <w:pStyle w:val="7"/>
        <w:spacing w:before="0" w:beforeAutospacing="0" w:after="0" w:afterAutospacing="0" w:line="360" w:lineRule="auto"/>
        <w:ind w:firstLine="420"/>
        <w:rPr>
          <w:sz w:val="21"/>
          <w:szCs w:val="21"/>
        </w:rPr>
      </w:pPr>
      <w:r>
        <w:rPr>
          <w:rFonts w:hint="eastAsia"/>
          <w:sz w:val="21"/>
          <w:szCs w:val="21"/>
        </w:rPr>
        <w:t xml:space="preserve">本基金的投资决策机制为投资决策委员会领导下的基金经理负责制。 </w:t>
      </w:r>
    </w:p>
    <w:p>
      <w:pPr>
        <w:pStyle w:val="7"/>
        <w:spacing w:before="0" w:beforeAutospacing="0" w:after="0" w:afterAutospacing="0" w:line="360" w:lineRule="auto"/>
        <w:ind w:firstLine="420"/>
        <w:rPr>
          <w:sz w:val="21"/>
          <w:szCs w:val="21"/>
        </w:rPr>
      </w:pPr>
      <w:r>
        <w:rPr>
          <w:rFonts w:hint="eastAsia"/>
          <w:sz w:val="21"/>
          <w:szCs w:val="21"/>
        </w:rPr>
        <w:t xml:space="preserve">（1）投资决策委员会负责制定基金投资方面的整体战略和原则；审定基金季度资产配置和调整计划；审定基金季度投资检讨报告；决定基金禁止的投资事项等。 </w:t>
      </w:r>
    </w:p>
    <w:p>
      <w:pPr>
        <w:pStyle w:val="7"/>
        <w:spacing w:before="0" w:beforeAutospacing="0" w:after="0" w:afterAutospacing="0" w:line="360" w:lineRule="auto"/>
        <w:ind w:firstLine="420"/>
        <w:rPr>
          <w:sz w:val="21"/>
          <w:szCs w:val="21"/>
        </w:rPr>
      </w:pPr>
      <w:r>
        <w:rPr>
          <w:rFonts w:hint="eastAsia"/>
          <w:sz w:val="21"/>
          <w:szCs w:val="21"/>
        </w:rPr>
        <w:t xml:space="preserve">（2）基金经理根据相关报告负责资产配置、个股/个债配置、投资组合的构建和日常管理。 </w:t>
      </w:r>
    </w:p>
    <w:p>
      <w:pPr>
        <w:pStyle w:val="7"/>
        <w:spacing w:before="0" w:beforeAutospacing="0" w:after="0" w:afterAutospacing="0" w:line="360" w:lineRule="auto"/>
        <w:ind w:firstLine="420"/>
        <w:rPr>
          <w:sz w:val="21"/>
          <w:szCs w:val="21"/>
        </w:rPr>
      </w:pPr>
      <w:r>
        <w:rPr>
          <w:rStyle w:val="11"/>
          <w:rFonts w:hint="eastAsia"/>
          <w:sz w:val="21"/>
          <w:szCs w:val="21"/>
        </w:rPr>
        <w:t>（十）投资程序</w:t>
      </w:r>
    </w:p>
    <w:p>
      <w:pPr>
        <w:pStyle w:val="7"/>
        <w:spacing w:before="0" w:beforeAutospacing="0" w:after="0" w:afterAutospacing="0" w:line="360" w:lineRule="auto"/>
        <w:ind w:firstLine="420"/>
        <w:rPr>
          <w:sz w:val="21"/>
          <w:szCs w:val="21"/>
        </w:rPr>
      </w:pPr>
      <w:r>
        <w:rPr>
          <w:rFonts w:hint="eastAsia"/>
          <w:sz w:val="21"/>
          <w:szCs w:val="21"/>
        </w:rPr>
        <w:t xml:space="preserve">1、研究部、数量化投资部和交易部通过自身研究及借助外部研究机构形成有关上市公司分析、行业分析、宏观分析、市场分析以及数据模拟的各类报告，为本基金的投资管理提供决策依据。 </w:t>
      </w:r>
    </w:p>
    <w:p>
      <w:pPr>
        <w:pStyle w:val="7"/>
        <w:spacing w:before="0" w:beforeAutospacing="0" w:after="0" w:afterAutospacing="0" w:line="360" w:lineRule="auto"/>
        <w:ind w:firstLine="420"/>
        <w:rPr>
          <w:sz w:val="21"/>
          <w:szCs w:val="21"/>
        </w:rPr>
      </w:pPr>
      <w:r>
        <w:rPr>
          <w:rFonts w:hint="eastAsia"/>
          <w:sz w:val="21"/>
          <w:szCs w:val="21"/>
        </w:rPr>
        <w:t xml:space="preserve">2、投资决策委员会依据上述报告对基金的投资方向、资产配置比例等提出指导性意见。 </w:t>
      </w:r>
    </w:p>
    <w:p>
      <w:pPr>
        <w:pStyle w:val="7"/>
        <w:spacing w:before="0" w:beforeAutospacing="0" w:after="0" w:afterAutospacing="0" w:line="360" w:lineRule="auto"/>
        <w:ind w:firstLine="420"/>
        <w:rPr>
          <w:sz w:val="21"/>
          <w:szCs w:val="21"/>
        </w:rPr>
      </w:pPr>
      <w:r>
        <w:rPr>
          <w:rFonts w:hint="eastAsia"/>
          <w:sz w:val="21"/>
          <w:szCs w:val="21"/>
        </w:rPr>
        <w:t xml:space="preserve">3、基金经理根据投资决策委员会的决议，参考上述报告，并结合自身对证券市场和上市公司的分析判断，形成基金投资计划。 </w:t>
      </w:r>
    </w:p>
    <w:p>
      <w:pPr>
        <w:pStyle w:val="7"/>
        <w:spacing w:before="0" w:beforeAutospacing="0" w:after="0" w:afterAutospacing="0" w:line="360" w:lineRule="auto"/>
        <w:ind w:firstLine="420"/>
        <w:rPr>
          <w:sz w:val="21"/>
          <w:szCs w:val="21"/>
        </w:rPr>
      </w:pPr>
      <w:r>
        <w:rPr>
          <w:rFonts w:hint="eastAsia"/>
          <w:sz w:val="21"/>
          <w:szCs w:val="21"/>
        </w:rPr>
        <w:t xml:space="preserve">4、交易部依据基金经理小组的指令，制定交易策略，统一执行证券投资组合计划，进行具体品种的交易。 </w:t>
      </w:r>
    </w:p>
    <w:p>
      <w:pPr>
        <w:pStyle w:val="7"/>
        <w:spacing w:before="0" w:beforeAutospacing="0" w:after="0" w:afterAutospacing="0" w:line="360" w:lineRule="auto"/>
        <w:ind w:firstLine="420"/>
        <w:rPr>
          <w:sz w:val="21"/>
          <w:szCs w:val="21"/>
        </w:rPr>
      </w:pPr>
      <w:r>
        <w:rPr>
          <w:rFonts w:hint="eastAsia"/>
          <w:sz w:val="21"/>
          <w:szCs w:val="21"/>
        </w:rPr>
        <w:t xml:space="preserve">5、监察部对投资组合计划的执行过程进行监控。 </w:t>
      </w:r>
    </w:p>
    <w:p>
      <w:pPr>
        <w:pStyle w:val="7"/>
        <w:spacing w:before="0" w:beforeAutospacing="0" w:after="0" w:afterAutospacing="0" w:line="360" w:lineRule="auto"/>
        <w:ind w:firstLine="420"/>
        <w:rPr>
          <w:sz w:val="21"/>
          <w:szCs w:val="21"/>
        </w:rPr>
      </w:pPr>
      <w:r>
        <w:rPr>
          <w:rFonts w:hint="eastAsia"/>
          <w:sz w:val="21"/>
          <w:szCs w:val="21"/>
        </w:rPr>
        <w:t xml:space="preserve">6、基金管理人在确保基金份额持有人利益的前提下有权根据环境变化和实际需要对上述投资程序做出调整。 </w:t>
      </w:r>
    </w:p>
    <w:p>
      <w:pPr>
        <w:pStyle w:val="7"/>
        <w:spacing w:before="0" w:beforeAutospacing="0" w:after="0" w:afterAutospacing="0" w:line="360" w:lineRule="auto"/>
        <w:ind w:firstLine="420"/>
        <w:rPr>
          <w:sz w:val="21"/>
          <w:szCs w:val="21"/>
        </w:rPr>
      </w:pPr>
      <w:r>
        <w:rPr>
          <w:rStyle w:val="11"/>
          <w:rFonts w:hint="eastAsia"/>
          <w:sz w:val="21"/>
          <w:szCs w:val="21"/>
        </w:rPr>
        <w:t>（十一）投资限制</w:t>
      </w:r>
    </w:p>
    <w:p>
      <w:pPr>
        <w:pStyle w:val="7"/>
        <w:spacing w:before="0" w:beforeAutospacing="0" w:after="0" w:afterAutospacing="0" w:line="360" w:lineRule="auto"/>
        <w:ind w:firstLine="420"/>
        <w:rPr>
          <w:sz w:val="21"/>
          <w:szCs w:val="21"/>
        </w:rPr>
      </w:pPr>
      <w:r>
        <w:rPr>
          <w:rFonts w:hint="eastAsia"/>
          <w:sz w:val="21"/>
          <w:szCs w:val="21"/>
        </w:rPr>
        <w:t xml:space="preserve">本基金在投资策略上兼顾投资原则以及开放式基金的固有特点，通过分散投资降低基金资产的非系统性风险，保持基金组合良好的流动性。基金的投资组合将遵循以下限制： </w:t>
      </w:r>
    </w:p>
    <w:p>
      <w:pPr>
        <w:pStyle w:val="7"/>
        <w:spacing w:before="0" w:beforeAutospacing="0" w:after="0" w:afterAutospacing="0" w:line="360" w:lineRule="auto"/>
        <w:ind w:firstLine="420"/>
        <w:rPr>
          <w:sz w:val="21"/>
          <w:szCs w:val="21"/>
        </w:rPr>
      </w:pPr>
      <w:r>
        <w:rPr>
          <w:rFonts w:hint="eastAsia"/>
          <w:sz w:val="21"/>
          <w:szCs w:val="21"/>
        </w:rPr>
        <w:t xml:space="preserve">1、 基金持有一家上市公司的股票（含存托凭证），其市值不得超过本基金资产净值的10%；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 本基金与本基金管理人管理的其他基金持有一家公司发行的证券（含存托凭证），不得超过该证券的10%； </w:t>
      </w:r>
    </w:p>
    <w:p>
      <w:pPr>
        <w:pStyle w:val="7"/>
        <w:spacing w:before="0" w:beforeAutospacing="0" w:after="0" w:afterAutospacing="0" w:line="360" w:lineRule="auto"/>
        <w:ind w:firstLine="420"/>
        <w:rPr>
          <w:sz w:val="21"/>
          <w:szCs w:val="21"/>
        </w:rPr>
      </w:pPr>
      <w:r>
        <w:rPr>
          <w:rFonts w:hint="eastAsia"/>
          <w:sz w:val="21"/>
          <w:szCs w:val="21"/>
        </w:rPr>
        <w:t xml:space="preserve">3、 基金财产参与股票发行申购，本基金所申报的金额不得超过本基金的总资产，本基金所申报的股票数量不得超过拟发行股票公司本次发行股票的总量；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4、 投资于股票（含存托凭证）的资产比例范围为30-60%； </w:t>
      </w:r>
    </w:p>
    <w:p>
      <w:pPr>
        <w:pStyle w:val="7"/>
        <w:spacing w:before="0" w:beforeAutospacing="0" w:after="0" w:afterAutospacing="0" w:line="360" w:lineRule="auto"/>
        <w:ind w:firstLine="420"/>
        <w:rPr>
          <w:sz w:val="21"/>
          <w:szCs w:val="21"/>
        </w:rPr>
      </w:pPr>
      <w:r>
        <w:rPr>
          <w:rFonts w:hint="eastAsia"/>
          <w:sz w:val="21"/>
          <w:szCs w:val="21"/>
        </w:rPr>
        <w:t xml:space="preserve">5、现金以及到期日在一年以内的政府债券等短期金融工具的资产比例合计不低于5%其中，现金不包括结算备付金、存出保证金、应收申购款等；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6、 本基金投资股权分置改革中产生的权证，在任何交易日买入的总金额，不超过上一交易日基金资产净值的0.5%，基金持有的全部权证的市值不超过基金资产净值的3%，本公司管理的全部基金持有同一权证的比例不超过该权证的10%。其它权证的投资比例，遵从法规或监管部门的相关规定； </w:t>
      </w:r>
    </w:p>
    <w:p>
      <w:pPr>
        <w:pStyle w:val="7"/>
        <w:spacing w:before="0" w:beforeAutospacing="0" w:after="0" w:afterAutospacing="0" w:line="360" w:lineRule="auto"/>
        <w:ind w:firstLine="420"/>
        <w:rPr>
          <w:sz w:val="21"/>
          <w:szCs w:val="21"/>
        </w:rPr>
      </w:pPr>
      <w:r>
        <w:rPr>
          <w:rFonts w:hint="eastAsia"/>
          <w:sz w:val="21"/>
          <w:szCs w:val="21"/>
        </w:rPr>
        <w:t xml:space="preserve">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8、本基金主动投资于流动性受限资产的市值合计不得超过本基金资产净值的15% ；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9、本基金与私募类证券资管产品及中国证监会认定的其他主体为交易对手开展逆回购交易的，可接受质押品的资质要求应当与基金合同约定的投资范围保持一致；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10、法律法规或监管部门规定的其他限制。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法律法规或监管部门取消上述限制的，本基金不受上述限制。 </w:t>
      </w:r>
    </w:p>
    <w:p>
      <w:pPr>
        <w:pStyle w:val="7"/>
        <w:spacing w:before="0" w:beforeAutospacing="0" w:after="0" w:afterAutospacing="0" w:line="360" w:lineRule="auto"/>
        <w:ind w:firstLine="420"/>
        <w:rPr>
          <w:sz w:val="21"/>
          <w:szCs w:val="21"/>
        </w:rPr>
      </w:pPr>
      <w:r>
        <w:rPr>
          <w:rFonts w:hint="eastAsia"/>
          <w:sz w:val="21"/>
          <w:szCs w:val="21"/>
        </w:rPr>
        <w:t xml:space="preserve">除上述第5、8、9项外，因证券市场波动、上市公司合并、基金规模变动等基金管理人之外的因素致使基金投资不符合前述投资比例的，基金管理人应当在10个交易日内调整完毕。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法律法规或监管部门对上述比例限制另有规定的，基金合同将从其规定；基金管理人可依据法律法规或监管部门规定直接进行变更，在变更前按规定在指定媒介公告，此项合同修改无须召开基金份额持有人大会。 </w:t>
      </w:r>
    </w:p>
    <w:p>
      <w:pPr>
        <w:pStyle w:val="7"/>
        <w:spacing w:before="0" w:beforeAutospacing="0" w:after="0" w:afterAutospacing="0" w:line="360" w:lineRule="auto"/>
        <w:ind w:firstLine="420"/>
        <w:rPr>
          <w:sz w:val="21"/>
          <w:szCs w:val="21"/>
        </w:rPr>
      </w:pPr>
      <w:r>
        <w:rPr>
          <w:rStyle w:val="11"/>
          <w:rFonts w:hint="eastAsia"/>
          <w:sz w:val="21"/>
          <w:szCs w:val="21"/>
        </w:rPr>
        <w:t>（十二）禁止行为</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为维护基金份额持有人的合法权益，本基金禁止从事下列行为： </w:t>
      </w:r>
    </w:p>
    <w:p>
      <w:pPr>
        <w:pStyle w:val="7"/>
        <w:spacing w:before="0" w:beforeAutospacing="0" w:after="0" w:afterAutospacing="0" w:line="360" w:lineRule="auto"/>
        <w:ind w:firstLine="420"/>
        <w:rPr>
          <w:sz w:val="21"/>
          <w:szCs w:val="21"/>
        </w:rPr>
      </w:pPr>
      <w:r>
        <w:rPr>
          <w:rFonts w:hint="eastAsia"/>
          <w:sz w:val="21"/>
          <w:szCs w:val="21"/>
        </w:rPr>
        <w:t xml:space="preserve">1、 承销证券； </w:t>
      </w:r>
    </w:p>
    <w:p>
      <w:pPr>
        <w:pStyle w:val="7"/>
        <w:spacing w:before="0" w:beforeAutospacing="0" w:after="0" w:afterAutospacing="0" w:line="360" w:lineRule="auto"/>
        <w:ind w:firstLine="420"/>
        <w:rPr>
          <w:sz w:val="21"/>
          <w:szCs w:val="21"/>
        </w:rPr>
      </w:pPr>
      <w:r>
        <w:rPr>
          <w:rFonts w:hint="eastAsia"/>
          <w:sz w:val="21"/>
          <w:szCs w:val="21"/>
        </w:rPr>
        <w:t xml:space="preserve">2、 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 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 买卖其他基金份额，但是国务院另有规定的除外； </w:t>
      </w:r>
    </w:p>
    <w:p>
      <w:pPr>
        <w:pStyle w:val="7"/>
        <w:spacing w:before="0" w:beforeAutospacing="0" w:after="0" w:afterAutospacing="0" w:line="360" w:lineRule="auto"/>
        <w:ind w:firstLine="420"/>
        <w:rPr>
          <w:sz w:val="21"/>
          <w:szCs w:val="21"/>
        </w:rPr>
      </w:pPr>
      <w:r>
        <w:rPr>
          <w:rFonts w:hint="eastAsia"/>
          <w:sz w:val="21"/>
          <w:szCs w:val="21"/>
        </w:rPr>
        <w:t xml:space="preserve">5、 向其基金管理人、基金托管人出资或者买卖其基金管理人、基金托管人发行的股票或者债券； </w:t>
      </w:r>
    </w:p>
    <w:p>
      <w:pPr>
        <w:pStyle w:val="7"/>
        <w:spacing w:before="0" w:beforeAutospacing="0" w:after="0" w:afterAutospacing="0" w:line="360" w:lineRule="auto"/>
        <w:ind w:firstLine="420"/>
        <w:rPr>
          <w:sz w:val="21"/>
          <w:szCs w:val="21"/>
        </w:rPr>
      </w:pPr>
      <w:r>
        <w:rPr>
          <w:rFonts w:hint="eastAsia"/>
          <w:sz w:val="21"/>
          <w:szCs w:val="21"/>
        </w:rPr>
        <w:t xml:space="preserve">6、 买卖与其基金管理人、基金托管人有控股关系的股东或者与其基金管理人、基金托管人有其他重大利害关系的公司发行的证券或者承销期内承销的证券； </w:t>
      </w:r>
    </w:p>
    <w:p>
      <w:pPr>
        <w:pStyle w:val="7"/>
        <w:spacing w:before="0" w:beforeAutospacing="0" w:after="0" w:afterAutospacing="0" w:line="360" w:lineRule="auto"/>
        <w:ind w:firstLine="420"/>
        <w:rPr>
          <w:sz w:val="21"/>
          <w:szCs w:val="21"/>
        </w:rPr>
      </w:pPr>
      <w:r>
        <w:rPr>
          <w:rFonts w:hint="eastAsia"/>
          <w:sz w:val="21"/>
          <w:szCs w:val="21"/>
        </w:rPr>
        <w:t xml:space="preserve">7、 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8、 依照法律、行政法规有关规定，由国务院证券监督管理机构规定禁止的其他活动。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如法律法规有关规定发生变更，上述禁止行为应相应变更。 </w:t>
      </w:r>
    </w:p>
    <w:p>
      <w:pPr>
        <w:pStyle w:val="7"/>
        <w:spacing w:before="0" w:beforeAutospacing="0" w:after="0" w:afterAutospacing="0" w:line="360" w:lineRule="auto"/>
        <w:ind w:firstLine="420"/>
        <w:rPr>
          <w:sz w:val="21"/>
          <w:szCs w:val="21"/>
        </w:rPr>
      </w:pPr>
      <w:r>
        <w:rPr>
          <w:rStyle w:val="11"/>
          <w:rFonts w:hint="eastAsia"/>
          <w:sz w:val="21"/>
          <w:szCs w:val="21"/>
        </w:rPr>
        <w:t>（十三）基金管理人代表基金行使债务权利的处理原则及方法</w:t>
      </w:r>
    </w:p>
    <w:p>
      <w:pPr>
        <w:pStyle w:val="7"/>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1.基金管理人按照国家有关规定代表基金独立行使债权人权利，保护基金投资人的利益。 </w:t>
      </w:r>
    </w:p>
    <w:p>
      <w:pPr>
        <w:pStyle w:val="7"/>
        <w:spacing w:before="0" w:beforeAutospacing="0" w:after="0" w:afterAutospacing="0" w:line="360" w:lineRule="auto"/>
        <w:ind w:firstLine="420"/>
        <w:rPr>
          <w:sz w:val="21"/>
          <w:szCs w:val="21"/>
        </w:rPr>
      </w:pPr>
      <w:bookmarkStart w:id="138" w:name="chapter_level1_12_60_section_4_end"/>
      <w:bookmarkEnd w:id="138"/>
      <w:r>
        <w:rPr>
          <w:rFonts w:hint="eastAsia"/>
          <w:sz w:val="21"/>
          <w:szCs w:val="21"/>
        </w:rPr>
        <w:t xml:space="preserve">2.有利于基金资产的安全与增值。 </w:t>
      </w:r>
    </w:p>
    <w:p>
      <w:pPr>
        <w:pStyle w:val="7"/>
        <w:spacing w:before="0" w:beforeAutospacing="0" w:after="0" w:afterAutospacing="0" w:line="360" w:lineRule="auto"/>
        <w:ind w:firstLine="420"/>
        <w:rPr>
          <w:sz w:val="21"/>
          <w:szCs w:val="21"/>
        </w:rPr>
      </w:pPr>
      <w:bookmarkStart w:id="139" w:name="chapter_level1_12_60_section_5"/>
      <w:bookmarkEnd w:id="139"/>
      <w:bookmarkStart w:id="140" w:name="chapter_level1_12_60_section_5_end"/>
      <w:bookmarkEnd w:id="140"/>
      <w:r>
        <w:rPr>
          <w:rStyle w:val="11"/>
          <w:rFonts w:hint="eastAsia"/>
          <w:sz w:val="21"/>
          <w:szCs w:val="21"/>
        </w:rPr>
        <w:t>（十四）基金投资组合报告</w:t>
      </w:r>
    </w:p>
    <w:p>
      <w:pPr>
        <w:pStyle w:val="7"/>
        <w:spacing w:before="0" w:beforeAutospacing="0" w:after="0" w:afterAutospacing="0" w:line="360" w:lineRule="auto"/>
        <w:ind w:firstLine="420"/>
        <w:rPr>
          <w:sz w:val="21"/>
          <w:szCs w:val="21"/>
        </w:rPr>
      </w:pPr>
      <w:bookmarkStart w:id="141" w:name="chapter_level1_12_60_section_6"/>
      <w:bookmarkEnd w:id="141"/>
      <w:r>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42" w:name="field_2343_financeendday_2"/>
      <w:r>
        <w:rPr>
          <w:sz w:val="21"/>
          <w:szCs w:val="21"/>
        </w:rPr>
        <w:t>2022年6月30日</w:t>
      </w:r>
      <w:bookmarkEnd w:id="142"/>
      <w:r>
        <w:rPr>
          <w:rFonts w:hint="eastAsia"/>
          <w:sz w:val="21"/>
          <w:szCs w:val="21"/>
        </w:rPr>
        <w:t xml:space="preserve">，本报告中所列财务数据未经审计。 </w:t>
      </w:r>
    </w:p>
    <w:p>
      <w:pPr>
        <w:pStyle w:val="7"/>
        <w:spacing w:before="0" w:beforeAutospacing="0" w:after="0" w:afterAutospacing="0" w:line="360" w:lineRule="auto"/>
        <w:ind w:firstLine="420"/>
        <w:rPr>
          <w:sz w:val="21"/>
          <w:szCs w:val="21"/>
        </w:rPr>
      </w:pPr>
      <w:r>
        <w:rPr>
          <w:rFonts w:hint="eastAsia"/>
          <w:b/>
          <w:bCs/>
          <w:sz w:val="21"/>
          <w:szCs w:val="21"/>
        </w:rPr>
        <w:t>1 报告期末基金资产组合情况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362"/>
        <w:gridCol w:w="2261"/>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序号 </w:t>
            </w:r>
          </w:p>
        </w:tc>
        <w:tc>
          <w:tcPr>
            <w:tcW w:w="4140" w:type="dxa"/>
            <w:shd w:val="clear" w:color="auto" w:fill="auto"/>
          </w:tcPr>
          <w:p>
            <w:pPr>
              <w:pStyle w:val="7"/>
              <w:jc w:val="center"/>
            </w:pPr>
            <w:r>
              <w:rPr>
                <w:rFonts w:hint="eastAsia"/>
              </w:rPr>
              <w:t xml:space="preserve">项目 </w:t>
            </w:r>
          </w:p>
        </w:tc>
        <w:tc>
          <w:tcPr>
            <w:tcW w:w="2385" w:type="dxa"/>
            <w:shd w:val="clear" w:color="auto" w:fill="auto"/>
          </w:tcPr>
          <w:p>
            <w:pPr>
              <w:pStyle w:val="7"/>
              <w:jc w:val="center"/>
            </w:pPr>
            <w:r>
              <w:rPr>
                <w:rFonts w:hint="eastAsia"/>
              </w:rPr>
              <w:t xml:space="preserve">金额(元) </w:t>
            </w:r>
          </w:p>
        </w:tc>
        <w:tc>
          <w:tcPr>
            <w:tcW w:w="2610" w:type="dxa"/>
            <w:shd w:val="clear" w:color="auto" w:fill="auto"/>
          </w:tcPr>
          <w:p>
            <w:pPr>
              <w:pStyle w:val="7"/>
              <w:jc w:val="center"/>
            </w:pPr>
            <w:r>
              <w:rPr>
                <w:rFonts w:hint="eastAsia"/>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 </w:t>
            </w:r>
          </w:p>
        </w:tc>
        <w:tc>
          <w:tcPr>
            <w:tcW w:w="4140" w:type="dxa"/>
            <w:shd w:val="clear" w:color="auto" w:fill="auto"/>
          </w:tcPr>
          <w:p>
            <w:pPr>
              <w:pStyle w:val="7"/>
            </w:pPr>
            <w:r>
              <w:rPr>
                <w:rFonts w:hint="eastAsia"/>
              </w:rPr>
              <w:t xml:space="preserve">权益投资 </w:t>
            </w:r>
          </w:p>
        </w:tc>
        <w:tc>
          <w:tcPr>
            <w:tcW w:w="2385" w:type="dxa"/>
            <w:shd w:val="clear" w:color="auto" w:fill="auto"/>
          </w:tcPr>
          <w:p>
            <w:pPr>
              <w:pStyle w:val="7"/>
              <w:jc w:val="right"/>
            </w:pPr>
            <w:r>
              <w:rPr>
                <w:rFonts w:hint="eastAsia"/>
              </w:rPr>
              <w:t xml:space="preserve">229,904,074.80 </w:t>
            </w:r>
          </w:p>
        </w:tc>
        <w:tc>
          <w:tcPr>
            <w:tcW w:w="2610" w:type="dxa"/>
            <w:shd w:val="clear" w:color="auto" w:fill="auto"/>
          </w:tcPr>
          <w:p>
            <w:pPr>
              <w:pStyle w:val="7"/>
              <w:jc w:val="right"/>
            </w:pPr>
            <w:r>
              <w:rPr>
                <w:rFonts w:hint="eastAsia"/>
              </w:rPr>
              <w:t xml:space="preserve">56.89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rPr>
                <w:rFonts w:ascii="宋体" w:hAnsi="宋体" w:eastAsia="宋体" w:cs="宋体"/>
                <w:sz w:val="24"/>
                <w:szCs w:val="24"/>
              </w:rPr>
            </w:pPr>
          </w:p>
        </w:tc>
        <w:tc>
          <w:tcPr>
            <w:tcW w:w="4140" w:type="dxa"/>
            <w:shd w:val="clear" w:color="auto" w:fill="auto"/>
          </w:tcPr>
          <w:p>
            <w:pPr>
              <w:pStyle w:val="7"/>
            </w:pPr>
            <w:r>
              <w:rPr>
                <w:rFonts w:hint="eastAsia"/>
              </w:rPr>
              <w:t xml:space="preserve">其中：股票 </w:t>
            </w:r>
          </w:p>
        </w:tc>
        <w:tc>
          <w:tcPr>
            <w:tcW w:w="2385" w:type="dxa"/>
            <w:shd w:val="clear" w:color="auto" w:fill="auto"/>
          </w:tcPr>
          <w:p>
            <w:pPr>
              <w:pStyle w:val="7"/>
              <w:jc w:val="right"/>
            </w:pPr>
            <w:r>
              <w:rPr>
                <w:rFonts w:hint="eastAsia"/>
              </w:rPr>
              <w:t xml:space="preserve">229,904,074.80 </w:t>
            </w:r>
          </w:p>
        </w:tc>
        <w:tc>
          <w:tcPr>
            <w:tcW w:w="2610" w:type="dxa"/>
            <w:shd w:val="clear" w:color="auto" w:fill="auto"/>
          </w:tcPr>
          <w:p>
            <w:pPr>
              <w:pStyle w:val="7"/>
              <w:jc w:val="right"/>
            </w:pPr>
            <w:r>
              <w:rPr>
                <w:rFonts w:hint="eastAsia"/>
              </w:rPr>
              <w:t xml:space="preserve">56.89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2 </w:t>
            </w:r>
          </w:p>
        </w:tc>
        <w:tc>
          <w:tcPr>
            <w:tcW w:w="4140" w:type="dxa"/>
            <w:shd w:val="clear" w:color="auto" w:fill="auto"/>
          </w:tcPr>
          <w:p>
            <w:pPr>
              <w:pStyle w:val="7"/>
            </w:pPr>
            <w:r>
              <w:rPr>
                <w:rFonts w:hint="eastAsia"/>
              </w:rPr>
              <w:t xml:space="preserve">基金投资 </w:t>
            </w:r>
          </w:p>
        </w:tc>
        <w:tc>
          <w:tcPr>
            <w:tcW w:w="2385" w:type="dxa"/>
            <w:shd w:val="clear" w:color="auto" w:fill="auto"/>
          </w:tcPr>
          <w:p>
            <w:pPr>
              <w:pStyle w:val="7"/>
              <w:jc w:val="right"/>
            </w:pPr>
            <w:r>
              <w:rPr>
                <w:rFonts w:hint="eastAsia"/>
              </w:rPr>
              <w:t xml:space="preserve">- </w:t>
            </w:r>
          </w:p>
        </w:tc>
        <w:tc>
          <w:tcPr>
            <w:tcW w:w="261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3 </w:t>
            </w:r>
          </w:p>
        </w:tc>
        <w:tc>
          <w:tcPr>
            <w:tcW w:w="4140" w:type="dxa"/>
            <w:shd w:val="clear" w:color="auto" w:fill="auto"/>
          </w:tcPr>
          <w:p>
            <w:pPr>
              <w:pStyle w:val="7"/>
            </w:pPr>
            <w:r>
              <w:rPr>
                <w:rFonts w:hint="eastAsia"/>
              </w:rPr>
              <w:t xml:space="preserve">固定收益投资 </w:t>
            </w:r>
          </w:p>
        </w:tc>
        <w:tc>
          <w:tcPr>
            <w:tcW w:w="2385" w:type="dxa"/>
            <w:shd w:val="clear" w:color="auto" w:fill="auto"/>
          </w:tcPr>
          <w:p>
            <w:pPr>
              <w:pStyle w:val="7"/>
              <w:jc w:val="right"/>
            </w:pPr>
            <w:r>
              <w:rPr>
                <w:rFonts w:hint="eastAsia"/>
              </w:rPr>
              <w:t xml:space="preserve">135,279,595.11 </w:t>
            </w:r>
          </w:p>
        </w:tc>
        <w:tc>
          <w:tcPr>
            <w:tcW w:w="2610" w:type="dxa"/>
            <w:shd w:val="clear" w:color="auto" w:fill="auto"/>
          </w:tcPr>
          <w:p>
            <w:pPr>
              <w:pStyle w:val="7"/>
              <w:jc w:val="right"/>
            </w:pPr>
            <w:r>
              <w:rPr>
                <w:rFonts w:hint="eastAsia"/>
              </w:rPr>
              <w:t xml:space="preserve">33.47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rPr>
                <w:rFonts w:ascii="宋体" w:hAnsi="宋体" w:eastAsia="宋体" w:cs="宋体"/>
                <w:sz w:val="24"/>
                <w:szCs w:val="24"/>
              </w:rPr>
            </w:pPr>
          </w:p>
        </w:tc>
        <w:tc>
          <w:tcPr>
            <w:tcW w:w="4140" w:type="dxa"/>
            <w:shd w:val="clear" w:color="auto" w:fill="auto"/>
          </w:tcPr>
          <w:p>
            <w:pPr>
              <w:pStyle w:val="7"/>
            </w:pPr>
            <w:r>
              <w:rPr>
                <w:rFonts w:hint="eastAsia"/>
              </w:rPr>
              <w:t xml:space="preserve">其中：债券 </w:t>
            </w:r>
          </w:p>
        </w:tc>
        <w:tc>
          <w:tcPr>
            <w:tcW w:w="2385" w:type="dxa"/>
            <w:shd w:val="clear" w:color="auto" w:fill="auto"/>
          </w:tcPr>
          <w:p>
            <w:pPr>
              <w:pStyle w:val="7"/>
              <w:jc w:val="right"/>
            </w:pPr>
            <w:r>
              <w:rPr>
                <w:rFonts w:hint="eastAsia"/>
              </w:rPr>
              <w:t xml:space="preserve">135,279,595.11 </w:t>
            </w:r>
          </w:p>
        </w:tc>
        <w:tc>
          <w:tcPr>
            <w:tcW w:w="2610" w:type="dxa"/>
            <w:shd w:val="clear" w:color="auto" w:fill="auto"/>
          </w:tcPr>
          <w:p>
            <w:pPr>
              <w:pStyle w:val="7"/>
              <w:jc w:val="right"/>
            </w:pPr>
            <w:r>
              <w:rPr>
                <w:rFonts w:hint="eastAsia"/>
              </w:rPr>
              <w:t xml:space="preserve">33.47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rPr>
                <w:rFonts w:ascii="宋体" w:hAnsi="宋体" w:eastAsia="宋体" w:cs="宋体"/>
                <w:sz w:val="24"/>
                <w:szCs w:val="24"/>
              </w:rPr>
            </w:pPr>
          </w:p>
        </w:tc>
        <w:tc>
          <w:tcPr>
            <w:tcW w:w="4140" w:type="dxa"/>
            <w:shd w:val="clear" w:color="auto" w:fill="auto"/>
          </w:tcPr>
          <w:p>
            <w:pPr>
              <w:pStyle w:val="7"/>
              <w:ind w:firstLine="625"/>
            </w:pPr>
            <w:r>
              <w:rPr>
                <w:rFonts w:hint="eastAsia"/>
              </w:rPr>
              <w:t xml:space="preserve">资产支持证券 </w:t>
            </w:r>
          </w:p>
        </w:tc>
        <w:tc>
          <w:tcPr>
            <w:tcW w:w="2385" w:type="dxa"/>
            <w:shd w:val="clear" w:color="auto" w:fill="auto"/>
          </w:tcPr>
          <w:p>
            <w:pPr>
              <w:pStyle w:val="7"/>
              <w:jc w:val="right"/>
            </w:pPr>
            <w:r>
              <w:rPr>
                <w:rFonts w:hint="eastAsia"/>
              </w:rPr>
              <w:t xml:space="preserve">- </w:t>
            </w:r>
          </w:p>
        </w:tc>
        <w:tc>
          <w:tcPr>
            <w:tcW w:w="261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5" w:type="dxa"/>
            <w:shd w:val="clear" w:color="auto" w:fill="auto"/>
          </w:tcPr>
          <w:p>
            <w:pPr>
              <w:pStyle w:val="7"/>
              <w:jc w:val="center"/>
            </w:pPr>
            <w:r>
              <w:rPr>
                <w:rFonts w:hint="eastAsia"/>
              </w:rPr>
              <w:t xml:space="preserve">4 </w:t>
            </w:r>
          </w:p>
        </w:tc>
        <w:tc>
          <w:tcPr>
            <w:tcW w:w="4140" w:type="dxa"/>
            <w:shd w:val="clear" w:color="auto" w:fill="auto"/>
          </w:tcPr>
          <w:p>
            <w:pPr>
              <w:pStyle w:val="7"/>
            </w:pPr>
            <w:r>
              <w:rPr>
                <w:rFonts w:hint="eastAsia"/>
              </w:rPr>
              <w:t xml:space="preserve">贵金属投资 </w:t>
            </w:r>
          </w:p>
        </w:tc>
        <w:tc>
          <w:tcPr>
            <w:tcW w:w="2385" w:type="dxa"/>
            <w:shd w:val="clear" w:color="auto" w:fill="auto"/>
          </w:tcPr>
          <w:p>
            <w:pPr>
              <w:pStyle w:val="7"/>
              <w:jc w:val="right"/>
            </w:pPr>
            <w:r>
              <w:rPr>
                <w:rFonts w:hint="eastAsia"/>
              </w:rPr>
              <w:t xml:space="preserve">- </w:t>
            </w:r>
          </w:p>
        </w:tc>
        <w:tc>
          <w:tcPr>
            <w:tcW w:w="261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5 </w:t>
            </w:r>
          </w:p>
        </w:tc>
        <w:tc>
          <w:tcPr>
            <w:tcW w:w="4140" w:type="dxa"/>
            <w:shd w:val="clear" w:color="auto" w:fill="auto"/>
          </w:tcPr>
          <w:p>
            <w:pPr>
              <w:pStyle w:val="7"/>
            </w:pPr>
            <w:r>
              <w:rPr>
                <w:rFonts w:hint="eastAsia"/>
              </w:rPr>
              <w:t xml:space="preserve">金融衍生品投资 </w:t>
            </w:r>
          </w:p>
        </w:tc>
        <w:tc>
          <w:tcPr>
            <w:tcW w:w="2385" w:type="dxa"/>
            <w:shd w:val="clear" w:color="auto" w:fill="auto"/>
          </w:tcPr>
          <w:p>
            <w:pPr>
              <w:pStyle w:val="7"/>
              <w:jc w:val="right"/>
            </w:pPr>
            <w:r>
              <w:rPr>
                <w:rFonts w:hint="eastAsia"/>
              </w:rPr>
              <w:t xml:space="preserve">- </w:t>
            </w:r>
          </w:p>
        </w:tc>
        <w:tc>
          <w:tcPr>
            <w:tcW w:w="261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6 </w:t>
            </w:r>
          </w:p>
        </w:tc>
        <w:tc>
          <w:tcPr>
            <w:tcW w:w="4140" w:type="dxa"/>
            <w:shd w:val="clear" w:color="auto" w:fill="auto"/>
          </w:tcPr>
          <w:p>
            <w:pPr>
              <w:pStyle w:val="7"/>
            </w:pPr>
            <w:r>
              <w:rPr>
                <w:rFonts w:hint="eastAsia"/>
              </w:rPr>
              <w:t xml:space="preserve">买入返售金融资产 </w:t>
            </w:r>
          </w:p>
        </w:tc>
        <w:tc>
          <w:tcPr>
            <w:tcW w:w="2385" w:type="dxa"/>
            <w:shd w:val="clear" w:color="auto" w:fill="auto"/>
          </w:tcPr>
          <w:p>
            <w:pPr>
              <w:pStyle w:val="7"/>
              <w:jc w:val="right"/>
            </w:pPr>
            <w:r>
              <w:rPr>
                <w:rFonts w:hint="eastAsia"/>
              </w:rPr>
              <w:t xml:space="preserve">27,000,000.00 </w:t>
            </w:r>
          </w:p>
        </w:tc>
        <w:tc>
          <w:tcPr>
            <w:tcW w:w="2610" w:type="dxa"/>
            <w:shd w:val="clear" w:color="auto" w:fill="auto"/>
          </w:tcPr>
          <w:p>
            <w:pPr>
              <w:pStyle w:val="7"/>
              <w:jc w:val="right"/>
            </w:pPr>
            <w:r>
              <w:rPr>
                <w:rFonts w:hint="eastAsia"/>
              </w:rPr>
              <w:t xml:space="preserve">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rPr>
                <w:rFonts w:ascii="宋体" w:hAnsi="宋体" w:eastAsia="宋体" w:cs="宋体"/>
                <w:sz w:val="24"/>
                <w:szCs w:val="24"/>
              </w:rPr>
            </w:pPr>
          </w:p>
        </w:tc>
        <w:tc>
          <w:tcPr>
            <w:tcW w:w="4140" w:type="dxa"/>
            <w:shd w:val="clear" w:color="auto" w:fill="auto"/>
          </w:tcPr>
          <w:p>
            <w:pPr>
              <w:pStyle w:val="7"/>
            </w:pPr>
            <w:r>
              <w:rPr>
                <w:rFonts w:hint="eastAsia"/>
              </w:rPr>
              <w:t xml:space="preserve">其中：买断式回购的买入返售金融资产 </w:t>
            </w:r>
          </w:p>
        </w:tc>
        <w:tc>
          <w:tcPr>
            <w:tcW w:w="2385" w:type="dxa"/>
            <w:shd w:val="clear" w:color="auto" w:fill="auto"/>
          </w:tcPr>
          <w:p>
            <w:pPr>
              <w:pStyle w:val="7"/>
              <w:jc w:val="right"/>
            </w:pPr>
            <w:r>
              <w:rPr>
                <w:rFonts w:hint="eastAsia"/>
              </w:rPr>
              <w:t xml:space="preserve">- </w:t>
            </w:r>
          </w:p>
        </w:tc>
        <w:tc>
          <w:tcPr>
            <w:tcW w:w="261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7 </w:t>
            </w:r>
          </w:p>
        </w:tc>
        <w:tc>
          <w:tcPr>
            <w:tcW w:w="4140" w:type="dxa"/>
            <w:shd w:val="clear" w:color="auto" w:fill="auto"/>
          </w:tcPr>
          <w:p>
            <w:pPr>
              <w:pStyle w:val="7"/>
            </w:pPr>
            <w:r>
              <w:rPr>
                <w:rFonts w:hint="eastAsia"/>
              </w:rPr>
              <w:t xml:space="preserve">银行存款和结算备付金合计 </w:t>
            </w:r>
          </w:p>
        </w:tc>
        <w:tc>
          <w:tcPr>
            <w:tcW w:w="2385" w:type="dxa"/>
            <w:shd w:val="clear" w:color="auto" w:fill="auto"/>
          </w:tcPr>
          <w:p>
            <w:pPr>
              <w:pStyle w:val="7"/>
              <w:jc w:val="right"/>
            </w:pPr>
            <w:r>
              <w:rPr>
                <w:rFonts w:hint="eastAsia"/>
              </w:rPr>
              <w:t xml:space="preserve">11,771,083.92 </w:t>
            </w:r>
          </w:p>
        </w:tc>
        <w:tc>
          <w:tcPr>
            <w:tcW w:w="2610" w:type="dxa"/>
            <w:shd w:val="clear" w:color="auto" w:fill="auto"/>
          </w:tcPr>
          <w:p>
            <w:pPr>
              <w:pStyle w:val="7"/>
              <w:jc w:val="right"/>
            </w:pPr>
            <w:r>
              <w:rPr>
                <w:rFonts w:hint="eastAsia"/>
              </w:rPr>
              <w:t xml:space="preserve">2.91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8 </w:t>
            </w:r>
          </w:p>
        </w:tc>
        <w:tc>
          <w:tcPr>
            <w:tcW w:w="4140" w:type="dxa"/>
            <w:shd w:val="clear" w:color="auto" w:fill="auto"/>
          </w:tcPr>
          <w:p>
            <w:pPr>
              <w:pStyle w:val="7"/>
            </w:pPr>
            <w:r>
              <w:rPr>
                <w:rFonts w:hint="eastAsia"/>
              </w:rPr>
              <w:t xml:space="preserve">其他各项资产 </w:t>
            </w:r>
          </w:p>
        </w:tc>
        <w:tc>
          <w:tcPr>
            <w:tcW w:w="2385" w:type="dxa"/>
            <w:shd w:val="clear" w:color="auto" w:fill="auto"/>
          </w:tcPr>
          <w:p>
            <w:pPr>
              <w:pStyle w:val="7"/>
              <w:jc w:val="right"/>
            </w:pPr>
            <w:r>
              <w:rPr>
                <w:rFonts w:hint="eastAsia"/>
              </w:rPr>
              <w:t xml:space="preserve">181,005.34 </w:t>
            </w:r>
          </w:p>
        </w:tc>
        <w:tc>
          <w:tcPr>
            <w:tcW w:w="2610" w:type="dxa"/>
            <w:shd w:val="clear" w:color="auto" w:fill="auto"/>
          </w:tcPr>
          <w:p>
            <w:pPr>
              <w:pStyle w:val="7"/>
              <w:jc w:val="right"/>
            </w:pPr>
            <w:r>
              <w:rPr>
                <w:rFonts w:hint="eastAsia"/>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9 </w:t>
            </w:r>
          </w:p>
        </w:tc>
        <w:tc>
          <w:tcPr>
            <w:tcW w:w="4140" w:type="dxa"/>
            <w:shd w:val="clear" w:color="auto" w:fill="auto"/>
          </w:tcPr>
          <w:p>
            <w:pPr>
              <w:pStyle w:val="7"/>
            </w:pPr>
            <w:r>
              <w:rPr>
                <w:rFonts w:hint="eastAsia"/>
              </w:rPr>
              <w:t xml:space="preserve">合计 </w:t>
            </w:r>
          </w:p>
        </w:tc>
        <w:tc>
          <w:tcPr>
            <w:tcW w:w="2385" w:type="dxa"/>
            <w:shd w:val="clear" w:color="auto" w:fill="auto"/>
          </w:tcPr>
          <w:p>
            <w:pPr>
              <w:pStyle w:val="7"/>
              <w:jc w:val="right"/>
            </w:pPr>
            <w:r>
              <w:rPr>
                <w:rFonts w:hint="eastAsia"/>
              </w:rPr>
              <w:t xml:space="preserve">404,135,759.17 </w:t>
            </w:r>
          </w:p>
        </w:tc>
        <w:tc>
          <w:tcPr>
            <w:tcW w:w="2610" w:type="dxa"/>
            <w:shd w:val="clear" w:color="auto" w:fill="auto"/>
          </w:tcPr>
          <w:p>
            <w:pPr>
              <w:pStyle w:val="7"/>
              <w:jc w:val="right"/>
            </w:pPr>
            <w:r>
              <w:rPr>
                <w:rFonts w:hint="eastAsia"/>
              </w:rPr>
              <w:t xml:space="preserve">100.00 </w:t>
            </w:r>
          </w:p>
        </w:tc>
      </w:tr>
    </w:tbl>
    <w:p>
      <w:pPr>
        <w:pStyle w:val="7"/>
        <w:spacing w:before="0" w:beforeAutospacing="0" w:after="0" w:afterAutospacing="0" w:line="360" w:lineRule="auto"/>
        <w:ind w:firstLine="420"/>
        <w:rPr>
          <w:sz w:val="21"/>
          <w:szCs w:val="21"/>
        </w:rPr>
      </w:pPr>
      <w:r>
        <w:rPr>
          <w:rFonts w:hint="eastAsia"/>
          <w:b/>
          <w:bCs/>
          <w:sz w:val="21"/>
          <w:szCs w:val="21"/>
        </w:rPr>
        <w:t>2 报告期末按行业分类的股票投资组合</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3207"/>
        <w:gridCol w:w="2526"/>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代码 </w:t>
            </w:r>
          </w:p>
        </w:tc>
        <w:tc>
          <w:tcPr>
            <w:tcW w:w="3870" w:type="dxa"/>
            <w:shd w:val="clear" w:color="auto" w:fill="auto"/>
          </w:tcPr>
          <w:p>
            <w:pPr>
              <w:pStyle w:val="7"/>
              <w:jc w:val="center"/>
            </w:pPr>
            <w:r>
              <w:rPr>
                <w:rFonts w:hint="eastAsia"/>
              </w:rPr>
              <w:t xml:space="preserve">行业类别 </w:t>
            </w:r>
          </w:p>
        </w:tc>
        <w:tc>
          <w:tcPr>
            <w:tcW w:w="2700" w:type="dxa"/>
            <w:shd w:val="clear" w:color="auto" w:fill="auto"/>
          </w:tcPr>
          <w:p>
            <w:pPr>
              <w:pStyle w:val="7"/>
              <w:jc w:val="center"/>
            </w:pPr>
            <w:r>
              <w:rPr>
                <w:rFonts w:hint="eastAsia"/>
              </w:rPr>
              <w:t xml:space="preserve">公允价值（元） </w:t>
            </w:r>
          </w:p>
        </w:tc>
        <w:tc>
          <w:tcPr>
            <w:tcW w:w="253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A </w:t>
            </w:r>
          </w:p>
        </w:tc>
        <w:tc>
          <w:tcPr>
            <w:tcW w:w="3870" w:type="dxa"/>
            <w:shd w:val="clear" w:color="auto" w:fill="auto"/>
          </w:tcPr>
          <w:p>
            <w:pPr>
              <w:pStyle w:val="7"/>
              <w:ind w:left="105"/>
            </w:pPr>
            <w:r>
              <w:rPr>
                <w:rFonts w:hint="eastAsia"/>
              </w:rPr>
              <w:t xml:space="preserve">农、林、牧、渔业 </w:t>
            </w:r>
          </w:p>
        </w:tc>
        <w:tc>
          <w:tcPr>
            <w:tcW w:w="2700" w:type="dxa"/>
            <w:shd w:val="clear" w:color="auto" w:fill="auto"/>
          </w:tcPr>
          <w:p>
            <w:pPr>
              <w:pStyle w:val="7"/>
              <w:jc w:val="right"/>
            </w:pPr>
            <w:r>
              <w:rPr>
                <w:rFonts w:hint="eastAsia"/>
              </w:rPr>
              <w:t xml:space="preserve">1,939,578.00 </w:t>
            </w:r>
          </w:p>
        </w:tc>
        <w:tc>
          <w:tcPr>
            <w:tcW w:w="2535" w:type="dxa"/>
            <w:shd w:val="clear" w:color="auto" w:fill="auto"/>
          </w:tcPr>
          <w:p>
            <w:pPr>
              <w:pStyle w:val="7"/>
              <w:jc w:val="right"/>
            </w:pPr>
            <w:r>
              <w:rPr>
                <w:rFonts w:hint="eastAsia"/>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B </w:t>
            </w:r>
          </w:p>
        </w:tc>
        <w:tc>
          <w:tcPr>
            <w:tcW w:w="3870" w:type="dxa"/>
            <w:shd w:val="clear" w:color="auto" w:fill="auto"/>
          </w:tcPr>
          <w:p>
            <w:pPr>
              <w:pStyle w:val="7"/>
              <w:ind w:left="105"/>
            </w:pPr>
            <w:r>
              <w:rPr>
                <w:rFonts w:hint="eastAsia"/>
              </w:rPr>
              <w:t xml:space="preserve">采矿业 </w:t>
            </w:r>
          </w:p>
        </w:tc>
        <w:tc>
          <w:tcPr>
            <w:tcW w:w="2700" w:type="dxa"/>
            <w:shd w:val="clear" w:color="auto" w:fill="auto"/>
          </w:tcPr>
          <w:p>
            <w:pPr>
              <w:pStyle w:val="7"/>
              <w:jc w:val="right"/>
            </w:pPr>
            <w:r>
              <w:rPr>
                <w:rFonts w:hint="eastAsia"/>
              </w:rPr>
              <w:t xml:space="preserve">3,322,413.00 </w:t>
            </w:r>
          </w:p>
        </w:tc>
        <w:tc>
          <w:tcPr>
            <w:tcW w:w="2535" w:type="dxa"/>
            <w:shd w:val="clear" w:color="auto" w:fill="auto"/>
          </w:tcPr>
          <w:p>
            <w:pPr>
              <w:pStyle w:val="7"/>
              <w:jc w:val="right"/>
            </w:pPr>
            <w:r>
              <w:rPr>
                <w:rFonts w:hint="eastAsia"/>
              </w:rPr>
              <w:t xml:space="preserve">0.83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C </w:t>
            </w:r>
          </w:p>
        </w:tc>
        <w:tc>
          <w:tcPr>
            <w:tcW w:w="3870" w:type="dxa"/>
            <w:shd w:val="clear" w:color="auto" w:fill="auto"/>
          </w:tcPr>
          <w:p>
            <w:pPr>
              <w:pStyle w:val="7"/>
              <w:ind w:left="105"/>
            </w:pPr>
            <w:r>
              <w:rPr>
                <w:rFonts w:hint="eastAsia"/>
              </w:rPr>
              <w:t xml:space="preserve">制造业 </w:t>
            </w:r>
          </w:p>
        </w:tc>
        <w:tc>
          <w:tcPr>
            <w:tcW w:w="2700" w:type="dxa"/>
            <w:shd w:val="clear" w:color="auto" w:fill="auto"/>
          </w:tcPr>
          <w:p>
            <w:pPr>
              <w:pStyle w:val="7"/>
              <w:jc w:val="right"/>
            </w:pPr>
            <w:r>
              <w:rPr>
                <w:rFonts w:hint="eastAsia"/>
              </w:rPr>
              <w:t xml:space="preserve">159,073,039.22 </w:t>
            </w:r>
          </w:p>
        </w:tc>
        <w:tc>
          <w:tcPr>
            <w:tcW w:w="2535" w:type="dxa"/>
            <w:shd w:val="clear" w:color="auto" w:fill="auto"/>
          </w:tcPr>
          <w:p>
            <w:pPr>
              <w:pStyle w:val="7"/>
              <w:jc w:val="right"/>
            </w:pPr>
            <w:r>
              <w:rPr>
                <w:rFonts w:hint="eastAsia"/>
              </w:rPr>
              <w:t xml:space="preserve">39.80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D </w:t>
            </w:r>
          </w:p>
        </w:tc>
        <w:tc>
          <w:tcPr>
            <w:tcW w:w="3870" w:type="dxa"/>
            <w:shd w:val="clear" w:color="auto" w:fill="auto"/>
          </w:tcPr>
          <w:p>
            <w:pPr>
              <w:pStyle w:val="7"/>
              <w:ind w:left="105"/>
            </w:pPr>
            <w:r>
              <w:rPr>
                <w:rFonts w:hint="eastAsia"/>
              </w:rPr>
              <w:t xml:space="preserve">电力、热力、燃气及水生产和供应业 </w:t>
            </w:r>
          </w:p>
        </w:tc>
        <w:tc>
          <w:tcPr>
            <w:tcW w:w="270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E </w:t>
            </w:r>
          </w:p>
        </w:tc>
        <w:tc>
          <w:tcPr>
            <w:tcW w:w="3870" w:type="dxa"/>
            <w:shd w:val="clear" w:color="auto" w:fill="auto"/>
          </w:tcPr>
          <w:p>
            <w:pPr>
              <w:pStyle w:val="7"/>
              <w:ind w:left="105"/>
            </w:pPr>
            <w:r>
              <w:rPr>
                <w:rFonts w:hint="eastAsia"/>
              </w:rPr>
              <w:t xml:space="preserve">建筑业 </w:t>
            </w:r>
          </w:p>
        </w:tc>
        <w:tc>
          <w:tcPr>
            <w:tcW w:w="270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F </w:t>
            </w:r>
          </w:p>
        </w:tc>
        <w:tc>
          <w:tcPr>
            <w:tcW w:w="3870" w:type="dxa"/>
            <w:shd w:val="clear" w:color="auto" w:fill="auto"/>
          </w:tcPr>
          <w:p>
            <w:pPr>
              <w:pStyle w:val="7"/>
              <w:ind w:left="105"/>
            </w:pPr>
            <w:r>
              <w:rPr>
                <w:rFonts w:hint="eastAsia"/>
              </w:rPr>
              <w:t xml:space="preserve">批发和零售业 </w:t>
            </w:r>
          </w:p>
        </w:tc>
        <w:tc>
          <w:tcPr>
            <w:tcW w:w="2700" w:type="dxa"/>
            <w:shd w:val="clear" w:color="auto" w:fill="auto"/>
          </w:tcPr>
          <w:p>
            <w:pPr>
              <w:pStyle w:val="7"/>
              <w:jc w:val="right"/>
            </w:pPr>
            <w:r>
              <w:rPr>
                <w:rFonts w:hint="eastAsia"/>
              </w:rPr>
              <w:t xml:space="preserve">5,735,653.90 </w:t>
            </w:r>
          </w:p>
        </w:tc>
        <w:tc>
          <w:tcPr>
            <w:tcW w:w="2535" w:type="dxa"/>
            <w:shd w:val="clear" w:color="auto" w:fill="auto"/>
          </w:tcPr>
          <w:p>
            <w:pPr>
              <w:pStyle w:val="7"/>
              <w:jc w:val="right"/>
            </w:pPr>
            <w:r>
              <w:rPr>
                <w:rFonts w:hint="eastAsia"/>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G </w:t>
            </w:r>
          </w:p>
        </w:tc>
        <w:tc>
          <w:tcPr>
            <w:tcW w:w="3870" w:type="dxa"/>
            <w:shd w:val="clear" w:color="auto" w:fill="auto"/>
          </w:tcPr>
          <w:p>
            <w:pPr>
              <w:pStyle w:val="7"/>
              <w:ind w:left="105"/>
            </w:pPr>
            <w:r>
              <w:rPr>
                <w:rFonts w:hint="eastAsia"/>
              </w:rPr>
              <w:t xml:space="preserve">交通运输、仓储和邮政业 </w:t>
            </w:r>
          </w:p>
        </w:tc>
        <w:tc>
          <w:tcPr>
            <w:tcW w:w="2700" w:type="dxa"/>
            <w:shd w:val="clear" w:color="auto" w:fill="auto"/>
          </w:tcPr>
          <w:p>
            <w:pPr>
              <w:pStyle w:val="7"/>
              <w:jc w:val="right"/>
            </w:pPr>
            <w:r>
              <w:rPr>
                <w:rFonts w:hint="eastAsia"/>
              </w:rPr>
              <w:t xml:space="preserve">7,243,077.00 </w:t>
            </w:r>
          </w:p>
        </w:tc>
        <w:tc>
          <w:tcPr>
            <w:tcW w:w="2535" w:type="dxa"/>
            <w:shd w:val="clear" w:color="auto" w:fill="auto"/>
          </w:tcPr>
          <w:p>
            <w:pPr>
              <w:pStyle w:val="7"/>
              <w:jc w:val="right"/>
            </w:pPr>
            <w:r>
              <w:rPr>
                <w:rFonts w:hint="eastAsia"/>
              </w:rPr>
              <w:t xml:space="preserve">1.81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H </w:t>
            </w:r>
          </w:p>
        </w:tc>
        <w:tc>
          <w:tcPr>
            <w:tcW w:w="3870" w:type="dxa"/>
            <w:shd w:val="clear" w:color="auto" w:fill="auto"/>
          </w:tcPr>
          <w:p>
            <w:pPr>
              <w:pStyle w:val="7"/>
              <w:ind w:left="105"/>
            </w:pPr>
            <w:r>
              <w:rPr>
                <w:rFonts w:hint="eastAsia"/>
              </w:rPr>
              <w:t xml:space="preserve">住宿和餐饮业 </w:t>
            </w:r>
          </w:p>
        </w:tc>
        <w:tc>
          <w:tcPr>
            <w:tcW w:w="2700" w:type="dxa"/>
            <w:shd w:val="clear" w:color="auto" w:fill="auto"/>
          </w:tcPr>
          <w:p>
            <w:pPr>
              <w:pStyle w:val="7"/>
              <w:jc w:val="right"/>
            </w:pPr>
            <w:r>
              <w:rPr>
                <w:rFonts w:hint="eastAsia"/>
              </w:rPr>
              <w:t xml:space="preserve">729,640.00 </w:t>
            </w:r>
          </w:p>
        </w:tc>
        <w:tc>
          <w:tcPr>
            <w:tcW w:w="2535" w:type="dxa"/>
            <w:shd w:val="clear" w:color="auto" w:fill="auto"/>
          </w:tcPr>
          <w:p>
            <w:pPr>
              <w:pStyle w:val="7"/>
              <w:jc w:val="right"/>
            </w:pPr>
            <w:r>
              <w:rPr>
                <w:rFonts w:hint="eastAsia"/>
              </w:rPr>
              <w:t xml:space="preserve">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I </w:t>
            </w:r>
          </w:p>
        </w:tc>
        <w:tc>
          <w:tcPr>
            <w:tcW w:w="3870" w:type="dxa"/>
            <w:shd w:val="clear" w:color="auto" w:fill="auto"/>
          </w:tcPr>
          <w:p>
            <w:pPr>
              <w:pStyle w:val="7"/>
              <w:ind w:left="105"/>
            </w:pPr>
            <w:r>
              <w:rPr>
                <w:rFonts w:hint="eastAsia"/>
              </w:rPr>
              <w:t xml:space="preserve">信息传输、软件和信息技术服务业 </w:t>
            </w:r>
          </w:p>
        </w:tc>
        <w:tc>
          <w:tcPr>
            <w:tcW w:w="2700" w:type="dxa"/>
            <w:shd w:val="clear" w:color="auto" w:fill="auto"/>
          </w:tcPr>
          <w:p>
            <w:pPr>
              <w:pStyle w:val="7"/>
              <w:jc w:val="right"/>
            </w:pPr>
            <w:r>
              <w:rPr>
                <w:rFonts w:hint="eastAsia"/>
              </w:rPr>
              <w:t xml:space="preserve">2,415,023.67 </w:t>
            </w:r>
          </w:p>
        </w:tc>
        <w:tc>
          <w:tcPr>
            <w:tcW w:w="2535" w:type="dxa"/>
            <w:shd w:val="clear" w:color="auto" w:fill="auto"/>
          </w:tcPr>
          <w:p>
            <w:pPr>
              <w:pStyle w:val="7"/>
              <w:jc w:val="right"/>
            </w:pPr>
            <w:r>
              <w:rPr>
                <w:rFonts w:hint="eastAsia"/>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J </w:t>
            </w:r>
          </w:p>
        </w:tc>
        <w:tc>
          <w:tcPr>
            <w:tcW w:w="3870" w:type="dxa"/>
            <w:shd w:val="clear" w:color="auto" w:fill="auto"/>
          </w:tcPr>
          <w:p>
            <w:pPr>
              <w:pStyle w:val="7"/>
              <w:ind w:left="105"/>
            </w:pPr>
            <w:r>
              <w:rPr>
                <w:rFonts w:hint="eastAsia"/>
              </w:rPr>
              <w:t xml:space="preserve">金融业 </w:t>
            </w:r>
          </w:p>
        </w:tc>
        <w:tc>
          <w:tcPr>
            <w:tcW w:w="2700" w:type="dxa"/>
            <w:shd w:val="clear" w:color="auto" w:fill="auto"/>
          </w:tcPr>
          <w:p>
            <w:pPr>
              <w:pStyle w:val="7"/>
              <w:jc w:val="right"/>
            </w:pPr>
            <w:r>
              <w:rPr>
                <w:rFonts w:hint="eastAsia"/>
              </w:rPr>
              <w:t xml:space="preserve">38,138,779.55 </w:t>
            </w:r>
          </w:p>
        </w:tc>
        <w:tc>
          <w:tcPr>
            <w:tcW w:w="2535" w:type="dxa"/>
            <w:shd w:val="clear" w:color="auto" w:fill="auto"/>
          </w:tcPr>
          <w:p>
            <w:pPr>
              <w:pStyle w:val="7"/>
              <w:jc w:val="right"/>
            </w:pPr>
            <w:r>
              <w:rPr>
                <w:rFonts w:hint="eastAsia"/>
              </w:rPr>
              <w:t xml:space="preserve">9.54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K </w:t>
            </w:r>
          </w:p>
        </w:tc>
        <w:tc>
          <w:tcPr>
            <w:tcW w:w="3870" w:type="dxa"/>
            <w:shd w:val="clear" w:color="auto" w:fill="auto"/>
          </w:tcPr>
          <w:p>
            <w:pPr>
              <w:pStyle w:val="7"/>
              <w:ind w:left="105"/>
            </w:pPr>
            <w:r>
              <w:rPr>
                <w:rFonts w:hint="eastAsia"/>
              </w:rPr>
              <w:t xml:space="preserve">房地产业 </w:t>
            </w:r>
          </w:p>
        </w:tc>
        <w:tc>
          <w:tcPr>
            <w:tcW w:w="270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L </w:t>
            </w:r>
          </w:p>
        </w:tc>
        <w:tc>
          <w:tcPr>
            <w:tcW w:w="3870" w:type="dxa"/>
            <w:shd w:val="clear" w:color="auto" w:fill="auto"/>
          </w:tcPr>
          <w:p>
            <w:pPr>
              <w:pStyle w:val="7"/>
              <w:ind w:left="105"/>
            </w:pPr>
            <w:r>
              <w:rPr>
                <w:rFonts w:hint="eastAsia"/>
              </w:rPr>
              <w:t xml:space="preserve">租赁和商务服务业 </w:t>
            </w:r>
          </w:p>
        </w:tc>
        <w:tc>
          <w:tcPr>
            <w:tcW w:w="2700" w:type="dxa"/>
            <w:shd w:val="clear" w:color="auto" w:fill="auto"/>
          </w:tcPr>
          <w:p>
            <w:pPr>
              <w:pStyle w:val="7"/>
              <w:jc w:val="right"/>
            </w:pPr>
            <w:r>
              <w:rPr>
                <w:rFonts w:hint="eastAsia"/>
              </w:rPr>
              <w:t xml:space="preserve">5,135,590.22 </w:t>
            </w:r>
          </w:p>
        </w:tc>
        <w:tc>
          <w:tcPr>
            <w:tcW w:w="2535" w:type="dxa"/>
            <w:shd w:val="clear" w:color="auto" w:fill="auto"/>
          </w:tcPr>
          <w:p>
            <w:pPr>
              <w:pStyle w:val="7"/>
              <w:jc w:val="right"/>
            </w:pPr>
            <w:r>
              <w:rPr>
                <w:rFonts w:hint="eastAsia"/>
              </w:rPr>
              <w:t xml:space="preserve">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M </w:t>
            </w:r>
          </w:p>
        </w:tc>
        <w:tc>
          <w:tcPr>
            <w:tcW w:w="3870" w:type="dxa"/>
            <w:shd w:val="clear" w:color="auto" w:fill="auto"/>
          </w:tcPr>
          <w:p>
            <w:pPr>
              <w:pStyle w:val="7"/>
              <w:ind w:left="105"/>
            </w:pPr>
            <w:r>
              <w:rPr>
                <w:rFonts w:hint="eastAsia"/>
              </w:rPr>
              <w:t xml:space="preserve">科学研究和技术服务业 </w:t>
            </w:r>
          </w:p>
        </w:tc>
        <w:tc>
          <w:tcPr>
            <w:tcW w:w="2700" w:type="dxa"/>
            <w:shd w:val="clear" w:color="auto" w:fill="auto"/>
          </w:tcPr>
          <w:p>
            <w:pPr>
              <w:pStyle w:val="7"/>
              <w:jc w:val="right"/>
            </w:pPr>
            <w:r>
              <w:rPr>
                <w:rFonts w:hint="eastAsia"/>
              </w:rPr>
              <w:t xml:space="preserve">1,827,411.82 </w:t>
            </w:r>
          </w:p>
        </w:tc>
        <w:tc>
          <w:tcPr>
            <w:tcW w:w="2535" w:type="dxa"/>
            <w:shd w:val="clear" w:color="auto" w:fill="auto"/>
          </w:tcPr>
          <w:p>
            <w:pPr>
              <w:pStyle w:val="7"/>
              <w:jc w:val="right"/>
            </w:pPr>
            <w:r>
              <w:rPr>
                <w:rFonts w:hint="eastAsia"/>
              </w:rPr>
              <w:t xml:space="preserve">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N </w:t>
            </w:r>
          </w:p>
        </w:tc>
        <w:tc>
          <w:tcPr>
            <w:tcW w:w="3870" w:type="dxa"/>
            <w:shd w:val="clear" w:color="auto" w:fill="auto"/>
          </w:tcPr>
          <w:p>
            <w:pPr>
              <w:pStyle w:val="7"/>
              <w:ind w:left="105"/>
            </w:pPr>
            <w:r>
              <w:rPr>
                <w:rFonts w:hint="eastAsia"/>
              </w:rPr>
              <w:t xml:space="preserve">水利、环境和公共设施管理业 </w:t>
            </w:r>
          </w:p>
        </w:tc>
        <w:tc>
          <w:tcPr>
            <w:tcW w:w="2700" w:type="dxa"/>
            <w:shd w:val="clear" w:color="auto" w:fill="auto"/>
          </w:tcPr>
          <w:p>
            <w:pPr>
              <w:pStyle w:val="7"/>
              <w:jc w:val="right"/>
            </w:pPr>
            <w:r>
              <w:rPr>
                <w:rFonts w:hint="eastAsia"/>
              </w:rPr>
              <w:t xml:space="preserve">24,378.42 </w:t>
            </w:r>
          </w:p>
        </w:tc>
        <w:tc>
          <w:tcPr>
            <w:tcW w:w="2535" w:type="dxa"/>
            <w:shd w:val="clear" w:color="auto" w:fill="auto"/>
          </w:tcPr>
          <w:p>
            <w:pPr>
              <w:pStyle w:val="7"/>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O </w:t>
            </w:r>
          </w:p>
        </w:tc>
        <w:tc>
          <w:tcPr>
            <w:tcW w:w="3870" w:type="dxa"/>
            <w:shd w:val="clear" w:color="auto" w:fill="auto"/>
          </w:tcPr>
          <w:p>
            <w:pPr>
              <w:pStyle w:val="7"/>
              <w:ind w:left="105"/>
            </w:pPr>
            <w:r>
              <w:rPr>
                <w:rFonts w:hint="eastAsia"/>
              </w:rPr>
              <w:t xml:space="preserve">居民服务、修理和其他服务业 </w:t>
            </w:r>
          </w:p>
        </w:tc>
        <w:tc>
          <w:tcPr>
            <w:tcW w:w="270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P </w:t>
            </w:r>
          </w:p>
        </w:tc>
        <w:tc>
          <w:tcPr>
            <w:tcW w:w="3870" w:type="dxa"/>
            <w:shd w:val="clear" w:color="auto" w:fill="auto"/>
          </w:tcPr>
          <w:p>
            <w:pPr>
              <w:pStyle w:val="7"/>
              <w:ind w:left="105"/>
            </w:pPr>
            <w:r>
              <w:rPr>
                <w:rFonts w:hint="eastAsia"/>
              </w:rPr>
              <w:t xml:space="preserve">教育 </w:t>
            </w:r>
          </w:p>
        </w:tc>
        <w:tc>
          <w:tcPr>
            <w:tcW w:w="270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Q </w:t>
            </w:r>
          </w:p>
        </w:tc>
        <w:tc>
          <w:tcPr>
            <w:tcW w:w="3870" w:type="dxa"/>
            <w:shd w:val="clear" w:color="auto" w:fill="auto"/>
          </w:tcPr>
          <w:p>
            <w:pPr>
              <w:pStyle w:val="7"/>
              <w:ind w:left="105"/>
            </w:pPr>
            <w:r>
              <w:rPr>
                <w:rFonts w:hint="eastAsia"/>
              </w:rPr>
              <w:t xml:space="preserve">卫生和社会工作 </w:t>
            </w:r>
          </w:p>
        </w:tc>
        <w:tc>
          <w:tcPr>
            <w:tcW w:w="270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R </w:t>
            </w:r>
          </w:p>
        </w:tc>
        <w:tc>
          <w:tcPr>
            <w:tcW w:w="3870" w:type="dxa"/>
            <w:shd w:val="clear" w:color="auto" w:fill="auto"/>
          </w:tcPr>
          <w:p>
            <w:pPr>
              <w:pStyle w:val="7"/>
              <w:ind w:left="105"/>
            </w:pPr>
            <w:r>
              <w:rPr>
                <w:rFonts w:hint="eastAsia"/>
              </w:rPr>
              <w:t xml:space="preserve">文化、体育和娱乐业 </w:t>
            </w:r>
          </w:p>
        </w:tc>
        <w:tc>
          <w:tcPr>
            <w:tcW w:w="2700" w:type="dxa"/>
            <w:shd w:val="clear" w:color="auto" w:fill="auto"/>
          </w:tcPr>
          <w:p>
            <w:pPr>
              <w:pStyle w:val="7"/>
              <w:jc w:val="right"/>
            </w:pPr>
            <w:r>
              <w:rPr>
                <w:rFonts w:hint="eastAsia"/>
              </w:rPr>
              <w:t xml:space="preserve">4,319,490.00 </w:t>
            </w:r>
          </w:p>
        </w:tc>
        <w:tc>
          <w:tcPr>
            <w:tcW w:w="2535" w:type="dxa"/>
            <w:shd w:val="clear" w:color="auto" w:fill="auto"/>
          </w:tcPr>
          <w:p>
            <w:pPr>
              <w:pStyle w:val="7"/>
              <w:jc w:val="right"/>
            </w:pPr>
            <w:r>
              <w:rPr>
                <w:rFonts w:hint="eastAsia"/>
              </w:rPr>
              <w:t xml:space="preserve">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S </w:t>
            </w:r>
          </w:p>
        </w:tc>
        <w:tc>
          <w:tcPr>
            <w:tcW w:w="3870" w:type="dxa"/>
            <w:shd w:val="clear" w:color="auto" w:fill="auto"/>
          </w:tcPr>
          <w:p>
            <w:pPr>
              <w:pStyle w:val="7"/>
              <w:ind w:left="105"/>
            </w:pPr>
            <w:r>
              <w:rPr>
                <w:rFonts w:hint="eastAsia"/>
              </w:rPr>
              <w:t xml:space="preserve">综合 </w:t>
            </w:r>
          </w:p>
        </w:tc>
        <w:tc>
          <w:tcPr>
            <w:tcW w:w="270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rPr>
                <w:rFonts w:ascii="宋体" w:hAnsi="宋体" w:eastAsia="宋体" w:cs="宋体"/>
                <w:sz w:val="24"/>
                <w:szCs w:val="24"/>
              </w:rPr>
            </w:pPr>
          </w:p>
        </w:tc>
        <w:tc>
          <w:tcPr>
            <w:tcW w:w="3870" w:type="dxa"/>
            <w:shd w:val="clear" w:color="auto" w:fill="auto"/>
          </w:tcPr>
          <w:p>
            <w:pPr>
              <w:pStyle w:val="7"/>
              <w:ind w:left="105"/>
            </w:pPr>
            <w:r>
              <w:rPr>
                <w:rFonts w:hint="eastAsia"/>
              </w:rPr>
              <w:t xml:space="preserve">合计 </w:t>
            </w:r>
          </w:p>
        </w:tc>
        <w:tc>
          <w:tcPr>
            <w:tcW w:w="2700" w:type="dxa"/>
            <w:shd w:val="clear" w:color="auto" w:fill="auto"/>
          </w:tcPr>
          <w:p>
            <w:pPr>
              <w:pStyle w:val="7"/>
              <w:jc w:val="right"/>
            </w:pPr>
            <w:r>
              <w:rPr>
                <w:rFonts w:hint="eastAsia"/>
              </w:rPr>
              <w:t xml:space="preserve">229,904,074.80 </w:t>
            </w:r>
          </w:p>
        </w:tc>
        <w:tc>
          <w:tcPr>
            <w:tcW w:w="2535" w:type="dxa"/>
            <w:shd w:val="clear" w:color="auto" w:fill="auto"/>
          </w:tcPr>
          <w:p>
            <w:pPr>
              <w:pStyle w:val="7"/>
              <w:jc w:val="right"/>
            </w:pPr>
            <w:r>
              <w:rPr>
                <w:rFonts w:hint="eastAsia"/>
              </w:rPr>
              <w:t xml:space="preserve">57.53 </w:t>
            </w:r>
          </w:p>
        </w:tc>
      </w:tr>
    </w:tbl>
    <w:p>
      <w:pPr>
        <w:pStyle w:val="7"/>
        <w:spacing w:before="0" w:beforeAutospacing="0" w:after="0" w:afterAutospacing="0" w:line="360" w:lineRule="auto"/>
        <w:ind w:firstLine="420"/>
        <w:rPr>
          <w:sz w:val="21"/>
          <w:szCs w:val="21"/>
        </w:rPr>
      </w:pPr>
      <w:r>
        <w:rPr>
          <w:rFonts w:hint="eastAsia"/>
          <w:b/>
          <w:bCs/>
          <w:sz w:val="21"/>
          <w:szCs w:val="21"/>
        </w:rPr>
        <w:t>3报告期末按公允价值占基金资产净值比例大小排序的前十名股票投资明细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242"/>
        <w:gridCol w:w="1114"/>
        <w:gridCol w:w="1569"/>
        <w:gridCol w:w="1875"/>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序号 </w:t>
            </w:r>
          </w:p>
        </w:tc>
        <w:tc>
          <w:tcPr>
            <w:tcW w:w="1380" w:type="dxa"/>
            <w:shd w:val="clear" w:color="auto" w:fill="auto"/>
          </w:tcPr>
          <w:p>
            <w:pPr>
              <w:pStyle w:val="7"/>
              <w:jc w:val="center"/>
            </w:pPr>
            <w:r>
              <w:rPr>
                <w:rFonts w:hint="eastAsia"/>
              </w:rPr>
              <w:t xml:space="preserve">股票代码 </w:t>
            </w:r>
          </w:p>
        </w:tc>
        <w:tc>
          <w:tcPr>
            <w:tcW w:w="1410" w:type="dxa"/>
            <w:shd w:val="clear" w:color="auto" w:fill="auto"/>
          </w:tcPr>
          <w:p>
            <w:pPr>
              <w:pStyle w:val="7"/>
              <w:jc w:val="center"/>
            </w:pPr>
            <w:r>
              <w:rPr>
                <w:rFonts w:hint="eastAsia"/>
              </w:rPr>
              <w:t xml:space="preserve">股票名称 </w:t>
            </w:r>
          </w:p>
        </w:tc>
        <w:tc>
          <w:tcPr>
            <w:tcW w:w="1800" w:type="dxa"/>
            <w:shd w:val="clear" w:color="auto" w:fill="auto"/>
          </w:tcPr>
          <w:p>
            <w:pPr>
              <w:pStyle w:val="7"/>
              <w:jc w:val="center"/>
            </w:pPr>
            <w:r>
              <w:rPr>
                <w:rFonts w:hint="eastAsia"/>
              </w:rPr>
              <w:t xml:space="preserve">数量(股) </w:t>
            </w:r>
          </w:p>
        </w:tc>
        <w:tc>
          <w:tcPr>
            <w:tcW w:w="1920" w:type="dxa"/>
            <w:shd w:val="clear" w:color="auto" w:fill="auto"/>
          </w:tcPr>
          <w:p>
            <w:pPr>
              <w:pStyle w:val="7"/>
              <w:jc w:val="center"/>
            </w:pPr>
            <w:r>
              <w:rPr>
                <w:rFonts w:hint="eastAsia"/>
              </w:rPr>
              <w:t xml:space="preserve">公允价值(元) </w:t>
            </w:r>
          </w:p>
        </w:tc>
        <w:tc>
          <w:tcPr>
            <w:tcW w:w="265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1 </w:t>
            </w:r>
          </w:p>
        </w:tc>
        <w:tc>
          <w:tcPr>
            <w:tcW w:w="1380" w:type="dxa"/>
            <w:shd w:val="clear" w:color="auto" w:fill="auto"/>
          </w:tcPr>
          <w:p>
            <w:pPr>
              <w:pStyle w:val="7"/>
              <w:jc w:val="center"/>
            </w:pPr>
            <w:r>
              <w:rPr>
                <w:rFonts w:hint="eastAsia"/>
              </w:rPr>
              <w:t xml:space="preserve">600519 </w:t>
            </w:r>
          </w:p>
        </w:tc>
        <w:tc>
          <w:tcPr>
            <w:tcW w:w="1410" w:type="dxa"/>
            <w:shd w:val="clear" w:color="auto" w:fill="auto"/>
          </w:tcPr>
          <w:p>
            <w:pPr>
              <w:pStyle w:val="7"/>
              <w:jc w:val="center"/>
            </w:pPr>
            <w:r>
              <w:rPr>
                <w:rFonts w:hint="eastAsia"/>
              </w:rPr>
              <w:t xml:space="preserve">贵州茅台 </w:t>
            </w:r>
          </w:p>
        </w:tc>
        <w:tc>
          <w:tcPr>
            <w:tcW w:w="1800" w:type="dxa"/>
            <w:shd w:val="clear" w:color="auto" w:fill="auto"/>
          </w:tcPr>
          <w:p>
            <w:pPr>
              <w:pStyle w:val="7"/>
              <w:jc w:val="right"/>
            </w:pPr>
            <w:r>
              <w:rPr>
                <w:rFonts w:hint="eastAsia"/>
              </w:rPr>
              <w:t xml:space="preserve">8,100 </w:t>
            </w:r>
          </w:p>
        </w:tc>
        <w:tc>
          <w:tcPr>
            <w:tcW w:w="1920" w:type="dxa"/>
            <w:shd w:val="clear" w:color="auto" w:fill="auto"/>
          </w:tcPr>
          <w:p>
            <w:pPr>
              <w:pStyle w:val="7"/>
              <w:jc w:val="right"/>
            </w:pPr>
            <w:r>
              <w:rPr>
                <w:rFonts w:hint="eastAsia"/>
              </w:rPr>
              <w:t xml:space="preserve">16,564,500.00 </w:t>
            </w:r>
          </w:p>
        </w:tc>
        <w:tc>
          <w:tcPr>
            <w:tcW w:w="2655" w:type="dxa"/>
            <w:shd w:val="clear" w:color="auto" w:fill="auto"/>
          </w:tcPr>
          <w:p>
            <w:pPr>
              <w:pStyle w:val="7"/>
              <w:jc w:val="right"/>
            </w:pPr>
            <w:r>
              <w:rPr>
                <w:rFonts w:hint="eastAsia"/>
              </w:rPr>
              <w:t xml:space="preserve">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2 </w:t>
            </w:r>
          </w:p>
        </w:tc>
        <w:tc>
          <w:tcPr>
            <w:tcW w:w="1380" w:type="dxa"/>
            <w:shd w:val="clear" w:color="auto" w:fill="auto"/>
          </w:tcPr>
          <w:p>
            <w:pPr>
              <w:pStyle w:val="7"/>
              <w:jc w:val="center"/>
            </w:pPr>
            <w:r>
              <w:rPr>
                <w:rFonts w:hint="eastAsia"/>
              </w:rPr>
              <w:t xml:space="preserve">601012 </w:t>
            </w:r>
          </w:p>
        </w:tc>
        <w:tc>
          <w:tcPr>
            <w:tcW w:w="1410" w:type="dxa"/>
            <w:shd w:val="clear" w:color="auto" w:fill="auto"/>
          </w:tcPr>
          <w:p>
            <w:pPr>
              <w:pStyle w:val="7"/>
              <w:jc w:val="center"/>
            </w:pPr>
            <w:r>
              <w:rPr>
                <w:rFonts w:hint="eastAsia"/>
              </w:rPr>
              <w:t xml:space="preserve">隆基绿能 </w:t>
            </w:r>
          </w:p>
        </w:tc>
        <w:tc>
          <w:tcPr>
            <w:tcW w:w="1800" w:type="dxa"/>
            <w:shd w:val="clear" w:color="auto" w:fill="auto"/>
          </w:tcPr>
          <w:p>
            <w:pPr>
              <w:pStyle w:val="7"/>
              <w:jc w:val="right"/>
            </w:pPr>
            <w:r>
              <w:rPr>
                <w:rFonts w:hint="eastAsia"/>
              </w:rPr>
              <w:t xml:space="preserve">190,300 </w:t>
            </w:r>
          </w:p>
        </w:tc>
        <w:tc>
          <w:tcPr>
            <w:tcW w:w="1920" w:type="dxa"/>
            <w:shd w:val="clear" w:color="auto" w:fill="auto"/>
          </w:tcPr>
          <w:p>
            <w:pPr>
              <w:pStyle w:val="7"/>
              <w:jc w:val="right"/>
            </w:pPr>
            <w:r>
              <w:rPr>
                <w:rFonts w:hint="eastAsia"/>
              </w:rPr>
              <w:t xml:space="preserve">12,679,689.00 </w:t>
            </w:r>
          </w:p>
        </w:tc>
        <w:tc>
          <w:tcPr>
            <w:tcW w:w="2655" w:type="dxa"/>
            <w:shd w:val="clear" w:color="auto" w:fill="auto"/>
          </w:tcPr>
          <w:p>
            <w:pPr>
              <w:pStyle w:val="7"/>
              <w:jc w:val="right"/>
            </w:pPr>
            <w:r>
              <w:rPr>
                <w:rFonts w:hint="eastAsia"/>
              </w:rPr>
              <w:t xml:space="preserve">3.17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3 </w:t>
            </w:r>
          </w:p>
        </w:tc>
        <w:tc>
          <w:tcPr>
            <w:tcW w:w="1380" w:type="dxa"/>
            <w:shd w:val="clear" w:color="auto" w:fill="auto"/>
          </w:tcPr>
          <w:p>
            <w:pPr>
              <w:pStyle w:val="7"/>
              <w:jc w:val="center"/>
            </w:pPr>
            <w:r>
              <w:rPr>
                <w:rFonts w:hint="eastAsia"/>
              </w:rPr>
              <w:t xml:space="preserve">605358 </w:t>
            </w:r>
          </w:p>
        </w:tc>
        <w:tc>
          <w:tcPr>
            <w:tcW w:w="1410" w:type="dxa"/>
            <w:shd w:val="clear" w:color="auto" w:fill="auto"/>
          </w:tcPr>
          <w:p>
            <w:pPr>
              <w:pStyle w:val="7"/>
              <w:jc w:val="center"/>
            </w:pPr>
            <w:r>
              <w:rPr>
                <w:rFonts w:hint="eastAsia"/>
              </w:rPr>
              <w:t xml:space="preserve">立昂微 </w:t>
            </w:r>
          </w:p>
        </w:tc>
        <w:tc>
          <w:tcPr>
            <w:tcW w:w="1800" w:type="dxa"/>
            <w:shd w:val="clear" w:color="auto" w:fill="auto"/>
          </w:tcPr>
          <w:p>
            <w:pPr>
              <w:pStyle w:val="7"/>
              <w:jc w:val="right"/>
            </w:pPr>
            <w:r>
              <w:rPr>
                <w:rFonts w:hint="eastAsia"/>
              </w:rPr>
              <w:t xml:space="preserve">161,376 </w:t>
            </w:r>
          </w:p>
        </w:tc>
        <w:tc>
          <w:tcPr>
            <w:tcW w:w="1920" w:type="dxa"/>
            <w:shd w:val="clear" w:color="auto" w:fill="auto"/>
          </w:tcPr>
          <w:p>
            <w:pPr>
              <w:pStyle w:val="7"/>
              <w:jc w:val="right"/>
            </w:pPr>
            <w:r>
              <w:rPr>
                <w:rFonts w:hint="eastAsia"/>
              </w:rPr>
              <w:t xml:space="preserve">10,873,514.88 </w:t>
            </w:r>
          </w:p>
        </w:tc>
        <w:tc>
          <w:tcPr>
            <w:tcW w:w="2655" w:type="dxa"/>
            <w:shd w:val="clear" w:color="auto" w:fill="auto"/>
          </w:tcPr>
          <w:p>
            <w:pPr>
              <w:pStyle w:val="7"/>
              <w:jc w:val="right"/>
            </w:pPr>
            <w:r>
              <w:rPr>
                <w:rFonts w:hint="eastAsia"/>
              </w:rPr>
              <w:t xml:space="preserve">2.72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4 </w:t>
            </w:r>
          </w:p>
        </w:tc>
        <w:tc>
          <w:tcPr>
            <w:tcW w:w="1380" w:type="dxa"/>
            <w:shd w:val="clear" w:color="auto" w:fill="auto"/>
          </w:tcPr>
          <w:p>
            <w:pPr>
              <w:pStyle w:val="7"/>
              <w:jc w:val="center"/>
            </w:pPr>
            <w:r>
              <w:rPr>
                <w:rFonts w:hint="eastAsia"/>
              </w:rPr>
              <w:t xml:space="preserve">600036 </w:t>
            </w:r>
          </w:p>
        </w:tc>
        <w:tc>
          <w:tcPr>
            <w:tcW w:w="1410" w:type="dxa"/>
            <w:shd w:val="clear" w:color="auto" w:fill="auto"/>
          </w:tcPr>
          <w:p>
            <w:pPr>
              <w:pStyle w:val="7"/>
              <w:jc w:val="center"/>
            </w:pPr>
            <w:r>
              <w:rPr>
                <w:rFonts w:hint="eastAsia"/>
              </w:rPr>
              <w:t xml:space="preserve">招商银行 </w:t>
            </w:r>
          </w:p>
        </w:tc>
        <w:tc>
          <w:tcPr>
            <w:tcW w:w="1800" w:type="dxa"/>
            <w:shd w:val="clear" w:color="auto" w:fill="auto"/>
          </w:tcPr>
          <w:p>
            <w:pPr>
              <w:pStyle w:val="7"/>
              <w:jc w:val="right"/>
            </w:pPr>
            <w:r>
              <w:rPr>
                <w:rFonts w:hint="eastAsia"/>
              </w:rPr>
              <w:t xml:space="preserve">246,127 </w:t>
            </w:r>
          </w:p>
        </w:tc>
        <w:tc>
          <w:tcPr>
            <w:tcW w:w="1920" w:type="dxa"/>
            <w:shd w:val="clear" w:color="auto" w:fill="auto"/>
          </w:tcPr>
          <w:p>
            <w:pPr>
              <w:pStyle w:val="7"/>
              <w:jc w:val="right"/>
            </w:pPr>
            <w:r>
              <w:rPr>
                <w:rFonts w:hint="eastAsia"/>
              </w:rPr>
              <w:t xml:space="preserve">10,386,559.40 </w:t>
            </w:r>
          </w:p>
        </w:tc>
        <w:tc>
          <w:tcPr>
            <w:tcW w:w="2655" w:type="dxa"/>
            <w:shd w:val="clear" w:color="auto" w:fill="auto"/>
          </w:tcPr>
          <w:p>
            <w:pPr>
              <w:pStyle w:val="7"/>
              <w:jc w:val="right"/>
            </w:pPr>
            <w:r>
              <w:rPr>
                <w:rFonts w:hint="eastAsia"/>
              </w:rPr>
              <w:t xml:space="preserve">2.60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5 </w:t>
            </w:r>
          </w:p>
        </w:tc>
        <w:tc>
          <w:tcPr>
            <w:tcW w:w="1380" w:type="dxa"/>
            <w:shd w:val="clear" w:color="auto" w:fill="auto"/>
          </w:tcPr>
          <w:p>
            <w:pPr>
              <w:pStyle w:val="7"/>
              <w:jc w:val="center"/>
            </w:pPr>
            <w:r>
              <w:rPr>
                <w:rFonts w:hint="eastAsia"/>
              </w:rPr>
              <w:t xml:space="preserve">002271 </w:t>
            </w:r>
          </w:p>
        </w:tc>
        <w:tc>
          <w:tcPr>
            <w:tcW w:w="1410" w:type="dxa"/>
            <w:shd w:val="clear" w:color="auto" w:fill="auto"/>
          </w:tcPr>
          <w:p>
            <w:pPr>
              <w:pStyle w:val="7"/>
              <w:jc w:val="center"/>
            </w:pPr>
            <w:r>
              <w:rPr>
                <w:rFonts w:hint="eastAsia"/>
              </w:rPr>
              <w:t xml:space="preserve">东方雨虹 </w:t>
            </w:r>
          </w:p>
        </w:tc>
        <w:tc>
          <w:tcPr>
            <w:tcW w:w="1800" w:type="dxa"/>
            <w:shd w:val="clear" w:color="auto" w:fill="auto"/>
          </w:tcPr>
          <w:p>
            <w:pPr>
              <w:pStyle w:val="7"/>
              <w:jc w:val="right"/>
            </w:pPr>
            <w:r>
              <w:rPr>
                <w:rFonts w:hint="eastAsia"/>
              </w:rPr>
              <w:t xml:space="preserve">201,200 </w:t>
            </w:r>
          </w:p>
        </w:tc>
        <w:tc>
          <w:tcPr>
            <w:tcW w:w="1920" w:type="dxa"/>
            <w:shd w:val="clear" w:color="auto" w:fill="auto"/>
          </w:tcPr>
          <w:p>
            <w:pPr>
              <w:pStyle w:val="7"/>
              <w:jc w:val="right"/>
            </w:pPr>
            <w:r>
              <w:rPr>
                <w:rFonts w:hint="eastAsia"/>
              </w:rPr>
              <w:t xml:space="preserve">10,355,764.00 </w:t>
            </w:r>
          </w:p>
        </w:tc>
        <w:tc>
          <w:tcPr>
            <w:tcW w:w="2655" w:type="dxa"/>
            <w:shd w:val="clear" w:color="auto" w:fill="auto"/>
          </w:tcPr>
          <w:p>
            <w:pPr>
              <w:pStyle w:val="7"/>
              <w:jc w:val="right"/>
            </w:pPr>
            <w:r>
              <w:rPr>
                <w:rFonts w:hint="eastAsia"/>
              </w:rPr>
              <w:t xml:space="preserve">2.59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6 </w:t>
            </w:r>
          </w:p>
        </w:tc>
        <w:tc>
          <w:tcPr>
            <w:tcW w:w="1380" w:type="dxa"/>
            <w:shd w:val="clear" w:color="auto" w:fill="auto"/>
          </w:tcPr>
          <w:p>
            <w:pPr>
              <w:pStyle w:val="7"/>
              <w:jc w:val="center"/>
            </w:pPr>
            <w:r>
              <w:rPr>
                <w:rFonts w:hint="eastAsia"/>
              </w:rPr>
              <w:t xml:space="preserve">601636 </w:t>
            </w:r>
          </w:p>
        </w:tc>
        <w:tc>
          <w:tcPr>
            <w:tcW w:w="1410" w:type="dxa"/>
            <w:shd w:val="clear" w:color="auto" w:fill="auto"/>
          </w:tcPr>
          <w:p>
            <w:pPr>
              <w:pStyle w:val="7"/>
              <w:jc w:val="center"/>
            </w:pPr>
            <w:r>
              <w:rPr>
                <w:rFonts w:hint="eastAsia"/>
              </w:rPr>
              <w:t xml:space="preserve">旗滨集团 </w:t>
            </w:r>
          </w:p>
        </w:tc>
        <w:tc>
          <w:tcPr>
            <w:tcW w:w="1800" w:type="dxa"/>
            <w:shd w:val="clear" w:color="auto" w:fill="auto"/>
          </w:tcPr>
          <w:p>
            <w:pPr>
              <w:pStyle w:val="7"/>
              <w:jc w:val="right"/>
            </w:pPr>
            <w:r>
              <w:rPr>
                <w:rFonts w:hint="eastAsia"/>
              </w:rPr>
              <w:t xml:space="preserve">652,700 </w:t>
            </w:r>
          </w:p>
        </w:tc>
        <w:tc>
          <w:tcPr>
            <w:tcW w:w="1920" w:type="dxa"/>
            <w:shd w:val="clear" w:color="auto" w:fill="auto"/>
          </w:tcPr>
          <w:p>
            <w:pPr>
              <w:pStyle w:val="7"/>
              <w:jc w:val="right"/>
            </w:pPr>
            <w:r>
              <w:rPr>
                <w:rFonts w:hint="eastAsia"/>
              </w:rPr>
              <w:t xml:space="preserve">8,321,925.00 </w:t>
            </w:r>
          </w:p>
        </w:tc>
        <w:tc>
          <w:tcPr>
            <w:tcW w:w="2655" w:type="dxa"/>
            <w:shd w:val="clear" w:color="auto" w:fill="auto"/>
          </w:tcPr>
          <w:p>
            <w:pPr>
              <w:pStyle w:val="7"/>
              <w:jc w:val="right"/>
            </w:pPr>
            <w:r>
              <w:rPr>
                <w:rFonts w:hint="eastAsia"/>
              </w:rPr>
              <w:t xml:space="preserve">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7 </w:t>
            </w:r>
          </w:p>
        </w:tc>
        <w:tc>
          <w:tcPr>
            <w:tcW w:w="1380" w:type="dxa"/>
            <w:shd w:val="clear" w:color="auto" w:fill="auto"/>
          </w:tcPr>
          <w:p>
            <w:pPr>
              <w:pStyle w:val="7"/>
              <w:jc w:val="center"/>
            </w:pPr>
            <w:r>
              <w:rPr>
                <w:rFonts w:hint="eastAsia"/>
              </w:rPr>
              <w:t xml:space="preserve">300033 </w:t>
            </w:r>
          </w:p>
        </w:tc>
        <w:tc>
          <w:tcPr>
            <w:tcW w:w="1410" w:type="dxa"/>
            <w:shd w:val="clear" w:color="auto" w:fill="auto"/>
          </w:tcPr>
          <w:p>
            <w:pPr>
              <w:pStyle w:val="7"/>
              <w:jc w:val="center"/>
            </w:pPr>
            <w:r>
              <w:rPr>
                <w:rFonts w:hint="eastAsia"/>
              </w:rPr>
              <w:t xml:space="preserve">同花顺 </w:t>
            </w:r>
          </w:p>
        </w:tc>
        <w:tc>
          <w:tcPr>
            <w:tcW w:w="1800" w:type="dxa"/>
            <w:shd w:val="clear" w:color="auto" w:fill="auto"/>
          </w:tcPr>
          <w:p>
            <w:pPr>
              <w:pStyle w:val="7"/>
              <w:jc w:val="right"/>
            </w:pPr>
            <w:r>
              <w:rPr>
                <w:rFonts w:hint="eastAsia"/>
              </w:rPr>
              <w:t xml:space="preserve">86,301 </w:t>
            </w:r>
          </w:p>
        </w:tc>
        <w:tc>
          <w:tcPr>
            <w:tcW w:w="1920" w:type="dxa"/>
            <w:shd w:val="clear" w:color="auto" w:fill="auto"/>
          </w:tcPr>
          <w:p>
            <w:pPr>
              <w:pStyle w:val="7"/>
              <w:jc w:val="right"/>
            </w:pPr>
            <w:r>
              <w:rPr>
                <w:rFonts w:hint="eastAsia"/>
              </w:rPr>
              <w:t xml:space="preserve">8,297,841.15 </w:t>
            </w:r>
          </w:p>
        </w:tc>
        <w:tc>
          <w:tcPr>
            <w:tcW w:w="2655" w:type="dxa"/>
            <w:shd w:val="clear" w:color="auto" w:fill="auto"/>
          </w:tcPr>
          <w:p>
            <w:pPr>
              <w:pStyle w:val="7"/>
              <w:jc w:val="right"/>
            </w:pPr>
            <w:r>
              <w:rPr>
                <w:rFonts w:hint="eastAsia"/>
              </w:rPr>
              <w:t xml:space="preserve">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8 </w:t>
            </w:r>
          </w:p>
        </w:tc>
        <w:tc>
          <w:tcPr>
            <w:tcW w:w="1380" w:type="dxa"/>
            <w:shd w:val="clear" w:color="auto" w:fill="auto"/>
          </w:tcPr>
          <w:p>
            <w:pPr>
              <w:pStyle w:val="7"/>
              <w:jc w:val="center"/>
            </w:pPr>
            <w:r>
              <w:rPr>
                <w:rFonts w:hint="eastAsia"/>
              </w:rPr>
              <w:t xml:space="preserve">601166 </w:t>
            </w:r>
          </w:p>
        </w:tc>
        <w:tc>
          <w:tcPr>
            <w:tcW w:w="1410" w:type="dxa"/>
            <w:shd w:val="clear" w:color="auto" w:fill="auto"/>
          </w:tcPr>
          <w:p>
            <w:pPr>
              <w:pStyle w:val="7"/>
              <w:jc w:val="center"/>
            </w:pPr>
            <w:r>
              <w:rPr>
                <w:rFonts w:hint="eastAsia"/>
              </w:rPr>
              <w:t xml:space="preserve">兴业银行 </w:t>
            </w:r>
          </w:p>
        </w:tc>
        <w:tc>
          <w:tcPr>
            <w:tcW w:w="1800" w:type="dxa"/>
            <w:shd w:val="clear" w:color="auto" w:fill="auto"/>
          </w:tcPr>
          <w:p>
            <w:pPr>
              <w:pStyle w:val="7"/>
              <w:jc w:val="right"/>
            </w:pPr>
            <w:r>
              <w:rPr>
                <w:rFonts w:hint="eastAsia"/>
              </w:rPr>
              <w:t xml:space="preserve">368,200 </w:t>
            </w:r>
          </w:p>
        </w:tc>
        <w:tc>
          <w:tcPr>
            <w:tcW w:w="1920" w:type="dxa"/>
            <w:shd w:val="clear" w:color="auto" w:fill="auto"/>
          </w:tcPr>
          <w:p>
            <w:pPr>
              <w:pStyle w:val="7"/>
              <w:jc w:val="right"/>
            </w:pPr>
            <w:r>
              <w:rPr>
                <w:rFonts w:hint="eastAsia"/>
              </w:rPr>
              <w:t xml:space="preserve">7,327,180.00 </w:t>
            </w:r>
          </w:p>
        </w:tc>
        <w:tc>
          <w:tcPr>
            <w:tcW w:w="2655" w:type="dxa"/>
            <w:shd w:val="clear" w:color="auto" w:fill="auto"/>
          </w:tcPr>
          <w:p>
            <w:pPr>
              <w:pStyle w:val="7"/>
              <w:jc w:val="right"/>
            </w:pPr>
            <w:r>
              <w:rPr>
                <w:rFonts w:hint="eastAsia"/>
              </w:rPr>
              <w:t xml:space="preserve">1.83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9 </w:t>
            </w:r>
          </w:p>
        </w:tc>
        <w:tc>
          <w:tcPr>
            <w:tcW w:w="1380" w:type="dxa"/>
            <w:shd w:val="clear" w:color="auto" w:fill="auto"/>
          </w:tcPr>
          <w:p>
            <w:pPr>
              <w:pStyle w:val="7"/>
              <w:jc w:val="center"/>
            </w:pPr>
            <w:r>
              <w:rPr>
                <w:rFonts w:hint="eastAsia"/>
              </w:rPr>
              <w:t xml:space="preserve">603916 </w:t>
            </w:r>
          </w:p>
        </w:tc>
        <w:tc>
          <w:tcPr>
            <w:tcW w:w="1410" w:type="dxa"/>
            <w:shd w:val="clear" w:color="auto" w:fill="auto"/>
          </w:tcPr>
          <w:p>
            <w:pPr>
              <w:pStyle w:val="7"/>
              <w:jc w:val="center"/>
            </w:pPr>
            <w:r>
              <w:rPr>
                <w:rFonts w:hint="eastAsia"/>
              </w:rPr>
              <w:t xml:space="preserve">苏博特 </w:t>
            </w:r>
          </w:p>
        </w:tc>
        <w:tc>
          <w:tcPr>
            <w:tcW w:w="1800" w:type="dxa"/>
            <w:shd w:val="clear" w:color="auto" w:fill="auto"/>
          </w:tcPr>
          <w:p>
            <w:pPr>
              <w:pStyle w:val="7"/>
              <w:jc w:val="right"/>
            </w:pPr>
            <w:r>
              <w:rPr>
                <w:rFonts w:hint="eastAsia"/>
              </w:rPr>
              <w:t xml:space="preserve">278,700 </w:t>
            </w:r>
          </w:p>
        </w:tc>
        <w:tc>
          <w:tcPr>
            <w:tcW w:w="1920" w:type="dxa"/>
            <w:shd w:val="clear" w:color="auto" w:fill="auto"/>
          </w:tcPr>
          <w:p>
            <w:pPr>
              <w:pStyle w:val="7"/>
              <w:jc w:val="right"/>
            </w:pPr>
            <w:r>
              <w:rPr>
                <w:rFonts w:hint="eastAsia"/>
              </w:rPr>
              <w:t xml:space="preserve">7,104,063.00 </w:t>
            </w:r>
          </w:p>
        </w:tc>
        <w:tc>
          <w:tcPr>
            <w:tcW w:w="2655" w:type="dxa"/>
            <w:shd w:val="clear" w:color="auto" w:fill="auto"/>
          </w:tcPr>
          <w:p>
            <w:pPr>
              <w:pStyle w:val="7"/>
              <w:jc w:val="right"/>
            </w:pPr>
            <w:r>
              <w:rPr>
                <w:rFonts w:hint="eastAsia"/>
              </w:rPr>
              <w:t xml:space="preserve">1.78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10 </w:t>
            </w:r>
          </w:p>
        </w:tc>
        <w:tc>
          <w:tcPr>
            <w:tcW w:w="1380" w:type="dxa"/>
            <w:shd w:val="clear" w:color="auto" w:fill="auto"/>
          </w:tcPr>
          <w:p>
            <w:pPr>
              <w:pStyle w:val="7"/>
              <w:jc w:val="center"/>
            </w:pPr>
            <w:r>
              <w:rPr>
                <w:rFonts w:hint="eastAsia"/>
              </w:rPr>
              <w:t xml:space="preserve">600309 </w:t>
            </w:r>
          </w:p>
        </w:tc>
        <w:tc>
          <w:tcPr>
            <w:tcW w:w="1410" w:type="dxa"/>
            <w:shd w:val="clear" w:color="auto" w:fill="auto"/>
          </w:tcPr>
          <w:p>
            <w:pPr>
              <w:pStyle w:val="7"/>
              <w:jc w:val="center"/>
            </w:pPr>
            <w:r>
              <w:rPr>
                <w:rFonts w:hint="eastAsia"/>
              </w:rPr>
              <w:t xml:space="preserve">万华化学 </w:t>
            </w:r>
          </w:p>
        </w:tc>
        <w:tc>
          <w:tcPr>
            <w:tcW w:w="1800" w:type="dxa"/>
            <w:shd w:val="clear" w:color="auto" w:fill="auto"/>
          </w:tcPr>
          <w:p>
            <w:pPr>
              <w:pStyle w:val="7"/>
              <w:jc w:val="right"/>
            </w:pPr>
            <w:r>
              <w:rPr>
                <w:rFonts w:hint="eastAsia"/>
              </w:rPr>
              <w:t xml:space="preserve">64,500 </w:t>
            </w:r>
          </w:p>
        </w:tc>
        <w:tc>
          <w:tcPr>
            <w:tcW w:w="1920" w:type="dxa"/>
            <w:shd w:val="clear" w:color="auto" w:fill="auto"/>
          </w:tcPr>
          <w:p>
            <w:pPr>
              <w:pStyle w:val="7"/>
              <w:jc w:val="right"/>
            </w:pPr>
            <w:r>
              <w:rPr>
                <w:rFonts w:hint="eastAsia"/>
              </w:rPr>
              <w:t xml:space="preserve">6,255,855.00 </w:t>
            </w:r>
          </w:p>
        </w:tc>
        <w:tc>
          <w:tcPr>
            <w:tcW w:w="2655" w:type="dxa"/>
            <w:shd w:val="clear" w:color="auto" w:fill="auto"/>
          </w:tcPr>
          <w:p>
            <w:pPr>
              <w:pStyle w:val="7"/>
              <w:jc w:val="right"/>
            </w:pPr>
            <w:r>
              <w:rPr>
                <w:rFonts w:hint="eastAsia"/>
              </w:rPr>
              <w:t xml:space="preserve">1.57 </w:t>
            </w:r>
          </w:p>
        </w:tc>
      </w:tr>
    </w:tbl>
    <w:p>
      <w:pPr>
        <w:pStyle w:val="7"/>
        <w:spacing w:before="0" w:beforeAutospacing="0" w:after="0" w:afterAutospacing="0" w:line="360" w:lineRule="auto"/>
        <w:ind w:firstLine="420"/>
        <w:rPr>
          <w:sz w:val="21"/>
          <w:szCs w:val="21"/>
        </w:rPr>
      </w:pPr>
      <w:r>
        <w:rPr>
          <w:rFonts w:hint="eastAsia"/>
          <w:b/>
          <w:bCs/>
          <w:sz w:val="21"/>
          <w:szCs w:val="21"/>
        </w:rPr>
        <w:t>4 报告期末按债券品种分类的债券投资组合</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2405"/>
        <w:gridCol w:w="3180"/>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序号 </w:t>
            </w:r>
          </w:p>
        </w:tc>
        <w:tc>
          <w:tcPr>
            <w:tcW w:w="2925" w:type="dxa"/>
            <w:shd w:val="clear" w:color="auto" w:fill="auto"/>
          </w:tcPr>
          <w:p>
            <w:pPr>
              <w:pStyle w:val="7"/>
              <w:jc w:val="center"/>
            </w:pPr>
            <w:r>
              <w:rPr>
                <w:rFonts w:hint="eastAsia"/>
              </w:rPr>
              <w:t xml:space="preserve">债券品种 </w:t>
            </w:r>
          </w:p>
        </w:tc>
        <w:tc>
          <w:tcPr>
            <w:tcW w:w="3570" w:type="dxa"/>
            <w:shd w:val="clear" w:color="auto" w:fill="auto"/>
          </w:tcPr>
          <w:p>
            <w:pPr>
              <w:pStyle w:val="7"/>
              <w:jc w:val="center"/>
            </w:pPr>
            <w:r>
              <w:rPr>
                <w:rFonts w:hint="eastAsia"/>
              </w:rPr>
              <w:t xml:space="preserve">公允价值(元) </w:t>
            </w:r>
          </w:p>
        </w:tc>
        <w:tc>
          <w:tcPr>
            <w:tcW w:w="270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1 </w:t>
            </w:r>
          </w:p>
        </w:tc>
        <w:tc>
          <w:tcPr>
            <w:tcW w:w="2925" w:type="dxa"/>
            <w:shd w:val="clear" w:color="auto" w:fill="auto"/>
          </w:tcPr>
          <w:p>
            <w:pPr>
              <w:pStyle w:val="7"/>
            </w:pPr>
            <w:r>
              <w:rPr>
                <w:rFonts w:hint="eastAsia"/>
              </w:rPr>
              <w:t xml:space="preserve">国家债券 </w:t>
            </w:r>
          </w:p>
        </w:tc>
        <w:tc>
          <w:tcPr>
            <w:tcW w:w="3570" w:type="dxa"/>
            <w:shd w:val="clear" w:color="auto" w:fill="auto"/>
          </w:tcPr>
          <w:p>
            <w:pPr>
              <w:pStyle w:val="7"/>
              <w:jc w:val="right"/>
            </w:pPr>
            <w:r>
              <w:rPr>
                <w:rFonts w:hint="eastAsia"/>
              </w:rPr>
              <w:t xml:space="preserve">22,362,168.22 </w:t>
            </w:r>
          </w:p>
        </w:tc>
        <w:tc>
          <w:tcPr>
            <w:tcW w:w="2700" w:type="dxa"/>
            <w:shd w:val="clear" w:color="auto" w:fill="auto"/>
          </w:tcPr>
          <w:p>
            <w:pPr>
              <w:pStyle w:val="7"/>
              <w:jc w:val="right"/>
            </w:pPr>
            <w:r>
              <w:rPr>
                <w:rFonts w:hint="eastAsia"/>
              </w:rPr>
              <w:t xml:space="preserve">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2 </w:t>
            </w:r>
          </w:p>
        </w:tc>
        <w:tc>
          <w:tcPr>
            <w:tcW w:w="2925" w:type="dxa"/>
            <w:shd w:val="clear" w:color="auto" w:fill="auto"/>
          </w:tcPr>
          <w:p>
            <w:pPr>
              <w:pStyle w:val="7"/>
            </w:pPr>
            <w:r>
              <w:rPr>
                <w:rFonts w:hint="eastAsia"/>
              </w:rPr>
              <w:t xml:space="preserve">央行票据 </w:t>
            </w:r>
          </w:p>
        </w:tc>
        <w:tc>
          <w:tcPr>
            <w:tcW w:w="3570" w:type="dxa"/>
            <w:shd w:val="clear" w:color="auto" w:fill="auto"/>
          </w:tcPr>
          <w:p>
            <w:pPr>
              <w:pStyle w:val="7"/>
              <w:jc w:val="right"/>
            </w:pPr>
            <w:r>
              <w:rPr>
                <w:rFonts w:hint="eastAsia"/>
              </w:rPr>
              <w:t xml:space="preserve">- </w:t>
            </w:r>
          </w:p>
        </w:tc>
        <w:tc>
          <w:tcPr>
            <w:tcW w:w="270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3 </w:t>
            </w:r>
          </w:p>
        </w:tc>
        <w:tc>
          <w:tcPr>
            <w:tcW w:w="2925" w:type="dxa"/>
            <w:shd w:val="clear" w:color="auto" w:fill="auto"/>
          </w:tcPr>
          <w:p>
            <w:pPr>
              <w:pStyle w:val="7"/>
            </w:pPr>
            <w:r>
              <w:rPr>
                <w:rFonts w:hint="eastAsia"/>
              </w:rPr>
              <w:t xml:space="preserve">金融债券 </w:t>
            </w:r>
          </w:p>
        </w:tc>
        <w:tc>
          <w:tcPr>
            <w:tcW w:w="3570" w:type="dxa"/>
            <w:shd w:val="clear" w:color="auto" w:fill="auto"/>
          </w:tcPr>
          <w:p>
            <w:pPr>
              <w:pStyle w:val="7"/>
              <w:jc w:val="right"/>
            </w:pPr>
            <w:r>
              <w:rPr>
                <w:rFonts w:hint="eastAsia"/>
              </w:rPr>
              <w:t xml:space="preserve">42,634,305.21 </w:t>
            </w:r>
          </w:p>
        </w:tc>
        <w:tc>
          <w:tcPr>
            <w:tcW w:w="2700" w:type="dxa"/>
            <w:shd w:val="clear" w:color="auto" w:fill="auto"/>
          </w:tcPr>
          <w:p>
            <w:pPr>
              <w:pStyle w:val="7"/>
              <w:jc w:val="right"/>
            </w:pPr>
            <w:r>
              <w:rPr>
                <w:rFonts w:hint="eastAsia"/>
              </w:rPr>
              <w:t xml:space="preserve">10.67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rPr>
                <w:rFonts w:ascii="宋体" w:hAnsi="宋体" w:eastAsia="宋体" w:cs="宋体"/>
                <w:sz w:val="24"/>
                <w:szCs w:val="24"/>
              </w:rPr>
            </w:pPr>
          </w:p>
        </w:tc>
        <w:tc>
          <w:tcPr>
            <w:tcW w:w="2925" w:type="dxa"/>
            <w:shd w:val="clear" w:color="auto" w:fill="auto"/>
          </w:tcPr>
          <w:p>
            <w:pPr>
              <w:pStyle w:val="7"/>
            </w:pPr>
            <w:r>
              <w:rPr>
                <w:rFonts w:hint="eastAsia"/>
              </w:rPr>
              <w:t xml:space="preserve">其中：政策性金融债 </w:t>
            </w:r>
          </w:p>
        </w:tc>
        <w:tc>
          <w:tcPr>
            <w:tcW w:w="3570" w:type="dxa"/>
            <w:shd w:val="clear" w:color="auto" w:fill="auto"/>
          </w:tcPr>
          <w:p>
            <w:pPr>
              <w:pStyle w:val="7"/>
              <w:jc w:val="right"/>
            </w:pPr>
            <w:r>
              <w:rPr>
                <w:rFonts w:hint="eastAsia"/>
              </w:rPr>
              <w:t xml:space="preserve">22,329,704.11 </w:t>
            </w:r>
          </w:p>
        </w:tc>
        <w:tc>
          <w:tcPr>
            <w:tcW w:w="2700" w:type="dxa"/>
            <w:shd w:val="clear" w:color="auto" w:fill="auto"/>
          </w:tcPr>
          <w:p>
            <w:pPr>
              <w:pStyle w:val="7"/>
              <w:jc w:val="right"/>
            </w:pPr>
            <w:r>
              <w:rPr>
                <w:rFonts w:hint="eastAsia"/>
              </w:rPr>
              <w:t xml:space="preserve">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4 </w:t>
            </w:r>
          </w:p>
        </w:tc>
        <w:tc>
          <w:tcPr>
            <w:tcW w:w="2925" w:type="dxa"/>
            <w:shd w:val="clear" w:color="auto" w:fill="auto"/>
          </w:tcPr>
          <w:p>
            <w:pPr>
              <w:pStyle w:val="7"/>
            </w:pPr>
            <w:r>
              <w:rPr>
                <w:rFonts w:hint="eastAsia"/>
              </w:rPr>
              <w:t xml:space="preserve">企业债券 </w:t>
            </w:r>
          </w:p>
        </w:tc>
        <w:tc>
          <w:tcPr>
            <w:tcW w:w="3570" w:type="dxa"/>
            <w:shd w:val="clear" w:color="auto" w:fill="auto"/>
          </w:tcPr>
          <w:p>
            <w:pPr>
              <w:pStyle w:val="7"/>
              <w:jc w:val="right"/>
            </w:pPr>
            <w:r>
              <w:rPr>
                <w:rFonts w:hint="eastAsia"/>
              </w:rPr>
              <w:t xml:space="preserve">38,837,036.16 </w:t>
            </w:r>
          </w:p>
        </w:tc>
        <w:tc>
          <w:tcPr>
            <w:tcW w:w="2700" w:type="dxa"/>
            <w:shd w:val="clear" w:color="auto" w:fill="auto"/>
          </w:tcPr>
          <w:p>
            <w:pPr>
              <w:pStyle w:val="7"/>
              <w:jc w:val="right"/>
            </w:pPr>
            <w:r>
              <w:rPr>
                <w:rFonts w:hint="eastAsia"/>
              </w:rPr>
              <w:t xml:space="preserve">9.72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5 </w:t>
            </w:r>
          </w:p>
        </w:tc>
        <w:tc>
          <w:tcPr>
            <w:tcW w:w="2925" w:type="dxa"/>
            <w:shd w:val="clear" w:color="auto" w:fill="auto"/>
          </w:tcPr>
          <w:p>
            <w:pPr>
              <w:pStyle w:val="7"/>
            </w:pPr>
            <w:r>
              <w:rPr>
                <w:rFonts w:hint="eastAsia"/>
              </w:rPr>
              <w:t xml:space="preserve">企业短期融资券 </w:t>
            </w:r>
          </w:p>
        </w:tc>
        <w:tc>
          <w:tcPr>
            <w:tcW w:w="3570" w:type="dxa"/>
            <w:shd w:val="clear" w:color="auto" w:fill="auto"/>
          </w:tcPr>
          <w:p>
            <w:pPr>
              <w:pStyle w:val="7"/>
              <w:jc w:val="right"/>
            </w:pPr>
            <w:r>
              <w:rPr>
                <w:rFonts w:hint="eastAsia"/>
              </w:rPr>
              <w:t xml:space="preserve">- </w:t>
            </w:r>
          </w:p>
        </w:tc>
        <w:tc>
          <w:tcPr>
            <w:tcW w:w="270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6 </w:t>
            </w:r>
          </w:p>
        </w:tc>
        <w:tc>
          <w:tcPr>
            <w:tcW w:w="2925" w:type="dxa"/>
            <w:shd w:val="clear" w:color="auto" w:fill="auto"/>
          </w:tcPr>
          <w:p>
            <w:pPr>
              <w:pStyle w:val="7"/>
            </w:pPr>
            <w:r>
              <w:rPr>
                <w:rFonts w:hint="eastAsia"/>
              </w:rPr>
              <w:t xml:space="preserve">中期票据 </w:t>
            </w:r>
          </w:p>
        </w:tc>
        <w:tc>
          <w:tcPr>
            <w:tcW w:w="3570" w:type="dxa"/>
            <w:shd w:val="clear" w:color="auto" w:fill="auto"/>
          </w:tcPr>
          <w:p>
            <w:pPr>
              <w:pStyle w:val="7"/>
              <w:jc w:val="right"/>
            </w:pPr>
            <w:r>
              <w:rPr>
                <w:rFonts w:hint="eastAsia"/>
              </w:rPr>
              <w:t xml:space="preserve">20,334,974.79 </w:t>
            </w:r>
          </w:p>
        </w:tc>
        <w:tc>
          <w:tcPr>
            <w:tcW w:w="2700" w:type="dxa"/>
            <w:shd w:val="clear" w:color="auto" w:fill="auto"/>
          </w:tcPr>
          <w:p>
            <w:pPr>
              <w:pStyle w:val="7"/>
              <w:jc w:val="right"/>
            </w:pPr>
            <w:r>
              <w:rPr>
                <w:rFonts w:hint="eastAsia"/>
              </w:rPr>
              <w:t xml:space="preserve">5.09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7 </w:t>
            </w:r>
          </w:p>
        </w:tc>
        <w:tc>
          <w:tcPr>
            <w:tcW w:w="2925" w:type="dxa"/>
            <w:shd w:val="clear" w:color="auto" w:fill="auto"/>
          </w:tcPr>
          <w:p>
            <w:pPr>
              <w:pStyle w:val="7"/>
            </w:pPr>
            <w:r>
              <w:rPr>
                <w:rFonts w:hint="eastAsia"/>
              </w:rPr>
              <w:t xml:space="preserve">可转债（可交换债） </w:t>
            </w:r>
          </w:p>
        </w:tc>
        <w:tc>
          <w:tcPr>
            <w:tcW w:w="3570" w:type="dxa"/>
            <w:shd w:val="clear" w:color="auto" w:fill="auto"/>
          </w:tcPr>
          <w:p>
            <w:pPr>
              <w:pStyle w:val="7"/>
              <w:jc w:val="right"/>
            </w:pPr>
            <w:r>
              <w:rPr>
                <w:rFonts w:hint="eastAsia"/>
              </w:rPr>
              <w:t xml:space="preserve">11,111,110.73 </w:t>
            </w:r>
          </w:p>
        </w:tc>
        <w:tc>
          <w:tcPr>
            <w:tcW w:w="2700" w:type="dxa"/>
            <w:shd w:val="clear" w:color="auto" w:fill="auto"/>
          </w:tcPr>
          <w:p>
            <w:pPr>
              <w:pStyle w:val="7"/>
              <w:jc w:val="right"/>
            </w:pPr>
            <w:r>
              <w:rPr>
                <w:rFonts w:hint="eastAsia"/>
              </w:rPr>
              <w:t xml:space="preserve">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8 </w:t>
            </w:r>
          </w:p>
        </w:tc>
        <w:tc>
          <w:tcPr>
            <w:tcW w:w="2925" w:type="dxa"/>
            <w:shd w:val="clear" w:color="auto" w:fill="auto"/>
          </w:tcPr>
          <w:p>
            <w:pPr>
              <w:pStyle w:val="7"/>
            </w:pPr>
            <w:r>
              <w:rPr>
                <w:rFonts w:hint="eastAsia"/>
              </w:rPr>
              <w:t xml:space="preserve">同业存单 </w:t>
            </w:r>
          </w:p>
        </w:tc>
        <w:tc>
          <w:tcPr>
            <w:tcW w:w="3570" w:type="dxa"/>
            <w:shd w:val="clear" w:color="auto" w:fill="auto"/>
          </w:tcPr>
          <w:p>
            <w:pPr>
              <w:pStyle w:val="7"/>
              <w:jc w:val="right"/>
            </w:pPr>
            <w:r>
              <w:rPr>
                <w:rFonts w:hint="eastAsia"/>
              </w:rPr>
              <w:t xml:space="preserve">- </w:t>
            </w:r>
          </w:p>
        </w:tc>
        <w:tc>
          <w:tcPr>
            <w:tcW w:w="270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9 </w:t>
            </w:r>
          </w:p>
        </w:tc>
        <w:tc>
          <w:tcPr>
            <w:tcW w:w="2925" w:type="dxa"/>
            <w:shd w:val="clear" w:color="auto" w:fill="auto"/>
          </w:tcPr>
          <w:p>
            <w:pPr>
              <w:pStyle w:val="7"/>
            </w:pPr>
            <w:r>
              <w:rPr>
                <w:rFonts w:hint="eastAsia"/>
              </w:rPr>
              <w:t xml:space="preserve">其他 </w:t>
            </w:r>
          </w:p>
        </w:tc>
        <w:tc>
          <w:tcPr>
            <w:tcW w:w="3570" w:type="dxa"/>
            <w:shd w:val="clear" w:color="auto" w:fill="auto"/>
          </w:tcPr>
          <w:p>
            <w:pPr>
              <w:pStyle w:val="7"/>
              <w:jc w:val="right"/>
            </w:pPr>
            <w:r>
              <w:rPr>
                <w:rFonts w:hint="eastAsia"/>
              </w:rPr>
              <w:t xml:space="preserve">- </w:t>
            </w:r>
          </w:p>
        </w:tc>
        <w:tc>
          <w:tcPr>
            <w:tcW w:w="270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10 </w:t>
            </w:r>
          </w:p>
        </w:tc>
        <w:tc>
          <w:tcPr>
            <w:tcW w:w="2925" w:type="dxa"/>
            <w:shd w:val="clear" w:color="auto" w:fill="auto"/>
          </w:tcPr>
          <w:p>
            <w:pPr>
              <w:pStyle w:val="7"/>
            </w:pPr>
            <w:r>
              <w:rPr>
                <w:rFonts w:hint="eastAsia"/>
              </w:rPr>
              <w:t xml:space="preserve">合计 </w:t>
            </w:r>
          </w:p>
        </w:tc>
        <w:tc>
          <w:tcPr>
            <w:tcW w:w="3570" w:type="dxa"/>
            <w:shd w:val="clear" w:color="auto" w:fill="auto"/>
          </w:tcPr>
          <w:p>
            <w:pPr>
              <w:pStyle w:val="7"/>
              <w:jc w:val="right"/>
            </w:pPr>
            <w:r>
              <w:rPr>
                <w:rFonts w:hint="eastAsia"/>
              </w:rPr>
              <w:t xml:space="preserve">135,279,595.11 </w:t>
            </w:r>
          </w:p>
        </w:tc>
        <w:tc>
          <w:tcPr>
            <w:tcW w:w="2700" w:type="dxa"/>
            <w:shd w:val="clear" w:color="auto" w:fill="auto"/>
          </w:tcPr>
          <w:p>
            <w:pPr>
              <w:pStyle w:val="7"/>
              <w:jc w:val="right"/>
            </w:pPr>
            <w:r>
              <w:rPr>
                <w:rFonts w:hint="eastAsia"/>
              </w:rPr>
              <w:t xml:space="preserve">33.85 </w:t>
            </w:r>
          </w:p>
        </w:tc>
      </w:tr>
    </w:tbl>
    <w:p>
      <w:pPr>
        <w:pStyle w:val="7"/>
        <w:spacing w:before="0" w:beforeAutospacing="0" w:after="0" w:afterAutospacing="0" w:line="360" w:lineRule="auto"/>
        <w:ind w:firstLine="420"/>
        <w:rPr>
          <w:sz w:val="21"/>
          <w:szCs w:val="21"/>
        </w:rPr>
      </w:pPr>
      <w:r>
        <w:rPr>
          <w:rFonts w:hint="eastAsia"/>
          <w:b/>
          <w:bCs/>
          <w:sz w:val="21"/>
          <w:szCs w:val="21"/>
        </w:rPr>
        <w:t>5 报告期末按公允价值占基金资产净值比例大小排序的前五名债券投资明细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461"/>
        <w:gridCol w:w="1697"/>
        <w:gridCol w:w="1542"/>
        <w:gridCol w:w="1959"/>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序号 </w:t>
            </w:r>
          </w:p>
        </w:tc>
        <w:tc>
          <w:tcPr>
            <w:tcW w:w="1575" w:type="dxa"/>
            <w:shd w:val="clear" w:color="auto" w:fill="auto"/>
          </w:tcPr>
          <w:p>
            <w:pPr>
              <w:pStyle w:val="7"/>
              <w:jc w:val="center"/>
            </w:pPr>
            <w:r>
              <w:rPr>
                <w:rFonts w:hint="eastAsia"/>
              </w:rPr>
              <w:t xml:space="preserve">债券代码 </w:t>
            </w:r>
          </w:p>
        </w:tc>
        <w:tc>
          <w:tcPr>
            <w:tcW w:w="2055" w:type="dxa"/>
            <w:shd w:val="clear" w:color="auto" w:fill="auto"/>
          </w:tcPr>
          <w:p>
            <w:pPr>
              <w:pStyle w:val="7"/>
              <w:jc w:val="center"/>
            </w:pPr>
            <w:r>
              <w:rPr>
                <w:rFonts w:hint="eastAsia"/>
              </w:rPr>
              <w:t xml:space="preserve">债券名称 </w:t>
            </w:r>
          </w:p>
        </w:tc>
        <w:tc>
          <w:tcPr>
            <w:tcW w:w="1875" w:type="dxa"/>
            <w:shd w:val="clear" w:color="auto" w:fill="auto"/>
          </w:tcPr>
          <w:p>
            <w:pPr>
              <w:pStyle w:val="7"/>
              <w:jc w:val="center"/>
            </w:pPr>
            <w:r>
              <w:rPr>
                <w:rFonts w:hint="eastAsia"/>
              </w:rPr>
              <w:t xml:space="preserve">数量(张) </w:t>
            </w:r>
          </w:p>
        </w:tc>
        <w:tc>
          <w:tcPr>
            <w:tcW w:w="2085" w:type="dxa"/>
            <w:shd w:val="clear" w:color="auto" w:fill="auto"/>
          </w:tcPr>
          <w:p>
            <w:pPr>
              <w:pStyle w:val="7"/>
              <w:jc w:val="center"/>
            </w:pPr>
            <w:r>
              <w:rPr>
                <w:rFonts w:hint="eastAsia"/>
              </w:rPr>
              <w:t xml:space="preserve">公允价值(元) </w:t>
            </w:r>
          </w:p>
        </w:tc>
        <w:tc>
          <w:tcPr>
            <w:tcW w:w="160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1 </w:t>
            </w:r>
          </w:p>
        </w:tc>
        <w:tc>
          <w:tcPr>
            <w:tcW w:w="1575" w:type="dxa"/>
            <w:shd w:val="clear" w:color="auto" w:fill="auto"/>
          </w:tcPr>
          <w:p>
            <w:pPr>
              <w:pStyle w:val="7"/>
              <w:jc w:val="center"/>
            </w:pPr>
            <w:r>
              <w:rPr>
                <w:rFonts w:hint="eastAsia"/>
              </w:rPr>
              <w:t xml:space="preserve">019664 </w:t>
            </w:r>
          </w:p>
        </w:tc>
        <w:tc>
          <w:tcPr>
            <w:tcW w:w="2055" w:type="dxa"/>
            <w:shd w:val="clear" w:color="auto" w:fill="auto"/>
          </w:tcPr>
          <w:p>
            <w:pPr>
              <w:pStyle w:val="7"/>
              <w:jc w:val="center"/>
            </w:pPr>
            <w:r>
              <w:rPr>
                <w:rFonts w:hint="eastAsia"/>
              </w:rPr>
              <w:t xml:space="preserve">21国债16 </w:t>
            </w:r>
          </w:p>
        </w:tc>
        <w:tc>
          <w:tcPr>
            <w:tcW w:w="1875" w:type="dxa"/>
            <w:shd w:val="clear" w:color="auto" w:fill="auto"/>
          </w:tcPr>
          <w:p>
            <w:pPr>
              <w:pStyle w:val="7"/>
              <w:jc w:val="right"/>
            </w:pPr>
            <w:r>
              <w:rPr>
                <w:rFonts w:hint="eastAsia"/>
              </w:rPr>
              <w:t xml:space="preserve">220,000 </w:t>
            </w:r>
          </w:p>
        </w:tc>
        <w:tc>
          <w:tcPr>
            <w:tcW w:w="2085" w:type="dxa"/>
            <w:shd w:val="clear" w:color="auto" w:fill="auto"/>
          </w:tcPr>
          <w:p>
            <w:pPr>
              <w:pStyle w:val="7"/>
              <w:jc w:val="right"/>
            </w:pPr>
            <w:r>
              <w:rPr>
                <w:rFonts w:hint="eastAsia"/>
              </w:rPr>
              <w:t xml:space="preserve">22,362,168.22 </w:t>
            </w:r>
          </w:p>
        </w:tc>
        <w:tc>
          <w:tcPr>
            <w:tcW w:w="1605" w:type="dxa"/>
            <w:shd w:val="clear" w:color="auto" w:fill="auto"/>
          </w:tcPr>
          <w:p>
            <w:pPr>
              <w:pStyle w:val="7"/>
              <w:jc w:val="right"/>
            </w:pPr>
            <w:r>
              <w:rPr>
                <w:rFonts w:hint="eastAsia"/>
              </w:rPr>
              <w:t xml:space="preserve">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2 </w:t>
            </w:r>
          </w:p>
        </w:tc>
        <w:tc>
          <w:tcPr>
            <w:tcW w:w="1575" w:type="dxa"/>
            <w:shd w:val="clear" w:color="auto" w:fill="auto"/>
          </w:tcPr>
          <w:p>
            <w:pPr>
              <w:pStyle w:val="7"/>
              <w:jc w:val="center"/>
            </w:pPr>
            <w:r>
              <w:rPr>
                <w:rFonts w:hint="eastAsia"/>
              </w:rPr>
              <w:t xml:space="preserve">180205 </w:t>
            </w:r>
          </w:p>
        </w:tc>
        <w:tc>
          <w:tcPr>
            <w:tcW w:w="2055" w:type="dxa"/>
            <w:shd w:val="clear" w:color="auto" w:fill="auto"/>
          </w:tcPr>
          <w:p>
            <w:pPr>
              <w:pStyle w:val="7"/>
              <w:jc w:val="center"/>
            </w:pPr>
            <w:r>
              <w:rPr>
                <w:rFonts w:hint="eastAsia"/>
              </w:rPr>
              <w:t xml:space="preserve">18国开05 </w:t>
            </w:r>
          </w:p>
        </w:tc>
        <w:tc>
          <w:tcPr>
            <w:tcW w:w="1875" w:type="dxa"/>
            <w:shd w:val="clear" w:color="auto" w:fill="auto"/>
          </w:tcPr>
          <w:p>
            <w:pPr>
              <w:pStyle w:val="7"/>
              <w:jc w:val="right"/>
            </w:pPr>
            <w:r>
              <w:rPr>
                <w:rFonts w:hint="eastAsia"/>
              </w:rPr>
              <w:t xml:space="preserve">200,000 </w:t>
            </w:r>
          </w:p>
        </w:tc>
        <w:tc>
          <w:tcPr>
            <w:tcW w:w="2085" w:type="dxa"/>
            <w:shd w:val="clear" w:color="auto" w:fill="auto"/>
          </w:tcPr>
          <w:p>
            <w:pPr>
              <w:pStyle w:val="7"/>
              <w:jc w:val="right"/>
            </w:pPr>
            <w:r>
              <w:rPr>
                <w:rFonts w:hint="eastAsia"/>
              </w:rPr>
              <w:t xml:space="preserve">22,329,704.11 </w:t>
            </w:r>
          </w:p>
        </w:tc>
        <w:tc>
          <w:tcPr>
            <w:tcW w:w="1605" w:type="dxa"/>
            <w:shd w:val="clear" w:color="auto" w:fill="auto"/>
          </w:tcPr>
          <w:p>
            <w:pPr>
              <w:pStyle w:val="7"/>
              <w:jc w:val="right"/>
            </w:pPr>
            <w:r>
              <w:rPr>
                <w:rFonts w:hint="eastAsia"/>
              </w:rPr>
              <w:t xml:space="preserve">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3 </w:t>
            </w:r>
          </w:p>
        </w:tc>
        <w:tc>
          <w:tcPr>
            <w:tcW w:w="1575" w:type="dxa"/>
            <w:shd w:val="clear" w:color="auto" w:fill="auto"/>
          </w:tcPr>
          <w:p>
            <w:pPr>
              <w:pStyle w:val="7"/>
              <w:jc w:val="center"/>
            </w:pPr>
            <w:r>
              <w:rPr>
                <w:rFonts w:hint="eastAsia"/>
              </w:rPr>
              <w:t xml:space="preserve">111104 </w:t>
            </w:r>
          </w:p>
        </w:tc>
        <w:tc>
          <w:tcPr>
            <w:tcW w:w="2055" w:type="dxa"/>
            <w:shd w:val="clear" w:color="auto" w:fill="auto"/>
          </w:tcPr>
          <w:p>
            <w:pPr>
              <w:pStyle w:val="7"/>
              <w:jc w:val="center"/>
            </w:pPr>
            <w:r>
              <w:rPr>
                <w:rFonts w:hint="eastAsia"/>
              </w:rPr>
              <w:t xml:space="preserve">21SZMC03 </w:t>
            </w:r>
          </w:p>
        </w:tc>
        <w:tc>
          <w:tcPr>
            <w:tcW w:w="1875" w:type="dxa"/>
            <w:shd w:val="clear" w:color="auto" w:fill="auto"/>
          </w:tcPr>
          <w:p>
            <w:pPr>
              <w:pStyle w:val="7"/>
              <w:jc w:val="right"/>
            </w:pPr>
            <w:r>
              <w:rPr>
                <w:rFonts w:hint="eastAsia"/>
              </w:rPr>
              <w:t xml:space="preserve">100,000 </w:t>
            </w:r>
          </w:p>
        </w:tc>
        <w:tc>
          <w:tcPr>
            <w:tcW w:w="2085" w:type="dxa"/>
            <w:shd w:val="clear" w:color="auto" w:fill="auto"/>
          </w:tcPr>
          <w:p>
            <w:pPr>
              <w:pStyle w:val="7"/>
              <w:jc w:val="right"/>
            </w:pPr>
            <w:r>
              <w:rPr>
                <w:rFonts w:hint="eastAsia"/>
              </w:rPr>
              <w:t xml:space="preserve">10,354,164.38 </w:t>
            </w:r>
          </w:p>
        </w:tc>
        <w:tc>
          <w:tcPr>
            <w:tcW w:w="1605" w:type="dxa"/>
            <w:shd w:val="clear" w:color="auto" w:fill="auto"/>
          </w:tcPr>
          <w:p>
            <w:pPr>
              <w:pStyle w:val="7"/>
              <w:jc w:val="right"/>
            </w:pPr>
            <w:r>
              <w:rPr>
                <w:rFonts w:hint="eastAsia"/>
              </w:rPr>
              <w:t xml:space="preserve">2.59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4 </w:t>
            </w:r>
          </w:p>
        </w:tc>
        <w:tc>
          <w:tcPr>
            <w:tcW w:w="1575" w:type="dxa"/>
            <w:shd w:val="clear" w:color="auto" w:fill="auto"/>
          </w:tcPr>
          <w:p>
            <w:pPr>
              <w:pStyle w:val="7"/>
              <w:jc w:val="center"/>
            </w:pPr>
            <w:r>
              <w:rPr>
                <w:rFonts w:hint="eastAsia"/>
              </w:rPr>
              <w:t xml:space="preserve">102103048 </w:t>
            </w:r>
          </w:p>
        </w:tc>
        <w:tc>
          <w:tcPr>
            <w:tcW w:w="2055" w:type="dxa"/>
            <w:shd w:val="clear" w:color="auto" w:fill="auto"/>
          </w:tcPr>
          <w:p>
            <w:pPr>
              <w:pStyle w:val="7"/>
              <w:jc w:val="center"/>
            </w:pPr>
            <w:r>
              <w:rPr>
                <w:rFonts w:hint="eastAsia"/>
              </w:rPr>
              <w:t xml:space="preserve">21新长宁MTN003 </w:t>
            </w:r>
          </w:p>
        </w:tc>
        <w:tc>
          <w:tcPr>
            <w:tcW w:w="1875" w:type="dxa"/>
            <w:shd w:val="clear" w:color="auto" w:fill="auto"/>
          </w:tcPr>
          <w:p>
            <w:pPr>
              <w:pStyle w:val="7"/>
              <w:jc w:val="right"/>
            </w:pPr>
            <w:r>
              <w:rPr>
                <w:rFonts w:hint="eastAsia"/>
              </w:rPr>
              <w:t xml:space="preserve">100,000 </w:t>
            </w:r>
          </w:p>
        </w:tc>
        <w:tc>
          <w:tcPr>
            <w:tcW w:w="2085" w:type="dxa"/>
            <w:shd w:val="clear" w:color="auto" w:fill="auto"/>
          </w:tcPr>
          <w:p>
            <w:pPr>
              <w:pStyle w:val="7"/>
              <w:jc w:val="right"/>
            </w:pPr>
            <w:r>
              <w:rPr>
                <w:rFonts w:hint="eastAsia"/>
              </w:rPr>
              <w:t xml:space="preserve">10,250,033.97 </w:t>
            </w:r>
          </w:p>
        </w:tc>
        <w:tc>
          <w:tcPr>
            <w:tcW w:w="1605" w:type="dxa"/>
            <w:shd w:val="clear" w:color="auto" w:fill="auto"/>
          </w:tcPr>
          <w:p>
            <w:pPr>
              <w:pStyle w:val="7"/>
              <w:jc w:val="right"/>
            </w:pPr>
            <w:r>
              <w:rPr>
                <w:rFonts w:hint="eastAsia"/>
              </w:rPr>
              <w:t xml:space="preserve">2.56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5 </w:t>
            </w:r>
          </w:p>
        </w:tc>
        <w:tc>
          <w:tcPr>
            <w:tcW w:w="1575" w:type="dxa"/>
            <w:shd w:val="clear" w:color="auto" w:fill="auto"/>
          </w:tcPr>
          <w:p>
            <w:pPr>
              <w:pStyle w:val="7"/>
              <w:jc w:val="center"/>
            </w:pPr>
            <w:r>
              <w:rPr>
                <w:rFonts w:hint="eastAsia"/>
              </w:rPr>
              <w:t xml:space="preserve">188993 </w:t>
            </w:r>
          </w:p>
        </w:tc>
        <w:tc>
          <w:tcPr>
            <w:tcW w:w="2055" w:type="dxa"/>
            <w:shd w:val="clear" w:color="auto" w:fill="auto"/>
          </w:tcPr>
          <w:p>
            <w:pPr>
              <w:pStyle w:val="7"/>
              <w:jc w:val="center"/>
            </w:pPr>
            <w:r>
              <w:rPr>
                <w:rFonts w:hint="eastAsia"/>
              </w:rPr>
              <w:t xml:space="preserve">21国君S6 </w:t>
            </w:r>
          </w:p>
        </w:tc>
        <w:tc>
          <w:tcPr>
            <w:tcW w:w="1875" w:type="dxa"/>
            <w:shd w:val="clear" w:color="auto" w:fill="auto"/>
          </w:tcPr>
          <w:p>
            <w:pPr>
              <w:pStyle w:val="7"/>
              <w:jc w:val="right"/>
            </w:pPr>
            <w:r>
              <w:rPr>
                <w:rFonts w:hint="eastAsia"/>
              </w:rPr>
              <w:t xml:space="preserve">100,000 </w:t>
            </w:r>
          </w:p>
        </w:tc>
        <w:tc>
          <w:tcPr>
            <w:tcW w:w="2085" w:type="dxa"/>
            <w:shd w:val="clear" w:color="auto" w:fill="auto"/>
          </w:tcPr>
          <w:p>
            <w:pPr>
              <w:pStyle w:val="7"/>
              <w:jc w:val="right"/>
            </w:pPr>
            <w:r>
              <w:rPr>
                <w:rFonts w:hint="eastAsia"/>
              </w:rPr>
              <w:t xml:space="preserve">10,163,232.88 </w:t>
            </w:r>
          </w:p>
        </w:tc>
        <w:tc>
          <w:tcPr>
            <w:tcW w:w="1605" w:type="dxa"/>
            <w:shd w:val="clear" w:color="auto" w:fill="auto"/>
          </w:tcPr>
          <w:p>
            <w:pPr>
              <w:pStyle w:val="7"/>
              <w:jc w:val="right"/>
            </w:pPr>
            <w:r>
              <w:rPr>
                <w:rFonts w:hint="eastAsia"/>
              </w:rPr>
              <w:t xml:space="preserve">2.54 </w:t>
            </w:r>
          </w:p>
        </w:tc>
      </w:tr>
    </w:tbl>
    <w:p>
      <w:pPr>
        <w:pStyle w:val="7"/>
        <w:spacing w:before="0" w:beforeAutospacing="0" w:after="0" w:afterAutospacing="0" w:line="360" w:lineRule="auto"/>
        <w:ind w:firstLine="420"/>
        <w:rPr>
          <w:sz w:val="21"/>
          <w:szCs w:val="21"/>
        </w:rPr>
      </w:pPr>
      <w:r>
        <w:rPr>
          <w:rFonts w:hint="eastAsia"/>
          <w:b/>
          <w:bCs/>
          <w:sz w:val="21"/>
          <w:szCs w:val="21"/>
        </w:rPr>
        <w:t>6 报告期末按公允价值占基金资产净值比例大小排序的前十名资产支持证券投资明细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b/>
          <w:bCs/>
          <w:sz w:val="21"/>
          <w:szCs w:val="21"/>
        </w:rPr>
        <w:t>7 报告期末按公允价值占基金资产净值比例大小排序的前五名贵金属投资明细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b/>
          <w:bCs/>
          <w:sz w:val="21"/>
          <w:szCs w:val="21"/>
        </w:rPr>
        <w:t>8报告期末按公允价值占基金资产净值比例大小排序的前五名权证投资明细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b/>
          <w:bCs/>
          <w:sz w:val="21"/>
          <w:szCs w:val="21"/>
        </w:rPr>
        <w:t>9报告期末本基金投资的股指期货交易情况说明</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7"/>
        <w:spacing w:before="0" w:beforeAutospacing="0" w:after="0" w:afterAutospacing="0" w:line="360" w:lineRule="auto"/>
        <w:ind w:firstLine="420"/>
        <w:rPr>
          <w:sz w:val="21"/>
          <w:szCs w:val="21"/>
        </w:rPr>
      </w:pPr>
      <w:r>
        <w:rPr>
          <w:rFonts w:hint="eastAsia"/>
          <w:b/>
          <w:bCs/>
          <w:sz w:val="21"/>
          <w:szCs w:val="21"/>
        </w:rPr>
        <w:t>10报告期末本基金投资的国债期货交易情况说明</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7"/>
        <w:spacing w:before="0" w:beforeAutospacing="0" w:after="0" w:afterAutospacing="0" w:line="360" w:lineRule="auto"/>
        <w:ind w:firstLine="420"/>
        <w:rPr>
          <w:sz w:val="21"/>
          <w:szCs w:val="21"/>
        </w:rPr>
      </w:pPr>
      <w:r>
        <w:rPr>
          <w:rFonts w:hint="eastAsia"/>
          <w:b/>
          <w:bCs/>
          <w:sz w:val="21"/>
          <w:szCs w:val="21"/>
        </w:rPr>
        <w:t>11投资组合报告附注</w:t>
      </w:r>
    </w:p>
    <w:p>
      <w:pPr>
        <w:pStyle w:val="7"/>
        <w:spacing w:before="0" w:beforeAutospacing="0" w:after="0" w:afterAutospacing="0" w:line="360" w:lineRule="auto"/>
        <w:ind w:firstLine="420"/>
        <w:rPr>
          <w:sz w:val="21"/>
          <w:szCs w:val="21"/>
        </w:rPr>
      </w:pPr>
      <w:r>
        <w:rPr>
          <w:rFonts w:hint="eastAsia"/>
          <w:b/>
          <w:bCs/>
          <w:sz w:val="21"/>
          <w:szCs w:val="21"/>
        </w:rPr>
        <w:t>11.1基金投资前十名证券的发行主体被监管部门立案调查或编制日前一年内受到公开谴责、处罚的投资决策程序说明</w:t>
      </w:r>
    </w:p>
    <w:p>
      <w:pPr>
        <w:pStyle w:val="7"/>
        <w:spacing w:before="0" w:beforeAutospacing="0" w:after="0" w:afterAutospacing="0" w:line="360" w:lineRule="auto"/>
        <w:ind w:firstLine="420"/>
        <w:rPr>
          <w:sz w:val="21"/>
          <w:szCs w:val="21"/>
        </w:rPr>
      </w:pPr>
      <w:r>
        <w:rPr>
          <w:rFonts w:hint="eastAsia"/>
          <w:sz w:val="21"/>
          <w:szCs w:val="21"/>
        </w:rPr>
        <w:t xml:space="preserve">本基金投资的前十名证券的发行主体中，国家开发银行在报告编制前一年受到中国银行保险监督管理委员会的处罚。招商银行股份有限公司在报告编制前一年受到中国银行保险监督管理委员会广东监管局、 中国人民银行武汉分行的处罚。深圳市地铁集团有限公司在报告编制前一年受到深圳市交通运输局、深圳市福田区水务局的处罚。本基金对上述证券的投资决策程序符合相关法规及公司制度的要求。 </w:t>
      </w:r>
    </w:p>
    <w:p>
      <w:pPr>
        <w:pStyle w:val="7"/>
        <w:spacing w:before="0" w:beforeAutospacing="0" w:after="0" w:afterAutospacing="0" w:line="360" w:lineRule="auto"/>
        <w:ind w:firstLine="420"/>
        <w:rPr>
          <w:sz w:val="21"/>
          <w:szCs w:val="21"/>
        </w:rPr>
      </w:pPr>
      <w:r>
        <w:rPr>
          <w:rFonts w:hint="eastAsia"/>
          <w:sz w:val="21"/>
          <w:szCs w:val="21"/>
        </w:rPr>
        <w:t xml:space="preserve">除上述主体外，基金管理人未发现本基金投资的前十名证券发行主体出现本期被监管部门立案调查，或在报告编制日前一年受到公开谴责、处罚的情形。 </w:t>
      </w:r>
    </w:p>
    <w:p>
      <w:pPr>
        <w:pStyle w:val="7"/>
        <w:spacing w:before="0" w:beforeAutospacing="0" w:after="0" w:afterAutospacing="0" w:line="360" w:lineRule="auto"/>
        <w:ind w:firstLine="420"/>
        <w:rPr>
          <w:sz w:val="21"/>
          <w:szCs w:val="21"/>
        </w:rPr>
      </w:pPr>
      <w:r>
        <w:rPr>
          <w:rFonts w:hint="eastAsia"/>
          <w:b/>
          <w:bCs/>
          <w:sz w:val="21"/>
          <w:szCs w:val="21"/>
        </w:rPr>
        <w:t>11.2报告期内基金投资的前十名股票中，没有投资超出基金合同规定备选股票库之外的股票。</w:t>
      </w:r>
    </w:p>
    <w:p>
      <w:pPr>
        <w:pStyle w:val="7"/>
        <w:spacing w:before="0" w:beforeAutospacing="0" w:after="0" w:afterAutospacing="0" w:line="360" w:lineRule="auto"/>
        <w:ind w:firstLine="420"/>
        <w:rPr>
          <w:sz w:val="21"/>
          <w:szCs w:val="21"/>
        </w:rPr>
      </w:pPr>
      <w:r>
        <w:rPr>
          <w:rFonts w:hint="eastAsia"/>
          <w:b/>
          <w:bCs/>
          <w:sz w:val="21"/>
          <w:szCs w:val="21"/>
        </w:rPr>
        <w:t>11.3其他资产构成</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3827"/>
        <w:gridCol w:w="4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序号 </w:t>
            </w:r>
          </w:p>
        </w:tc>
        <w:tc>
          <w:tcPr>
            <w:tcW w:w="4605" w:type="dxa"/>
            <w:shd w:val="clear" w:color="auto" w:fill="auto"/>
          </w:tcPr>
          <w:p>
            <w:pPr>
              <w:pStyle w:val="7"/>
              <w:jc w:val="center"/>
            </w:pPr>
            <w:r>
              <w:rPr>
                <w:rFonts w:hint="eastAsia"/>
              </w:rPr>
              <w:t xml:space="preserve">名称 </w:t>
            </w:r>
          </w:p>
        </w:tc>
        <w:tc>
          <w:tcPr>
            <w:tcW w:w="4605" w:type="dxa"/>
            <w:shd w:val="clear" w:color="auto" w:fill="auto"/>
          </w:tcPr>
          <w:p>
            <w:pPr>
              <w:pStyle w:val="7"/>
              <w:jc w:val="center"/>
            </w:pPr>
            <w:r>
              <w:rPr>
                <w:rFonts w:hint="eastAsia"/>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1 </w:t>
            </w:r>
          </w:p>
        </w:tc>
        <w:tc>
          <w:tcPr>
            <w:tcW w:w="4605" w:type="dxa"/>
            <w:shd w:val="clear" w:color="auto" w:fill="auto"/>
          </w:tcPr>
          <w:p>
            <w:pPr>
              <w:pStyle w:val="7"/>
            </w:pPr>
            <w:r>
              <w:rPr>
                <w:rFonts w:hint="eastAsia"/>
              </w:rPr>
              <w:t xml:space="preserve">存出保证金 </w:t>
            </w:r>
          </w:p>
        </w:tc>
        <w:tc>
          <w:tcPr>
            <w:tcW w:w="4605" w:type="dxa"/>
            <w:shd w:val="clear" w:color="auto" w:fill="auto"/>
          </w:tcPr>
          <w:p>
            <w:pPr>
              <w:pStyle w:val="7"/>
              <w:jc w:val="right"/>
            </w:pPr>
            <w:r>
              <w:rPr>
                <w:rFonts w:hint="eastAsia"/>
              </w:rPr>
              <w:t xml:space="preserve">131,958.20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2 </w:t>
            </w:r>
          </w:p>
        </w:tc>
        <w:tc>
          <w:tcPr>
            <w:tcW w:w="4605" w:type="dxa"/>
            <w:shd w:val="clear" w:color="auto" w:fill="auto"/>
          </w:tcPr>
          <w:p>
            <w:pPr>
              <w:pStyle w:val="7"/>
            </w:pPr>
            <w:r>
              <w:rPr>
                <w:rFonts w:hint="eastAsia"/>
              </w:rPr>
              <w:t xml:space="preserve">应收证券清算款 </w:t>
            </w:r>
          </w:p>
        </w:tc>
        <w:tc>
          <w:tcPr>
            <w:tcW w:w="46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3 </w:t>
            </w:r>
          </w:p>
        </w:tc>
        <w:tc>
          <w:tcPr>
            <w:tcW w:w="4605" w:type="dxa"/>
            <w:shd w:val="clear" w:color="auto" w:fill="auto"/>
          </w:tcPr>
          <w:p>
            <w:pPr>
              <w:pStyle w:val="7"/>
            </w:pPr>
            <w:r>
              <w:rPr>
                <w:rFonts w:hint="eastAsia"/>
              </w:rPr>
              <w:t xml:space="preserve">应收股利 </w:t>
            </w:r>
          </w:p>
        </w:tc>
        <w:tc>
          <w:tcPr>
            <w:tcW w:w="46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4 </w:t>
            </w:r>
          </w:p>
        </w:tc>
        <w:tc>
          <w:tcPr>
            <w:tcW w:w="4605" w:type="dxa"/>
            <w:shd w:val="clear" w:color="auto" w:fill="auto"/>
          </w:tcPr>
          <w:p>
            <w:pPr>
              <w:pStyle w:val="7"/>
            </w:pPr>
            <w:r>
              <w:rPr>
                <w:rFonts w:hint="eastAsia"/>
              </w:rPr>
              <w:t xml:space="preserve">应收利息 </w:t>
            </w:r>
          </w:p>
        </w:tc>
        <w:tc>
          <w:tcPr>
            <w:tcW w:w="46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5 </w:t>
            </w:r>
          </w:p>
        </w:tc>
        <w:tc>
          <w:tcPr>
            <w:tcW w:w="4605" w:type="dxa"/>
            <w:shd w:val="clear" w:color="auto" w:fill="auto"/>
          </w:tcPr>
          <w:p>
            <w:pPr>
              <w:pStyle w:val="7"/>
            </w:pPr>
            <w:r>
              <w:rPr>
                <w:rFonts w:hint="eastAsia"/>
              </w:rPr>
              <w:t xml:space="preserve">应收申购款 </w:t>
            </w:r>
          </w:p>
        </w:tc>
        <w:tc>
          <w:tcPr>
            <w:tcW w:w="4605" w:type="dxa"/>
            <w:shd w:val="clear" w:color="auto" w:fill="auto"/>
          </w:tcPr>
          <w:p>
            <w:pPr>
              <w:pStyle w:val="7"/>
              <w:jc w:val="right"/>
            </w:pPr>
            <w:r>
              <w:rPr>
                <w:rFonts w:hint="eastAsia"/>
              </w:rPr>
              <w:t xml:space="preserve">49,047.14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6 </w:t>
            </w:r>
          </w:p>
        </w:tc>
        <w:tc>
          <w:tcPr>
            <w:tcW w:w="4605" w:type="dxa"/>
            <w:shd w:val="clear" w:color="auto" w:fill="auto"/>
          </w:tcPr>
          <w:p>
            <w:pPr>
              <w:pStyle w:val="7"/>
            </w:pPr>
            <w:r>
              <w:rPr>
                <w:rFonts w:hint="eastAsia"/>
              </w:rPr>
              <w:t xml:space="preserve">其他应收款 </w:t>
            </w:r>
          </w:p>
        </w:tc>
        <w:tc>
          <w:tcPr>
            <w:tcW w:w="46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7 </w:t>
            </w:r>
          </w:p>
        </w:tc>
        <w:tc>
          <w:tcPr>
            <w:tcW w:w="4605" w:type="dxa"/>
            <w:shd w:val="clear" w:color="auto" w:fill="auto"/>
          </w:tcPr>
          <w:p>
            <w:pPr>
              <w:pStyle w:val="7"/>
            </w:pPr>
            <w:r>
              <w:rPr>
                <w:rFonts w:hint="eastAsia"/>
              </w:rPr>
              <w:t xml:space="preserve">待摊费用 </w:t>
            </w:r>
          </w:p>
        </w:tc>
        <w:tc>
          <w:tcPr>
            <w:tcW w:w="46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8 </w:t>
            </w:r>
          </w:p>
        </w:tc>
        <w:tc>
          <w:tcPr>
            <w:tcW w:w="4605" w:type="dxa"/>
            <w:shd w:val="clear" w:color="auto" w:fill="auto"/>
          </w:tcPr>
          <w:p>
            <w:pPr>
              <w:pStyle w:val="7"/>
            </w:pPr>
            <w:r>
              <w:rPr>
                <w:rFonts w:hint="eastAsia"/>
              </w:rPr>
              <w:t xml:space="preserve">其他 </w:t>
            </w:r>
          </w:p>
        </w:tc>
        <w:tc>
          <w:tcPr>
            <w:tcW w:w="46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9 </w:t>
            </w:r>
          </w:p>
        </w:tc>
        <w:tc>
          <w:tcPr>
            <w:tcW w:w="4605" w:type="dxa"/>
            <w:shd w:val="clear" w:color="auto" w:fill="auto"/>
          </w:tcPr>
          <w:p>
            <w:pPr>
              <w:pStyle w:val="7"/>
            </w:pPr>
            <w:r>
              <w:rPr>
                <w:rFonts w:hint="eastAsia"/>
              </w:rPr>
              <w:t xml:space="preserve">合计 </w:t>
            </w:r>
          </w:p>
        </w:tc>
        <w:tc>
          <w:tcPr>
            <w:tcW w:w="4605" w:type="dxa"/>
            <w:shd w:val="clear" w:color="auto" w:fill="auto"/>
          </w:tcPr>
          <w:p>
            <w:pPr>
              <w:pStyle w:val="7"/>
              <w:jc w:val="right"/>
            </w:pPr>
            <w:r>
              <w:rPr>
                <w:rFonts w:hint="eastAsia"/>
              </w:rPr>
              <w:t xml:space="preserve">181,005.34 </w:t>
            </w:r>
          </w:p>
        </w:tc>
      </w:tr>
    </w:tbl>
    <w:p>
      <w:pPr>
        <w:pStyle w:val="7"/>
        <w:spacing w:before="0" w:beforeAutospacing="0" w:after="0" w:afterAutospacing="0" w:line="360" w:lineRule="auto"/>
        <w:ind w:firstLine="420"/>
        <w:rPr>
          <w:sz w:val="21"/>
          <w:szCs w:val="21"/>
        </w:rPr>
      </w:pPr>
      <w:r>
        <w:rPr>
          <w:rFonts w:hint="eastAsia"/>
          <w:b/>
          <w:bCs/>
          <w:sz w:val="21"/>
          <w:szCs w:val="21"/>
        </w:rPr>
        <w:t>11.4报告期末持有的处于转股期的可转换债券明细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451"/>
        <w:gridCol w:w="1288"/>
        <w:gridCol w:w="2657"/>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序号 </w:t>
            </w:r>
          </w:p>
        </w:tc>
        <w:tc>
          <w:tcPr>
            <w:tcW w:w="1620" w:type="dxa"/>
            <w:shd w:val="clear" w:color="auto" w:fill="auto"/>
          </w:tcPr>
          <w:p>
            <w:pPr>
              <w:pStyle w:val="7"/>
              <w:jc w:val="center"/>
            </w:pPr>
            <w:r>
              <w:rPr>
                <w:rFonts w:hint="eastAsia"/>
              </w:rPr>
              <w:t xml:space="preserve">债券代码 </w:t>
            </w:r>
          </w:p>
        </w:tc>
        <w:tc>
          <w:tcPr>
            <w:tcW w:w="1560" w:type="dxa"/>
            <w:shd w:val="clear" w:color="auto" w:fill="auto"/>
          </w:tcPr>
          <w:p>
            <w:pPr>
              <w:pStyle w:val="7"/>
              <w:jc w:val="center"/>
            </w:pPr>
            <w:r>
              <w:rPr>
                <w:rFonts w:hint="eastAsia"/>
              </w:rPr>
              <w:t xml:space="preserve">债券名称 </w:t>
            </w:r>
          </w:p>
        </w:tc>
        <w:tc>
          <w:tcPr>
            <w:tcW w:w="2985" w:type="dxa"/>
            <w:shd w:val="clear" w:color="auto" w:fill="auto"/>
          </w:tcPr>
          <w:p>
            <w:pPr>
              <w:pStyle w:val="7"/>
              <w:jc w:val="center"/>
            </w:pPr>
            <w:r>
              <w:rPr>
                <w:rFonts w:hint="eastAsia"/>
              </w:rPr>
              <w:t xml:space="preserve">公允价值(元) </w:t>
            </w:r>
          </w:p>
        </w:tc>
        <w:tc>
          <w:tcPr>
            <w:tcW w:w="303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1 </w:t>
            </w:r>
          </w:p>
        </w:tc>
        <w:tc>
          <w:tcPr>
            <w:tcW w:w="1620" w:type="dxa"/>
            <w:shd w:val="clear" w:color="auto" w:fill="auto"/>
          </w:tcPr>
          <w:p>
            <w:pPr>
              <w:pStyle w:val="7"/>
              <w:jc w:val="center"/>
            </w:pPr>
            <w:r>
              <w:rPr>
                <w:rFonts w:hint="eastAsia"/>
              </w:rPr>
              <w:t xml:space="preserve">113037 </w:t>
            </w:r>
          </w:p>
        </w:tc>
        <w:tc>
          <w:tcPr>
            <w:tcW w:w="1560" w:type="dxa"/>
            <w:shd w:val="clear" w:color="auto" w:fill="auto"/>
          </w:tcPr>
          <w:p>
            <w:pPr>
              <w:pStyle w:val="7"/>
              <w:jc w:val="center"/>
            </w:pPr>
            <w:r>
              <w:rPr>
                <w:rFonts w:hint="eastAsia"/>
              </w:rPr>
              <w:t xml:space="preserve">紫银转债 </w:t>
            </w:r>
          </w:p>
        </w:tc>
        <w:tc>
          <w:tcPr>
            <w:tcW w:w="2985" w:type="dxa"/>
            <w:shd w:val="clear" w:color="auto" w:fill="auto"/>
          </w:tcPr>
          <w:p>
            <w:pPr>
              <w:pStyle w:val="7"/>
              <w:jc w:val="right"/>
            </w:pPr>
            <w:r>
              <w:rPr>
                <w:rFonts w:hint="eastAsia"/>
              </w:rPr>
              <w:t xml:space="preserve">5,565,947.65 </w:t>
            </w:r>
          </w:p>
        </w:tc>
        <w:tc>
          <w:tcPr>
            <w:tcW w:w="3030" w:type="dxa"/>
            <w:shd w:val="clear" w:color="auto" w:fill="auto"/>
          </w:tcPr>
          <w:p>
            <w:pPr>
              <w:pStyle w:val="7"/>
              <w:jc w:val="right"/>
            </w:pPr>
            <w:r>
              <w:rPr>
                <w:rFonts w:hint="eastAsia"/>
              </w:rPr>
              <w:t xml:space="preserve">1.39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2 </w:t>
            </w:r>
          </w:p>
        </w:tc>
        <w:tc>
          <w:tcPr>
            <w:tcW w:w="1620" w:type="dxa"/>
            <w:shd w:val="clear" w:color="auto" w:fill="auto"/>
          </w:tcPr>
          <w:p>
            <w:pPr>
              <w:pStyle w:val="7"/>
              <w:jc w:val="center"/>
            </w:pPr>
            <w:r>
              <w:rPr>
                <w:rFonts w:hint="eastAsia"/>
              </w:rPr>
              <w:t xml:space="preserve">127045 </w:t>
            </w:r>
          </w:p>
        </w:tc>
        <w:tc>
          <w:tcPr>
            <w:tcW w:w="1560" w:type="dxa"/>
            <w:shd w:val="clear" w:color="auto" w:fill="auto"/>
          </w:tcPr>
          <w:p>
            <w:pPr>
              <w:pStyle w:val="7"/>
              <w:jc w:val="center"/>
            </w:pPr>
            <w:r>
              <w:rPr>
                <w:rFonts w:hint="eastAsia"/>
              </w:rPr>
              <w:t xml:space="preserve">牧原转债 </w:t>
            </w:r>
          </w:p>
        </w:tc>
        <w:tc>
          <w:tcPr>
            <w:tcW w:w="2985" w:type="dxa"/>
            <w:shd w:val="clear" w:color="auto" w:fill="auto"/>
          </w:tcPr>
          <w:p>
            <w:pPr>
              <w:pStyle w:val="7"/>
              <w:jc w:val="right"/>
            </w:pPr>
            <w:r>
              <w:rPr>
                <w:rFonts w:hint="eastAsia"/>
              </w:rPr>
              <w:t xml:space="preserve">2,016,525.43 </w:t>
            </w:r>
          </w:p>
        </w:tc>
        <w:tc>
          <w:tcPr>
            <w:tcW w:w="3030" w:type="dxa"/>
            <w:shd w:val="clear" w:color="auto" w:fill="auto"/>
          </w:tcPr>
          <w:p>
            <w:pPr>
              <w:pStyle w:val="7"/>
              <w:jc w:val="right"/>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3 </w:t>
            </w:r>
          </w:p>
        </w:tc>
        <w:tc>
          <w:tcPr>
            <w:tcW w:w="1620" w:type="dxa"/>
            <w:shd w:val="clear" w:color="auto" w:fill="auto"/>
          </w:tcPr>
          <w:p>
            <w:pPr>
              <w:pStyle w:val="7"/>
              <w:jc w:val="center"/>
            </w:pPr>
            <w:r>
              <w:rPr>
                <w:rFonts w:hint="eastAsia"/>
              </w:rPr>
              <w:t xml:space="preserve">123107 </w:t>
            </w:r>
          </w:p>
        </w:tc>
        <w:tc>
          <w:tcPr>
            <w:tcW w:w="1560" w:type="dxa"/>
            <w:shd w:val="clear" w:color="auto" w:fill="auto"/>
          </w:tcPr>
          <w:p>
            <w:pPr>
              <w:pStyle w:val="7"/>
              <w:jc w:val="center"/>
            </w:pPr>
            <w:r>
              <w:rPr>
                <w:rFonts w:hint="eastAsia"/>
              </w:rPr>
              <w:t xml:space="preserve">温氏转债 </w:t>
            </w:r>
          </w:p>
        </w:tc>
        <w:tc>
          <w:tcPr>
            <w:tcW w:w="2985" w:type="dxa"/>
            <w:shd w:val="clear" w:color="auto" w:fill="auto"/>
          </w:tcPr>
          <w:p>
            <w:pPr>
              <w:pStyle w:val="7"/>
              <w:jc w:val="right"/>
            </w:pPr>
            <w:r>
              <w:rPr>
                <w:rFonts w:hint="eastAsia"/>
              </w:rPr>
              <w:t xml:space="preserve">1,977,272.79 </w:t>
            </w:r>
          </w:p>
        </w:tc>
        <w:tc>
          <w:tcPr>
            <w:tcW w:w="3030" w:type="dxa"/>
            <w:shd w:val="clear" w:color="auto" w:fill="auto"/>
          </w:tcPr>
          <w:p>
            <w:pPr>
              <w:pStyle w:val="7"/>
              <w:jc w:val="right"/>
            </w:pPr>
            <w:r>
              <w:rPr>
                <w:rFonts w:hint="eastAsia"/>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4 </w:t>
            </w:r>
          </w:p>
        </w:tc>
        <w:tc>
          <w:tcPr>
            <w:tcW w:w="1620" w:type="dxa"/>
            <w:shd w:val="clear" w:color="auto" w:fill="auto"/>
          </w:tcPr>
          <w:p>
            <w:pPr>
              <w:pStyle w:val="7"/>
              <w:jc w:val="center"/>
            </w:pPr>
            <w:r>
              <w:rPr>
                <w:rFonts w:hint="eastAsia"/>
              </w:rPr>
              <w:t xml:space="preserve">113013 </w:t>
            </w:r>
          </w:p>
        </w:tc>
        <w:tc>
          <w:tcPr>
            <w:tcW w:w="1560" w:type="dxa"/>
            <w:shd w:val="clear" w:color="auto" w:fill="auto"/>
          </w:tcPr>
          <w:p>
            <w:pPr>
              <w:pStyle w:val="7"/>
              <w:jc w:val="center"/>
            </w:pPr>
            <w:r>
              <w:rPr>
                <w:rFonts w:hint="eastAsia"/>
              </w:rPr>
              <w:t xml:space="preserve">国君转债 </w:t>
            </w:r>
          </w:p>
        </w:tc>
        <w:tc>
          <w:tcPr>
            <w:tcW w:w="2985" w:type="dxa"/>
            <w:shd w:val="clear" w:color="auto" w:fill="auto"/>
          </w:tcPr>
          <w:p>
            <w:pPr>
              <w:pStyle w:val="7"/>
              <w:jc w:val="right"/>
            </w:pPr>
            <w:r>
              <w:rPr>
                <w:rFonts w:hint="eastAsia"/>
              </w:rPr>
              <w:t xml:space="preserve">1,151,866.77 </w:t>
            </w:r>
          </w:p>
        </w:tc>
        <w:tc>
          <w:tcPr>
            <w:tcW w:w="3030" w:type="dxa"/>
            <w:shd w:val="clear" w:color="auto" w:fill="auto"/>
          </w:tcPr>
          <w:p>
            <w:pPr>
              <w:pStyle w:val="7"/>
              <w:jc w:val="right"/>
            </w:pPr>
            <w:r>
              <w:rPr>
                <w:rFonts w:hint="eastAsia"/>
              </w:rPr>
              <w:t xml:space="preserve">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5 </w:t>
            </w:r>
          </w:p>
        </w:tc>
        <w:tc>
          <w:tcPr>
            <w:tcW w:w="1620" w:type="dxa"/>
            <w:shd w:val="clear" w:color="auto" w:fill="auto"/>
          </w:tcPr>
          <w:p>
            <w:pPr>
              <w:pStyle w:val="7"/>
              <w:jc w:val="center"/>
            </w:pPr>
            <w:r>
              <w:rPr>
                <w:rFonts w:hint="eastAsia"/>
              </w:rPr>
              <w:t xml:space="preserve">132022 </w:t>
            </w:r>
          </w:p>
        </w:tc>
        <w:tc>
          <w:tcPr>
            <w:tcW w:w="1560" w:type="dxa"/>
            <w:shd w:val="clear" w:color="auto" w:fill="auto"/>
          </w:tcPr>
          <w:p>
            <w:pPr>
              <w:pStyle w:val="7"/>
              <w:jc w:val="center"/>
            </w:pPr>
            <w:r>
              <w:rPr>
                <w:rFonts w:hint="eastAsia"/>
              </w:rPr>
              <w:t xml:space="preserve">20广版EB </w:t>
            </w:r>
          </w:p>
        </w:tc>
        <w:tc>
          <w:tcPr>
            <w:tcW w:w="2985" w:type="dxa"/>
            <w:shd w:val="clear" w:color="auto" w:fill="auto"/>
          </w:tcPr>
          <w:p>
            <w:pPr>
              <w:pStyle w:val="7"/>
              <w:jc w:val="right"/>
            </w:pPr>
            <w:r>
              <w:rPr>
                <w:rFonts w:hint="eastAsia"/>
              </w:rPr>
              <w:t xml:space="preserve">167,221.74 </w:t>
            </w:r>
          </w:p>
        </w:tc>
        <w:tc>
          <w:tcPr>
            <w:tcW w:w="3030" w:type="dxa"/>
            <w:shd w:val="clear" w:color="auto" w:fill="auto"/>
          </w:tcPr>
          <w:p>
            <w:pPr>
              <w:pStyle w:val="7"/>
              <w:jc w:val="right"/>
            </w:pPr>
            <w:r>
              <w:rPr>
                <w:rFonts w:hint="eastAsia"/>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6 </w:t>
            </w:r>
          </w:p>
        </w:tc>
        <w:tc>
          <w:tcPr>
            <w:tcW w:w="1620" w:type="dxa"/>
            <w:shd w:val="clear" w:color="auto" w:fill="auto"/>
          </w:tcPr>
          <w:p>
            <w:pPr>
              <w:pStyle w:val="7"/>
              <w:jc w:val="center"/>
            </w:pPr>
            <w:r>
              <w:rPr>
                <w:rFonts w:hint="eastAsia"/>
              </w:rPr>
              <w:t xml:space="preserve">113050 </w:t>
            </w:r>
          </w:p>
        </w:tc>
        <w:tc>
          <w:tcPr>
            <w:tcW w:w="1560" w:type="dxa"/>
            <w:shd w:val="clear" w:color="auto" w:fill="auto"/>
          </w:tcPr>
          <w:p>
            <w:pPr>
              <w:pStyle w:val="7"/>
              <w:jc w:val="center"/>
            </w:pPr>
            <w:r>
              <w:rPr>
                <w:rFonts w:hint="eastAsia"/>
              </w:rPr>
              <w:t xml:space="preserve">南银转债 </w:t>
            </w:r>
          </w:p>
        </w:tc>
        <w:tc>
          <w:tcPr>
            <w:tcW w:w="2985" w:type="dxa"/>
            <w:shd w:val="clear" w:color="auto" w:fill="auto"/>
          </w:tcPr>
          <w:p>
            <w:pPr>
              <w:pStyle w:val="7"/>
              <w:jc w:val="right"/>
            </w:pPr>
            <w:r>
              <w:rPr>
                <w:rFonts w:hint="eastAsia"/>
              </w:rPr>
              <w:t xml:space="preserve">149,674.51 </w:t>
            </w:r>
          </w:p>
        </w:tc>
        <w:tc>
          <w:tcPr>
            <w:tcW w:w="3030" w:type="dxa"/>
            <w:shd w:val="clear" w:color="auto" w:fill="auto"/>
          </w:tcPr>
          <w:p>
            <w:pPr>
              <w:pStyle w:val="7"/>
              <w:jc w:val="right"/>
            </w:pPr>
            <w:r>
              <w:rPr>
                <w:rFonts w:hint="eastAsia"/>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pPr>
            <w:r>
              <w:rPr>
                <w:rFonts w:hint="eastAsia"/>
              </w:rPr>
              <w:t xml:space="preserve">7 </w:t>
            </w:r>
          </w:p>
        </w:tc>
        <w:tc>
          <w:tcPr>
            <w:tcW w:w="1620" w:type="dxa"/>
            <w:shd w:val="clear" w:color="auto" w:fill="auto"/>
          </w:tcPr>
          <w:p>
            <w:pPr>
              <w:pStyle w:val="7"/>
              <w:jc w:val="center"/>
            </w:pPr>
            <w:r>
              <w:rPr>
                <w:rFonts w:hint="eastAsia"/>
              </w:rPr>
              <w:t xml:space="preserve">113576 </w:t>
            </w:r>
          </w:p>
        </w:tc>
        <w:tc>
          <w:tcPr>
            <w:tcW w:w="1560" w:type="dxa"/>
            <w:shd w:val="clear" w:color="auto" w:fill="auto"/>
          </w:tcPr>
          <w:p>
            <w:pPr>
              <w:pStyle w:val="7"/>
              <w:jc w:val="center"/>
            </w:pPr>
            <w:r>
              <w:rPr>
                <w:rFonts w:hint="eastAsia"/>
              </w:rPr>
              <w:t xml:space="preserve">起步转债 </w:t>
            </w:r>
          </w:p>
        </w:tc>
        <w:tc>
          <w:tcPr>
            <w:tcW w:w="2985" w:type="dxa"/>
            <w:shd w:val="clear" w:color="auto" w:fill="auto"/>
          </w:tcPr>
          <w:p>
            <w:pPr>
              <w:pStyle w:val="7"/>
              <w:jc w:val="right"/>
            </w:pPr>
            <w:r>
              <w:rPr>
                <w:rFonts w:hint="eastAsia"/>
              </w:rPr>
              <w:t xml:space="preserve">1,206.86 </w:t>
            </w:r>
          </w:p>
        </w:tc>
        <w:tc>
          <w:tcPr>
            <w:tcW w:w="3030" w:type="dxa"/>
            <w:shd w:val="clear" w:color="auto" w:fill="auto"/>
          </w:tcPr>
          <w:p>
            <w:pPr>
              <w:pStyle w:val="7"/>
              <w:jc w:val="right"/>
            </w:pPr>
            <w:r>
              <w:rPr>
                <w:rFonts w:hint="eastAsia"/>
              </w:rPr>
              <w:t xml:space="preserve">0.00 </w:t>
            </w:r>
          </w:p>
        </w:tc>
      </w:tr>
    </w:tbl>
    <w:p>
      <w:pPr>
        <w:pStyle w:val="7"/>
        <w:spacing w:before="0" w:beforeAutospacing="0" w:after="0" w:afterAutospacing="0" w:line="360" w:lineRule="auto"/>
        <w:ind w:firstLine="420"/>
        <w:rPr>
          <w:sz w:val="21"/>
          <w:szCs w:val="21"/>
        </w:rPr>
      </w:pPr>
      <w:r>
        <w:rPr>
          <w:rFonts w:hint="eastAsia"/>
          <w:b/>
          <w:bCs/>
          <w:sz w:val="21"/>
          <w:szCs w:val="21"/>
        </w:rPr>
        <w:t>11.5报告期末前十名股票中存在流通受限情况的说明</w:t>
      </w:r>
    </w:p>
    <w:p>
      <w:pPr>
        <w:pStyle w:val="7"/>
        <w:spacing w:before="0" w:beforeAutospacing="0" w:after="0" w:afterAutospacing="0" w:line="360" w:lineRule="auto"/>
        <w:ind w:firstLine="420"/>
        <w:rPr>
          <w:sz w:val="21"/>
          <w:szCs w:val="21"/>
        </w:rPr>
      </w:pPr>
      <w:r>
        <w:rPr>
          <w:rFonts w:hint="eastAsia"/>
          <w:sz w:val="21"/>
          <w:szCs w:val="21"/>
        </w:rPr>
        <w:t xml:space="preserve">本基金本报告期末前十名股票中不存在流通受限情况。 </w:t>
      </w:r>
    </w:p>
    <w:p>
      <w:pPr>
        <w:pStyle w:val="7"/>
        <w:spacing w:before="0" w:beforeAutospacing="0" w:after="0" w:afterAutospacing="0" w:line="360" w:lineRule="auto"/>
        <w:ind w:firstLine="420"/>
        <w:rPr>
          <w:sz w:val="21"/>
          <w:szCs w:val="21"/>
        </w:rPr>
      </w:pPr>
      <w:r>
        <w:rPr>
          <w:rFonts w:hint="eastAsia"/>
          <w:b/>
          <w:bCs/>
          <w:sz w:val="21"/>
          <w:szCs w:val="21"/>
        </w:rPr>
        <w:t>11.6投资组合报告附注的其他文字描述部分</w:t>
      </w:r>
    </w:p>
    <w:p>
      <w:pPr>
        <w:pStyle w:val="7"/>
        <w:spacing w:before="0" w:beforeAutospacing="0" w:after="0" w:afterAutospacing="0" w:line="360" w:lineRule="auto"/>
        <w:ind w:firstLine="420"/>
        <w:rPr>
          <w:sz w:val="21"/>
          <w:szCs w:val="21"/>
        </w:rPr>
      </w:pPr>
      <w:bookmarkStart w:id="143" w:name="chapter_level1_12_60_section_6_end"/>
      <w:bookmarkEnd w:id="143"/>
      <w:r>
        <w:rPr>
          <w:rFonts w:hint="eastAsia"/>
          <w:sz w:val="21"/>
          <w:szCs w:val="21"/>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4" w:name="chapter_level1_13_3500"/>
      <w:bookmarkStart w:id="145" w:name="_Toc113522952"/>
      <w:r>
        <w:rPr>
          <w:rFonts w:hint="eastAsia" w:ascii="宋体" w:hAnsi="宋体" w:eastAsia="宋体"/>
          <w:sz w:val="30"/>
        </w:rPr>
        <w:t>十、基金的业绩</w:t>
      </w:r>
      <w:bookmarkEnd w:id="144"/>
      <w:bookmarkEnd w:id="145"/>
    </w:p>
    <w:p>
      <w:pPr>
        <w:pStyle w:val="7"/>
        <w:spacing w:before="0" w:beforeAutospacing="0" w:after="0" w:afterAutospacing="0" w:line="360" w:lineRule="auto"/>
        <w:ind w:firstLine="420"/>
        <w:rPr>
          <w:sz w:val="21"/>
          <w:szCs w:val="21"/>
        </w:rPr>
      </w:pPr>
      <w:bookmarkStart w:id="146" w:name="chapter_level1_13_3500_section_1"/>
      <w:bookmarkEnd w:id="146"/>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 </w:t>
      </w:r>
    </w:p>
    <w:p>
      <w:pPr>
        <w:pStyle w:val="7"/>
        <w:spacing w:before="0" w:beforeAutospacing="0" w:after="0" w:afterAutospacing="0" w:line="360" w:lineRule="auto"/>
        <w:ind w:firstLine="420"/>
        <w:rPr>
          <w:sz w:val="21"/>
          <w:szCs w:val="21"/>
        </w:rPr>
      </w:pPr>
      <w:bookmarkStart w:id="147" w:name="field_0_indatatable_1_start"/>
      <w:bookmarkEnd w:id="147"/>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38"/>
        <w:gridCol w:w="970"/>
        <w:gridCol w:w="1180"/>
        <w:gridCol w:w="1110"/>
        <w:gridCol w:w="95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期间</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①净值增长率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②净值增长率标准差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③业绩比较基准收益率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④业绩比较基准收益率标准差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①-③</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2006.05.31-2006.12.31</w:t>
            </w:r>
          </w:p>
        </w:tc>
        <w:tc>
          <w:tcPr>
            <w:tcW w:w="1038" w:type="dxa"/>
            <w:shd w:val="clear" w:color="auto" w:fill="auto"/>
            <w:vAlign w:val="top"/>
          </w:tcPr>
          <w:p>
            <w:pPr>
              <w:jc w:val="center"/>
              <w:rPr>
                <w:rFonts w:ascii="宋体" w:hAnsi="宋体" w:eastAsia="宋体" w:cs="宋体"/>
                <w:sz w:val="24"/>
                <w:szCs w:val="24"/>
              </w:rPr>
            </w:pPr>
            <w:r>
              <w:rPr>
                <w:rFonts w:hint="eastAsia" w:ascii="宋体" w:hAnsi="宋体" w:eastAsia="宋体"/>
              </w:rPr>
              <w:t xml:space="preserve">32.30% </w:t>
            </w:r>
          </w:p>
        </w:tc>
        <w:tc>
          <w:tcPr>
            <w:tcW w:w="970" w:type="dxa"/>
            <w:shd w:val="clear" w:color="auto" w:fill="auto"/>
            <w:vAlign w:val="top"/>
          </w:tcPr>
          <w:p>
            <w:pPr>
              <w:jc w:val="center"/>
              <w:rPr>
                <w:rFonts w:ascii="宋体" w:hAnsi="宋体" w:eastAsia="宋体" w:cs="宋体"/>
                <w:sz w:val="24"/>
                <w:szCs w:val="24"/>
              </w:rPr>
            </w:pPr>
            <w:r>
              <w:rPr>
                <w:rFonts w:hint="eastAsia" w:ascii="宋体" w:hAnsi="宋体" w:eastAsia="宋体"/>
              </w:rPr>
              <w:t xml:space="preserve">0.75% </w:t>
            </w:r>
          </w:p>
        </w:tc>
        <w:tc>
          <w:tcPr>
            <w:tcW w:w="1180" w:type="dxa"/>
            <w:shd w:val="clear" w:color="auto" w:fill="auto"/>
            <w:vAlign w:val="top"/>
          </w:tcPr>
          <w:p>
            <w:pPr>
              <w:jc w:val="center"/>
              <w:rPr>
                <w:rFonts w:ascii="宋体" w:hAnsi="宋体" w:eastAsia="宋体" w:cs="宋体"/>
                <w:sz w:val="24"/>
                <w:szCs w:val="24"/>
              </w:rPr>
            </w:pPr>
            <w:r>
              <w:rPr>
                <w:rFonts w:hint="eastAsia" w:ascii="宋体" w:hAnsi="宋体" w:eastAsia="宋体"/>
              </w:rPr>
              <w:t xml:space="preserve">19.72% </w:t>
            </w:r>
          </w:p>
        </w:tc>
        <w:tc>
          <w:tcPr>
            <w:tcW w:w="1110" w:type="dxa"/>
            <w:shd w:val="clear" w:color="auto" w:fill="auto"/>
            <w:vAlign w:val="top"/>
          </w:tcPr>
          <w:p>
            <w:pPr>
              <w:jc w:val="center"/>
              <w:rPr>
                <w:rFonts w:ascii="宋体" w:hAnsi="宋体" w:eastAsia="宋体" w:cs="宋体"/>
                <w:sz w:val="24"/>
                <w:szCs w:val="24"/>
              </w:rPr>
            </w:pPr>
            <w:r>
              <w:rPr>
                <w:rFonts w:hint="eastAsia" w:ascii="宋体" w:hAnsi="宋体" w:eastAsia="宋体"/>
              </w:rPr>
              <w:t xml:space="preserve">0.66% </w:t>
            </w:r>
          </w:p>
        </w:tc>
        <w:tc>
          <w:tcPr>
            <w:tcW w:w="951" w:type="dxa"/>
            <w:shd w:val="clear" w:color="auto" w:fill="auto"/>
            <w:vAlign w:val="top"/>
          </w:tcPr>
          <w:p>
            <w:pPr>
              <w:jc w:val="center"/>
              <w:rPr>
                <w:rFonts w:ascii="宋体" w:hAnsi="宋体" w:eastAsia="宋体" w:cs="宋体"/>
                <w:sz w:val="24"/>
                <w:szCs w:val="24"/>
              </w:rPr>
            </w:pPr>
            <w:r>
              <w:rPr>
                <w:rFonts w:hint="eastAsia" w:ascii="宋体" w:hAnsi="宋体" w:eastAsia="宋体"/>
              </w:rPr>
              <w:t xml:space="preserve">12.58% </w:t>
            </w:r>
          </w:p>
        </w:tc>
        <w:tc>
          <w:tcPr>
            <w:tcW w:w="846" w:type="dxa"/>
            <w:shd w:val="clear" w:color="auto" w:fill="auto"/>
            <w:vAlign w:val="top"/>
          </w:tcPr>
          <w:p>
            <w:pPr>
              <w:jc w:val="center"/>
              <w:rPr>
                <w:rFonts w:ascii="宋体" w:hAnsi="宋体" w:eastAsia="宋体" w:cs="宋体"/>
                <w:sz w:val="24"/>
                <w:szCs w:val="24"/>
              </w:rPr>
            </w:pPr>
            <w:r>
              <w:rPr>
                <w:rFonts w:hint="eastAsia" w:ascii="宋体" w:hAnsi="宋体" w:eastAsia="宋体"/>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2007.01.01-2007.12.31</w:t>
            </w:r>
          </w:p>
        </w:tc>
        <w:tc>
          <w:tcPr>
            <w:tcW w:w="1038" w:type="dxa"/>
            <w:shd w:val="clear" w:color="auto" w:fill="auto"/>
            <w:vAlign w:val="top"/>
          </w:tcPr>
          <w:p>
            <w:pPr>
              <w:jc w:val="center"/>
              <w:rPr>
                <w:rFonts w:ascii="宋体" w:hAnsi="宋体" w:eastAsia="宋体" w:cs="宋体"/>
                <w:sz w:val="24"/>
                <w:szCs w:val="24"/>
              </w:rPr>
            </w:pPr>
            <w:r>
              <w:rPr>
                <w:rFonts w:hint="eastAsia" w:ascii="宋体" w:hAnsi="宋体" w:eastAsia="宋体"/>
              </w:rPr>
              <w:t xml:space="preserve">97.99% </w:t>
            </w:r>
          </w:p>
        </w:tc>
        <w:tc>
          <w:tcPr>
            <w:tcW w:w="970" w:type="dxa"/>
            <w:shd w:val="clear" w:color="auto" w:fill="auto"/>
            <w:vAlign w:val="top"/>
          </w:tcPr>
          <w:p>
            <w:pPr>
              <w:jc w:val="center"/>
              <w:rPr>
                <w:rFonts w:ascii="宋体" w:hAnsi="宋体" w:eastAsia="宋体" w:cs="宋体"/>
                <w:sz w:val="24"/>
                <w:szCs w:val="24"/>
              </w:rPr>
            </w:pPr>
            <w:r>
              <w:rPr>
                <w:rFonts w:hint="eastAsia" w:ascii="宋体" w:hAnsi="宋体" w:eastAsia="宋体"/>
              </w:rPr>
              <w:t xml:space="preserve">1.44%  </w:t>
            </w:r>
          </w:p>
        </w:tc>
        <w:tc>
          <w:tcPr>
            <w:tcW w:w="1180" w:type="dxa"/>
            <w:shd w:val="clear" w:color="auto" w:fill="auto"/>
            <w:vAlign w:val="top"/>
          </w:tcPr>
          <w:p>
            <w:pPr>
              <w:jc w:val="center"/>
              <w:rPr>
                <w:rFonts w:ascii="宋体" w:hAnsi="宋体" w:eastAsia="宋体" w:cs="宋体"/>
                <w:sz w:val="24"/>
                <w:szCs w:val="24"/>
              </w:rPr>
            </w:pPr>
            <w:r>
              <w:rPr>
                <w:rFonts w:hint="eastAsia" w:ascii="宋体" w:hAnsi="宋体" w:eastAsia="宋体"/>
              </w:rPr>
              <w:t xml:space="preserve">53.97% </w:t>
            </w:r>
          </w:p>
        </w:tc>
        <w:tc>
          <w:tcPr>
            <w:tcW w:w="1110" w:type="dxa"/>
            <w:shd w:val="clear" w:color="auto" w:fill="auto"/>
            <w:vAlign w:val="top"/>
          </w:tcPr>
          <w:p>
            <w:pPr>
              <w:jc w:val="center"/>
              <w:rPr>
                <w:rFonts w:ascii="宋体" w:hAnsi="宋体" w:eastAsia="宋体" w:cs="宋体"/>
                <w:sz w:val="24"/>
                <w:szCs w:val="24"/>
              </w:rPr>
            </w:pPr>
            <w:r>
              <w:rPr>
                <w:rFonts w:hint="eastAsia" w:ascii="宋体" w:hAnsi="宋体" w:eastAsia="宋体"/>
              </w:rPr>
              <w:t xml:space="preserve">1.03%  </w:t>
            </w:r>
          </w:p>
        </w:tc>
        <w:tc>
          <w:tcPr>
            <w:tcW w:w="951" w:type="dxa"/>
            <w:shd w:val="clear" w:color="auto" w:fill="auto"/>
            <w:vAlign w:val="top"/>
          </w:tcPr>
          <w:p>
            <w:pPr>
              <w:jc w:val="center"/>
              <w:rPr>
                <w:rFonts w:ascii="宋体" w:hAnsi="宋体" w:eastAsia="宋体" w:cs="宋体"/>
                <w:sz w:val="24"/>
                <w:szCs w:val="24"/>
              </w:rPr>
            </w:pPr>
            <w:r>
              <w:rPr>
                <w:rFonts w:hint="eastAsia" w:ascii="宋体" w:hAnsi="宋体" w:eastAsia="宋体"/>
              </w:rPr>
              <w:t xml:space="preserve">44.02% </w:t>
            </w:r>
          </w:p>
        </w:tc>
        <w:tc>
          <w:tcPr>
            <w:tcW w:w="846" w:type="dxa"/>
            <w:shd w:val="clear" w:color="auto" w:fill="auto"/>
            <w:vAlign w:val="top"/>
          </w:tcPr>
          <w:p>
            <w:pPr>
              <w:jc w:val="center"/>
              <w:rPr>
                <w:rFonts w:ascii="宋体" w:hAnsi="宋体" w:eastAsia="宋体" w:cs="宋体"/>
                <w:sz w:val="24"/>
                <w:szCs w:val="24"/>
              </w:rPr>
            </w:pPr>
            <w:r>
              <w:rPr>
                <w:rFonts w:hint="eastAsia" w:ascii="宋体" w:hAnsi="宋体" w:eastAsia="宋体"/>
              </w:rPr>
              <w:t xml:space="preserve">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2008.01.01-2008.12.31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-26.32%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-31.34%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5.02%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2009.01.01-2009.12.31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51.50%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36.33%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15.17%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2010.01.01-2010.12.31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2.76%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-1.63%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4.39%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2011.01.01-2011.12.31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-28.55%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-10.50%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0.59%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-18.05%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2012.01.01-2012.12.31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5.43%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4.48%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0.58%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2013.01.01-2013.12.31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7.61%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-2.27%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9.88%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2014.01.01-2014.12.31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17.90%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0.43%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25.04%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0.52%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-7.14%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2015.01.01-2015.12.31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2.04%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10.67%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-8.63%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2016.01.01-2016.12.31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-13.45%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1.27%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-5.88%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-7.57%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2017.01.01-2017.12.31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15.45%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6.72%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8.73%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2018.01.01-2018.12.31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-20.81%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-8.59%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0.59%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-12.22%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2019.01.01-2019.12.31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37.17%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17.47%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0.55%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19.70%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2020.01.01-2020.12.31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34.68%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13.10%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21.58%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2021.01.01-2021.12.31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2.83%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0.49%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0.47%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2022.01.01-2022.06.30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-4.96%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-3.58%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2006.05.31-2022.06.30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320.46%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158.44%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162.02%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0.25%</w:t>
            </w:r>
          </w:p>
        </w:tc>
      </w:tr>
    </w:tbl>
    <w:p>
      <w:pPr>
        <w:pStyle w:val="7"/>
        <w:spacing w:before="0" w:beforeAutospacing="0" w:after="0" w:afterAutospacing="0" w:line="360" w:lineRule="auto"/>
        <w:ind w:firstLine="420"/>
        <w:rPr>
          <w:sz w:val="21"/>
          <w:szCs w:val="21"/>
        </w:rPr>
      </w:pPr>
      <w:bookmarkStart w:id="148" w:name="field_0_indatatable_1_end"/>
      <w:bookmarkEnd w:id="148"/>
      <w:bookmarkStart w:id="149" w:name="chapter_level1_13_3500_section_1_end"/>
      <w:bookmarkEnd w:id="149"/>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0" w:name="chapter_level1_14_62"/>
      <w:bookmarkStart w:id="151" w:name="_Toc113522953"/>
      <w:r>
        <w:rPr>
          <w:rFonts w:hint="eastAsia" w:ascii="宋体" w:hAnsi="宋体" w:eastAsia="宋体"/>
          <w:sz w:val="30"/>
        </w:rPr>
        <w:t>十一、基金的财产</w:t>
      </w:r>
      <w:bookmarkEnd w:id="150"/>
      <w:bookmarkEnd w:id="151"/>
    </w:p>
    <w:p>
      <w:pPr>
        <w:pStyle w:val="7"/>
        <w:spacing w:before="0" w:beforeAutospacing="0" w:after="0" w:afterAutospacing="0" w:line="360" w:lineRule="auto"/>
        <w:ind w:firstLine="420"/>
        <w:rPr>
          <w:sz w:val="21"/>
          <w:szCs w:val="21"/>
        </w:rPr>
      </w:pPr>
      <w:bookmarkStart w:id="152" w:name="chapter_level1_14_62_section_1"/>
      <w:bookmarkEnd w:id="152"/>
      <w:r>
        <w:rPr>
          <w:rStyle w:val="11"/>
          <w:rFonts w:hint="eastAsia"/>
          <w:sz w:val="21"/>
          <w:szCs w:val="21"/>
        </w:rPr>
        <w:t>（一）基金资产的总值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基金资产总值是指基金拥有的各类证券及票据价值、银行存款本息和基金应收的申购基金款以及其他投资所形成的价值总和。 </w:t>
      </w:r>
    </w:p>
    <w:p>
      <w:pPr>
        <w:pStyle w:val="7"/>
        <w:spacing w:before="0" w:beforeAutospacing="0" w:after="0" w:afterAutospacing="0" w:line="360" w:lineRule="auto"/>
        <w:ind w:firstLine="420"/>
        <w:rPr>
          <w:sz w:val="21"/>
          <w:szCs w:val="21"/>
        </w:rPr>
      </w:pPr>
      <w:r>
        <w:rPr>
          <w:rFonts w:hint="eastAsia"/>
          <w:sz w:val="21"/>
          <w:szCs w:val="21"/>
        </w:rPr>
        <w:t xml:space="preserve">其构成主要有： </w:t>
      </w:r>
    </w:p>
    <w:p>
      <w:pPr>
        <w:pStyle w:val="7"/>
        <w:spacing w:before="0" w:beforeAutospacing="0" w:after="0" w:afterAutospacing="0" w:line="360" w:lineRule="auto"/>
        <w:ind w:firstLine="420"/>
        <w:rPr>
          <w:sz w:val="21"/>
          <w:szCs w:val="21"/>
        </w:rPr>
      </w:pPr>
      <w:r>
        <w:rPr>
          <w:rFonts w:hint="eastAsia"/>
          <w:sz w:val="21"/>
          <w:szCs w:val="21"/>
        </w:rPr>
        <w:t xml:space="preserve">1、银行存款及其应计利息； </w:t>
      </w:r>
    </w:p>
    <w:p>
      <w:pPr>
        <w:pStyle w:val="7"/>
        <w:spacing w:before="0" w:beforeAutospacing="0" w:after="0" w:afterAutospacing="0" w:line="360" w:lineRule="auto"/>
        <w:ind w:firstLine="420"/>
        <w:rPr>
          <w:sz w:val="21"/>
          <w:szCs w:val="21"/>
        </w:rPr>
      </w:pPr>
      <w:r>
        <w:rPr>
          <w:rFonts w:hint="eastAsia"/>
          <w:sz w:val="21"/>
          <w:szCs w:val="21"/>
        </w:rPr>
        <w:t xml:space="preserve">2、清算备付金及其应收利息； </w:t>
      </w:r>
    </w:p>
    <w:p>
      <w:pPr>
        <w:pStyle w:val="7"/>
        <w:spacing w:before="0" w:beforeAutospacing="0" w:after="0" w:afterAutospacing="0" w:line="360" w:lineRule="auto"/>
        <w:ind w:firstLine="420"/>
        <w:rPr>
          <w:sz w:val="21"/>
          <w:szCs w:val="21"/>
        </w:rPr>
      </w:pPr>
      <w:r>
        <w:rPr>
          <w:rFonts w:hint="eastAsia"/>
          <w:sz w:val="21"/>
          <w:szCs w:val="21"/>
        </w:rPr>
        <w:t xml:space="preserve">3、根据有关规定缴纳的保证金； </w:t>
      </w:r>
    </w:p>
    <w:p>
      <w:pPr>
        <w:pStyle w:val="7"/>
        <w:spacing w:before="0" w:beforeAutospacing="0" w:after="0" w:afterAutospacing="0" w:line="360" w:lineRule="auto"/>
        <w:ind w:firstLine="420"/>
        <w:rPr>
          <w:sz w:val="21"/>
          <w:szCs w:val="21"/>
        </w:rPr>
      </w:pPr>
      <w:r>
        <w:rPr>
          <w:rFonts w:hint="eastAsia"/>
          <w:sz w:val="21"/>
          <w:szCs w:val="21"/>
        </w:rPr>
        <w:t xml:space="preserve">4、应收证券交易清算款； </w:t>
      </w:r>
    </w:p>
    <w:p>
      <w:pPr>
        <w:pStyle w:val="7"/>
        <w:spacing w:before="0" w:beforeAutospacing="0" w:after="0" w:afterAutospacing="0" w:line="360" w:lineRule="auto"/>
        <w:ind w:firstLine="420"/>
        <w:rPr>
          <w:sz w:val="21"/>
          <w:szCs w:val="21"/>
        </w:rPr>
      </w:pPr>
      <w:r>
        <w:rPr>
          <w:rFonts w:hint="eastAsia"/>
          <w:sz w:val="21"/>
          <w:szCs w:val="21"/>
        </w:rPr>
        <w:t xml:space="preserve">5、应收申购款； </w:t>
      </w:r>
    </w:p>
    <w:p>
      <w:pPr>
        <w:pStyle w:val="7"/>
        <w:spacing w:before="0" w:beforeAutospacing="0" w:after="0" w:afterAutospacing="0" w:line="360" w:lineRule="auto"/>
        <w:ind w:firstLine="420"/>
        <w:rPr>
          <w:sz w:val="21"/>
          <w:szCs w:val="21"/>
        </w:rPr>
      </w:pPr>
      <w:r>
        <w:rPr>
          <w:rFonts w:hint="eastAsia"/>
          <w:sz w:val="21"/>
          <w:szCs w:val="21"/>
        </w:rPr>
        <w:t xml:space="preserve">6、股票投资及其估值调整； </w:t>
      </w:r>
    </w:p>
    <w:p>
      <w:pPr>
        <w:pStyle w:val="7"/>
        <w:spacing w:before="0" w:beforeAutospacing="0" w:after="0" w:afterAutospacing="0" w:line="360" w:lineRule="auto"/>
        <w:ind w:firstLine="420"/>
        <w:rPr>
          <w:sz w:val="21"/>
          <w:szCs w:val="21"/>
        </w:rPr>
      </w:pPr>
      <w:r>
        <w:rPr>
          <w:rFonts w:hint="eastAsia"/>
          <w:sz w:val="21"/>
          <w:szCs w:val="21"/>
        </w:rPr>
        <w:t xml:space="preserve">7、债券投资及其估值调整和应计利息； </w:t>
      </w:r>
    </w:p>
    <w:p>
      <w:pPr>
        <w:pStyle w:val="7"/>
        <w:spacing w:before="0" w:beforeAutospacing="0" w:after="0" w:afterAutospacing="0" w:line="360" w:lineRule="auto"/>
        <w:ind w:firstLine="420"/>
        <w:rPr>
          <w:sz w:val="21"/>
          <w:szCs w:val="21"/>
        </w:rPr>
      </w:pPr>
      <w:r>
        <w:rPr>
          <w:rFonts w:hint="eastAsia"/>
          <w:sz w:val="21"/>
          <w:szCs w:val="21"/>
        </w:rPr>
        <w:t xml:space="preserve">8、权证投资及其估值调整； </w:t>
      </w:r>
    </w:p>
    <w:p>
      <w:pPr>
        <w:pStyle w:val="7"/>
        <w:spacing w:before="0" w:beforeAutospacing="0" w:after="0" w:afterAutospacing="0" w:line="360" w:lineRule="auto"/>
        <w:ind w:firstLine="420"/>
        <w:rPr>
          <w:sz w:val="21"/>
          <w:szCs w:val="21"/>
        </w:rPr>
      </w:pPr>
      <w:r>
        <w:rPr>
          <w:rFonts w:hint="eastAsia"/>
          <w:sz w:val="21"/>
          <w:szCs w:val="21"/>
        </w:rPr>
        <w:t xml:space="preserve">9、其他投资及其估值调整； </w:t>
      </w:r>
    </w:p>
    <w:p>
      <w:pPr>
        <w:pStyle w:val="7"/>
        <w:spacing w:before="0" w:beforeAutospacing="0" w:after="0" w:afterAutospacing="0" w:line="360" w:lineRule="auto"/>
        <w:ind w:firstLine="420"/>
        <w:rPr>
          <w:sz w:val="21"/>
          <w:szCs w:val="21"/>
        </w:rPr>
      </w:pPr>
      <w:r>
        <w:rPr>
          <w:rFonts w:hint="eastAsia"/>
          <w:sz w:val="21"/>
          <w:szCs w:val="21"/>
        </w:rPr>
        <w:t xml:space="preserve">10、其他资产等。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7"/>
        <w:spacing w:before="0" w:beforeAutospacing="0" w:after="0" w:afterAutospacing="0" w:line="360" w:lineRule="auto"/>
        <w:ind w:firstLine="420"/>
        <w:rPr>
          <w:sz w:val="21"/>
          <w:szCs w:val="21"/>
        </w:rPr>
      </w:pPr>
      <w:r>
        <w:rPr>
          <w:rStyle w:val="11"/>
          <w:rFonts w:hint="eastAsia"/>
          <w:sz w:val="21"/>
          <w:szCs w:val="21"/>
        </w:rPr>
        <w:t> (三)基金财产的账户</w:t>
      </w:r>
    </w:p>
    <w:p>
      <w:pPr>
        <w:pStyle w:val="7"/>
        <w:spacing w:before="0" w:beforeAutospacing="0" w:after="0" w:afterAutospacing="0" w:line="360" w:lineRule="auto"/>
        <w:ind w:firstLine="420"/>
        <w:rPr>
          <w:sz w:val="21"/>
          <w:szCs w:val="21"/>
        </w:rPr>
      </w:pPr>
      <w:r>
        <w:rPr>
          <w:rFonts w:hint="eastAsia"/>
          <w:sz w:val="21"/>
          <w:szCs w:val="21"/>
        </w:rPr>
        <w:t xml:space="preserve">本基金以基金托管人的名义开立资金结算账户和托管专户用于基金的资金结算业务，并以基金托管人和“平衡配置混合型证券投资基金”联名的方式开立基金证券账户、以“平衡配置混合型证券投资基金”的名义开立银行间债券托管账户并报中国人民银行备案。开立的基金专用账户与基金管理人、基金托管人、基金销售代理人和登记机构自有的财产账户以及其他基金财产账户相独立。 </w:t>
      </w:r>
    </w:p>
    <w:p>
      <w:pPr>
        <w:pStyle w:val="7"/>
        <w:spacing w:before="0" w:beforeAutospacing="0" w:after="0" w:afterAutospacing="0" w:line="360" w:lineRule="auto"/>
        <w:ind w:firstLine="420"/>
        <w:rPr>
          <w:sz w:val="21"/>
          <w:szCs w:val="21"/>
        </w:rPr>
      </w:pPr>
      <w:r>
        <w:rPr>
          <w:rStyle w:val="11"/>
          <w:rFonts w:hint="eastAsia"/>
          <w:sz w:val="21"/>
          <w:szCs w:val="21"/>
        </w:rPr>
        <w:t>（四） 基金财产的保管与处分</w:t>
      </w:r>
    </w:p>
    <w:p>
      <w:pPr>
        <w:pStyle w:val="7"/>
        <w:spacing w:before="0" w:beforeAutospacing="0" w:after="0" w:afterAutospacing="0" w:line="360" w:lineRule="auto"/>
        <w:ind w:firstLine="420"/>
        <w:rPr>
          <w:sz w:val="21"/>
          <w:szCs w:val="21"/>
        </w:rPr>
      </w:pPr>
      <w:r>
        <w:rPr>
          <w:rFonts w:hint="eastAsia"/>
          <w:sz w:val="21"/>
          <w:szCs w:val="21"/>
        </w:rPr>
        <w:t>本基金财产独立于基金管理人、基金托管人和基金销售代理人的财产，并由基金托管人保管。基金管理人、基金托管人、登记机构和基金销售代理人以其自有的财产承担其自身的法律责任，其债权人不得对本基金财产行使请求冻结、扣押或其他权利。除依法律法规和《基</w:t>
      </w:r>
      <w:bookmarkStart w:id="153" w:name="chapter_level1_14_62_section_1_end"/>
      <w:bookmarkEnd w:id="153"/>
      <w:r>
        <w:rPr>
          <w:rFonts w:hint="eastAsia"/>
          <w:sz w:val="21"/>
          <w:szCs w:val="21"/>
        </w:rPr>
        <w:t xml:space="preserve">金合同》的规定处分外，基金财产不得被处分。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4" w:name="chapter_level1_15_63"/>
      <w:bookmarkStart w:id="155" w:name="_Toc113522954"/>
      <w:r>
        <w:rPr>
          <w:rFonts w:hint="eastAsia" w:ascii="宋体" w:hAnsi="宋体" w:eastAsia="宋体"/>
          <w:sz w:val="30"/>
        </w:rPr>
        <w:t>十二、基金资产的估值</w:t>
      </w:r>
      <w:bookmarkEnd w:id="154"/>
      <w:bookmarkEnd w:id="155"/>
    </w:p>
    <w:p>
      <w:pPr>
        <w:pStyle w:val="7"/>
        <w:spacing w:before="0" w:beforeAutospacing="0" w:after="0" w:afterAutospacing="0" w:line="360" w:lineRule="auto"/>
        <w:ind w:firstLine="420"/>
        <w:rPr>
          <w:sz w:val="21"/>
          <w:szCs w:val="21"/>
        </w:rPr>
      </w:pPr>
      <w:bookmarkStart w:id="156" w:name="chapter_level1_15_63_section_1"/>
      <w:bookmarkEnd w:id="156"/>
      <w:r>
        <w:rPr>
          <w:rStyle w:val="11"/>
          <w:rFonts w:hint="eastAsia"/>
          <w:sz w:val="21"/>
          <w:szCs w:val="21"/>
        </w:rPr>
        <w:t>（一）估值目的</w:t>
      </w:r>
    </w:p>
    <w:p>
      <w:pPr>
        <w:pStyle w:val="7"/>
        <w:spacing w:before="0" w:beforeAutospacing="0" w:after="0" w:afterAutospacing="0" w:line="360" w:lineRule="auto"/>
        <w:ind w:firstLine="420"/>
        <w:rPr>
          <w:sz w:val="21"/>
          <w:szCs w:val="21"/>
        </w:rPr>
      </w:pPr>
      <w:r>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pPr>
        <w:pStyle w:val="7"/>
        <w:spacing w:before="0" w:beforeAutospacing="0" w:after="0" w:afterAutospacing="0" w:line="360" w:lineRule="auto"/>
        <w:ind w:firstLine="420"/>
        <w:rPr>
          <w:sz w:val="21"/>
          <w:szCs w:val="21"/>
        </w:rPr>
      </w:pPr>
      <w:r>
        <w:rPr>
          <w:rStyle w:val="11"/>
          <w:rFonts w:hint="eastAsia"/>
          <w:sz w:val="21"/>
          <w:szCs w:val="21"/>
        </w:rPr>
        <w:t>（二）估值日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本基金的估值日为相关的证券交易场所的正常营业日以及国家法律法规规定需要对外披露基金净值的非营业日。 </w:t>
      </w:r>
    </w:p>
    <w:p>
      <w:pPr>
        <w:pStyle w:val="7"/>
        <w:spacing w:before="0" w:beforeAutospacing="0" w:after="0" w:afterAutospacing="0" w:line="360" w:lineRule="auto"/>
        <w:ind w:firstLine="420"/>
        <w:rPr>
          <w:sz w:val="21"/>
          <w:szCs w:val="21"/>
        </w:rPr>
      </w:pPr>
      <w:r>
        <w:rPr>
          <w:rStyle w:val="11"/>
          <w:rFonts w:hint="eastAsia"/>
          <w:sz w:val="21"/>
          <w:szCs w:val="21"/>
        </w:rPr>
        <w:t>（三）估值对象</w:t>
      </w:r>
    </w:p>
    <w:p>
      <w:pPr>
        <w:pStyle w:val="7"/>
        <w:spacing w:before="0" w:beforeAutospacing="0" w:after="0" w:afterAutospacing="0" w:line="360" w:lineRule="auto"/>
        <w:ind w:firstLine="420"/>
        <w:rPr>
          <w:sz w:val="21"/>
          <w:szCs w:val="21"/>
        </w:rPr>
      </w:pPr>
      <w:bookmarkStart w:id="157" w:name="chapter_level1_15_63_section_1_end"/>
      <w:bookmarkEnd w:id="157"/>
      <w:r>
        <w:rPr>
          <w:rFonts w:hint="eastAsia"/>
          <w:sz w:val="21"/>
          <w:szCs w:val="21"/>
        </w:rPr>
        <w:t xml:space="preserve">基金所拥有的股票、债券、权证和银行存款本息等资产和负债。 </w:t>
      </w:r>
    </w:p>
    <w:p>
      <w:pPr>
        <w:pStyle w:val="7"/>
        <w:spacing w:before="0" w:beforeAutospacing="0" w:after="0" w:afterAutospacing="0" w:line="360" w:lineRule="auto"/>
        <w:ind w:firstLine="420"/>
        <w:rPr>
          <w:sz w:val="21"/>
          <w:szCs w:val="21"/>
        </w:rPr>
      </w:pPr>
      <w:bookmarkStart w:id="158" w:name="chapter_level1_15_63_section_2"/>
      <w:bookmarkEnd w:id="158"/>
      <w:r>
        <w:rPr>
          <w:rStyle w:val="11"/>
          <w:rFonts w:hint="eastAsia"/>
          <w:sz w:val="21"/>
          <w:szCs w:val="21"/>
        </w:rPr>
        <w:t>（四）估值程序</w:t>
      </w:r>
    </w:p>
    <w:p>
      <w:pPr>
        <w:pStyle w:val="7"/>
        <w:spacing w:before="0" w:beforeAutospacing="0" w:after="0" w:afterAutospacing="0" w:line="360" w:lineRule="auto"/>
        <w:ind w:firstLine="420"/>
        <w:rPr>
          <w:sz w:val="21"/>
          <w:szCs w:val="21"/>
        </w:rPr>
      </w:pPr>
      <w:r>
        <w:rPr>
          <w:rFonts w:hint="eastAsia"/>
          <w:sz w:val="21"/>
          <w:szCs w:val="21"/>
        </w:rPr>
        <w:t xml:space="preserve">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 </w:t>
      </w:r>
    </w:p>
    <w:p>
      <w:pPr>
        <w:pStyle w:val="7"/>
        <w:spacing w:before="0" w:beforeAutospacing="0" w:after="0" w:afterAutospacing="0" w:line="360" w:lineRule="auto"/>
        <w:ind w:firstLine="420"/>
        <w:rPr>
          <w:sz w:val="21"/>
          <w:szCs w:val="21"/>
        </w:rPr>
      </w:pPr>
      <w:r>
        <w:rPr>
          <w:rStyle w:val="11"/>
          <w:rFonts w:hint="eastAsia"/>
          <w:sz w:val="21"/>
          <w:szCs w:val="21"/>
        </w:rPr>
        <w:t>（五）估值方法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pPr>
        <w:pStyle w:val="7"/>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6、中小企业私募债券，采用估值技术确定公允价值。在估值技术难以可靠计量公允价值的情况下，按成本估值。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8、相关法律法规以及监管部门有强制规定的，从其规定。如有新增事项，按国家最新规定估值。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pPr>
        <w:pStyle w:val="7"/>
        <w:spacing w:before="0" w:beforeAutospacing="0" w:after="0" w:afterAutospacing="0" w:line="360" w:lineRule="auto"/>
        <w:ind w:firstLine="420"/>
        <w:rPr>
          <w:sz w:val="21"/>
          <w:szCs w:val="21"/>
        </w:rPr>
      </w:pPr>
      <w:r>
        <w:rPr>
          <w:rStyle w:val="11"/>
          <w:rFonts w:hint="eastAsia"/>
          <w:sz w:val="21"/>
          <w:szCs w:val="21"/>
        </w:rPr>
        <w:t>（六）基金份额净值的确认和估值错误的处理</w:t>
      </w:r>
    </w:p>
    <w:p>
      <w:pPr>
        <w:pStyle w:val="7"/>
        <w:spacing w:before="0" w:beforeAutospacing="0" w:after="0" w:afterAutospacing="0" w:line="360" w:lineRule="auto"/>
        <w:ind w:firstLine="420"/>
        <w:rPr>
          <w:sz w:val="21"/>
          <w:szCs w:val="21"/>
        </w:rPr>
      </w:pPr>
      <w:r>
        <w:rPr>
          <w:rFonts w:hint="eastAsia"/>
          <w:sz w:val="21"/>
          <w:szCs w:val="21"/>
        </w:rPr>
        <w:t>基金份额净值的计算保留到小数点后</w:t>
      </w:r>
      <w:bookmarkStart w:id="159" w:name="field_63_netdecimal_1"/>
      <w:r>
        <w:rPr>
          <w:sz w:val="21"/>
          <w:szCs w:val="21"/>
        </w:rPr>
        <w:t>3</w:t>
      </w:r>
      <w:bookmarkEnd w:id="159"/>
      <w:r>
        <w:rPr>
          <w:rFonts w:hint="eastAsia"/>
          <w:sz w:val="21"/>
          <w:szCs w:val="21"/>
        </w:rPr>
        <w:t>位，小数点后第</w:t>
      </w:r>
      <w:bookmarkStart w:id="160" w:name="field_0_netdecimaladd1_1"/>
      <w:r>
        <w:rPr>
          <w:sz w:val="21"/>
          <w:szCs w:val="21"/>
        </w:rPr>
        <w:t>4</w:t>
      </w:r>
      <w:bookmarkEnd w:id="160"/>
      <w:r>
        <w:rPr>
          <w:rFonts w:hint="eastAsia"/>
          <w:sz w:val="21"/>
          <w:szCs w:val="21"/>
        </w:rPr>
        <w:t xml:space="preserve">位四舍五入。当估值或份额净值计价错误实际发生时，基金管理人应当立即纠正，并采取合理的措施防止损失进一步扩大。错误偏差达到基金份额净值的0.25%时，基金管理人应当通报基金托管人并报中国证监会备案。估值错误偏差达到基金份额净值的0.5%时，基金管理人应当公告，并报中国证监会备案。因基金估值错误给投资人造成损失的，应先由基金管理人承担，基金管理人对不应由其承担的责任，有权向过错人追偿。 </w:t>
      </w:r>
    </w:p>
    <w:p>
      <w:pPr>
        <w:pStyle w:val="7"/>
        <w:spacing w:before="0" w:beforeAutospacing="0" w:after="0" w:afterAutospacing="0" w:line="360" w:lineRule="auto"/>
        <w:ind w:firstLine="420"/>
        <w:rPr>
          <w:sz w:val="21"/>
          <w:szCs w:val="21"/>
        </w:rPr>
      </w:pPr>
      <w:r>
        <w:rPr>
          <w:rFonts w:hint="eastAsia"/>
          <w:sz w:val="21"/>
          <w:szCs w:val="21"/>
        </w:rPr>
        <w:t xml:space="preserve">关于差错处理，基金合同的当事人按照以下约定处理：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1、差错类型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代理销售机构、或投资人自身的过错造成差错，导致其他当事人遭受损失的，过错的责任人应当对由于该差错遭受损失的当事人（“受损方”）按下述“差错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pPr>
        <w:pStyle w:val="7"/>
        <w:spacing w:before="0" w:beforeAutospacing="0" w:after="0" w:afterAutospacing="0" w:line="360" w:lineRule="auto"/>
        <w:ind w:firstLine="420"/>
        <w:rPr>
          <w:sz w:val="21"/>
          <w:szCs w:val="21"/>
        </w:rPr>
      </w:pPr>
      <w:r>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pPr>
        <w:pStyle w:val="7"/>
        <w:spacing w:before="0" w:beforeAutospacing="0" w:after="0" w:afterAutospacing="0" w:line="360" w:lineRule="auto"/>
        <w:ind w:firstLine="420"/>
        <w:rPr>
          <w:sz w:val="21"/>
          <w:szCs w:val="21"/>
        </w:rPr>
      </w:pPr>
      <w:r>
        <w:rPr>
          <w:rFonts w:hint="eastAsia"/>
          <w:sz w:val="21"/>
          <w:szCs w:val="21"/>
        </w:rPr>
        <w:t xml:space="preserve">2、差错处理原则 </w:t>
      </w:r>
    </w:p>
    <w:p>
      <w:pPr>
        <w:pStyle w:val="7"/>
        <w:spacing w:before="0" w:beforeAutospacing="0" w:after="0" w:afterAutospacing="0" w:line="360" w:lineRule="auto"/>
        <w:ind w:firstLine="420"/>
        <w:rPr>
          <w:sz w:val="21"/>
          <w:szCs w:val="21"/>
        </w:rPr>
      </w:pPr>
      <w:r>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pPr>
        <w:pStyle w:val="7"/>
        <w:spacing w:before="0" w:beforeAutospacing="0" w:after="0" w:afterAutospacing="0" w:line="360" w:lineRule="auto"/>
        <w:ind w:firstLine="420"/>
        <w:rPr>
          <w:sz w:val="21"/>
          <w:szCs w:val="21"/>
        </w:rPr>
      </w:pPr>
      <w:r>
        <w:rPr>
          <w:rFonts w:hint="eastAsia"/>
          <w:sz w:val="21"/>
          <w:szCs w:val="21"/>
        </w:rPr>
        <w:t xml:space="preserve">（2）差错的责任方对可能导致有关当事人的直接损失负责，不对间接损失负责，并且仅对差错的有关直接当事人负责，不对第三方负责。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pPr>
        <w:pStyle w:val="7"/>
        <w:spacing w:before="0" w:beforeAutospacing="0" w:after="0" w:afterAutospacing="0" w:line="360" w:lineRule="auto"/>
        <w:ind w:firstLine="420"/>
        <w:rPr>
          <w:sz w:val="21"/>
          <w:szCs w:val="21"/>
        </w:rPr>
      </w:pPr>
      <w:r>
        <w:rPr>
          <w:rFonts w:hint="eastAsia"/>
          <w:sz w:val="21"/>
          <w:szCs w:val="21"/>
        </w:rPr>
        <w:t xml:space="preserve">（4）差错调整采用尽量恢复至假设未发生差错的正确情形的方式。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pPr>
        <w:pStyle w:val="7"/>
        <w:spacing w:before="0" w:beforeAutospacing="0" w:after="0" w:afterAutospacing="0" w:line="360" w:lineRule="auto"/>
        <w:ind w:firstLine="420"/>
        <w:rPr>
          <w:sz w:val="21"/>
          <w:szCs w:val="21"/>
        </w:rPr>
      </w:pPr>
      <w:r>
        <w:rPr>
          <w:rFonts w:hint="eastAsia"/>
          <w:sz w:val="21"/>
          <w:szCs w:val="21"/>
        </w:rPr>
        <w:t xml:space="preserve">（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 </w:t>
      </w:r>
    </w:p>
    <w:p>
      <w:pPr>
        <w:pStyle w:val="7"/>
        <w:spacing w:before="0" w:beforeAutospacing="0" w:after="0" w:afterAutospacing="0" w:line="360" w:lineRule="auto"/>
        <w:ind w:firstLine="420"/>
        <w:rPr>
          <w:sz w:val="21"/>
          <w:szCs w:val="21"/>
        </w:rPr>
      </w:pPr>
      <w:r>
        <w:rPr>
          <w:rFonts w:hint="eastAsia"/>
          <w:sz w:val="21"/>
          <w:szCs w:val="21"/>
        </w:rPr>
        <w:t xml:space="preserve">（7）按法律法规规定的其他原则处理差错。 </w:t>
      </w:r>
    </w:p>
    <w:p>
      <w:pPr>
        <w:pStyle w:val="7"/>
        <w:spacing w:before="0" w:beforeAutospacing="0" w:after="0" w:afterAutospacing="0" w:line="360" w:lineRule="auto"/>
        <w:ind w:firstLine="420"/>
        <w:rPr>
          <w:sz w:val="21"/>
          <w:szCs w:val="21"/>
        </w:rPr>
      </w:pPr>
      <w:r>
        <w:rPr>
          <w:rFonts w:hint="eastAsia"/>
          <w:sz w:val="21"/>
          <w:szCs w:val="21"/>
        </w:rPr>
        <w:t xml:space="preserve">3、差错处理程序 </w:t>
      </w:r>
    </w:p>
    <w:p>
      <w:pPr>
        <w:pStyle w:val="7"/>
        <w:spacing w:before="0" w:beforeAutospacing="0" w:after="0" w:afterAutospacing="0" w:line="360" w:lineRule="auto"/>
        <w:ind w:firstLine="420"/>
        <w:rPr>
          <w:sz w:val="21"/>
          <w:szCs w:val="21"/>
        </w:rPr>
      </w:pPr>
      <w:r>
        <w:rPr>
          <w:rFonts w:hint="eastAsia"/>
          <w:sz w:val="21"/>
          <w:szCs w:val="21"/>
        </w:rPr>
        <w:t xml:space="preserve">差错被发现后，有关的当事人应当及时进行处理，处理的程序如下：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（1）查明差错发生的原因，列明所有的当事人，并根据差错发生的原因确定差错的责任方； </w:t>
      </w:r>
    </w:p>
    <w:p>
      <w:pPr>
        <w:pStyle w:val="7"/>
        <w:spacing w:before="0" w:beforeAutospacing="0" w:after="0" w:afterAutospacing="0" w:line="360" w:lineRule="auto"/>
        <w:ind w:firstLine="420"/>
        <w:rPr>
          <w:sz w:val="21"/>
          <w:szCs w:val="21"/>
        </w:rPr>
      </w:pPr>
      <w:r>
        <w:rPr>
          <w:rFonts w:hint="eastAsia"/>
          <w:sz w:val="21"/>
          <w:szCs w:val="21"/>
        </w:rPr>
        <w:t xml:space="preserve">（2）根据差错处理原则或当事人协商的方法对因差错造成的损失进行评估；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（3）根据差错处理原则或当事人协商的方法由差错的责任方进行更正和赔偿损失；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（4）根据差错处理的方法，需要修改登记机构的交易数据的，由登记机构进行更正，并就差错的更正向有关当事人进行确认；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5）基金管理人及基金托管人基金份额净值计算错误偏差达到基金份额净值的0.25%时，基金管理人应当通报基金托管人并报中国证监会备案，错误偏差达到基金份额净值的0.5%时，基金管理人应当公告并报中国证监会备案。 </w:t>
      </w:r>
    </w:p>
    <w:p>
      <w:pPr>
        <w:pStyle w:val="7"/>
        <w:spacing w:before="0" w:beforeAutospacing="0" w:after="0" w:afterAutospacing="0" w:line="360" w:lineRule="auto"/>
        <w:ind w:firstLine="420"/>
        <w:rPr>
          <w:sz w:val="21"/>
          <w:szCs w:val="21"/>
        </w:rPr>
      </w:pPr>
      <w:r>
        <w:rPr>
          <w:rStyle w:val="11"/>
          <w:rFonts w:hint="eastAsia"/>
          <w:sz w:val="21"/>
          <w:szCs w:val="21"/>
        </w:rPr>
        <w:t>（七）暂停估值的情形</w:t>
      </w:r>
    </w:p>
    <w:p>
      <w:pPr>
        <w:pStyle w:val="7"/>
        <w:spacing w:before="0" w:beforeAutospacing="0" w:after="0" w:afterAutospacing="0" w:line="360" w:lineRule="auto"/>
        <w:ind w:firstLine="420"/>
        <w:rPr>
          <w:sz w:val="21"/>
          <w:szCs w:val="21"/>
        </w:rPr>
      </w:pPr>
      <w:r>
        <w:rPr>
          <w:rFonts w:hint="eastAsia"/>
          <w:sz w:val="21"/>
          <w:szCs w:val="21"/>
        </w:rPr>
        <w:t xml:space="preserve">1、与本基金投资有关的证券交易场所遇法定节假日或因其他原因暂停营业时；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2、因不可抗力或其他情形致使基金管理人无法准确评估基金资产价值时；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4、法律法规规定、中国证监会认定的其他情形。 </w:t>
      </w:r>
    </w:p>
    <w:p>
      <w:pPr>
        <w:pStyle w:val="7"/>
        <w:spacing w:before="0" w:beforeAutospacing="0" w:after="0" w:afterAutospacing="0" w:line="360" w:lineRule="auto"/>
        <w:ind w:firstLine="420"/>
        <w:rPr>
          <w:sz w:val="21"/>
          <w:szCs w:val="21"/>
        </w:rPr>
      </w:pPr>
      <w:r>
        <w:rPr>
          <w:rStyle w:val="11"/>
          <w:rFonts w:hint="eastAsia"/>
          <w:sz w:val="21"/>
          <w:szCs w:val="21"/>
        </w:rPr>
        <w:t>（八）特殊情形的处理</w:t>
      </w:r>
    </w:p>
    <w:p>
      <w:pPr>
        <w:pStyle w:val="7"/>
        <w:spacing w:before="0" w:beforeAutospacing="0" w:after="0" w:afterAutospacing="0" w:line="360" w:lineRule="auto"/>
        <w:ind w:firstLine="420"/>
        <w:rPr>
          <w:sz w:val="21"/>
          <w:szCs w:val="21"/>
        </w:rPr>
      </w:pPr>
      <w:r>
        <w:rPr>
          <w:rFonts w:hint="eastAsia"/>
          <w:sz w:val="21"/>
          <w:szCs w:val="21"/>
        </w:rPr>
        <w:t xml:space="preserve">1、基金管理人按估值方法的第7项进行估值时，所造成的误差不作为基金资产估值错误处理；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w:t>
      </w:r>
      <w:bookmarkStart w:id="161" w:name="chapter_level1_15_63_section_2_end"/>
      <w:bookmarkEnd w:id="161"/>
      <w:r>
        <w:rPr>
          <w:rFonts w:hint="eastAsia"/>
          <w:sz w:val="21"/>
          <w:szCs w:val="21"/>
        </w:rPr>
        <w:t xml:space="preserve">管理人、基金托管人应当积极采取必要的措施消除由此造成的影响。”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2" w:name="_Toc113522955"/>
      <w:bookmarkStart w:id="163" w:name="chapter_level1_16_64"/>
      <w:r>
        <w:rPr>
          <w:rFonts w:hint="eastAsia" w:ascii="宋体" w:hAnsi="宋体" w:eastAsia="宋体"/>
          <w:sz w:val="30"/>
        </w:rPr>
        <w:t>十三、基金的收益与分配</w:t>
      </w:r>
      <w:bookmarkEnd w:id="162"/>
      <w:bookmarkEnd w:id="163"/>
    </w:p>
    <w:p>
      <w:pPr>
        <w:pStyle w:val="7"/>
        <w:spacing w:before="0" w:beforeAutospacing="0" w:after="0" w:afterAutospacing="0" w:line="360" w:lineRule="auto"/>
        <w:ind w:firstLine="420"/>
        <w:rPr>
          <w:sz w:val="21"/>
          <w:szCs w:val="21"/>
        </w:rPr>
      </w:pPr>
      <w:bookmarkStart w:id="164" w:name="chapter_level1_16_64_section_1"/>
      <w:bookmarkEnd w:id="164"/>
      <w:r>
        <w:rPr>
          <w:rStyle w:val="11"/>
          <w:rFonts w:hint="eastAsia"/>
          <w:sz w:val="21"/>
          <w:szCs w:val="21"/>
        </w:rPr>
        <w:t>（一）基金收益的构成</w:t>
      </w:r>
    </w:p>
    <w:p>
      <w:pPr>
        <w:pStyle w:val="7"/>
        <w:spacing w:before="0" w:beforeAutospacing="0" w:after="0" w:afterAutospacing="0" w:line="360" w:lineRule="auto"/>
        <w:ind w:firstLine="420"/>
        <w:rPr>
          <w:sz w:val="21"/>
          <w:szCs w:val="21"/>
        </w:rPr>
      </w:pPr>
      <w:r>
        <w:rPr>
          <w:rFonts w:hint="eastAsia"/>
          <w:sz w:val="21"/>
          <w:szCs w:val="21"/>
        </w:rPr>
        <w:t xml:space="preserve">基金收益包括：基金投资所得红利、股息、债券利息、买卖证券差价、银行存款利息以及其他收入。因运用基金财产带来的成本或费用的节约计入收益。 </w:t>
      </w:r>
    </w:p>
    <w:p>
      <w:pPr>
        <w:pStyle w:val="7"/>
        <w:spacing w:before="0" w:beforeAutospacing="0" w:after="0" w:afterAutospacing="0" w:line="360" w:lineRule="auto"/>
        <w:ind w:firstLine="420"/>
        <w:rPr>
          <w:sz w:val="21"/>
          <w:szCs w:val="21"/>
        </w:rPr>
      </w:pPr>
      <w:r>
        <w:rPr>
          <w:rStyle w:val="11"/>
          <w:rFonts w:hint="eastAsia"/>
          <w:sz w:val="21"/>
          <w:szCs w:val="21"/>
        </w:rPr>
        <w:t>（二）基金净收益</w:t>
      </w:r>
    </w:p>
    <w:p>
      <w:pPr>
        <w:pStyle w:val="7"/>
        <w:spacing w:before="0" w:beforeAutospacing="0" w:after="0" w:afterAutospacing="0" w:line="360" w:lineRule="auto"/>
        <w:ind w:firstLine="420"/>
        <w:rPr>
          <w:sz w:val="21"/>
          <w:szCs w:val="21"/>
        </w:rPr>
      </w:pPr>
      <w:r>
        <w:rPr>
          <w:rFonts w:hint="eastAsia"/>
          <w:sz w:val="21"/>
          <w:szCs w:val="21"/>
        </w:rPr>
        <w:t xml:space="preserve">基金净收益为基金收益扣除按照有关规定可以在基金收益中扣除的费用后的余额。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1、每一基金份额享有同等分配权； </w:t>
      </w:r>
    </w:p>
    <w:p>
      <w:pPr>
        <w:pStyle w:val="7"/>
        <w:spacing w:before="0" w:beforeAutospacing="0" w:after="0" w:afterAutospacing="0" w:line="360" w:lineRule="auto"/>
        <w:ind w:firstLine="420"/>
        <w:rPr>
          <w:sz w:val="21"/>
          <w:szCs w:val="21"/>
        </w:rPr>
      </w:pPr>
      <w:r>
        <w:rPr>
          <w:rFonts w:hint="eastAsia"/>
          <w:sz w:val="21"/>
          <w:szCs w:val="21"/>
        </w:rPr>
        <w:t xml:space="preserve">2、在符合有关基金分红条件的前提下，本基金收益每年至少分配一次最多为四次，年度收益分配比例不低于基金可分配收益的60%，《基金合同》当年生效不满3个月，收益可不分配；因基金分红导致基金份额净值变化，不会改变基金的风险收益特征，不会降低基金投资风险或提高基金投资收益。 </w:t>
      </w:r>
    </w:p>
    <w:p>
      <w:pPr>
        <w:pStyle w:val="7"/>
        <w:spacing w:before="0" w:beforeAutospacing="0" w:after="0" w:afterAutospacing="0" w:line="360" w:lineRule="auto"/>
        <w:ind w:firstLine="420"/>
        <w:rPr>
          <w:sz w:val="21"/>
          <w:szCs w:val="21"/>
        </w:rPr>
      </w:pPr>
      <w:r>
        <w:rPr>
          <w:rFonts w:hint="eastAsia"/>
          <w:sz w:val="21"/>
          <w:szCs w:val="21"/>
        </w:rPr>
        <w:t xml:space="preserve">3、本基金收益分配方式分两种：现金分红与红利再投资，投资人可选择现金红利或将现金红利按除息日基金的份额净值自动转为基金份额进行再投资；若投资人不选择，本基金默认的收益分配方式是现金分红；若投资人要修改分红方式，请自行到销售网点柜台或销售机构规定的其他方式进行修改。于交易日（T日）提交的申请，投资人应在T+2日到销售网点柜台或销售机构规定的其他方式查询申请的确认情况，投资人提交的申请经登记机构确认（或不被确认）的后果由投资人承担。 </w:t>
      </w:r>
    </w:p>
    <w:p>
      <w:pPr>
        <w:pStyle w:val="7"/>
        <w:spacing w:before="0" w:beforeAutospacing="0" w:after="0" w:afterAutospacing="0" w:line="360" w:lineRule="auto"/>
        <w:ind w:firstLine="420"/>
        <w:rPr>
          <w:sz w:val="21"/>
          <w:szCs w:val="21"/>
        </w:rPr>
      </w:pPr>
      <w:r>
        <w:rPr>
          <w:rFonts w:hint="eastAsia"/>
          <w:sz w:val="21"/>
          <w:szCs w:val="21"/>
        </w:rPr>
        <w:t xml:space="preserve">4、基金投资当期出现净亏损，则不进行收益分配； </w:t>
      </w:r>
    </w:p>
    <w:p>
      <w:pPr>
        <w:pStyle w:val="7"/>
        <w:spacing w:before="0" w:beforeAutospacing="0" w:after="0" w:afterAutospacing="0" w:line="360" w:lineRule="auto"/>
        <w:ind w:firstLine="420"/>
        <w:rPr>
          <w:sz w:val="21"/>
          <w:szCs w:val="21"/>
        </w:rPr>
      </w:pPr>
      <w:r>
        <w:rPr>
          <w:rFonts w:hint="eastAsia"/>
          <w:sz w:val="21"/>
          <w:szCs w:val="21"/>
        </w:rPr>
        <w:t xml:space="preserve">5、基金当年收益应先弥补上一年度亏损后，才可进行当年收益分配； </w:t>
      </w:r>
    </w:p>
    <w:p>
      <w:pPr>
        <w:pStyle w:val="7"/>
        <w:spacing w:before="0" w:beforeAutospacing="0" w:after="0" w:afterAutospacing="0" w:line="360" w:lineRule="auto"/>
        <w:ind w:firstLine="420"/>
        <w:rPr>
          <w:sz w:val="21"/>
          <w:szCs w:val="21"/>
        </w:rPr>
      </w:pPr>
      <w:r>
        <w:rPr>
          <w:rFonts w:hint="eastAsia"/>
          <w:sz w:val="21"/>
          <w:szCs w:val="21"/>
        </w:rPr>
        <w:t xml:space="preserve">6、在不损害基金份额持有人实际利益的情况下，基金管理人在符合法律法规的前提下可酌情调整基金收益分配方式，此项调整不需要基金份额持有人大会决议通过； </w:t>
      </w:r>
    </w:p>
    <w:p>
      <w:pPr>
        <w:pStyle w:val="7"/>
        <w:spacing w:before="0" w:beforeAutospacing="0" w:after="0" w:afterAutospacing="0" w:line="360" w:lineRule="auto"/>
        <w:ind w:firstLine="420"/>
        <w:rPr>
          <w:sz w:val="21"/>
          <w:szCs w:val="21"/>
        </w:rPr>
      </w:pPr>
      <w:bookmarkStart w:id="165" w:name="chapter_level1_16_64_section_1_end"/>
      <w:bookmarkEnd w:id="165"/>
      <w:r>
        <w:rPr>
          <w:rFonts w:hint="eastAsia"/>
          <w:sz w:val="21"/>
          <w:szCs w:val="21"/>
        </w:rPr>
        <w:t xml:space="preserve">7、法律法规或监管机关另有规定的，从其规定。 </w:t>
      </w:r>
    </w:p>
    <w:p>
      <w:pPr>
        <w:pStyle w:val="7"/>
        <w:spacing w:before="0" w:beforeAutospacing="0" w:after="0" w:afterAutospacing="0" w:line="360" w:lineRule="auto"/>
        <w:ind w:firstLine="420"/>
        <w:rPr>
          <w:sz w:val="21"/>
          <w:szCs w:val="21"/>
        </w:rPr>
      </w:pPr>
      <w:bookmarkStart w:id="166" w:name="chapter_level1_16_64_section_2"/>
      <w:bookmarkEnd w:id="166"/>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基金收益分配方案中应载明基金收益的范围、基金净收益、基金收益分配对象、分配原则、分配时间、分配数额及比例、分配方式等内容。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（五）收益分配方案的确定、公告与实施</w:t>
      </w:r>
    </w:p>
    <w:p>
      <w:pPr>
        <w:pStyle w:val="7"/>
        <w:spacing w:before="0" w:beforeAutospacing="0" w:after="0" w:afterAutospacing="0" w:line="360" w:lineRule="auto"/>
        <w:ind w:firstLine="420"/>
        <w:rPr>
          <w:sz w:val="21"/>
          <w:szCs w:val="21"/>
        </w:rPr>
      </w:pPr>
      <w:r>
        <w:rPr>
          <w:rFonts w:hint="eastAsia"/>
          <w:sz w:val="21"/>
          <w:szCs w:val="21"/>
        </w:rPr>
        <w:t xml:space="preserve">基金收益分配的具体时间由基金管理人确定。 </w:t>
      </w:r>
    </w:p>
    <w:p>
      <w:pPr>
        <w:pStyle w:val="7"/>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 </w:t>
      </w:r>
    </w:p>
    <w:p>
      <w:pPr>
        <w:pStyle w:val="7"/>
        <w:spacing w:before="0" w:beforeAutospacing="0" w:after="0" w:afterAutospacing="0" w:line="360" w:lineRule="auto"/>
        <w:ind w:firstLine="420"/>
        <w:rPr>
          <w:sz w:val="21"/>
          <w:szCs w:val="21"/>
        </w:rPr>
      </w:pPr>
      <w:r>
        <w:rPr>
          <w:rStyle w:val="11"/>
          <w:rFonts w:hint="eastAsia"/>
          <w:sz w:val="21"/>
          <w:szCs w:val="21"/>
        </w:rPr>
        <w:t>（六）基金收益分配中发生的费用</w:t>
      </w:r>
    </w:p>
    <w:p>
      <w:pPr>
        <w:pStyle w:val="7"/>
        <w:spacing w:before="0" w:beforeAutospacing="0" w:after="0" w:afterAutospacing="0" w:line="360" w:lineRule="auto"/>
        <w:ind w:firstLine="420"/>
        <w:rPr>
          <w:sz w:val="21"/>
          <w:szCs w:val="21"/>
        </w:rPr>
      </w:pPr>
      <w:r>
        <w:rPr>
          <w:rFonts w:hint="eastAsia"/>
          <w:sz w:val="21"/>
          <w:szCs w:val="21"/>
        </w:rPr>
        <w:t>红利分配时所发生的银行转账或其他手续费用由投资人自行承担。当投资人的现金红利小于一定金额，不足于支付银行转账或其他手续费用时，登记机构可将投资人的现金红利按除息日基金的份额净值自动转为基金的份额。红利再投资的计算方法，依照</w:t>
      </w:r>
      <w:bookmarkStart w:id="167" w:name="chapter_level1_16_64_section_2_end"/>
      <w:bookmarkEnd w:id="167"/>
      <w:bookmarkStart w:id="168" w:name="field_0_managerorgfullname_6"/>
      <w:r>
        <w:rPr>
          <w:rFonts w:hint="eastAsia"/>
          <w:sz w:val="21"/>
          <w:szCs w:val="21"/>
        </w:rPr>
        <w:t>博时基金管理有限公司</w:t>
      </w:r>
      <w:bookmarkEnd w:id="168"/>
      <w:r>
        <w:rPr>
          <w:rFonts w:hint="eastAsia"/>
          <w:sz w:val="21"/>
          <w:szCs w:val="21"/>
        </w:rPr>
        <w:t xml:space="preserve">开放式基金有关业务规定执行。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9" w:name="chapter_level1_17_65"/>
      <w:bookmarkStart w:id="170" w:name="_Toc113522956"/>
      <w:r>
        <w:rPr>
          <w:rFonts w:hint="eastAsia" w:ascii="宋体" w:hAnsi="宋体" w:eastAsia="宋体"/>
          <w:sz w:val="30"/>
        </w:rPr>
        <w:t>十四、基金费用与税收</w:t>
      </w:r>
      <w:bookmarkEnd w:id="169"/>
      <w:bookmarkEnd w:id="170"/>
    </w:p>
    <w:p>
      <w:pPr>
        <w:pStyle w:val="7"/>
        <w:spacing w:before="0" w:beforeAutospacing="0" w:after="0" w:afterAutospacing="0" w:line="360" w:lineRule="auto"/>
        <w:ind w:firstLine="420"/>
        <w:rPr>
          <w:sz w:val="21"/>
          <w:szCs w:val="21"/>
        </w:rPr>
      </w:pPr>
      <w:bookmarkStart w:id="171" w:name="chapter_level1_17_65_section_1"/>
      <w:bookmarkEnd w:id="171"/>
      <w:r>
        <w:rPr>
          <w:rStyle w:val="11"/>
          <w:rFonts w:hint="eastAsia"/>
          <w:sz w:val="21"/>
          <w:szCs w:val="21"/>
        </w:rPr>
        <w:t>（一）基金的费用的种类</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3、基金合同生效后与基金相关的信息披露费用，法律法规、中国证监会另有规定的除外；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4、基金合同生效后与基金相关的会计师费和律师费； </w:t>
      </w:r>
    </w:p>
    <w:p>
      <w:pPr>
        <w:pStyle w:val="7"/>
        <w:spacing w:before="0" w:beforeAutospacing="0" w:after="0" w:afterAutospacing="0" w:line="360" w:lineRule="auto"/>
        <w:ind w:firstLine="420"/>
        <w:rPr>
          <w:sz w:val="21"/>
          <w:szCs w:val="21"/>
        </w:rPr>
      </w:pPr>
      <w:r>
        <w:rPr>
          <w:rFonts w:hint="eastAsia"/>
          <w:sz w:val="21"/>
          <w:szCs w:val="21"/>
        </w:rPr>
        <w:t xml:space="preserve">5、基金份额持有人大会费用；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6、基金的证券交易费用； </w:t>
      </w:r>
    </w:p>
    <w:p>
      <w:pPr>
        <w:pStyle w:val="7"/>
        <w:spacing w:before="0" w:beforeAutospacing="0" w:after="0" w:afterAutospacing="0" w:line="360" w:lineRule="auto"/>
        <w:ind w:firstLine="420"/>
        <w:rPr>
          <w:sz w:val="21"/>
          <w:szCs w:val="21"/>
        </w:rPr>
      </w:pPr>
      <w:r>
        <w:rPr>
          <w:rFonts w:hint="eastAsia"/>
          <w:sz w:val="21"/>
          <w:szCs w:val="21"/>
        </w:rPr>
        <w:t xml:space="preserve">7、按照国家有关规定和《基金合同》约定，可以在基金财产中列支的其他费用。 </w:t>
      </w:r>
    </w:p>
    <w:p>
      <w:pPr>
        <w:pStyle w:val="7"/>
        <w:spacing w:before="0" w:beforeAutospacing="0" w:after="0" w:afterAutospacing="0" w:line="360" w:lineRule="auto"/>
        <w:ind w:firstLine="420"/>
        <w:rPr>
          <w:sz w:val="21"/>
          <w:szCs w:val="21"/>
        </w:rPr>
      </w:pPr>
      <w:r>
        <w:rPr>
          <w:rFonts w:hint="eastAsia"/>
          <w:sz w:val="21"/>
          <w:szCs w:val="21"/>
        </w:rPr>
        <w:t xml:space="preserve">本基金终止清算时所发生费用，按实际支出额从基金资产总值中扣除。 </w:t>
      </w:r>
    </w:p>
    <w:p>
      <w:pPr>
        <w:pStyle w:val="7"/>
        <w:spacing w:before="0" w:beforeAutospacing="0" w:after="0" w:afterAutospacing="0" w:line="360" w:lineRule="auto"/>
        <w:ind w:firstLine="420"/>
        <w:rPr>
          <w:sz w:val="21"/>
          <w:szCs w:val="21"/>
        </w:rPr>
      </w:pPr>
      <w:r>
        <w:rPr>
          <w:rStyle w:val="11"/>
          <w:rFonts w:hint="eastAsia"/>
          <w:sz w:val="21"/>
          <w:szCs w:val="21"/>
        </w:rPr>
        <w:t>（二）基金费用计提方法、计提标准和支付方式</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本基金的基金管理费按基金资产净值的</w:t>
      </w:r>
      <w:bookmarkStart w:id="172" w:name="field_0_managementrate_1"/>
      <w:r>
        <w:rPr>
          <w:sz w:val="21"/>
          <w:szCs w:val="21"/>
        </w:rPr>
        <w:t>1.</w:t>
      </w:r>
      <w:r>
        <w:rPr>
          <w:rFonts w:hint="eastAsia"/>
          <w:sz w:val="21"/>
          <w:szCs w:val="21"/>
          <w:lang w:val="en-US" w:eastAsia="zh-CN"/>
        </w:rPr>
        <w:t>2</w:t>
      </w:r>
      <w:r>
        <w:rPr>
          <w:sz w:val="21"/>
          <w:szCs w:val="21"/>
        </w:rPr>
        <w:t>0</w:t>
      </w:r>
      <w:bookmarkEnd w:id="172"/>
      <w:r>
        <w:rPr>
          <w:rFonts w:hint="eastAsia"/>
          <w:sz w:val="21"/>
          <w:szCs w:val="21"/>
        </w:rPr>
        <w:t xml:space="preserve">%年费率计提。 </w:t>
      </w:r>
    </w:p>
    <w:p>
      <w:pPr>
        <w:pStyle w:val="7"/>
        <w:spacing w:before="0" w:beforeAutospacing="0" w:after="0" w:afterAutospacing="0" w:line="360" w:lineRule="auto"/>
        <w:ind w:firstLine="420"/>
        <w:rPr>
          <w:sz w:val="21"/>
          <w:szCs w:val="21"/>
        </w:rPr>
      </w:pPr>
      <w:r>
        <w:rPr>
          <w:rFonts w:hint="eastAsia"/>
          <w:sz w:val="21"/>
          <w:szCs w:val="21"/>
        </w:rPr>
        <w:t xml:space="preserve">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73" w:name="field_0_managementrate_2"/>
      <w:r>
        <w:rPr>
          <w:sz w:val="21"/>
          <w:szCs w:val="21"/>
        </w:rPr>
        <w:t>1.</w:t>
      </w:r>
      <w:r>
        <w:rPr>
          <w:rFonts w:hint="eastAsia"/>
          <w:sz w:val="21"/>
          <w:szCs w:val="21"/>
          <w:lang w:val="en-US" w:eastAsia="zh-CN"/>
        </w:rPr>
        <w:t>2</w:t>
      </w:r>
      <w:r>
        <w:rPr>
          <w:sz w:val="21"/>
          <w:szCs w:val="21"/>
        </w:rPr>
        <w:t>0</w:t>
      </w:r>
      <w:bookmarkEnd w:id="173"/>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提，逐日累计至每月月末，按月支付，由基金管理人向基金托管人发送基金管理费划款指令，基金托管人复核后于次月前2个工作日内从基金财产中一次性支付给基金管理人。若遇法定节假日、公休假等,支付日期顺延。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本基金的基金托管费按基金资产净值的</w:t>
      </w:r>
      <w:bookmarkStart w:id="174" w:name="field_0_trusteerate_1"/>
      <w:r>
        <w:rPr>
          <w:sz w:val="21"/>
          <w:szCs w:val="21"/>
        </w:rPr>
        <w:t>0.2</w:t>
      </w:r>
      <w:r>
        <w:rPr>
          <w:rFonts w:hint="eastAsia"/>
          <w:sz w:val="21"/>
          <w:szCs w:val="21"/>
          <w:lang w:val="en-US" w:eastAsia="zh-CN"/>
        </w:rPr>
        <w:t>0</w:t>
      </w:r>
      <w:bookmarkEnd w:id="174"/>
      <w:r>
        <w:rPr>
          <w:rFonts w:hint="eastAsia"/>
          <w:sz w:val="21"/>
          <w:szCs w:val="21"/>
        </w:rPr>
        <w:t xml:space="preserve">%年费率计提。 </w:t>
      </w:r>
    </w:p>
    <w:p>
      <w:pPr>
        <w:pStyle w:val="7"/>
        <w:spacing w:before="0" w:beforeAutospacing="0" w:after="0" w:afterAutospacing="0" w:line="360" w:lineRule="auto"/>
        <w:ind w:firstLine="420"/>
        <w:rPr>
          <w:sz w:val="21"/>
          <w:szCs w:val="21"/>
        </w:rPr>
      </w:pPr>
      <w:r>
        <w:rPr>
          <w:rFonts w:hint="eastAsia"/>
          <w:sz w:val="21"/>
          <w:szCs w:val="21"/>
        </w:rPr>
        <w:t xml:space="preserve">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75" w:name="field_0_trusteerate_2"/>
      <w:r>
        <w:rPr>
          <w:sz w:val="21"/>
          <w:szCs w:val="21"/>
        </w:rPr>
        <w:t>0.2</w:t>
      </w:r>
      <w:r>
        <w:rPr>
          <w:rFonts w:hint="eastAsia"/>
          <w:sz w:val="21"/>
          <w:szCs w:val="21"/>
          <w:lang w:val="en-US" w:eastAsia="zh-CN"/>
        </w:rPr>
        <w:t>0</w:t>
      </w:r>
      <w:bookmarkEnd w:id="175"/>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提，逐日累计至每月月末，按月支付，由基金管理人向基金托管人发送基金托管费划款指令，基金托管人复核后于次月前2个工作日内从基金财产中一次性支取。若遇法定节假日、公休日等,支付日期顺延。 </w:t>
      </w:r>
    </w:p>
    <w:p>
      <w:pPr>
        <w:pStyle w:val="7"/>
        <w:spacing w:before="0" w:beforeAutospacing="0" w:after="0" w:afterAutospacing="0" w:line="360" w:lineRule="auto"/>
        <w:ind w:firstLine="420"/>
        <w:rPr>
          <w:sz w:val="21"/>
          <w:szCs w:val="21"/>
        </w:rPr>
      </w:pPr>
      <w:r>
        <w:rPr>
          <w:rFonts w:hint="eastAsia"/>
          <w:sz w:val="21"/>
          <w:szCs w:val="21"/>
        </w:rPr>
        <w:t xml:space="preserve">上述“一、基金费用的种类”中第3－7项费用由基金托管人根据有关法规及相应协议规定,按费用实际支出金额列入当期费用,从基金财产中支付。 </w:t>
      </w:r>
    </w:p>
    <w:p>
      <w:pPr>
        <w:pStyle w:val="7"/>
        <w:spacing w:before="0" w:beforeAutospacing="0" w:after="0" w:afterAutospacing="0" w:line="360" w:lineRule="auto"/>
        <w:ind w:firstLine="420"/>
        <w:rPr>
          <w:sz w:val="21"/>
          <w:szCs w:val="21"/>
        </w:rPr>
      </w:pPr>
      <w:r>
        <w:rPr>
          <w:rStyle w:val="11"/>
          <w:rFonts w:hint="eastAsia"/>
          <w:sz w:val="21"/>
          <w:szCs w:val="21"/>
        </w:rPr>
        <w:t>（三）不列入基金费用的项目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基金管理人和基金托管人因未履行或未完全履行义务导致的费用支出或基金财产的损失，以及处理与基金运作无关的事项发生的费用等不列入基金费用。 </w:t>
      </w:r>
    </w:p>
    <w:p>
      <w:pPr>
        <w:pStyle w:val="7"/>
        <w:spacing w:before="0" w:beforeAutospacing="0" w:after="0" w:afterAutospacing="0" w:line="360" w:lineRule="auto"/>
        <w:ind w:firstLine="420"/>
        <w:rPr>
          <w:sz w:val="21"/>
          <w:szCs w:val="21"/>
        </w:rPr>
      </w:pPr>
      <w:r>
        <w:rPr>
          <w:rFonts w:hint="eastAsia"/>
          <w:sz w:val="21"/>
          <w:szCs w:val="21"/>
        </w:rPr>
        <w:t xml:space="preserve">基金合同生效前的相关费用，包括但不限于验资费、会计师和律师费、信息披露费用等不列入基金费用。其他具体不列入基金费用的项目依据中国证监会有关规定执行。 </w:t>
      </w:r>
    </w:p>
    <w:p>
      <w:pPr>
        <w:pStyle w:val="7"/>
        <w:spacing w:before="0" w:beforeAutospacing="0" w:after="0" w:afterAutospacing="0" w:line="360" w:lineRule="auto"/>
        <w:ind w:firstLine="420"/>
        <w:rPr>
          <w:sz w:val="21"/>
          <w:szCs w:val="21"/>
        </w:rPr>
      </w:pPr>
      <w:r>
        <w:rPr>
          <w:rStyle w:val="11"/>
          <w:rFonts w:hint="eastAsia"/>
          <w:sz w:val="21"/>
          <w:szCs w:val="21"/>
        </w:rPr>
        <w:t>（四）费用调整</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协商一致后，可根据基金发展情况调整基金管理费率、基金托管费率等相关费率。调高基金管理费率、基金托管费率等费率，须召开基金份额持有人大会审议；调低基金管理费率、基金托管费率等费率，无须召开基金份额持有人大会。基金管理人必须最迟于新的费率实施日前按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（五）与基金销售有关的费用</w:t>
      </w:r>
    </w:p>
    <w:p>
      <w:pPr>
        <w:pStyle w:val="7"/>
        <w:spacing w:before="0" w:beforeAutospacing="0" w:after="0" w:afterAutospacing="0" w:line="360" w:lineRule="auto"/>
        <w:ind w:firstLine="420"/>
        <w:rPr>
          <w:sz w:val="21"/>
          <w:szCs w:val="21"/>
        </w:rPr>
      </w:pPr>
      <w:r>
        <w:rPr>
          <w:rFonts w:hint="eastAsia"/>
          <w:sz w:val="21"/>
          <w:szCs w:val="21"/>
        </w:rPr>
        <w:t xml:space="preserve">1、申购费 </w:t>
      </w:r>
    </w:p>
    <w:p>
      <w:pPr>
        <w:pStyle w:val="7"/>
        <w:spacing w:before="0" w:beforeAutospacing="0" w:after="0" w:afterAutospacing="0" w:line="360" w:lineRule="auto"/>
        <w:ind w:firstLine="420"/>
        <w:rPr>
          <w:sz w:val="21"/>
          <w:szCs w:val="21"/>
        </w:rPr>
      </w:pPr>
      <w:r>
        <w:rPr>
          <w:rFonts w:hint="eastAsia"/>
          <w:sz w:val="21"/>
          <w:szCs w:val="21"/>
        </w:rPr>
        <w:t xml:space="preserve">本基金的申购费率最高不超过3.0%，本基金初次公告的申购费率如下表列：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3"/>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M＜100万元 </w:t>
            </w:r>
          </w:p>
        </w:tc>
        <w:tc>
          <w:tcPr>
            <w:tcW w:w="0" w:type="auto"/>
            <w:shd w:val="clear" w:color="auto" w:fill="auto"/>
          </w:tcPr>
          <w:p>
            <w:pPr>
              <w:pStyle w:val="7"/>
            </w:pPr>
            <w:r>
              <w:rPr>
                <w:rFonts w:hint="eastAsia"/>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100万元≤M＜500万元 </w:t>
            </w:r>
          </w:p>
        </w:tc>
        <w:tc>
          <w:tcPr>
            <w:tcW w:w="0" w:type="auto"/>
            <w:shd w:val="clear" w:color="auto" w:fill="auto"/>
          </w:tcPr>
          <w:p>
            <w:pPr>
              <w:pStyle w:val="7"/>
            </w:pPr>
            <w:r>
              <w:rPr>
                <w:rFonts w:hint="eastAsia"/>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500万元≤M＜1000万元 </w:t>
            </w:r>
          </w:p>
        </w:tc>
        <w:tc>
          <w:tcPr>
            <w:tcW w:w="0" w:type="auto"/>
            <w:shd w:val="clear" w:color="auto" w:fill="auto"/>
          </w:tcPr>
          <w:p>
            <w:pPr>
              <w:pStyle w:val="7"/>
            </w:pPr>
            <w:r>
              <w:rPr>
                <w:rFonts w:hint="eastAsia"/>
              </w:rPr>
              <w:t xml:space="preserve">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M≥1000万元 </w:t>
            </w:r>
          </w:p>
        </w:tc>
        <w:tc>
          <w:tcPr>
            <w:tcW w:w="0" w:type="auto"/>
            <w:shd w:val="clear" w:color="auto" w:fill="auto"/>
          </w:tcPr>
          <w:p>
            <w:pPr>
              <w:pStyle w:val="7"/>
            </w:pPr>
            <w:r>
              <w:rPr>
                <w:rFonts w:hint="eastAsia"/>
              </w:rPr>
              <w:t xml:space="preserve">收取固定费用1000元 </w:t>
            </w:r>
          </w:p>
        </w:tc>
      </w:tr>
    </w:tbl>
    <w:p>
      <w:pPr>
        <w:pStyle w:val="7"/>
        <w:spacing w:before="0" w:beforeAutospacing="0" w:after="0" w:afterAutospacing="0" w:line="360" w:lineRule="auto"/>
        <w:ind w:firstLine="420"/>
        <w:rPr>
          <w:sz w:val="21"/>
          <w:szCs w:val="21"/>
        </w:rPr>
      </w:pPr>
      <w:r>
        <w:rPr>
          <w:rFonts w:hint="eastAsia"/>
          <w:sz w:val="21"/>
          <w:szCs w:val="21"/>
        </w:rPr>
        <w:t xml:space="preserve">2、赎回费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7"/>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持有基金份额期限(Y) </w:t>
            </w:r>
          </w:p>
        </w:tc>
        <w:tc>
          <w:tcPr>
            <w:tcW w:w="0" w:type="auto"/>
            <w:shd w:val="clear" w:color="auto" w:fill="auto"/>
          </w:tcPr>
          <w:p>
            <w:pPr>
              <w:pStyle w:val="7"/>
            </w:pPr>
            <w:r>
              <w:rPr>
                <w:rFonts w:hint="eastAsia"/>
              </w:rPr>
              <w:t xml:space="preserve">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Y＜7天 </w:t>
            </w:r>
          </w:p>
        </w:tc>
        <w:tc>
          <w:tcPr>
            <w:tcW w:w="0" w:type="auto"/>
            <w:shd w:val="clear" w:color="auto" w:fill="auto"/>
          </w:tcPr>
          <w:p>
            <w:pPr>
              <w:pStyle w:val="7"/>
            </w:pPr>
            <w:r>
              <w:rPr>
                <w:rFonts w:hint="eastAsia"/>
              </w:rPr>
              <w:t xml:space="preserve">   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两年＞ Y≥7天 </w:t>
            </w:r>
          </w:p>
        </w:tc>
        <w:tc>
          <w:tcPr>
            <w:tcW w:w="0" w:type="auto"/>
            <w:shd w:val="clear" w:color="auto" w:fill="auto"/>
          </w:tcPr>
          <w:p>
            <w:pPr>
              <w:pStyle w:val="7"/>
            </w:pPr>
            <w:r>
              <w:rPr>
                <w:rFonts w:hint="eastAsia"/>
              </w:rPr>
              <w:t xml:space="preserve">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三年＞ Y≥两年 </w:t>
            </w:r>
          </w:p>
        </w:tc>
        <w:tc>
          <w:tcPr>
            <w:tcW w:w="0" w:type="auto"/>
            <w:shd w:val="clear" w:color="auto" w:fill="auto"/>
          </w:tcPr>
          <w:p>
            <w:pPr>
              <w:pStyle w:val="7"/>
            </w:pPr>
            <w:r>
              <w:rPr>
                <w:rFonts w:hint="eastAsia"/>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Y≥三年 </w:t>
            </w:r>
          </w:p>
        </w:tc>
        <w:tc>
          <w:tcPr>
            <w:tcW w:w="0" w:type="auto"/>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3、转换费 </w:t>
      </w:r>
    </w:p>
    <w:p>
      <w:pPr>
        <w:pStyle w:val="7"/>
        <w:spacing w:before="0" w:beforeAutospacing="0" w:after="0" w:afterAutospacing="0" w:line="360" w:lineRule="auto"/>
        <w:ind w:firstLine="420"/>
        <w:rPr>
          <w:sz w:val="21"/>
          <w:szCs w:val="21"/>
        </w:rPr>
      </w:pPr>
      <w:r>
        <w:rPr>
          <w:rFonts w:hint="eastAsia"/>
          <w:sz w:val="21"/>
          <w:szCs w:val="21"/>
        </w:rPr>
        <w:t xml:space="preserve">基金转换费用由申购费补差和转出基金赎回费两部分构成，其中：申购费补差具体收取情况，视每次转换时的两只基金的费率的差异情况而定。基金转换费用由基金份额持有人承担，扣除转出基金赎回费应归基金财产部分后的余额归登记机构所有。 </w:t>
      </w:r>
    </w:p>
    <w:p>
      <w:pPr>
        <w:pStyle w:val="7"/>
        <w:spacing w:before="0" w:beforeAutospacing="0" w:after="0" w:afterAutospacing="0" w:line="360" w:lineRule="auto"/>
        <w:ind w:firstLine="420"/>
        <w:rPr>
          <w:sz w:val="21"/>
          <w:szCs w:val="21"/>
        </w:rPr>
      </w:pPr>
      <w:r>
        <w:rPr>
          <w:rStyle w:val="11"/>
          <w:rFonts w:hint="eastAsia"/>
          <w:sz w:val="21"/>
          <w:szCs w:val="21"/>
        </w:rPr>
        <w:t>（六）基金税收</w:t>
      </w:r>
    </w:p>
    <w:p>
      <w:pPr>
        <w:pStyle w:val="7"/>
        <w:spacing w:before="0" w:beforeAutospacing="0" w:after="0" w:afterAutospacing="0" w:line="360" w:lineRule="auto"/>
        <w:ind w:firstLine="420"/>
        <w:rPr>
          <w:sz w:val="21"/>
          <w:szCs w:val="21"/>
        </w:rPr>
      </w:pPr>
      <w:bookmarkStart w:id="176" w:name="chapter_level1_17_65_section_1_end"/>
      <w:bookmarkEnd w:id="176"/>
      <w:r>
        <w:rPr>
          <w:rFonts w:hint="eastAsia"/>
          <w:sz w:val="21"/>
          <w:szCs w:val="21"/>
        </w:rPr>
        <w:t xml:space="preserve">本基金运作过程中涉及的各纳税主体，其纳税义务按国家税收法律、法规执行。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7" w:name="_Toc113522957"/>
      <w:bookmarkStart w:id="178" w:name="chapter_level1_18_66"/>
      <w:r>
        <w:rPr>
          <w:rFonts w:hint="eastAsia" w:ascii="宋体" w:hAnsi="宋体" w:eastAsia="宋体"/>
          <w:sz w:val="30"/>
        </w:rPr>
        <w:t>十五、基金的会计与审计</w:t>
      </w:r>
      <w:bookmarkEnd w:id="177"/>
      <w:bookmarkEnd w:id="178"/>
    </w:p>
    <w:p>
      <w:pPr>
        <w:pStyle w:val="7"/>
        <w:spacing w:before="0" w:beforeAutospacing="0" w:after="0" w:afterAutospacing="0" w:line="360" w:lineRule="auto"/>
        <w:ind w:firstLine="420"/>
        <w:rPr>
          <w:sz w:val="21"/>
          <w:szCs w:val="21"/>
        </w:rPr>
      </w:pPr>
      <w:bookmarkStart w:id="179" w:name="chapter_level1_18_66_section_1"/>
      <w:bookmarkEnd w:id="179"/>
      <w:r>
        <w:rPr>
          <w:rStyle w:val="11"/>
          <w:rFonts w:hint="eastAsia"/>
          <w:sz w:val="21"/>
          <w:szCs w:val="21"/>
        </w:rPr>
        <w:t>（一）基金会计政策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1、基金管理人为本基金的基金会计责任方，基金管理人也可委托合格的其它机构担任基金会计； </w:t>
      </w:r>
    </w:p>
    <w:p>
      <w:pPr>
        <w:pStyle w:val="7"/>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2、基金的会计年度为公历年度的1月1日至12月31日；基金首次募集的会计年度按如下原则：如果基金合同生效少于3个月，可以并入下一个会计年度； </w:t>
      </w:r>
    </w:p>
    <w:p>
      <w:pPr>
        <w:pStyle w:val="7"/>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7"/>
        <w:spacing w:before="0" w:beforeAutospacing="0" w:after="0" w:afterAutospacing="0" w:line="360" w:lineRule="auto"/>
        <w:ind w:firstLine="420"/>
        <w:rPr>
          <w:sz w:val="21"/>
          <w:szCs w:val="21"/>
        </w:rPr>
      </w:pPr>
      <w:r>
        <w:rPr>
          <w:rStyle w:val="11"/>
          <w:rFonts w:hint="eastAsia"/>
          <w:sz w:val="21"/>
          <w:szCs w:val="21"/>
        </w:rPr>
        <w:t>（二）基金的年度审计</w:t>
      </w:r>
    </w:p>
    <w:p>
      <w:pPr>
        <w:pStyle w:val="7"/>
        <w:spacing w:before="0" w:beforeAutospacing="0" w:after="0" w:afterAutospacing="0" w:line="360" w:lineRule="auto"/>
        <w:ind w:firstLine="420"/>
        <w:rPr>
          <w:sz w:val="21"/>
          <w:szCs w:val="21"/>
        </w:rPr>
      </w:pPr>
      <w:r>
        <w:rPr>
          <w:rFonts w:hint="eastAsia"/>
          <w:sz w:val="21"/>
          <w:szCs w:val="21"/>
        </w:rPr>
        <w:t xml:space="preserve">1、本基金管理人聘请与基金管理人、基金托管人相互独立的具有证券、期货相关业务资格的会计师事务所及其注册会计师对本基金的年度财务报表及其他规定事项进行审计。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2、会计师事务所更换经办注册会计师，应事先征得基金管理人和基金托管人同意。基金合同生效后的审计费用从基金资产中列支。 </w:t>
      </w:r>
    </w:p>
    <w:p>
      <w:pPr>
        <w:pStyle w:val="7"/>
        <w:spacing w:before="0" w:beforeAutospacing="0" w:after="0" w:afterAutospacing="0" w:line="360" w:lineRule="auto"/>
        <w:ind w:firstLine="420"/>
        <w:rPr>
          <w:sz w:val="21"/>
          <w:szCs w:val="21"/>
        </w:rPr>
      </w:pPr>
      <w:r>
        <w:rPr>
          <w:rFonts w:hint="eastAsia"/>
          <w:sz w:val="21"/>
          <w:szCs w:val="21"/>
        </w:rPr>
        <w:t>3、基金管理人（或基金托管人）认为有充足理由更换会计师事务所，须经基金托管人（或基金管理人）同意。更换会计师事务所需按照《信息披露办法》的有关规定在指定媒介</w:t>
      </w:r>
      <w:bookmarkStart w:id="180" w:name="chapter_level1_18_66_section_1_end"/>
      <w:bookmarkEnd w:id="180"/>
      <w:r>
        <w:rPr>
          <w:rFonts w:hint="eastAsia"/>
          <w:sz w:val="21"/>
          <w:szCs w:val="21"/>
        </w:rPr>
        <w:t xml:space="preserve">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1" w:name="_Toc113522958"/>
      <w:bookmarkStart w:id="182" w:name="chapter_level1_19_67"/>
      <w:r>
        <w:rPr>
          <w:rFonts w:hint="eastAsia" w:ascii="宋体" w:hAnsi="宋体" w:eastAsia="宋体"/>
          <w:sz w:val="30"/>
        </w:rPr>
        <w:t>十六、基金的信息披露</w:t>
      </w:r>
      <w:bookmarkEnd w:id="181"/>
      <w:bookmarkEnd w:id="182"/>
    </w:p>
    <w:p>
      <w:pPr>
        <w:pStyle w:val="7"/>
        <w:spacing w:before="0" w:beforeAutospacing="0" w:after="0" w:afterAutospacing="0" w:line="360" w:lineRule="auto"/>
        <w:ind w:firstLine="420"/>
        <w:rPr>
          <w:sz w:val="21"/>
          <w:szCs w:val="21"/>
        </w:rPr>
      </w:pPr>
      <w:bookmarkStart w:id="183" w:name="chapter_level1_19_67_section_1"/>
      <w:bookmarkEnd w:id="183"/>
      <w:r>
        <w:rPr>
          <w:rStyle w:val="11"/>
          <w:rFonts w:hint="eastAsia"/>
          <w:sz w:val="21"/>
          <w:szCs w:val="21"/>
        </w:rPr>
        <w:t>本基金的信息披露应符合《基金法》、《运作办法》、《信息披露办法》、《基金合同》及其他有关规定。</w:t>
      </w:r>
    </w:p>
    <w:p>
      <w:pPr>
        <w:pStyle w:val="7"/>
        <w:spacing w:before="0" w:beforeAutospacing="0" w:after="0" w:afterAutospacing="0" w:line="360" w:lineRule="auto"/>
        <w:ind w:firstLine="420"/>
        <w:rPr>
          <w:sz w:val="21"/>
          <w:szCs w:val="21"/>
        </w:rPr>
      </w:pPr>
      <w:r>
        <w:rPr>
          <w:rStyle w:val="11"/>
          <w:rFonts w:hint="eastAsia"/>
          <w:sz w:val="21"/>
          <w:szCs w:val="21"/>
        </w:rPr>
        <w:t>本基金信息披露义务人包括基金管理人、基金托管人、召集基金份额持有人大会的基金份额持有人等法律、行政法规和中国证监会规定的自然人、法人和非法人组织。</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本基金信息披露义务人应当在中国证监会规定时间内，将应予披露的基金信息通过中国证监会指定媒介披露，并保证基金投资人能够按照《基金合同》约定的时间和方式查阅或者复制公开披露的信息资料。 </w:t>
      </w:r>
    </w:p>
    <w:p>
      <w:pPr>
        <w:pStyle w:val="7"/>
        <w:spacing w:before="0" w:beforeAutospacing="0" w:after="0" w:afterAutospacing="0" w:line="360" w:lineRule="auto"/>
        <w:ind w:firstLine="420"/>
        <w:rPr>
          <w:sz w:val="21"/>
          <w:szCs w:val="21"/>
        </w:rPr>
      </w:pPr>
      <w:r>
        <w:rPr>
          <w:rStyle w:val="11"/>
          <w:rFonts w:hint="eastAsia"/>
          <w:sz w:val="21"/>
          <w:szCs w:val="21"/>
        </w:rPr>
        <w:t>本基金信息披露义务人承诺公开披露的基金信息，不得有下列行为：</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4、诋毁其他基金管理人、基金托管人或者基金份额发售机构；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Style w:val="11"/>
          <w:rFonts w:hint="eastAsia"/>
          <w:sz w:val="21"/>
          <w:szCs w:val="21"/>
        </w:rPr>
        <w:t>本基金公开披露的信息应采用中文文本。同时采用外文文本的，基金信息披露义务人应保证不同文本的内容一致。不同文本之间发生歧义的，以中文文本为准。</w:t>
      </w:r>
    </w:p>
    <w:p>
      <w:pPr>
        <w:pStyle w:val="7"/>
        <w:spacing w:before="0" w:beforeAutospacing="0" w:after="0" w:afterAutospacing="0" w:line="360" w:lineRule="auto"/>
        <w:ind w:firstLine="420"/>
        <w:rPr>
          <w:sz w:val="21"/>
          <w:szCs w:val="21"/>
        </w:rPr>
      </w:pPr>
      <w:bookmarkStart w:id="184" w:name="chapter_level1_19_67_section_1_end"/>
      <w:bookmarkEnd w:id="184"/>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85" w:name="chapter_level1_19_67_section_2"/>
      <w:bookmarkEnd w:id="185"/>
      <w:r>
        <w:rPr>
          <w:rStyle w:val="11"/>
          <w:rFonts w:hint="eastAsia"/>
          <w:sz w:val="21"/>
          <w:szCs w:val="21"/>
        </w:rPr>
        <w:t>（一）公开披露的基金信息 </w:t>
      </w:r>
    </w:p>
    <w:p>
      <w:pPr>
        <w:pStyle w:val="7"/>
        <w:spacing w:before="0" w:beforeAutospacing="0" w:after="0" w:afterAutospacing="0" w:line="360" w:lineRule="auto"/>
        <w:ind w:firstLine="420"/>
        <w:rPr>
          <w:sz w:val="21"/>
          <w:szCs w:val="21"/>
        </w:rPr>
      </w:pPr>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1、基金招募说明书、基金合同、基金托管协议、基金产品资料概要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基金募集申请经中国证监会核准后，基金管理人在基金份额发售的3日前，将基金招募说明书、基金合同摘要登载在指定报刊和网站上；基金管理人、基金托管人应当将基金合同、基金托管协议登载在网站上。 </w:t>
      </w:r>
    </w:p>
    <w:p>
      <w:pPr>
        <w:pStyle w:val="7"/>
        <w:spacing w:before="0" w:beforeAutospacing="0" w:after="0" w:afterAutospacing="0" w:line="360" w:lineRule="auto"/>
        <w:ind w:firstLine="420"/>
        <w:rPr>
          <w:sz w:val="21"/>
          <w:szCs w:val="21"/>
        </w:rPr>
      </w:pPr>
      <w:r>
        <w:rPr>
          <w:rFonts w:hint="eastAsia"/>
          <w:sz w:val="21"/>
          <w:szCs w:val="21"/>
        </w:rPr>
        <w:t xml:space="preserve">（1）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（2）基金合同是界定基金合同当事人的各项权利、义务关系，明确基金份额持有人大会召开的规则及具体程序，说明基金产品的特性等涉及基金投资者重大利益的事项的法律文件。 </w:t>
      </w:r>
    </w:p>
    <w:p>
      <w:pPr>
        <w:pStyle w:val="7"/>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pPr>
        <w:pStyle w:val="7"/>
        <w:spacing w:before="0" w:beforeAutospacing="0" w:after="0" w:afterAutospacing="0" w:line="360" w:lineRule="auto"/>
        <w:ind w:firstLine="420"/>
        <w:rPr>
          <w:sz w:val="21"/>
          <w:szCs w:val="21"/>
        </w:rPr>
      </w:pPr>
      <w:r>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2、基金份额发售公告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基金管理人应当就基金份额发售的具体事宜编制基金份额发售公告，并在披露招募说明书的当日登载于指定报刊和网站上。 </w:t>
      </w:r>
    </w:p>
    <w:p>
      <w:pPr>
        <w:pStyle w:val="7"/>
        <w:spacing w:before="0" w:beforeAutospacing="0" w:after="0" w:afterAutospacing="0" w:line="360" w:lineRule="auto"/>
        <w:ind w:firstLine="420"/>
        <w:rPr>
          <w:sz w:val="21"/>
          <w:szCs w:val="21"/>
        </w:rPr>
      </w:pPr>
      <w:r>
        <w:rPr>
          <w:rFonts w:hint="eastAsia"/>
          <w:sz w:val="21"/>
          <w:szCs w:val="21"/>
        </w:rPr>
        <w:t xml:space="preserve">3、基金合同生效公告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基金管理人应当在基金合同生效的次日在指定报刊和网站上登载基金合同生效公告。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4、基金净值信息 </w:t>
      </w:r>
    </w:p>
    <w:p>
      <w:pPr>
        <w:pStyle w:val="7"/>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《基金合同》生效后，在开始办理基金份额申购或者赎回前，基金管理人应当至少每周在指定网站披露一次基金份额净值和基金份额累计净值。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在开始办理基金份额申购或者赎回后，基金管理人应当在不晚于每个开放日的次日，通过指定网站、基金销售机构网站或者营业网点披露开放日的基金份额净值和基金份额累计净值。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5、基金份额申购、赎回价格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基金管理人应当在基金合同、招募说明书等信息披露文件上载明基金份额申购、赎回价格的计算方式及有关申购、赎回费率，并保证投资人能够在基金销售机构网站或者营业网点查阅或者复制前述信息资料。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6、基金定期报告，包括基金年度报告、基金中期报告和基金季度报告。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基金管理人应当在上半年结束之日起两个月内，编制完成基金中期报告，将中期报告登载在指定网站上，并将中期报告提示性公告登载在指定报刊上。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本基金持续运作过程中,应当在基金年度报告和中期报告中披露基金组合资产情况及其流动性风险分析等。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7、临时报告 </w:t>
      </w:r>
    </w:p>
    <w:p>
      <w:pPr>
        <w:pStyle w:val="7"/>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本基金发生重大事件，有关信息披露义务人应当在2日内编制临时报告书，并登载在指定报刊和指定网站上。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（8）基金募集期延长； </w:t>
      </w:r>
    </w:p>
    <w:p>
      <w:pPr>
        <w:pStyle w:val="7"/>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（11）涉及基金财产、基金管理业务、基金托管业务的诉讼或仲裁；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（14）基金收益分配事项；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（15）管理费、托管费、申购费、赎回费等费用计提标准、计提方式和费率发生变更；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（16）基金份额净值计价错误达基金份额净值百分之零点五； </w:t>
      </w:r>
    </w:p>
    <w:p>
      <w:pPr>
        <w:pStyle w:val="7"/>
        <w:spacing w:before="0" w:beforeAutospacing="0" w:after="0" w:afterAutospacing="0" w:line="360" w:lineRule="auto"/>
        <w:ind w:firstLine="420"/>
        <w:rPr>
          <w:sz w:val="21"/>
          <w:szCs w:val="21"/>
        </w:rPr>
      </w:pPr>
      <w:r>
        <w:rPr>
          <w:rFonts w:hint="eastAsia"/>
          <w:sz w:val="21"/>
          <w:szCs w:val="21"/>
        </w:rPr>
        <w:t xml:space="preserve">（17）本基金开始办理申购、赎回；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（18）本基金发生巨额赎回并延期办理；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（19）本基金连续发生巨额赎回并暂停接受赎回申请或延缓支付赎回款项；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（20）本基金暂停接受申购、赎回申请或重新接受申购、赎回申请；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（21）发生涉及本基金申购、赎回事项调整或潜在影响投资者赎回等重大事项时； </w:t>
      </w:r>
    </w:p>
    <w:p>
      <w:pPr>
        <w:pStyle w:val="7"/>
        <w:spacing w:before="0" w:beforeAutospacing="0" w:after="0" w:afterAutospacing="0" w:line="360" w:lineRule="auto"/>
        <w:ind w:firstLine="420"/>
        <w:rPr>
          <w:sz w:val="21"/>
          <w:szCs w:val="21"/>
        </w:rPr>
      </w:pPr>
      <w:r>
        <w:rPr>
          <w:rFonts w:hint="eastAsia"/>
          <w:sz w:val="21"/>
          <w:szCs w:val="21"/>
        </w:rPr>
        <w:t xml:space="preserve">（22） 基金信息披露义务人认为可能对基金份额持有人权益或者基金份额的价格产生重大影响的其他事项或中国证监会规定的其他事项。 </w:t>
      </w:r>
    </w:p>
    <w:p>
      <w:pPr>
        <w:pStyle w:val="7"/>
        <w:spacing w:before="0" w:beforeAutospacing="0" w:after="0" w:afterAutospacing="0" w:line="360" w:lineRule="auto"/>
        <w:ind w:firstLine="420"/>
        <w:rPr>
          <w:sz w:val="21"/>
          <w:szCs w:val="21"/>
        </w:rPr>
      </w:pPr>
      <w:r>
        <w:rPr>
          <w:rFonts w:hint="eastAsia"/>
          <w:sz w:val="21"/>
          <w:szCs w:val="21"/>
        </w:rPr>
        <w:t xml:space="preserve">8、澄清公告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9、基金份额持有人大会决议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国务院证券监督管理机构核准或者备案，并予以公告。召开基金份额持有人大会的，召集人应当至少提前30日公告基金份额持有人大会的召开时间、会议形式、审议事项、议事程序和表决方式等事项。 </w:t>
      </w:r>
    </w:p>
    <w:p>
      <w:pPr>
        <w:pStyle w:val="7"/>
        <w:spacing w:before="0" w:beforeAutospacing="0" w:after="0" w:afterAutospacing="0" w:line="360" w:lineRule="auto"/>
        <w:ind w:firstLine="420"/>
        <w:rPr>
          <w:sz w:val="21"/>
          <w:szCs w:val="21"/>
        </w:rPr>
      </w:pPr>
      <w:r>
        <w:rPr>
          <w:rFonts w:hint="eastAsia"/>
          <w:sz w:val="21"/>
          <w:szCs w:val="21"/>
        </w:rPr>
        <w:t xml:space="preserve">基金份额持有人依法自行召集基金份额持有人大会，本基金管理人、本基金托管人对基金份额持有人大会决定的事项不依法履行信息披露义务的，召集人应当履行相关信息披露义务。 </w:t>
      </w:r>
    </w:p>
    <w:p>
      <w:pPr>
        <w:pStyle w:val="7"/>
        <w:spacing w:before="0" w:beforeAutospacing="0" w:after="0" w:afterAutospacing="0" w:line="360" w:lineRule="auto"/>
        <w:ind w:firstLine="420"/>
        <w:rPr>
          <w:sz w:val="21"/>
          <w:szCs w:val="21"/>
        </w:rPr>
      </w:pPr>
      <w:r>
        <w:rPr>
          <w:rFonts w:hint="eastAsia"/>
          <w:sz w:val="21"/>
          <w:szCs w:val="21"/>
        </w:rPr>
        <w:t xml:space="preserve">10、清算报告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11、中国证监会规定的其他信息。 </w:t>
      </w:r>
    </w:p>
    <w:p>
      <w:pPr>
        <w:pStyle w:val="7"/>
        <w:spacing w:before="0" w:beforeAutospacing="0" w:after="0" w:afterAutospacing="0" w:line="360" w:lineRule="auto"/>
        <w:ind w:firstLine="420"/>
        <w:rPr>
          <w:sz w:val="21"/>
          <w:szCs w:val="21"/>
        </w:rPr>
      </w:pPr>
      <w:r>
        <w:rPr>
          <w:rStyle w:val="11"/>
          <w:rFonts w:hint="eastAsia"/>
          <w:sz w:val="21"/>
          <w:szCs w:val="21"/>
        </w:rPr>
        <w:t>（二）信息披露事务管理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基金信息披露义务人公开披露基金信息，应当符合中国证监会相关基金信息披露内容与格式准则等法规的规定。 </w:t>
      </w:r>
    </w:p>
    <w:p>
      <w:pPr>
        <w:pStyle w:val="7"/>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Fonts w:hint="eastAsia"/>
          <w:sz w:val="21"/>
          <w:szCs w:val="21"/>
        </w:rPr>
        <w:t>为基金信息披露义务人公开披露的基金信息出具审计报告、法律意见书的专业机构，应</w:t>
      </w:r>
      <w:bookmarkStart w:id="186" w:name="chapter_level1_19_67_section_2_end"/>
      <w:bookmarkEnd w:id="186"/>
      <w:r>
        <w:rPr>
          <w:rFonts w:hint="eastAsia"/>
          <w:sz w:val="21"/>
          <w:szCs w:val="21"/>
        </w:rPr>
        <w:t xml:space="preserve">当制作工作底稿，并将相关档案至少保存到基金合同终止后10年。 </w:t>
      </w:r>
    </w:p>
    <w:p>
      <w:pPr>
        <w:pStyle w:val="7"/>
        <w:spacing w:before="0" w:beforeAutospacing="0" w:after="0" w:afterAutospacing="0" w:line="360" w:lineRule="auto"/>
        <w:ind w:firstLine="420"/>
        <w:rPr>
          <w:sz w:val="21"/>
          <w:szCs w:val="21"/>
        </w:rPr>
      </w:pPr>
      <w:bookmarkStart w:id="187" w:name="chapter_level1_19_67_section_3"/>
      <w:bookmarkEnd w:id="187"/>
      <w:r>
        <w:rPr>
          <w:rStyle w:val="11"/>
          <w:rFonts w:hint="eastAsia"/>
          <w:sz w:val="21"/>
          <w:szCs w:val="21"/>
        </w:rPr>
        <w:t>（三）信息披露文件的存放与查阅</w:t>
      </w:r>
    </w:p>
    <w:p>
      <w:pPr>
        <w:pStyle w:val="7"/>
        <w:spacing w:before="0" w:beforeAutospacing="0" w:after="0" w:afterAutospacing="0" w:line="360" w:lineRule="auto"/>
        <w:ind w:firstLine="420"/>
        <w:rPr>
          <w:sz w:val="21"/>
          <w:szCs w:val="21"/>
        </w:rPr>
      </w:pPr>
      <w:r>
        <w:rPr>
          <w:rFonts w:hint="eastAsia"/>
          <w:sz w:val="21"/>
          <w:szCs w:val="21"/>
        </w:rPr>
        <w:t xml:space="preserve">依法必须披露的信息发布后，基金管理人、基金托管人应当按照相关法律法规规定将信息置备于各自住所，供社会公众查阅、复制。 </w:t>
      </w:r>
    </w:p>
    <w:p>
      <w:pPr>
        <w:pStyle w:val="7"/>
        <w:spacing w:before="0" w:beforeAutospacing="0" w:after="0" w:afterAutospacing="0" w:line="360" w:lineRule="auto"/>
        <w:ind w:firstLine="420"/>
        <w:rPr>
          <w:sz w:val="21"/>
          <w:szCs w:val="21"/>
        </w:rPr>
      </w:pPr>
      <w:r>
        <w:rPr>
          <w:rStyle w:val="11"/>
          <w:rFonts w:hint="eastAsia"/>
          <w:sz w:val="21"/>
          <w:szCs w:val="21"/>
        </w:rPr>
        <w:t>（四）风险揭示 </w:t>
      </w:r>
    </w:p>
    <w:p>
      <w:pPr>
        <w:pStyle w:val="7"/>
        <w:spacing w:before="0" w:beforeAutospacing="0" w:after="0" w:afterAutospacing="0" w:line="360" w:lineRule="auto"/>
        <w:ind w:firstLine="420"/>
        <w:rPr>
          <w:sz w:val="21"/>
          <w:szCs w:val="21"/>
        </w:rPr>
      </w:pPr>
      <w:r>
        <w:rPr>
          <w:rFonts w:hint="eastAsia"/>
          <w:sz w:val="21"/>
          <w:szCs w:val="21"/>
        </w:rPr>
        <w:t xml:space="preserve">本基金为平衡配置混合型基金，其风险介于股票基金和债券基金之间。其风险具体包括： </w:t>
      </w:r>
    </w:p>
    <w:p>
      <w:pPr>
        <w:pStyle w:val="7"/>
        <w:spacing w:before="0" w:beforeAutospacing="0" w:after="0" w:afterAutospacing="0" w:line="360" w:lineRule="auto"/>
        <w:ind w:firstLine="420"/>
        <w:rPr>
          <w:sz w:val="21"/>
          <w:szCs w:val="21"/>
        </w:rPr>
      </w:pPr>
      <w:r>
        <w:rPr>
          <w:rFonts w:hint="eastAsia"/>
          <w:sz w:val="21"/>
          <w:szCs w:val="21"/>
        </w:rPr>
        <w:t xml:space="preserve">（1）市场风险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证券市场价格受到经济因素、政治因素、投资心理和交易制度等各种因素的影响，导致基金收益水平变化而产生风险，主要包括：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2、经济周期风险。随经济运行的周期性变化，证券市场的收益水平也呈周期性变化。基金投资于国债与上市公司的股票，收益水平也会随之变化，从而产生风险。 </w:t>
      </w:r>
    </w:p>
    <w:p>
      <w:pPr>
        <w:pStyle w:val="7"/>
        <w:spacing w:before="0" w:beforeAutospacing="0" w:after="0" w:afterAutospacing="0" w:line="360" w:lineRule="auto"/>
        <w:ind w:firstLine="420"/>
        <w:rPr>
          <w:sz w:val="21"/>
          <w:szCs w:val="21"/>
        </w:rPr>
      </w:pPr>
      <w:r>
        <w:rPr>
          <w:rFonts w:hint="eastAsia"/>
          <w:sz w:val="21"/>
          <w:szCs w:val="21"/>
        </w:rPr>
        <w:t xml:space="preserve">3、利率风险。金融市场利率的波动会导致证券市场价格和收益率的变动。利率直接影响着国债的价格和收益率，影响着企业的融资成本和利润。基金投资于国债和股票，其收益水平会受到利率变化的影响。 </w:t>
      </w:r>
    </w:p>
    <w:p>
      <w:pPr>
        <w:pStyle w:val="7"/>
        <w:spacing w:before="0" w:beforeAutospacing="0" w:after="0" w:afterAutospacing="0" w:line="360" w:lineRule="auto"/>
        <w:ind w:firstLine="420"/>
        <w:rPr>
          <w:sz w:val="21"/>
          <w:szCs w:val="21"/>
        </w:rPr>
      </w:pPr>
      <w:r>
        <w:rPr>
          <w:rFonts w:hint="eastAsia"/>
          <w:sz w:val="21"/>
          <w:szCs w:val="21"/>
        </w:rPr>
        <w:t xml:space="preserve">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 </w:t>
      </w:r>
    </w:p>
    <w:p>
      <w:pPr>
        <w:pStyle w:val="7"/>
        <w:spacing w:before="0" w:beforeAutospacing="0" w:after="0" w:afterAutospacing="0" w:line="360" w:lineRule="auto"/>
        <w:ind w:firstLine="420"/>
        <w:rPr>
          <w:sz w:val="21"/>
          <w:szCs w:val="21"/>
        </w:rPr>
      </w:pPr>
      <w:r>
        <w:rPr>
          <w:rFonts w:hint="eastAsia"/>
          <w:sz w:val="21"/>
          <w:szCs w:val="21"/>
        </w:rPr>
        <w:t xml:space="preserve">5、购买力风险。基金的利润将主要通过现金形式来分配，而现金可能因为通货膨胀的影响而导致购买力下降，从而使基金的实际收益下降。 </w:t>
      </w:r>
    </w:p>
    <w:p>
      <w:pPr>
        <w:pStyle w:val="7"/>
        <w:spacing w:before="0" w:beforeAutospacing="0" w:after="0" w:afterAutospacing="0" w:line="360" w:lineRule="auto"/>
        <w:ind w:firstLine="420"/>
        <w:rPr>
          <w:sz w:val="21"/>
          <w:szCs w:val="21"/>
        </w:rPr>
      </w:pPr>
      <w:r>
        <w:rPr>
          <w:rFonts w:hint="eastAsia"/>
          <w:sz w:val="21"/>
          <w:szCs w:val="21"/>
        </w:rPr>
        <w:t xml:space="preserve">（2）管理风险 </w:t>
      </w:r>
    </w:p>
    <w:p>
      <w:pPr>
        <w:pStyle w:val="7"/>
        <w:spacing w:before="0" w:beforeAutospacing="0" w:after="0" w:afterAutospacing="0" w:line="360" w:lineRule="auto"/>
        <w:ind w:firstLine="420"/>
        <w:rPr>
          <w:sz w:val="21"/>
          <w:szCs w:val="21"/>
        </w:rPr>
      </w:pPr>
      <w:r>
        <w:rPr>
          <w:rFonts w:hint="eastAsia"/>
          <w:sz w:val="21"/>
          <w:szCs w:val="21"/>
        </w:rPr>
        <w:t xml:space="preserve">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因此本基金可能因为基金管理人的因素而影响基金收益水平。 </w:t>
      </w:r>
    </w:p>
    <w:p>
      <w:pPr>
        <w:pStyle w:val="7"/>
        <w:spacing w:before="0" w:beforeAutospacing="0" w:after="0" w:afterAutospacing="0" w:line="360" w:lineRule="auto"/>
        <w:ind w:firstLine="420"/>
        <w:rPr>
          <w:sz w:val="21"/>
          <w:szCs w:val="21"/>
        </w:rPr>
      </w:pPr>
      <w:r>
        <w:rPr>
          <w:rFonts w:hint="eastAsia"/>
          <w:sz w:val="21"/>
          <w:szCs w:val="21"/>
        </w:rPr>
        <w:t xml:space="preserve">（3）流动性风险 </w:t>
      </w:r>
    </w:p>
    <w:p>
      <w:pPr>
        <w:pStyle w:val="7"/>
        <w:spacing w:before="0" w:beforeAutospacing="0" w:after="0" w:afterAutospacing="0" w:line="360" w:lineRule="auto"/>
        <w:ind w:firstLine="420"/>
        <w:rPr>
          <w:sz w:val="21"/>
          <w:szCs w:val="21"/>
        </w:rPr>
      </w:pPr>
      <w:r>
        <w:rPr>
          <w:rFonts w:hint="eastAsia"/>
          <w:sz w:val="21"/>
          <w:szCs w:val="21"/>
        </w:rPr>
        <w:t xml:space="preserve">本基金属于开放式基金，在基金的所有开放日，基金管理人都有义务接受投资人的申购和赎回。由于开放式基金在国内发展历史不长，应对基金赎回的经验不足，加之中国股票市场波动性较大，在市场下跌时经常出现交易量急剧减少的情况，如果在这时出现较大数额的基金赎回申请，则使基金资产变现困难，基金面临流动性风险。 </w:t>
      </w:r>
    </w:p>
    <w:p>
      <w:pPr>
        <w:pStyle w:val="7"/>
        <w:spacing w:before="0" w:beforeAutospacing="0" w:after="0" w:afterAutospacing="0" w:line="360" w:lineRule="auto"/>
        <w:ind w:firstLine="420"/>
        <w:rPr>
          <w:sz w:val="21"/>
          <w:szCs w:val="21"/>
        </w:rPr>
      </w:pPr>
      <w:r>
        <w:rPr>
          <w:rFonts w:hint="eastAsia"/>
          <w:sz w:val="21"/>
          <w:szCs w:val="21"/>
        </w:rPr>
        <w:t xml:space="preserve">1）基金申购、赎回安排 </w:t>
      </w:r>
    </w:p>
    <w:p>
      <w:pPr>
        <w:pStyle w:val="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（4）投资策略风险 </w:t>
      </w:r>
    </w:p>
    <w:p>
      <w:pPr>
        <w:pStyle w:val="7"/>
        <w:spacing w:before="0" w:beforeAutospacing="0" w:after="0" w:afterAutospacing="0" w:line="360" w:lineRule="auto"/>
        <w:ind w:firstLine="420"/>
        <w:rPr>
          <w:sz w:val="21"/>
          <w:szCs w:val="21"/>
        </w:rPr>
      </w:pPr>
      <w:r>
        <w:rPr>
          <w:rFonts w:hint="eastAsia"/>
          <w:sz w:val="21"/>
          <w:szCs w:val="21"/>
        </w:rPr>
        <w:t xml:space="preserve">本基金是平衡配置混合型基金，股票（含存托凭证）投资的比例控制在30%-60%，因此在股票市场牛市来临时，其业绩表现可能不如股票基金。 </w:t>
      </w:r>
    </w:p>
    <w:p>
      <w:pPr>
        <w:pStyle w:val="7"/>
        <w:spacing w:before="0" w:beforeAutospacing="0" w:after="0" w:afterAutospacing="0" w:line="360" w:lineRule="auto"/>
        <w:ind w:firstLine="420"/>
        <w:rPr>
          <w:sz w:val="21"/>
          <w:szCs w:val="21"/>
        </w:rPr>
      </w:pPr>
      <w:r>
        <w:rPr>
          <w:rFonts w:hint="eastAsia"/>
          <w:sz w:val="21"/>
          <w:szCs w:val="21"/>
        </w:rPr>
        <w:t xml:space="preserve">（5）投资于存托凭证的风险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（6）其他风险 </w:t>
      </w:r>
    </w:p>
    <w:p>
      <w:pPr>
        <w:pStyle w:val="7"/>
        <w:spacing w:before="0" w:beforeAutospacing="0" w:after="0" w:afterAutospacing="0" w:line="360" w:lineRule="auto"/>
        <w:ind w:firstLine="420"/>
        <w:rPr>
          <w:sz w:val="21"/>
          <w:szCs w:val="21"/>
        </w:rPr>
      </w:pPr>
      <w:r>
        <w:rPr>
          <w:rFonts w:hint="eastAsia"/>
          <w:sz w:val="21"/>
          <w:szCs w:val="21"/>
        </w:rPr>
        <w:t xml:space="preserve">1、 因技术因素而产生的风险，如电脑系统不可靠产生的风险； </w:t>
      </w:r>
    </w:p>
    <w:p>
      <w:pPr>
        <w:pStyle w:val="7"/>
        <w:spacing w:before="0" w:beforeAutospacing="0" w:after="0" w:afterAutospacing="0" w:line="360" w:lineRule="auto"/>
        <w:ind w:firstLine="420"/>
        <w:rPr>
          <w:sz w:val="21"/>
          <w:szCs w:val="21"/>
        </w:rPr>
      </w:pPr>
      <w:r>
        <w:rPr>
          <w:rFonts w:hint="eastAsia"/>
          <w:sz w:val="21"/>
          <w:szCs w:val="21"/>
        </w:rPr>
        <w:t xml:space="preserve">2、 因基金业务快速发展而在制度建设、人员配备、内控制度建立等方面不完善而产生的风险； </w:t>
      </w:r>
    </w:p>
    <w:p>
      <w:pPr>
        <w:pStyle w:val="7"/>
        <w:spacing w:before="0" w:beforeAutospacing="0" w:after="0" w:afterAutospacing="0" w:line="360" w:lineRule="auto"/>
        <w:ind w:firstLine="420"/>
        <w:rPr>
          <w:sz w:val="21"/>
          <w:szCs w:val="21"/>
        </w:rPr>
      </w:pPr>
      <w:r>
        <w:rPr>
          <w:rFonts w:hint="eastAsia"/>
          <w:sz w:val="21"/>
          <w:szCs w:val="21"/>
        </w:rPr>
        <w:t xml:space="preserve">3、 因人为因素而产生的风险，如内幕交易、欺诈行为等产生的风险； </w:t>
      </w:r>
    </w:p>
    <w:p>
      <w:pPr>
        <w:pStyle w:val="7"/>
        <w:spacing w:before="0" w:beforeAutospacing="0" w:after="0" w:afterAutospacing="0" w:line="360" w:lineRule="auto"/>
        <w:ind w:firstLine="420"/>
        <w:rPr>
          <w:sz w:val="21"/>
          <w:szCs w:val="21"/>
        </w:rPr>
      </w:pPr>
      <w:r>
        <w:rPr>
          <w:rFonts w:hint="eastAsia"/>
          <w:sz w:val="21"/>
          <w:szCs w:val="21"/>
        </w:rPr>
        <w:t xml:space="preserve">4、 对主要业务人员如基金经理的依赖而可能产生的风险； </w:t>
      </w:r>
    </w:p>
    <w:p>
      <w:pPr>
        <w:pStyle w:val="7"/>
        <w:spacing w:before="0" w:beforeAutospacing="0" w:after="0" w:afterAutospacing="0" w:line="360" w:lineRule="auto"/>
        <w:ind w:firstLine="420"/>
        <w:rPr>
          <w:sz w:val="21"/>
          <w:szCs w:val="21"/>
        </w:rPr>
      </w:pPr>
      <w:r>
        <w:rPr>
          <w:rFonts w:hint="eastAsia"/>
          <w:sz w:val="21"/>
          <w:szCs w:val="21"/>
        </w:rPr>
        <w:t xml:space="preserve">5、 因业务竞争压力可能产生的风险； </w:t>
      </w:r>
    </w:p>
    <w:p>
      <w:pPr>
        <w:pStyle w:val="7"/>
        <w:spacing w:before="0" w:beforeAutospacing="0" w:after="0" w:afterAutospacing="0" w:line="360" w:lineRule="auto"/>
        <w:ind w:firstLine="420"/>
        <w:rPr>
          <w:sz w:val="21"/>
          <w:szCs w:val="21"/>
        </w:rPr>
      </w:pPr>
      <w:r>
        <w:rPr>
          <w:rFonts w:hint="eastAsia"/>
          <w:sz w:val="21"/>
          <w:szCs w:val="21"/>
        </w:rPr>
        <w:t xml:space="preserve">6.、战争、自然灾害等不可抗力可能导致基金资产的损失，影响基金收益水平，从而带来风险； </w:t>
      </w:r>
    </w:p>
    <w:p>
      <w:pPr>
        <w:pStyle w:val="7"/>
        <w:spacing w:before="0" w:beforeAutospacing="0" w:after="0" w:afterAutospacing="0" w:line="360" w:lineRule="auto"/>
        <w:ind w:firstLine="420"/>
        <w:rPr>
          <w:sz w:val="21"/>
          <w:szCs w:val="21"/>
        </w:rPr>
      </w:pPr>
      <w:bookmarkStart w:id="188" w:name="chapter_level1_19_67_section_3_end"/>
      <w:bookmarkEnd w:id="188"/>
      <w:r>
        <w:rPr>
          <w:rFonts w:hint="eastAsia"/>
          <w:sz w:val="21"/>
          <w:szCs w:val="21"/>
        </w:rPr>
        <w:t xml:space="preserve">7、 其他意外导致的风险。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9" w:name="_Toc113522959"/>
      <w:bookmarkStart w:id="190" w:name="chapter_level1_21_69"/>
      <w:r>
        <w:rPr>
          <w:rFonts w:hint="eastAsia" w:ascii="宋体" w:hAnsi="宋体" w:eastAsia="宋体"/>
          <w:sz w:val="30"/>
        </w:rPr>
        <w:t>十七、基金合同的变更、终止与基金财产的清算</w:t>
      </w:r>
      <w:bookmarkEnd w:id="189"/>
      <w:bookmarkEnd w:id="190"/>
    </w:p>
    <w:p>
      <w:pPr>
        <w:pStyle w:val="7"/>
        <w:spacing w:before="0" w:beforeAutospacing="0" w:after="0" w:afterAutospacing="0" w:line="360" w:lineRule="auto"/>
        <w:ind w:firstLine="420"/>
        <w:rPr>
          <w:sz w:val="21"/>
          <w:szCs w:val="21"/>
        </w:rPr>
      </w:pPr>
      <w:bookmarkStart w:id="191" w:name="chapter_level1_21_69_section_1"/>
      <w:bookmarkEnd w:id="191"/>
      <w:r>
        <w:rPr>
          <w:rStyle w:val="11"/>
          <w:rFonts w:hint="eastAsia"/>
          <w:sz w:val="21"/>
          <w:szCs w:val="21"/>
        </w:rPr>
        <w:t>（一）《基金合同》的变更</w:t>
      </w:r>
    </w:p>
    <w:p>
      <w:pPr>
        <w:pStyle w:val="7"/>
        <w:spacing w:before="0" w:beforeAutospacing="0" w:after="0" w:afterAutospacing="0" w:line="360" w:lineRule="auto"/>
        <w:ind w:firstLine="420"/>
        <w:rPr>
          <w:sz w:val="21"/>
          <w:szCs w:val="21"/>
        </w:rPr>
      </w:pPr>
      <w:r>
        <w:rPr>
          <w:rFonts w:hint="eastAsia"/>
          <w:sz w:val="21"/>
          <w:szCs w:val="21"/>
        </w:rPr>
        <w:t xml:space="preserve">1、除非法律法规和《基金合同》另有规定，对《基金合同》的变更应当召开基金份额持有人大会决议通过，并报中国证监会核准或备案。 </w:t>
      </w:r>
    </w:p>
    <w:p>
      <w:pPr>
        <w:pStyle w:val="7"/>
        <w:spacing w:before="0" w:beforeAutospacing="0" w:after="0" w:afterAutospacing="0" w:line="360" w:lineRule="auto"/>
        <w:ind w:firstLine="420"/>
        <w:rPr>
          <w:sz w:val="21"/>
          <w:szCs w:val="21"/>
        </w:rPr>
      </w:pPr>
      <w:r>
        <w:rPr>
          <w:rFonts w:hint="eastAsia"/>
          <w:sz w:val="21"/>
          <w:szCs w:val="21"/>
        </w:rPr>
        <w:t xml:space="preserve">2、依现行有效的有关法律法规，对《基金合同》的变更自中国证监会核准或出具无异议意见之日起生效。 </w:t>
      </w:r>
    </w:p>
    <w:p>
      <w:pPr>
        <w:pStyle w:val="7"/>
        <w:spacing w:before="0" w:beforeAutospacing="0" w:after="0" w:afterAutospacing="0" w:line="360" w:lineRule="auto"/>
        <w:ind w:firstLine="420"/>
        <w:rPr>
          <w:sz w:val="21"/>
          <w:szCs w:val="21"/>
        </w:rPr>
      </w:pPr>
      <w:r>
        <w:rPr>
          <w:rFonts w:hint="eastAsia"/>
          <w:sz w:val="21"/>
          <w:szCs w:val="21"/>
        </w:rPr>
        <w:t xml:space="preserve">3、除依本《基金合同》和/或依现行有效的有关法律法规，对《基金合同》的变更须基金份额持有人大会决议通过和/或须报中国证监会核准以外的情形，依本《基金合同》和/或依现行有效的有关法律法规对《基金合同》的变更包括但不限于以下情形：①因法律、法规及监管机构颁布之规定的相应修改而导致基金合同的部分条款与之不符的，则基金合同自行适用法律、法规及监管机构颁布之规定而导致的相应变更，②因基金管理人、基金托管人的基本情况发生变更，包括但不限于住所、法定代表人、组织形式、注册资本等情况的变更，③不涉及基金合同当事人权利义务关系发生变化，对基金份额持有人权利或权益无实质性不利影响的基金合同的变更等，经基金管理人和基金托管人同意可直接对《基金合同》进行变更，但应进行公布，并报中国证监会备案。 </w:t>
      </w:r>
    </w:p>
    <w:p>
      <w:pPr>
        <w:pStyle w:val="7"/>
        <w:spacing w:before="0" w:beforeAutospacing="0" w:after="0" w:afterAutospacing="0" w:line="360" w:lineRule="auto"/>
        <w:ind w:firstLine="420"/>
        <w:rPr>
          <w:sz w:val="21"/>
          <w:szCs w:val="21"/>
        </w:rPr>
      </w:pPr>
      <w:r>
        <w:rPr>
          <w:rStyle w:val="11"/>
          <w:rFonts w:hint="eastAsia"/>
          <w:sz w:val="21"/>
          <w:szCs w:val="21"/>
        </w:rPr>
        <w:t>（二）《基金合同》的终止</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4、中国证监会允许的其他情况。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w:t>
      </w:r>
    </w:p>
    <w:p>
      <w:pPr>
        <w:pStyle w:val="7"/>
        <w:spacing w:before="0" w:beforeAutospacing="0" w:after="0" w:afterAutospacing="0" w:line="360" w:lineRule="auto"/>
        <w:ind w:firstLine="420"/>
        <w:rPr>
          <w:sz w:val="21"/>
          <w:szCs w:val="21"/>
        </w:rPr>
      </w:pPr>
      <w:r>
        <w:rPr>
          <w:rFonts w:hint="eastAsia"/>
          <w:sz w:val="21"/>
          <w:szCs w:val="21"/>
        </w:rPr>
        <w:t xml:space="preserve">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3、基金财产清算小组职责：基金财产清算小组负责基金财产的保管、清理、估价、变现和分配。基金财产清算小组可以依法以基金的名义进行必要的民事活动。 </w:t>
      </w:r>
    </w:p>
    <w:p>
      <w:pPr>
        <w:pStyle w:val="7"/>
        <w:spacing w:before="0" w:beforeAutospacing="0" w:after="0" w:afterAutospacing="0" w:line="360" w:lineRule="auto"/>
        <w:ind w:firstLine="420"/>
        <w:rPr>
          <w:sz w:val="21"/>
          <w:szCs w:val="21"/>
        </w:rPr>
      </w:pPr>
      <w:r>
        <w:rPr>
          <w:rStyle w:val="11"/>
          <w:rFonts w:hint="eastAsia"/>
          <w:sz w:val="21"/>
          <w:szCs w:val="21"/>
        </w:rPr>
        <w:t>（四）基金财产清算程序：</w:t>
      </w:r>
    </w:p>
    <w:p>
      <w:pPr>
        <w:pStyle w:val="7"/>
        <w:spacing w:before="0" w:beforeAutospacing="0" w:after="0" w:afterAutospacing="0" w:line="360" w:lineRule="auto"/>
        <w:ind w:firstLine="420"/>
        <w:rPr>
          <w:sz w:val="21"/>
          <w:szCs w:val="21"/>
        </w:rPr>
      </w:pPr>
      <w:r>
        <w:rPr>
          <w:rFonts w:hint="eastAsia"/>
          <w:sz w:val="21"/>
          <w:szCs w:val="21"/>
        </w:rPr>
        <w:t xml:space="preserve">1、基金合同终止后，由基金财产清算小组统一接管基金；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4、基金清算组作出清算报告； </w:t>
      </w:r>
    </w:p>
    <w:p>
      <w:pPr>
        <w:pStyle w:val="7"/>
        <w:spacing w:before="0" w:beforeAutospacing="0" w:after="0" w:afterAutospacing="0" w:line="360" w:lineRule="auto"/>
        <w:ind w:firstLine="420"/>
        <w:rPr>
          <w:sz w:val="21"/>
          <w:szCs w:val="21"/>
        </w:rPr>
      </w:pPr>
      <w:r>
        <w:rPr>
          <w:rFonts w:hint="eastAsia"/>
          <w:sz w:val="21"/>
          <w:szCs w:val="21"/>
        </w:rPr>
        <w:t xml:space="preserve">5、会计师事务所对清算报告进行审计； </w:t>
      </w:r>
    </w:p>
    <w:p>
      <w:pPr>
        <w:pStyle w:val="7"/>
        <w:spacing w:before="0" w:beforeAutospacing="0" w:after="0" w:afterAutospacing="0" w:line="360" w:lineRule="auto"/>
        <w:ind w:firstLine="420"/>
        <w:rPr>
          <w:sz w:val="21"/>
          <w:szCs w:val="21"/>
        </w:rPr>
      </w:pPr>
      <w:r>
        <w:rPr>
          <w:rFonts w:hint="eastAsia"/>
          <w:sz w:val="21"/>
          <w:szCs w:val="21"/>
        </w:rPr>
        <w:t xml:space="preserve">6、律师事务所对清算报告出具法律意见书；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7、将基金清算结果报告中国证监会； </w:t>
      </w:r>
    </w:p>
    <w:p>
      <w:pPr>
        <w:pStyle w:val="7"/>
        <w:spacing w:before="0" w:beforeAutospacing="0" w:after="0" w:afterAutospacing="0" w:line="360" w:lineRule="auto"/>
        <w:ind w:firstLine="420"/>
        <w:rPr>
          <w:sz w:val="21"/>
          <w:szCs w:val="21"/>
        </w:rPr>
      </w:pPr>
      <w:r>
        <w:rPr>
          <w:rFonts w:hint="eastAsia"/>
          <w:sz w:val="21"/>
          <w:szCs w:val="21"/>
        </w:rPr>
        <w:t xml:space="preserve">8、公布基金清算公告； </w:t>
      </w:r>
    </w:p>
    <w:p>
      <w:pPr>
        <w:pStyle w:val="7"/>
        <w:spacing w:before="0" w:beforeAutospacing="0" w:after="0" w:afterAutospacing="0" w:line="360" w:lineRule="auto"/>
        <w:ind w:firstLine="420"/>
        <w:rPr>
          <w:sz w:val="21"/>
          <w:szCs w:val="21"/>
        </w:rPr>
      </w:pPr>
      <w:r>
        <w:rPr>
          <w:rFonts w:hint="eastAsia"/>
          <w:sz w:val="21"/>
          <w:szCs w:val="21"/>
        </w:rPr>
        <w:t xml:space="preserve">9、对基金财产进行分配。 </w:t>
      </w:r>
    </w:p>
    <w:p>
      <w:pPr>
        <w:pStyle w:val="7"/>
        <w:spacing w:before="0" w:beforeAutospacing="0" w:after="0" w:afterAutospacing="0" w:line="360" w:lineRule="auto"/>
        <w:ind w:firstLine="420"/>
        <w:rPr>
          <w:sz w:val="21"/>
          <w:szCs w:val="21"/>
        </w:rPr>
      </w:pPr>
      <w:r>
        <w:rPr>
          <w:rStyle w:val="11"/>
          <w:rFonts w:hint="eastAsia"/>
          <w:sz w:val="21"/>
          <w:szCs w:val="21"/>
        </w:rPr>
        <w:t>（五）清算费用</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Style w:val="11"/>
          <w:rFonts w:hint="eastAsia"/>
          <w:sz w:val="21"/>
          <w:szCs w:val="21"/>
        </w:rPr>
        <w:t>（六）基金财产清算剩余资产的分配</w:t>
      </w:r>
    </w:p>
    <w:p>
      <w:pPr>
        <w:pStyle w:val="7"/>
        <w:spacing w:before="0" w:beforeAutospacing="0" w:after="0" w:afterAutospacing="0" w:line="360" w:lineRule="auto"/>
        <w:ind w:firstLine="420"/>
        <w:rPr>
          <w:sz w:val="21"/>
          <w:szCs w:val="21"/>
        </w:rPr>
      </w:pPr>
      <w:r>
        <w:rPr>
          <w:rFonts w:hint="eastAsia"/>
          <w:sz w:val="21"/>
          <w:szCs w:val="21"/>
        </w:rPr>
        <w:t xml:space="preserve">基金财产清算后的全部剩余资产扣除基金财产清算费用后，按基金份额持有人持有的基金份额比例进行分配。 </w:t>
      </w:r>
    </w:p>
    <w:p>
      <w:pPr>
        <w:pStyle w:val="7"/>
        <w:spacing w:before="0" w:beforeAutospacing="0" w:after="0" w:afterAutospacing="0" w:line="360" w:lineRule="auto"/>
        <w:ind w:firstLine="420"/>
        <w:rPr>
          <w:sz w:val="21"/>
          <w:szCs w:val="21"/>
        </w:rPr>
      </w:pPr>
      <w:r>
        <w:rPr>
          <w:rStyle w:val="11"/>
          <w:rFonts w:hint="eastAsia"/>
          <w:sz w:val="21"/>
          <w:szCs w:val="21"/>
        </w:rPr>
        <w:t>（七）基金财产清算的公告</w:t>
      </w:r>
    </w:p>
    <w:p>
      <w:pPr>
        <w:pStyle w:val="7"/>
        <w:spacing w:before="0" w:beforeAutospacing="0" w:after="0" w:afterAutospacing="0" w:line="360" w:lineRule="auto"/>
        <w:ind w:firstLine="420"/>
        <w:rPr>
          <w:sz w:val="21"/>
          <w:szCs w:val="21"/>
        </w:rPr>
      </w:pPr>
      <w:r>
        <w:rPr>
          <w:rFonts w:hint="eastAsia"/>
          <w:sz w:val="21"/>
          <w:szCs w:val="21"/>
        </w:rPr>
        <w:t xml:space="preserve">发生导致本基金终止情形，并报证券监管机构备案后2个工作日内由基金清算小组公告；清算过程中的有关重大事项须及时公告；基金财产清算报告经具备证券、期货相关业务资格的会计师事务所审计并由律师事务所出具法律意见书后报中国证监会备案后按规定由基金财产清算小组公告。 </w:t>
      </w:r>
    </w:p>
    <w:p>
      <w:pPr>
        <w:pStyle w:val="7"/>
        <w:spacing w:before="0" w:beforeAutospacing="0" w:after="0" w:afterAutospacing="0" w:line="360" w:lineRule="auto"/>
        <w:ind w:firstLine="420"/>
        <w:rPr>
          <w:sz w:val="21"/>
          <w:szCs w:val="21"/>
        </w:rPr>
      </w:pPr>
      <w:r>
        <w:rPr>
          <w:rStyle w:val="11"/>
          <w:rFonts w:hint="eastAsia"/>
          <w:sz w:val="21"/>
          <w:szCs w:val="21"/>
        </w:rPr>
        <w:t>（八）基金财产清算账册及文件的保存</w:t>
      </w:r>
    </w:p>
    <w:p>
      <w:pPr>
        <w:pStyle w:val="7"/>
        <w:spacing w:before="0" w:beforeAutospacing="0" w:after="0" w:afterAutospacing="0" w:line="360" w:lineRule="auto"/>
        <w:ind w:firstLine="420"/>
        <w:rPr>
          <w:sz w:val="21"/>
          <w:szCs w:val="21"/>
        </w:rPr>
      </w:pPr>
      <w:bookmarkStart w:id="192" w:name="chapter_level1_21_69_section_1_end"/>
      <w:bookmarkEnd w:id="192"/>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3" w:name="chapter_level1_22_71"/>
      <w:bookmarkStart w:id="194" w:name="_Toc113522960"/>
      <w:r>
        <w:rPr>
          <w:rFonts w:hint="eastAsia" w:ascii="宋体" w:hAnsi="宋体" w:eastAsia="宋体"/>
          <w:sz w:val="30"/>
        </w:rPr>
        <w:t>十八、基金合同的内容摘要</w:t>
      </w:r>
      <w:bookmarkEnd w:id="193"/>
      <w:bookmarkEnd w:id="194"/>
    </w:p>
    <w:p>
      <w:pPr>
        <w:pStyle w:val="7"/>
        <w:spacing w:before="0" w:beforeAutospacing="0" w:after="0" w:afterAutospacing="0" w:line="360" w:lineRule="auto"/>
        <w:ind w:firstLine="420"/>
        <w:rPr>
          <w:sz w:val="21"/>
          <w:szCs w:val="21"/>
        </w:rPr>
      </w:pPr>
      <w:bookmarkStart w:id="195" w:name="chapter_level1_22_71_section_1"/>
      <w:bookmarkEnd w:id="195"/>
      <w:r>
        <w:rPr>
          <w:rStyle w:val="11"/>
          <w:rFonts w:hint="eastAsia"/>
          <w:sz w:val="21"/>
          <w:szCs w:val="21"/>
        </w:rPr>
        <w:t>《基金合同》当事人及权利义务</w:t>
      </w:r>
    </w:p>
    <w:p>
      <w:pPr>
        <w:pStyle w:val="7"/>
        <w:spacing w:before="0" w:beforeAutospacing="0" w:after="0" w:afterAutospacing="0" w:line="360" w:lineRule="auto"/>
        <w:ind w:firstLine="420"/>
        <w:rPr>
          <w:sz w:val="21"/>
          <w:szCs w:val="21"/>
        </w:rPr>
      </w:pPr>
      <w:r>
        <w:rPr>
          <w:rStyle w:val="11"/>
          <w:rFonts w:hint="eastAsia"/>
          <w:sz w:val="21"/>
          <w:szCs w:val="21"/>
        </w:rPr>
        <w:t>一、基金管理人 </w:t>
      </w:r>
    </w:p>
    <w:p>
      <w:pPr>
        <w:pStyle w:val="7"/>
        <w:spacing w:before="0" w:beforeAutospacing="0" w:after="0" w:afterAutospacing="0" w:line="360" w:lineRule="auto"/>
        <w:ind w:firstLine="420"/>
        <w:rPr>
          <w:sz w:val="21"/>
          <w:szCs w:val="21"/>
        </w:rPr>
      </w:pPr>
      <w:r>
        <w:rPr>
          <w:rFonts w:hint="eastAsia"/>
          <w:sz w:val="21"/>
          <w:szCs w:val="21"/>
        </w:rPr>
        <w:t xml:space="preserve">基金管理人的权利及义务如下：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  依法募集基金； </w:t>
      </w:r>
    </w:p>
    <w:p>
      <w:pPr>
        <w:pStyle w:val="7"/>
        <w:spacing w:before="0" w:beforeAutospacing="0" w:after="0" w:afterAutospacing="0" w:line="360" w:lineRule="auto"/>
        <w:ind w:firstLine="420"/>
        <w:rPr>
          <w:sz w:val="21"/>
          <w:szCs w:val="21"/>
        </w:rPr>
      </w:pPr>
      <w:r>
        <w:rPr>
          <w:rFonts w:hint="eastAsia"/>
          <w:sz w:val="21"/>
          <w:szCs w:val="21"/>
        </w:rPr>
        <w:t xml:space="preserve">（2）  自《基金合同》生效之日起，根据法律法规和《基金合同》独立运用并管理基金财产； </w:t>
      </w:r>
    </w:p>
    <w:p>
      <w:pPr>
        <w:pStyle w:val="7"/>
        <w:spacing w:before="0" w:beforeAutospacing="0" w:after="0" w:afterAutospacing="0" w:line="360" w:lineRule="auto"/>
        <w:ind w:firstLine="420"/>
        <w:rPr>
          <w:sz w:val="21"/>
          <w:szCs w:val="21"/>
        </w:rPr>
      </w:pPr>
      <w:r>
        <w:rPr>
          <w:rFonts w:hint="eastAsia"/>
          <w:sz w:val="21"/>
          <w:szCs w:val="21"/>
        </w:rPr>
        <w:t xml:space="preserve">（3）  依照《基金合同》获得基金认购和申购费用、基金赎回手续费以及基金管理费等其他法律法规规定的费用； </w:t>
      </w:r>
    </w:p>
    <w:p>
      <w:pPr>
        <w:pStyle w:val="7"/>
        <w:spacing w:before="0" w:beforeAutospacing="0" w:after="0" w:afterAutospacing="0" w:line="360" w:lineRule="auto"/>
        <w:ind w:firstLine="420"/>
        <w:rPr>
          <w:sz w:val="21"/>
          <w:szCs w:val="21"/>
        </w:rPr>
      </w:pPr>
      <w:r>
        <w:rPr>
          <w:rFonts w:hint="eastAsia"/>
          <w:sz w:val="21"/>
          <w:szCs w:val="21"/>
        </w:rPr>
        <w:t xml:space="preserve">（4）  销售基金份额； </w:t>
      </w:r>
    </w:p>
    <w:p>
      <w:pPr>
        <w:pStyle w:val="7"/>
        <w:spacing w:before="0" w:beforeAutospacing="0" w:after="0" w:afterAutospacing="0" w:line="360" w:lineRule="auto"/>
        <w:ind w:firstLine="420"/>
        <w:rPr>
          <w:sz w:val="21"/>
          <w:szCs w:val="21"/>
        </w:rPr>
      </w:pPr>
      <w:r>
        <w:rPr>
          <w:rFonts w:hint="eastAsia"/>
          <w:sz w:val="21"/>
          <w:szCs w:val="21"/>
        </w:rPr>
        <w:t xml:space="preserve">（5） 提议召开基金份额持有人大会，和按照规定召集基金份额持有人大会；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  依据《基金合同》及有关法律规定监督基金托管人，如认为基金托管人违反了《基金合同》及国家有关法律规定，应呈报中国证监会和其他监管部门，并采取必要措施保护基金投资人的利益； </w:t>
      </w:r>
    </w:p>
    <w:p>
      <w:pPr>
        <w:pStyle w:val="7"/>
        <w:spacing w:before="0" w:beforeAutospacing="0" w:after="0" w:afterAutospacing="0" w:line="360" w:lineRule="auto"/>
        <w:ind w:firstLine="420"/>
        <w:rPr>
          <w:sz w:val="21"/>
          <w:szCs w:val="21"/>
        </w:rPr>
      </w:pPr>
      <w:r>
        <w:rPr>
          <w:rFonts w:hint="eastAsia"/>
          <w:sz w:val="21"/>
          <w:szCs w:val="21"/>
        </w:rPr>
        <w:t xml:space="preserve">（7）  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（8）  选择、委托、更换基金销售代理人，对基金销售代理人的相关行为进行监督和处理。如认为基金销售代理人违反本《基金合同》、基金销售与服务代理协议及国家有关法律规定，应呈报中国证监会和其他监管部门，并采取必要措施保护基金投资人的利益； </w:t>
      </w:r>
    </w:p>
    <w:p>
      <w:pPr>
        <w:pStyle w:val="7"/>
        <w:spacing w:before="0" w:beforeAutospacing="0" w:after="0" w:afterAutospacing="0" w:line="360" w:lineRule="auto"/>
        <w:ind w:firstLine="420"/>
        <w:rPr>
          <w:sz w:val="21"/>
          <w:szCs w:val="21"/>
        </w:rPr>
      </w:pPr>
      <w:r>
        <w:rPr>
          <w:rFonts w:hint="eastAsia"/>
          <w:sz w:val="21"/>
          <w:szCs w:val="21"/>
        </w:rPr>
        <w:t xml:space="preserve">（9）  依据《基金合同》及有关法律规定决定基金收益的分配方案； </w:t>
      </w:r>
    </w:p>
    <w:p>
      <w:pPr>
        <w:pStyle w:val="7"/>
        <w:spacing w:before="0" w:beforeAutospacing="0" w:after="0" w:afterAutospacing="0" w:line="360" w:lineRule="auto"/>
        <w:ind w:firstLine="420"/>
        <w:rPr>
          <w:sz w:val="21"/>
          <w:szCs w:val="21"/>
        </w:rPr>
      </w:pPr>
      <w:r>
        <w:rPr>
          <w:rFonts w:hint="eastAsia"/>
          <w:sz w:val="21"/>
          <w:szCs w:val="21"/>
        </w:rPr>
        <w:t xml:space="preserve">（10） 依据有关法律法规和《基金合同》，拒绝或暂停受理申购与赎回申请； </w:t>
      </w:r>
    </w:p>
    <w:p>
      <w:pPr>
        <w:pStyle w:val="7"/>
        <w:spacing w:before="0" w:beforeAutospacing="0" w:after="0" w:afterAutospacing="0" w:line="360" w:lineRule="auto"/>
        <w:ind w:firstLine="420"/>
        <w:rPr>
          <w:sz w:val="21"/>
          <w:szCs w:val="21"/>
        </w:rPr>
      </w:pPr>
      <w:r>
        <w:rPr>
          <w:rFonts w:hint="eastAsia"/>
          <w:sz w:val="21"/>
          <w:szCs w:val="21"/>
        </w:rPr>
        <w:t xml:space="preserve">（11） 在符合有关法律法规和《基金合同》的前提下，制订和调整开放式基金业务规则； </w:t>
      </w:r>
    </w:p>
    <w:p>
      <w:pPr>
        <w:pStyle w:val="7"/>
        <w:spacing w:before="0" w:beforeAutospacing="0" w:after="0" w:afterAutospacing="0" w:line="360" w:lineRule="auto"/>
        <w:ind w:firstLine="420"/>
        <w:rPr>
          <w:sz w:val="21"/>
          <w:szCs w:val="21"/>
        </w:rPr>
      </w:pPr>
      <w:r>
        <w:rPr>
          <w:rFonts w:hint="eastAsia"/>
          <w:sz w:val="21"/>
          <w:szCs w:val="21"/>
        </w:rPr>
        <w:t xml:space="preserve">（12） 依照法律法规为基金的利益对被投资公司行使股东权利，为基金的利益行使因基金财产投资于证券所产生的权利；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（13） 在法律法规允许的前提下，为基金的利益依法为基金进行融资； </w:t>
      </w:r>
    </w:p>
    <w:p>
      <w:pPr>
        <w:pStyle w:val="7"/>
        <w:spacing w:before="0" w:beforeAutospacing="0" w:after="0" w:afterAutospacing="0" w:line="360" w:lineRule="auto"/>
        <w:ind w:firstLine="420"/>
        <w:rPr>
          <w:sz w:val="21"/>
          <w:szCs w:val="21"/>
        </w:rPr>
      </w:pPr>
      <w:r>
        <w:rPr>
          <w:rFonts w:hint="eastAsia"/>
          <w:sz w:val="21"/>
          <w:szCs w:val="21"/>
        </w:rPr>
        <w:t xml:space="preserve">（14） 以基金管理人的名义，代表基金份额持有人的利益行使诉讼权利或者实施其他法律行为；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（15） 选择、更换律师、审计师、证券经纪商或其他为基金提供服务的外部机构并确定有关费用、费率； </w:t>
      </w:r>
    </w:p>
    <w:p>
      <w:pPr>
        <w:pStyle w:val="7"/>
        <w:spacing w:before="0" w:beforeAutospacing="0" w:after="0" w:afterAutospacing="0" w:line="360" w:lineRule="auto"/>
        <w:ind w:firstLine="420"/>
        <w:rPr>
          <w:sz w:val="21"/>
          <w:szCs w:val="21"/>
        </w:rPr>
      </w:pPr>
      <w:r>
        <w:rPr>
          <w:rFonts w:hint="eastAsia"/>
          <w:sz w:val="21"/>
          <w:szCs w:val="21"/>
        </w:rPr>
        <w:t xml:space="preserve">（16） 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  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（2）  自基金合同生效之日起,以诚实信用、勤勉尽责的原则管理和运用基金财产；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（3）  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（4）  办理或者委托经国务院证券监督管理机构认定的其他机构代为办理基金份额的发售、申购、赎回和登记事宜；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（5）  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  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  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  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  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 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 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 保守基金商业秘密，不泄露基金投资计划、投资意向等。除《基金法》、《信息披露管理办法》、《基金合同》及其他有关规定另有规定外，在基金信息公开披露前应予保密，不向他人泄露；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 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 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 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 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 确保需要向基金投资人提供的各项文件或资料在规定时间内发出，并且保证投资人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 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 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 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 基金托管人因违反《基金合同》造成基金财产损失时，应为基金份额持有人利益向基金托管人追偿；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 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（23） 基金在设立募集期间未能达到备案条件，《基金合同》不能生效，基金管理人承担全部募集费用，将已募集资金并加计银行同期活期存款利息在募集期结束后30天内退还基金认购人；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（24） 执行生效的基金份额持有人大会的决定； </w:t>
      </w:r>
    </w:p>
    <w:p>
      <w:pPr>
        <w:pStyle w:val="7"/>
        <w:spacing w:before="0" w:beforeAutospacing="0" w:after="0" w:afterAutospacing="0" w:line="360" w:lineRule="auto"/>
        <w:ind w:firstLine="420"/>
        <w:rPr>
          <w:sz w:val="21"/>
          <w:szCs w:val="21"/>
        </w:rPr>
      </w:pPr>
      <w:r>
        <w:rPr>
          <w:rFonts w:hint="eastAsia"/>
          <w:sz w:val="21"/>
          <w:szCs w:val="21"/>
        </w:rPr>
        <w:t xml:space="preserve">（25） 法律法规和《基金合同》规定的其他义务。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二、基金托管人</w:t>
      </w:r>
    </w:p>
    <w:p>
      <w:pPr>
        <w:pStyle w:val="7"/>
        <w:spacing w:before="0" w:beforeAutospacing="0" w:after="0" w:afterAutospacing="0" w:line="360" w:lineRule="auto"/>
        <w:ind w:firstLine="420"/>
        <w:rPr>
          <w:sz w:val="21"/>
          <w:szCs w:val="21"/>
        </w:rPr>
      </w:pPr>
      <w:r>
        <w:rPr>
          <w:rFonts w:hint="eastAsia"/>
          <w:sz w:val="21"/>
          <w:szCs w:val="21"/>
        </w:rPr>
        <w:t xml:space="preserve">基金托管人的权利及义务如下：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  自本基金合同生效之日起，依法律法规和《基金合同》的规定安全保管基金财产；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  依《基金合同》约定获得基金托管费、其他法定收入和其他法律法规允许或监管部门批准的约定收入； </w:t>
      </w:r>
    </w:p>
    <w:p>
      <w:pPr>
        <w:pStyle w:val="7"/>
        <w:spacing w:before="0" w:beforeAutospacing="0" w:after="0" w:afterAutospacing="0" w:line="360" w:lineRule="auto"/>
        <w:ind w:firstLine="420"/>
        <w:rPr>
          <w:sz w:val="21"/>
          <w:szCs w:val="21"/>
        </w:rPr>
      </w:pPr>
      <w:r>
        <w:rPr>
          <w:rFonts w:hint="eastAsia"/>
          <w:sz w:val="21"/>
          <w:szCs w:val="21"/>
        </w:rPr>
        <w:t xml:space="preserve">（3）  监督基金管理人对本基金的投资运作，如发现基金管理人有违反《基金合同》及国家法律法规行为，应呈报中国证监会，并采取必要措施保护基金投资人的利益； </w:t>
      </w:r>
    </w:p>
    <w:p>
      <w:pPr>
        <w:pStyle w:val="7"/>
        <w:spacing w:before="0" w:beforeAutospacing="0" w:after="0" w:afterAutospacing="0" w:line="360" w:lineRule="auto"/>
        <w:ind w:firstLine="420"/>
        <w:rPr>
          <w:sz w:val="21"/>
          <w:szCs w:val="21"/>
        </w:rPr>
      </w:pPr>
      <w:r>
        <w:rPr>
          <w:rFonts w:hint="eastAsia"/>
          <w:sz w:val="21"/>
          <w:szCs w:val="21"/>
        </w:rPr>
        <w:t xml:space="preserve">（4）  以基金托管人和基金联名的方式在中国证券登记结算有限公司上海分公司和深圳分公司开设证券账户； </w:t>
      </w:r>
    </w:p>
    <w:p>
      <w:pPr>
        <w:pStyle w:val="7"/>
        <w:spacing w:before="0" w:beforeAutospacing="0" w:after="0" w:afterAutospacing="0" w:line="360" w:lineRule="auto"/>
        <w:ind w:firstLine="420"/>
        <w:rPr>
          <w:sz w:val="21"/>
          <w:szCs w:val="21"/>
        </w:rPr>
      </w:pPr>
      <w:r>
        <w:rPr>
          <w:rFonts w:hint="eastAsia"/>
          <w:sz w:val="21"/>
          <w:szCs w:val="21"/>
        </w:rPr>
        <w:t xml:space="preserve">（5）  以基金托管人名义开立证券交易资金账户，用于证券交易资金清算； </w:t>
      </w:r>
    </w:p>
    <w:p>
      <w:pPr>
        <w:pStyle w:val="7"/>
        <w:spacing w:before="0" w:beforeAutospacing="0" w:after="0" w:afterAutospacing="0" w:line="360" w:lineRule="auto"/>
        <w:ind w:firstLine="420"/>
        <w:rPr>
          <w:sz w:val="21"/>
          <w:szCs w:val="21"/>
        </w:rPr>
      </w:pPr>
      <w:r>
        <w:rPr>
          <w:rFonts w:hint="eastAsia"/>
          <w:sz w:val="21"/>
          <w:szCs w:val="21"/>
        </w:rPr>
        <w:t xml:space="preserve">（6）  以基金的名义在中央国债登记结算有限公司开设银行间债券托管账户，负责基金投资债券的后台匹配及资金的清算； </w:t>
      </w:r>
    </w:p>
    <w:p>
      <w:pPr>
        <w:pStyle w:val="7"/>
        <w:spacing w:before="0" w:beforeAutospacing="0" w:after="0" w:afterAutospacing="0" w:line="360" w:lineRule="auto"/>
        <w:ind w:firstLine="420"/>
        <w:rPr>
          <w:sz w:val="21"/>
          <w:szCs w:val="21"/>
        </w:rPr>
      </w:pPr>
      <w:r>
        <w:rPr>
          <w:rFonts w:hint="eastAsia"/>
          <w:sz w:val="21"/>
          <w:szCs w:val="21"/>
        </w:rPr>
        <w:t xml:space="preserve">（7）  提议召开基金份额持有人大会；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（8）  在基金管理人更换时，提名新的基金管理人； </w:t>
      </w:r>
    </w:p>
    <w:p>
      <w:pPr>
        <w:pStyle w:val="7"/>
        <w:spacing w:before="0" w:beforeAutospacing="0" w:after="0" w:afterAutospacing="0" w:line="360" w:lineRule="auto"/>
        <w:ind w:firstLine="420"/>
        <w:rPr>
          <w:sz w:val="21"/>
          <w:szCs w:val="21"/>
        </w:rPr>
      </w:pPr>
      <w:r>
        <w:rPr>
          <w:rFonts w:hint="eastAsia"/>
          <w:sz w:val="21"/>
          <w:szCs w:val="21"/>
        </w:rPr>
        <w:t xml:space="preserve">（9）  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  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  设立专门的资产托管部，具有符合要求的营业场所，配备足够的、合格的熟悉基金托管业务的专职人员，负责基金财产托管事宜；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  建立健全内部风险控制、监察与稽核、财务管理及人事管理等制度，确保基金财产的安全，保证其托管的基金财产与基金托管人自有财产以及不同的基金财产相互独立；对不同的基金分别设置账户，独立核算，分账管理，保证不同基金之间在名册登记、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  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  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  按规定开设基金财产的资金账户和证券账户,按照《基金合同》的约定，根据基金管理人的投资指令，及时办理清算、交割事宜；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  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  复核、审查基金管理人计算的基金资产净值、基金份额净值； </w:t>
      </w:r>
    </w:p>
    <w:p>
      <w:pPr>
        <w:pStyle w:val="7"/>
        <w:spacing w:before="0" w:beforeAutospacing="0" w:after="0" w:afterAutospacing="0" w:line="360" w:lineRule="auto"/>
        <w:ind w:firstLine="420"/>
        <w:rPr>
          <w:sz w:val="21"/>
          <w:szCs w:val="21"/>
        </w:rPr>
      </w:pPr>
      <w:r>
        <w:rPr>
          <w:rFonts w:hint="eastAsia"/>
          <w:sz w:val="21"/>
          <w:szCs w:val="21"/>
        </w:rPr>
        <w:t xml:space="preserve">（9）  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 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 按有关规定，保存基金托管业务活动的记录、账册、报表和其他相关资料15年以上；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 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 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 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 按照规定召集基金份额持有人大会或配合基金份额持有人依法自行召集基金份额持有人大会；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 按照规定监督基金管理人的投资运作；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 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 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 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 基金管理人因违反《基金合同》造成基金财产损失时，应为基金份额持有人的利益向基金管理人追偿；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 执行生效的基金份额持有人大会的决定； </w:t>
      </w:r>
    </w:p>
    <w:p>
      <w:pPr>
        <w:pStyle w:val="7"/>
        <w:spacing w:before="0" w:beforeAutospacing="0" w:after="0" w:afterAutospacing="0" w:line="360" w:lineRule="auto"/>
        <w:ind w:firstLine="420"/>
        <w:rPr>
          <w:sz w:val="21"/>
          <w:szCs w:val="21"/>
        </w:rPr>
      </w:pPr>
      <w:r>
        <w:rPr>
          <w:rFonts w:hint="eastAsia"/>
          <w:sz w:val="21"/>
          <w:szCs w:val="21"/>
        </w:rPr>
        <w:t xml:space="preserve">（22） 法律法规和《基金合同》规定的其他义务。 </w:t>
      </w:r>
    </w:p>
    <w:p>
      <w:pPr>
        <w:pStyle w:val="7"/>
        <w:spacing w:before="0" w:beforeAutospacing="0" w:after="0" w:afterAutospacing="0" w:line="360" w:lineRule="auto"/>
        <w:ind w:firstLine="420"/>
        <w:rPr>
          <w:sz w:val="21"/>
          <w:szCs w:val="21"/>
        </w:rPr>
      </w:pPr>
      <w:r>
        <w:rPr>
          <w:rStyle w:val="11"/>
          <w:rFonts w:hint="eastAsia"/>
          <w:sz w:val="21"/>
          <w:szCs w:val="21"/>
        </w:rPr>
        <w:t>三、基金份额持有人 </w:t>
      </w:r>
    </w:p>
    <w:p>
      <w:pPr>
        <w:pStyle w:val="7"/>
        <w:spacing w:before="0" w:beforeAutospacing="0" w:after="0" w:afterAutospacing="0" w:line="360" w:lineRule="auto"/>
        <w:ind w:firstLine="420"/>
        <w:rPr>
          <w:sz w:val="21"/>
          <w:szCs w:val="21"/>
        </w:rPr>
      </w:pPr>
      <w:r>
        <w:rPr>
          <w:rFonts w:hint="eastAsia"/>
          <w:sz w:val="21"/>
          <w:szCs w:val="21"/>
        </w:rPr>
        <w:t xml:space="preserve">基金投资人自依据《基金合同》取得本基金份额时，即成为本基金份额持有人和《基金合同》的当事人，直至其不再持有本基金的基金份额。基金投资人购买或持有本基金基金份额的行为即视为对《基金合同》条款和条件的承认和接受，基金份额持有人作为本《基金合同》当事人并不以其在《基金合同》上书面签章为必要条件。 </w:t>
      </w:r>
    </w:p>
    <w:p>
      <w:pPr>
        <w:pStyle w:val="7"/>
        <w:spacing w:before="0" w:beforeAutospacing="0" w:after="0" w:afterAutospacing="0" w:line="360" w:lineRule="auto"/>
        <w:ind w:firstLine="420"/>
        <w:rPr>
          <w:sz w:val="21"/>
          <w:szCs w:val="21"/>
        </w:rPr>
      </w:pPr>
      <w:r>
        <w:rPr>
          <w:rFonts w:hint="eastAsia"/>
          <w:sz w:val="21"/>
          <w:szCs w:val="21"/>
        </w:rPr>
        <w:t xml:space="preserve">每份基金份额具有同等的合法权益。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  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  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  依法转让或者申请赎回其持有的基金份额；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  按照规定要求召开基金份额持有人大会；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  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  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  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  对基金管理人、基金托管人、基金份额发售机构损害其合法权益的行为依法提起诉讼； </w:t>
      </w:r>
    </w:p>
    <w:p>
      <w:pPr>
        <w:pStyle w:val="7"/>
        <w:spacing w:before="0" w:beforeAutospacing="0" w:after="0" w:afterAutospacing="0" w:line="360" w:lineRule="auto"/>
        <w:ind w:firstLine="420"/>
        <w:rPr>
          <w:sz w:val="21"/>
          <w:szCs w:val="21"/>
        </w:rPr>
      </w:pPr>
      <w:r>
        <w:rPr>
          <w:rFonts w:hint="eastAsia"/>
          <w:sz w:val="21"/>
          <w:szCs w:val="21"/>
        </w:rPr>
        <w:t xml:space="preserve">（9）  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  遵守《基金合同》； </w:t>
      </w:r>
    </w:p>
    <w:p>
      <w:pPr>
        <w:pStyle w:val="7"/>
        <w:spacing w:before="0" w:beforeAutospacing="0" w:after="0" w:afterAutospacing="0" w:line="360" w:lineRule="auto"/>
        <w:ind w:firstLine="420"/>
        <w:rPr>
          <w:sz w:val="21"/>
          <w:szCs w:val="21"/>
        </w:rPr>
      </w:pPr>
      <w:r>
        <w:rPr>
          <w:rFonts w:hint="eastAsia"/>
          <w:sz w:val="21"/>
          <w:szCs w:val="21"/>
        </w:rPr>
        <w:t xml:space="preserve">（2）  缴纳基金认购、申购、赎回款项及法律法规和《基金合同》所规定的费用；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（3）  在持有的基金份额范围内，承担基金亏损或者基金合同终止的有限责任；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（4）  不从事任何有损基金及基金份额持有人合法权益的活动；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（5）  法律法规和《基金合同》规定的其他义务。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四、基金份额持有人大会</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基金份额持有人大会由基金份额持有人或基金份额持有人的合法授权代表共同组成。 </w:t>
      </w:r>
    </w:p>
    <w:p>
      <w:pPr>
        <w:pStyle w:val="7"/>
        <w:spacing w:before="0" w:beforeAutospacing="0" w:after="0" w:afterAutospacing="0" w:line="360" w:lineRule="auto"/>
        <w:ind w:firstLine="420"/>
        <w:rPr>
          <w:sz w:val="21"/>
          <w:szCs w:val="21"/>
        </w:rPr>
      </w:pPr>
      <w:r>
        <w:rPr>
          <w:rFonts w:hint="eastAsia"/>
          <w:sz w:val="21"/>
          <w:szCs w:val="21"/>
        </w:rPr>
        <w:t xml:space="preserve">一、召开事由 </w:t>
      </w:r>
    </w:p>
    <w:p>
      <w:pPr>
        <w:pStyle w:val="7"/>
        <w:spacing w:before="0" w:beforeAutospacing="0" w:after="0" w:afterAutospacing="0" w:line="360" w:lineRule="auto"/>
        <w:ind w:firstLine="420"/>
        <w:rPr>
          <w:sz w:val="21"/>
          <w:szCs w:val="21"/>
        </w:rPr>
      </w:pPr>
      <w:r>
        <w:rPr>
          <w:rFonts w:hint="eastAsia"/>
          <w:sz w:val="21"/>
          <w:szCs w:val="21"/>
        </w:rPr>
        <w:t xml:space="preserve">1、当出现或需要决定下列事由之一的，应当召开基金份额持有人大会：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（2）更换基金管理人； </w:t>
      </w:r>
    </w:p>
    <w:p>
      <w:pPr>
        <w:pStyle w:val="7"/>
        <w:spacing w:before="0" w:beforeAutospacing="0" w:after="0" w:afterAutospacing="0" w:line="360" w:lineRule="auto"/>
        <w:ind w:firstLine="420"/>
        <w:rPr>
          <w:sz w:val="21"/>
          <w:szCs w:val="21"/>
        </w:rPr>
      </w:pPr>
      <w:r>
        <w:rPr>
          <w:rFonts w:hint="eastAsia"/>
          <w:sz w:val="21"/>
          <w:szCs w:val="21"/>
        </w:rPr>
        <w:t xml:space="preserve">（3）更换基金托管人； </w:t>
      </w:r>
    </w:p>
    <w:p>
      <w:pPr>
        <w:pStyle w:val="7"/>
        <w:spacing w:before="0" w:beforeAutospacing="0" w:after="0" w:afterAutospacing="0" w:line="360" w:lineRule="auto"/>
        <w:ind w:firstLine="420"/>
        <w:rPr>
          <w:sz w:val="21"/>
          <w:szCs w:val="21"/>
        </w:rPr>
      </w:pPr>
      <w:r>
        <w:rPr>
          <w:rFonts w:hint="eastAsia"/>
          <w:sz w:val="21"/>
          <w:szCs w:val="21"/>
        </w:rPr>
        <w:t xml:space="preserve">（4）转换基金运作方式；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（5）提高基金管理人、基金托管人的报酬标准； </w:t>
      </w:r>
    </w:p>
    <w:p>
      <w:pPr>
        <w:pStyle w:val="7"/>
        <w:spacing w:before="0" w:beforeAutospacing="0" w:after="0" w:afterAutospacing="0" w:line="360" w:lineRule="auto"/>
        <w:ind w:firstLine="420"/>
        <w:rPr>
          <w:sz w:val="21"/>
          <w:szCs w:val="21"/>
        </w:rPr>
      </w:pPr>
      <w:r>
        <w:rPr>
          <w:rFonts w:hint="eastAsia"/>
          <w:sz w:val="21"/>
          <w:szCs w:val="21"/>
        </w:rPr>
        <w:t xml:space="preserve">（6）变更基金类别； </w:t>
      </w:r>
    </w:p>
    <w:p>
      <w:pPr>
        <w:pStyle w:val="7"/>
        <w:spacing w:before="0" w:beforeAutospacing="0" w:after="0" w:afterAutospacing="0" w:line="360" w:lineRule="auto"/>
        <w:ind w:firstLine="420"/>
        <w:rPr>
          <w:sz w:val="21"/>
          <w:szCs w:val="21"/>
        </w:rPr>
      </w:pPr>
      <w:r>
        <w:rPr>
          <w:rFonts w:hint="eastAsia"/>
          <w:sz w:val="21"/>
          <w:szCs w:val="21"/>
        </w:rPr>
        <w:t xml:space="preserve">（7）变更基金投资目标、范围或策略； </w:t>
      </w:r>
    </w:p>
    <w:p>
      <w:pPr>
        <w:pStyle w:val="7"/>
        <w:spacing w:before="0" w:beforeAutospacing="0" w:after="0" w:afterAutospacing="0" w:line="360" w:lineRule="auto"/>
        <w:ind w:firstLine="420"/>
        <w:rPr>
          <w:sz w:val="21"/>
          <w:szCs w:val="21"/>
        </w:rPr>
      </w:pPr>
      <w:r>
        <w:rPr>
          <w:rFonts w:hint="eastAsia"/>
          <w:sz w:val="21"/>
          <w:szCs w:val="21"/>
        </w:rPr>
        <w:t xml:space="preserve">（8）变更基金份额持有人大会程序；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（9）对基金当事人权利和义务产生重大影响的事项； </w:t>
      </w:r>
    </w:p>
    <w:p>
      <w:pPr>
        <w:pStyle w:val="7"/>
        <w:spacing w:before="0" w:beforeAutospacing="0" w:after="0" w:afterAutospacing="0" w:line="360" w:lineRule="auto"/>
        <w:ind w:firstLine="420"/>
        <w:rPr>
          <w:sz w:val="21"/>
          <w:szCs w:val="21"/>
        </w:rPr>
      </w:pPr>
      <w:r>
        <w:rPr>
          <w:rFonts w:hint="eastAsia"/>
          <w:sz w:val="21"/>
          <w:szCs w:val="21"/>
        </w:rPr>
        <w:t xml:space="preserve">（10）法律法规、《基金合同》或中国证监会规定的其他应当召开基金份额持有人大会的事项。 </w:t>
      </w:r>
    </w:p>
    <w:p>
      <w:pPr>
        <w:pStyle w:val="7"/>
        <w:spacing w:before="0" w:beforeAutospacing="0" w:after="0" w:afterAutospacing="0" w:line="360" w:lineRule="auto"/>
        <w:ind w:firstLine="420"/>
        <w:rPr>
          <w:sz w:val="21"/>
          <w:szCs w:val="21"/>
        </w:rPr>
      </w:pPr>
      <w:r>
        <w:rPr>
          <w:rFonts w:hint="eastAsia"/>
          <w:sz w:val="21"/>
          <w:szCs w:val="21"/>
        </w:rPr>
        <w:t xml:space="preserve">2、以下情况可由基金管理人和基金托管人协商后修改，不需召开基金份额持有人大会：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 </w:t>
      </w:r>
    </w:p>
    <w:p>
      <w:pPr>
        <w:pStyle w:val="7"/>
        <w:spacing w:before="0" w:beforeAutospacing="0" w:after="0" w:afterAutospacing="0" w:line="360" w:lineRule="auto"/>
        <w:ind w:firstLine="420"/>
        <w:rPr>
          <w:sz w:val="21"/>
          <w:szCs w:val="21"/>
        </w:rPr>
      </w:pPr>
      <w:r>
        <w:rPr>
          <w:rFonts w:hint="eastAsia"/>
          <w:sz w:val="21"/>
          <w:szCs w:val="21"/>
        </w:rPr>
        <w:t xml:space="preserve">（2）在《基金合同》规定的范围内变更本基金的申购费率、赎回费率或收费方式；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（4）对《基金合同》的修改对基金份额持有人利益无实质性不利影响或修改不涉及基金合同当事人权利义务关系发生变化； </w:t>
      </w:r>
    </w:p>
    <w:p>
      <w:pPr>
        <w:pStyle w:val="7"/>
        <w:spacing w:before="0" w:beforeAutospacing="0" w:after="0" w:afterAutospacing="0" w:line="360" w:lineRule="auto"/>
        <w:ind w:firstLine="420"/>
        <w:rPr>
          <w:sz w:val="21"/>
          <w:szCs w:val="21"/>
        </w:rPr>
      </w:pPr>
      <w:r>
        <w:rPr>
          <w:rFonts w:hint="eastAsia"/>
          <w:sz w:val="21"/>
          <w:szCs w:val="21"/>
        </w:rPr>
        <w:t xml:space="preserve">（5）除按照法律法规和《基金合同》规定应当召开基金份额持有人大会的以外的其他情形。 </w:t>
      </w:r>
    </w:p>
    <w:p>
      <w:pPr>
        <w:pStyle w:val="7"/>
        <w:spacing w:before="0" w:beforeAutospacing="0" w:after="0" w:afterAutospacing="0" w:line="360" w:lineRule="auto"/>
        <w:ind w:firstLine="420"/>
        <w:rPr>
          <w:sz w:val="21"/>
          <w:szCs w:val="21"/>
        </w:rPr>
      </w:pPr>
      <w:r>
        <w:rPr>
          <w:rFonts w:hint="eastAsia"/>
          <w:sz w:val="21"/>
          <w:szCs w:val="21"/>
        </w:rPr>
        <w:t xml:space="preserve">二、会议召集人及召集方式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pPr>
        <w:pStyle w:val="7"/>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 </w:t>
      </w:r>
    </w:p>
    <w:p>
      <w:pPr>
        <w:pStyle w:val="7"/>
        <w:spacing w:before="0" w:beforeAutospacing="0" w:after="0" w:afterAutospacing="0" w:line="360" w:lineRule="auto"/>
        <w:ind w:firstLine="420"/>
        <w:rPr>
          <w:sz w:val="21"/>
          <w:szCs w:val="21"/>
        </w:rPr>
      </w:pPr>
      <w:r>
        <w:rPr>
          <w:rFonts w:hint="eastAsia"/>
          <w:sz w:val="21"/>
          <w:szCs w:val="21"/>
        </w:rPr>
        <w:t xml:space="preserve">基金管理人决定召集的，应当自出具书面决定之日起60日内召开；基金管理人决定不召集，基金托管人仍认为有必要召开的，应当由基金托管人自行召集。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 </w:t>
      </w:r>
    </w:p>
    <w:p>
      <w:pPr>
        <w:pStyle w:val="7"/>
        <w:spacing w:before="0" w:beforeAutospacing="0" w:after="0" w:afterAutospacing="0" w:line="360" w:lineRule="auto"/>
        <w:ind w:firstLine="420"/>
        <w:rPr>
          <w:sz w:val="21"/>
          <w:szCs w:val="21"/>
        </w:rPr>
      </w:pPr>
      <w:r>
        <w:rPr>
          <w:rFonts w:hint="eastAsia"/>
          <w:sz w:val="21"/>
          <w:szCs w:val="21"/>
        </w:rPr>
        <w:t xml:space="preserve">基金托管人应当自收到书面提议之日起10日内决定是否召集，并书面告知提出提议的基金份额持有人代表和基金管理人；基金托管人决定召集的，应当自出具书面决定之日起60日内召开。 </w:t>
      </w:r>
    </w:p>
    <w:p>
      <w:pPr>
        <w:pStyle w:val="7"/>
        <w:spacing w:before="0" w:beforeAutospacing="0" w:after="0" w:afterAutospacing="0" w:line="360" w:lineRule="auto"/>
        <w:ind w:firstLine="420"/>
        <w:rPr>
          <w:sz w:val="21"/>
          <w:szCs w:val="21"/>
        </w:rPr>
      </w:pPr>
      <w:r>
        <w:rPr>
          <w:rFonts w:hint="eastAsia"/>
          <w:sz w:val="21"/>
          <w:szCs w:val="21"/>
        </w:rPr>
        <w:t xml:space="preserve">5、如在上述第4条情况下，基金管理人、基金托管人都不召集的，单独或合计代表基金份额10%以上（含10%）的基金份额持有人有权按照《基金法》第七十二条第二款的规定自行召集。基金份额持有人自行召集基金份额持有人大会的，应当至少提前30日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6、基金份额持有人大会的召集人负责确定开会时间、地点、方式和权益登记日。 </w:t>
      </w:r>
    </w:p>
    <w:p>
      <w:pPr>
        <w:pStyle w:val="7"/>
        <w:spacing w:before="0" w:beforeAutospacing="0" w:after="0" w:afterAutospacing="0" w:line="360" w:lineRule="auto"/>
        <w:ind w:firstLine="420"/>
        <w:rPr>
          <w:sz w:val="21"/>
          <w:szCs w:val="21"/>
        </w:rPr>
      </w:pPr>
      <w:r>
        <w:rPr>
          <w:rFonts w:hint="eastAsia"/>
          <w:sz w:val="21"/>
          <w:szCs w:val="21"/>
        </w:rPr>
        <w:t xml:space="preserve">7、基金份额持有人要求召开基金份额持有人大会，初步以基金管理人收到符合规定的提议当日的基金份额为依据核实身份和审核提议的有效性，最终以权益登记日为依据进行身份确认和审核提议的有效性。 </w:t>
      </w:r>
    </w:p>
    <w:p>
      <w:pPr>
        <w:pStyle w:val="7"/>
        <w:spacing w:before="0" w:beforeAutospacing="0" w:after="0" w:afterAutospacing="0" w:line="360" w:lineRule="auto"/>
        <w:ind w:firstLine="420"/>
        <w:rPr>
          <w:sz w:val="21"/>
          <w:szCs w:val="21"/>
        </w:rPr>
      </w:pPr>
      <w:r>
        <w:rPr>
          <w:rFonts w:hint="eastAsia"/>
          <w:sz w:val="21"/>
          <w:szCs w:val="21"/>
        </w:rPr>
        <w:t xml:space="preserve">8、基金管理人负责最终认定征集提议召集代理权或征集委托书或提议召集权信托的有效性。 </w:t>
      </w:r>
    </w:p>
    <w:p>
      <w:pPr>
        <w:pStyle w:val="7"/>
        <w:spacing w:before="0" w:beforeAutospacing="0" w:after="0" w:afterAutospacing="0" w:line="360" w:lineRule="auto"/>
        <w:ind w:firstLine="420"/>
        <w:rPr>
          <w:sz w:val="21"/>
          <w:szCs w:val="21"/>
        </w:rPr>
      </w:pPr>
      <w:r>
        <w:rPr>
          <w:rFonts w:hint="eastAsia"/>
          <w:sz w:val="21"/>
          <w:szCs w:val="21"/>
        </w:rPr>
        <w:t xml:space="preserve">9、法律法规或监管机构另有规定的，从其规定。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1、召开基金份额持有人大会，召集人应于会议召开前30天，在指定媒介上公告。基金份额持有人大会通知应至少载明以下内容：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（1）会议召开的时间、地点、方式； </w:t>
      </w:r>
    </w:p>
    <w:p>
      <w:pPr>
        <w:pStyle w:val="7"/>
        <w:spacing w:before="0" w:beforeAutospacing="0" w:after="0" w:afterAutospacing="0" w:line="360" w:lineRule="auto"/>
        <w:ind w:firstLine="420"/>
        <w:rPr>
          <w:sz w:val="21"/>
          <w:szCs w:val="21"/>
        </w:rPr>
      </w:pPr>
      <w:r>
        <w:rPr>
          <w:rFonts w:hint="eastAsia"/>
          <w:sz w:val="21"/>
          <w:szCs w:val="21"/>
        </w:rPr>
        <w:t xml:space="preserve">（2）会议拟审议的事项、议事程序； </w:t>
      </w:r>
    </w:p>
    <w:p>
      <w:pPr>
        <w:pStyle w:val="7"/>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pPr>
        <w:pStyle w:val="7"/>
        <w:spacing w:before="0" w:beforeAutospacing="0" w:after="0" w:afterAutospacing="0" w:line="360" w:lineRule="auto"/>
        <w:ind w:firstLine="420"/>
        <w:rPr>
          <w:sz w:val="21"/>
          <w:szCs w:val="21"/>
        </w:rPr>
      </w:pPr>
      <w:r>
        <w:rPr>
          <w:rFonts w:hint="eastAsia"/>
          <w:sz w:val="21"/>
          <w:szCs w:val="21"/>
        </w:rPr>
        <w:t xml:space="preserve">（4）代理投票授权委托书送达时间和地点； </w:t>
      </w:r>
    </w:p>
    <w:p>
      <w:pPr>
        <w:pStyle w:val="7"/>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pPr>
        <w:pStyle w:val="7"/>
        <w:spacing w:before="0" w:beforeAutospacing="0" w:after="0" w:afterAutospacing="0" w:line="360" w:lineRule="auto"/>
        <w:ind w:firstLine="420"/>
        <w:rPr>
          <w:sz w:val="21"/>
          <w:szCs w:val="21"/>
        </w:rPr>
      </w:pPr>
      <w:r>
        <w:rPr>
          <w:rFonts w:hint="eastAsia"/>
          <w:sz w:val="21"/>
          <w:szCs w:val="21"/>
        </w:rPr>
        <w:t xml:space="preserve">2、采取通讯开会方式并进行表决的情况下，召集人应当于会议召开前至少30日在指定媒介上公告通知，且会议通知应在公告前5个工作日报监管机构备案，且除上述内容外还要在会议通知中说明具体通讯方式、委托的公证机关及其联系方式和联系人、书面表决意见的寄交和收取的方式及截止时间等。 </w:t>
      </w:r>
    </w:p>
    <w:p>
      <w:pPr>
        <w:pStyle w:val="7"/>
        <w:spacing w:before="0" w:beforeAutospacing="0" w:after="0" w:afterAutospacing="0" w:line="360" w:lineRule="auto"/>
        <w:ind w:firstLine="420"/>
        <w:rPr>
          <w:sz w:val="21"/>
          <w:szCs w:val="21"/>
        </w:rPr>
      </w:pPr>
      <w:r>
        <w:rPr>
          <w:rFonts w:hint="eastAsia"/>
          <w:sz w:val="21"/>
          <w:szCs w:val="21"/>
        </w:rPr>
        <w:t xml:space="preserve">四、基金份额持有人出席会议方式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基金份额持有人大会可通过现场开会方式或通讯开会方式召开。 </w:t>
      </w:r>
    </w:p>
    <w:p>
      <w:pPr>
        <w:pStyle w:val="7"/>
        <w:spacing w:before="0" w:beforeAutospacing="0" w:after="0" w:afterAutospacing="0" w:line="360" w:lineRule="auto"/>
        <w:ind w:firstLine="420"/>
        <w:rPr>
          <w:sz w:val="21"/>
          <w:szCs w:val="21"/>
        </w:rPr>
      </w:pPr>
      <w:r>
        <w:rPr>
          <w:rFonts w:hint="eastAsia"/>
          <w:sz w:val="21"/>
          <w:szCs w:val="21"/>
        </w:rPr>
        <w:t xml:space="preserve">会议的召开方式由会议召集人确定，但更换基金管理人和基金托管人、提前终止基金等重大事项必须以现场开会方式召开。 </w:t>
      </w:r>
    </w:p>
    <w:p>
      <w:pPr>
        <w:pStyle w:val="7"/>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书委派代表出席，现场开会时基金管理人和基金托管人的授权代表应当列席基金份额持有人大会。现场开会同时符合以下条件时，可以进行基金份额持有人大会议程： </w:t>
      </w:r>
    </w:p>
    <w:p>
      <w:pPr>
        <w:pStyle w:val="7"/>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（1）亲自出席会议者持有基金份额的凭证、受托出席会议者出具的委托人持有基金份额的凭证及委托人的代理投票授权委托书符合法律法规、《基金合同》和会议通知的规定； </w:t>
      </w:r>
    </w:p>
    <w:p>
      <w:pPr>
        <w:pStyle w:val="7"/>
        <w:spacing w:before="0" w:beforeAutospacing="0" w:after="0" w:afterAutospacing="0" w:line="360" w:lineRule="auto"/>
        <w:ind w:firstLine="420"/>
        <w:rPr>
          <w:sz w:val="21"/>
          <w:szCs w:val="21"/>
        </w:rPr>
      </w:pPr>
      <w:r>
        <w:rPr>
          <w:rFonts w:hint="eastAsia"/>
          <w:sz w:val="21"/>
          <w:szCs w:val="21"/>
        </w:rPr>
        <w:t xml:space="preserve">（2）经核对，汇总到会者出示的在权利登记日持有基金份额的凭证显示，有效的基金份额不少于本基金在权益登记日基金总份额的50%（含50%）。 </w:t>
      </w:r>
    </w:p>
    <w:p>
      <w:pPr>
        <w:pStyle w:val="7"/>
        <w:spacing w:before="0" w:beforeAutospacing="0" w:after="0" w:afterAutospacing="0" w:line="360" w:lineRule="auto"/>
        <w:ind w:firstLine="420"/>
        <w:rPr>
          <w:sz w:val="21"/>
          <w:szCs w:val="21"/>
        </w:rPr>
      </w:pPr>
      <w:r>
        <w:rPr>
          <w:rFonts w:hint="eastAsia"/>
          <w:sz w:val="21"/>
          <w:szCs w:val="21"/>
        </w:rPr>
        <w:t xml:space="preserve">2、通讯开会。通讯开会应以书面方式进行表决。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pPr>
        <w:pStyle w:val="7"/>
        <w:spacing w:before="0" w:beforeAutospacing="0" w:after="0" w:afterAutospacing="0" w:line="360" w:lineRule="auto"/>
        <w:ind w:firstLine="420"/>
        <w:rPr>
          <w:sz w:val="21"/>
          <w:szCs w:val="21"/>
        </w:rPr>
      </w:pPr>
      <w:r>
        <w:rPr>
          <w:rFonts w:hint="eastAsia"/>
          <w:sz w:val="21"/>
          <w:szCs w:val="21"/>
        </w:rPr>
        <w:t xml:space="preserve">（1）会议召集人按《基金合同》规定公布会议通知后，在2个工作日内连续公布相关提示性公告；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（2）会议召集人在基金托管人（如果基金托管人为召集人，则为基金管理人）和公证机关的监督下按照会议通知规定的方式收取基金份额持有人的书面表决意见； </w:t>
      </w:r>
    </w:p>
    <w:p>
      <w:pPr>
        <w:pStyle w:val="7"/>
        <w:spacing w:before="0" w:beforeAutospacing="0" w:after="0" w:afterAutospacing="0" w:line="360" w:lineRule="auto"/>
        <w:ind w:firstLine="420"/>
        <w:rPr>
          <w:sz w:val="21"/>
          <w:szCs w:val="21"/>
        </w:rPr>
      </w:pPr>
      <w:r>
        <w:rPr>
          <w:rFonts w:hint="eastAsia"/>
          <w:sz w:val="21"/>
          <w:szCs w:val="21"/>
        </w:rPr>
        <w:t xml:space="preserve">（3）本人直接出具书面意见或授权他人代表出具书面意见的，基金份额持有人所持有的基金份额不小于在权益登记日基金总份额的50%（含50%）； </w:t>
      </w:r>
    </w:p>
    <w:p>
      <w:pPr>
        <w:pStyle w:val="7"/>
        <w:spacing w:before="0" w:beforeAutospacing="0" w:after="0" w:afterAutospacing="0" w:line="360" w:lineRule="auto"/>
        <w:ind w:firstLine="420"/>
        <w:rPr>
          <w:sz w:val="21"/>
          <w:szCs w:val="21"/>
        </w:rPr>
      </w:pPr>
      <w:r>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 </w:t>
      </w:r>
    </w:p>
    <w:p>
      <w:pPr>
        <w:pStyle w:val="7"/>
        <w:spacing w:before="0" w:beforeAutospacing="0" w:after="0" w:afterAutospacing="0" w:line="360" w:lineRule="auto"/>
        <w:ind w:firstLine="420"/>
        <w:rPr>
          <w:sz w:val="21"/>
          <w:szCs w:val="21"/>
        </w:rPr>
      </w:pPr>
      <w:r>
        <w:rPr>
          <w:rFonts w:hint="eastAsia"/>
          <w:sz w:val="21"/>
          <w:szCs w:val="21"/>
        </w:rPr>
        <w:t xml:space="preserve">（5）会议通知公布前报中国证监会备案。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否则提交符合会议通知中规定的确认投资人身份文件的表决视为有效出席的投资人；表面符合法律法规和会议通知规定的书面表决意见即视为有效的表决，表决意见模糊不清或相互矛盾的视为弃权表决，但应当计入出具书面意见的基金份额持有人所代表的基金份额总数。 </w:t>
      </w:r>
    </w:p>
    <w:p>
      <w:pPr>
        <w:pStyle w:val="7"/>
        <w:spacing w:before="0" w:beforeAutospacing="0" w:after="0" w:afterAutospacing="0" w:line="360" w:lineRule="auto"/>
        <w:ind w:firstLine="420"/>
        <w:rPr>
          <w:sz w:val="21"/>
          <w:szCs w:val="21"/>
        </w:rPr>
      </w:pPr>
      <w:r>
        <w:rPr>
          <w:rStyle w:val="11"/>
          <w:rFonts w:hint="eastAsia"/>
          <w:sz w:val="21"/>
          <w:szCs w:val="21"/>
        </w:rPr>
        <w:t>五、议事内容与程序</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单独或合并持有权利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15天前提交召集人。临时提案不得包括更换基金管理人、更换基金托管人、决定终止基金、与非本基金管理人管理的其它基金合并等重大事项。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召集人发出召集现场会议的通知后，对原有提案的修改应当在基金份额持有人大会召开日5天前公告。否则，会议的召开日期应当顺延并保证至少有5天的间隔期。基金份额持有人大会的召集人发出以通讯方式开会的通知后，该次基金份额持有人大会不得增加、减少或修改需由该次基金份额持有人大会审议表决的提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召集人对于基金管理人、基金托管人和基金份额持有人提交的临时提案进行审核，符合条件的应当在大会召开日5天前公告。大会召集人应当按照以下原则对提案进行审核： </w:t>
      </w:r>
    </w:p>
    <w:p>
      <w:pPr>
        <w:pStyle w:val="7"/>
        <w:spacing w:before="0" w:beforeAutospacing="0" w:after="0" w:afterAutospacing="0" w:line="360" w:lineRule="auto"/>
        <w:ind w:firstLine="420"/>
        <w:rPr>
          <w:sz w:val="21"/>
          <w:szCs w:val="21"/>
        </w:rPr>
      </w:pPr>
      <w:r>
        <w:rPr>
          <w:rFonts w:hint="eastAsia"/>
          <w:sz w:val="21"/>
          <w:szCs w:val="21"/>
        </w:rPr>
        <w:t xml:space="preserve">（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pPr>
        <w:pStyle w:val="7"/>
        <w:spacing w:before="0" w:beforeAutospacing="0" w:after="0" w:afterAutospacing="0" w:line="360" w:lineRule="auto"/>
        <w:ind w:firstLine="420"/>
        <w:rPr>
          <w:sz w:val="21"/>
          <w:szCs w:val="21"/>
        </w:rPr>
      </w:pPr>
      <w:r>
        <w:rPr>
          <w:rFonts w:hint="eastAsia"/>
          <w:sz w:val="21"/>
          <w:szCs w:val="21"/>
        </w:rPr>
        <w:t xml:space="preserve">（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 </w:t>
      </w:r>
    </w:p>
    <w:p>
      <w:pPr>
        <w:pStyle w:val="7"/>
        <w:spacing w:before="0" w:beforeAutospacing="0" w:after="0" w:afterAutospacing="0" w:line="360" w:lineRule="auto"/>
        <w:ind w:firstLine="420"/>
        <w:rPr>
          <w:sz w:val="21"/>
          <w:szCs w:val="21"/>
        </w:rPr>
      </w:pPr>
      <w:r>
        <w:rPr>
          <w:rFonts w:hint="eastAsia"/>
          <w:sz w:val="21"/>
          <w:szCs w:val="21"/>
        </w:rPr>
        <w:t xml:space="preserve">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自该次基金份额持有人大会闭幕之日起算）。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在通讯开会的情况下，公告会议通知时应当同时公布提案，在所通知的表决截止日期后2个工作日内统计全部有效表决，在公证机关监督下形成决议。 </w:t>
      </w:r>
    </w:p>
    <w:p>
      <w:pPr>
        <w:pStyle w:val="7"/>
        <w:spacing w:before="0" w:beforeAutospacing="0" w:after="0" w:afterAutospacing="0" w:line="360" w:lineRule="auto"/>
        <w:ind w:firstLine="420"/>
        <w:rPr>
          <w:sz w:val="21"/>
          <w:szCs w:val="21"/>
        </w:rPr>
      </w:pPr>
      <w:r>
        <w:rPr>
          <w:rStyle w:val="11"/>
          <w:rFonts w:hint="eastAsia"/>
          <w:sz w:val="21"/>
          <w:szCs w:val="21"/>
        </w:rPr>
        <w:t>六、表决</w:t>
      </w:r>
    </w:p>
    <w:p>
      <w:pPr>
        <w:pStyle w:val="7"/>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1、一般决议，一般决议须经参加大会的基金份额持有人所持表决权的50%以上（含50%）通过方为有效；除下列第2项所规定的须以特别决议通过事项以外的其他事项均以一般决议的方式通过。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所持表决权的三分之二以上（含三分之二）通过方可做出。转换基金运作方式、更换基金管理人或者基金托管人、提前终止《基金合同》等重大事项须以特别决议通过方为有效。提前终止基金、更换基金管理人或者基金托管人等重大事项的特别决议不得采用基金份额持有人“默示视为同意”的原则通过。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提交符合会议通知中规定的确认投资人身份文件的表决视为有效出席的投资人，符合会议通知规定的书面表决意见视为有效表决，表决意见模糊不清或相互矛盾的视为弃权表决，但应当计入出具书面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Style w:val="11"/>
          <w:rFonts w:hint="eastAsia"/>
          <w:sz w:val="21"/>
          <w:szCs w:val="21"/>
        </w:rPr>
        <w:t>七、计票</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基金份额持有人大会的主持人应当在会议开始后宣布在出席会议的基金份额持有人中选举三名基金份额持有人代表担任监票人。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 </w:t>
      </w:r>
    </w:p>
    <w:p>
      <w:pPr>
        <w:pStyle w:val="7"/>
        <w:spacing w:before="0" w:beforeAutospacing="0" w:after="0" w:afterAutospacing="0" w:line="360" w:lineRule="auto"/>
        <w:ind w:firstLine="420"/>
        <w:rPr>
          <w:sz w:val="21"/>
          <w:szCs w:val="21"/>
        </w:rPr>
      </w:pPr>
      <w:r>
        <w:rPr>
          <w:rFonts w:hint="eastAsia"/>
          <w:sz w:val="21"/>
          <w:szCs w:val="21"/>
        </w:rPr>
        <w:t xml:space="preserve">（4）计票过程可以由公证机关予以公证。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在通讯开会的情况下，计票方式为：由大会召集人授权的两名监督员在基金托管人授权代表（若由基金托管人召集，则为基金管理人授权代表）的监督下进行计票，也可以由公证机关对其计票过程予以公证。   </w:t>
      </w:r>
    </w:p>
    <w:p>
      <w:pPr>
        <w:pStyle w:val="7"/>
        <w:spacing w:before="0" w:beforeAutospacing="0" w:after="0" w:afterAutospacing="0" w:line="360" w:lineRule="auto"/>
        <w:ind w:firstLine="420"/>
        <w:rPr>
          <w:sz w:val="21"/>
          <w:szCs w:val="21"/>
        </w:rPr>
      </w:pPr>
      <w:r>
        <w:rPr>
          <w:rStyle w:val="11"/>
          <w:rFonts w:hint="eastAsia"/>
          <w:sz w:val="21"/>
          <w:szCs w:val="21"/>
        </w:rPr>
        <w:t>八、生效与公告</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基金份额持有人大会表决通过的事项，召集人应当自通过之日起5日内报中国证监会核准或者备案。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基金份额持有人大会决定的事项自中国证监会依法核准或者出具无异议意见之日起生效。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基金管理人、基金托管人和基金份额持有人应当执行生效的基金份额持有人大会的决定。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基金份额持有人大会决议对全体基金份额持有人、基金管理人、基金托管人均有约束力。 </w:t>
      </w:r>
    </w:p>
    <w:p>
      <w:pPr>
        <w:pStyle w:val="7"/>
        <w:spacing w:before="0" w:beforeAutospacing="0" w:after="0" w:afterAutospacing="0" w:line="360" w:lineRule="auto"/>
        <w:ind w:firstLine="420"/>
        <w:rPr>
          <w:sz w:val="21"/>
          <w:szCs w:val="21"/>
        </w:rPr>
      </w:pPr>
      <w:r>
        <w:rPr>
          <w:rStyle w:val="11"/>
          <w:rFonts w:hint="eastAsia"/>
          <w:sz w:val="21"/>
          <w:szCs w:val="21"/>
        </w:rPr>
        <w:t>基金合同的变更、终止与基金财产清算</w:t>
      </w:r>
    </w:p>
    <w:p>
      <w:pPr>
        <w:pStyle w:val="7"/>
        <w:spacing w:before="0" w:beforeAutospacing="0" w:after="0" w:afterAutospacing="0" w:line="360" w:lineRule="auto"/>
        <w:ind w:firstLine="420"/>
        <w:rPr>
          <w:sz w:val="21"/>
          <w:szCs w:val="21"/>
        </w:rPr>
      </w:pPr>
      <w:r>
        <w:rPr>
          <w:rStyle w:val="11"/>
          <w:rFonts w:hint="eastAsia"/>
          <w:sz w:val="21"/>
          <w:szCs w:val="21"/>
        </w:rPr>
        <w:t>一、《基金合同》的变更</w:t>
      </w:r>
    </w:p>
    <w:p>
      <w:pPr>
        <w:pStyle w:val="7"/>
        <w:spacing w:before="0" w:beforeAutospacing="0" w:after="0" w:afterAutospacing="0" w:line="360" w:lineRule="auto"/>
        <w:ind w:firstLine="420"/>
        <w:rPr>
          <w:sz w:val="21"/>
          <w:szCs w:val="21"/>
        </w:rPr>
      </w:pPr>
      <w:r>
        <w:rPr>
          <w:rFonts w:hint="eastAsia"/>
          <w:sz w:val="21"/>
          <w:szCs w:val="21"/>
        </w:rPr>
        <w:t xml:space="preserve">1、除非法律法规和《基金合同》另有规定，对《基金合同》的变更应当召开基金份额持有人大会决议通过，并报中国证监会核准或备案。 </w:t>
      </w:r>
    </w:p>
    <w:p>
      <w:pPr>
        <w:pStyle w:val="7"/>
        <w:spacing w:before="0" w:beforeAutospacing="0" w:after="0" w:afterAutospacing="0" w:line="360" w:lineRule="auto"/>
        <w:ind w:firstLine="420"/>
        <w:rPr>
          <w:sz w:val="21"/>
          <w:szCs w:val="21"/>
        </w:rPr>
      </w:pPr>
      <w:r>
        <w:rPr>
          <w:rFonts w:hint="eastAsia"/>
          <w:sz w:val="21"/>
          <w:szCs w:val="21"/>
        </w:rPr>
        <w:t xml:space="preserve">2、依现行有效的有关法律法规，对《基金合同》的变更自中国证监会核准或出具无异议意见之日起生效。 </w:t>
      </w:r>
    </w:p>
    <w:p>
      <w:pPr>
        <w:pStyle w:val="7"/>
        <w:spacing w:before="0" w:beforeAutospacing="0" w:after="0" w:afterAutospacing="0" w:line="360" w:lineRule="auto"/>
        <w:ind w:firstLine="420"/>
        <w:rPr>
          <w:sz w:val="21"/>
          <w:szCs w:val="21"/>
        </w:rPr>
      </w:pPr>
      <w:r>
        <w:rPr>
          <w:rFonts w:hint="eastAsia"/>
          <w:sz w:val="21"/>
          <w:szCs w:val="21"/>
        </w:rPr>
        <w:t xml:space="preserve">3、除依本《基金合同》和/或依现行有效的有关法律法规，对《基金合同》的变更须基金份额持有人大会决议通过和/或须报中国证监会核准以外的情形，依本《基金合同》和/或依现行有效的有关法律法规对《基金合同》的变更包括但不限于以下情形：①因法律、法规及监管机构颁布之规定的相应修改而导致本基金合同的部分条款与之不符的，则基金合同自行适用法律、法规及监管机构颁布之规定而导致的相应变更，②因基金管理人、基金托管人的基本情况发生变更，包括但不限于住所、法定代表人、组织形式、注册资本等情况的变更，③不涉及本基金合同当事人权利义务关系发生变化，对基金份额持有人权利或权益无实质性不利影响的基金合同的变更等，经基金管理人和基金托管人同意可直接对《基金合同》进行变更，但应进行公布，并报中国证监会备案。 </w:t>
      </w:r>
    </w:p>
    <w:p>
      <w:pPr>
        <w:pStyle w:val="7"/>
        <w:spacing w:before="0" w:beforeAutospacing="0" w:after="0" w:afterAutospacing="0" w:line="360" w:lineRule="auto"/>
        <w:ind w:firstLine="420"/>
        <w:rPr>
          <w:sz w:val="21"/>
          <w:szCs w:val="21"/>
        </w:rPr>
      </w:pPr>
      <w:r>
        <w:rPr>
          <w:rStyle w:val="11"/>
          <w:rFonts w:hint="eastAsia"/>
          <w:sz w:val="21"/>
          <w:szCs w:val="21"/>
        </w:rPr>
        <w:t>二、《基金合同》的终止</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4、中国证监会允许的其他情况。 </w:t>
      </w:r>
    </w:p>
    <w:p>
      <w:pPr>
        <w:pStyle w:val="7"/>
        <w:spacing w:before="0" w:beforeAutospacing="0" w:after="0" w:afterAutospacing="0" w:line="360" w:lineRule="auto"/>
        <w:ind w:firstLine="420"/>
        <w:rPr>
          <w:sz w:val="21"/>
          <w:szCs w:val="21"/>
        </w:rPr>
      </w:pPr>
      <w:r>
        <w:rPr>
          <w:rStyle w:val="11"/>
          <w:rFonts w:hint="eastAsia"/>
          <w:sz w:val="21"/>
          <w:szCs w:val="21"/>
        </w:rPr>
        <w:t>争议的处理和适用的法律 </w:t>
      </w:r>
    </w:p>
    <w:p>
      <w:pPr>
        <w:pStyle w:val="7"/>
        <w:spacing w:before="0" w:beforeAutospacing="0" w:after="0" w:afterAutospacing="0" w:line="360" w:lineRule="auto"/>
        <w:ind w:firstLine="420"/>
        <w:rPr>
          <w:sz w:val="21"/>
          <w:szCs w:val="21"/>
        </w:rPr>
      </w:pPr>
      <w:r>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的地点在北京，仲裁裁决是终局性的并对各方当事人具有约束力，仲裁费由败诉方承担。 </w:t>
      </w:r>
    </w:p>
    <w:p>
      <w:pPr>
        <w:pStyle w:val="7"/>
        <w:spacing w:before="0" w:beforeAutospacing="0" w:after="0" w:afterAutospacing="0" w:line="360" w:lineRule="auto"/>
        <w:ind w:firstLine="420"/>
        <w:rPr>
          <w:sz w:val="21"/>
          <w:szCs w:val="21"/>
        </w:rPr>
      </w:pPr>
      <w:r>
        <w:rPr>
          <w:rFonts w:hint="eastAsia"/>
          <w:sz w:val="21"/>
          <w:szCs w:val="21"/>
        </w:rPr>
        <w:t xml:space="preserve">本《基金合同》受中国法律管辖。 </w:t>
      </w:r>
    </w:p>
    <w:p>
      <w:pPr>
        <w:pStyle w:val="7"/>
        <w:spacing w:before="0" w:beforeAutospacing="0" w:after="0" w:afterAutospacing="0" w:line="360" w:lineRule="auto"/>
        <w:ind w:firstLine="420"/>
        <w:rPr>
          <w:sz w:val="21"/>
          <w:szCs w:val="21"/>
        </w:rPr>
      </w:pPr>
      <w:r>
        <w:rPr>
          <w:rStyle w:val="11"/>
          <w:rFonts w:hint="eastAsia"/>
          <w:sz w:val="21"/>
          <w:szCs w:val="21"/>
        </w:rPr>
        <w:t>《基金合同》的效力</w:t>
      </w:r>
    </w:p>
    <w:p>
      <w:pPr>
        <w:pStyle w:val="7"/>
        <w:spacing w:before="0" w:beforeAutospacing="0" w:after="0" w:afterAutospacing="0" w:line="360" w:lineRule="auto"/>
        <w:ind w:firstLine="420"/>
        <w:rPr>
          <w:sz w:val="21"/>
          <w:szCs w:val="21"/>
        </w:rPr>
      </w:pPr>
      <w:r>
        <w:rPr>
          <w:rFonts w:hint="eastAsia"/>
          <w:sz w:val="21"/>
          <w:szCs w:val="21"/>
        </w:rPr>
        <w:t xml:space="preserve">《基金合同》是约定基金当事人之间、基金与基金当事人之间权利义务关系的法律文件。 </w:t>
      </w:r>
    </w:p>
    <w:p>
      <w:pPr>
        <w:pStyle w:val="7"/>
        <w:spacing w:before="0" w:beforeAutospacing="0" w:after="0" w:afterAutospacing="0" w:line="360" w:lineRule="auto"/>
        <w:ind w:firstLine="420"/>
        <w:rPr>
          <w:sz w:val="21"/>
          <w:szCs w:val="21"/>
        </w:rPr>
      </w:pPr>
      <w:r>
        <w:rPr>
          <w:rFonts w:hint="eastAsia"/>
          <w:sz w:val="21"/>
          <w:szCs w:val="21"/>
        </w:rPr>
        <w:t xml:space="preserve">1、《基金合同》经基金管理人、基金托管人双方盖章以及双方法定代表人或授权代表签字，并自中国证监会书面确认之日起，基金合同生效。 </w:t>
      </w:r>
    </w:p>
    <w:p>
      <w:pPr>
        <w:pStyle w:val="7"/>
        <w:spacing w:before="0" w:beforeAutospacing="0" w:after="0" w:afterAutospacing="0" w:line="360" w:lineRule="auto"/>
        <w:ind w:firstLine="420"/>
        <w:rPr>
          <w:sz w:val="21"/>
          <w:szCs w:val="21"/>
        </w:rPr>
      </w:pPr>
      <w:r>
        <w:rPr>
          <w:rFonts w:hint="eastAsia"/>
          <w:sz w:val="21"/>
          <w:szCs w:val="21"/>
        </w:rPr>
        <w:t xml:space="preserve">2、《基金合同》的有效期自其生效之日起至本基金财产清算结果报中国证监会备案并公告之日止。 </w:t>
      </w:r>
    </w:p>
    <w:p>
      <w:pPr>
        <w:pStyle w:val="7"/>
        <w:spacing w:before="0" w:beforeAutospacing="0" w:after="0" w:afterAutospacing="0" w:line="360" w:lineRule="auto"/>
        <w:ind w:firstLine="420"/>
        <w:rPr>
          <w:sz w:val="21"/>
          <w:szCs w:val="21"/>
        </w:rPr>
      </w:pPr>
      <w:r>
        <w:rPr>
          <w:rFonts w:hint="eastAsia"/>
          <w:sz w:val="21"/>
          <w:szCs w:val="21"/>
        </w:rPr>
        <w:t xml:space="preserve">3、《基金合同》自生效之日起对包括基金管理人、基金托管人和基金份额持有人在内的《基金合同》各方当事人具有同等的法律约束力。 </w:t>
      </w:r>
    </w:p>
    <w:p>
      <w:pPr>
        <w:pStyle w:val="7"/>
        <w:spacing w:before="0" w:beforeAutospacing="0" w:after="0" w:afterAutospacing="0" w:line="360" w:lineRule="auto"/>
        <w:ind w:firstLine="420"/>
        <w:rPr>
          <w:sz w:val="21"/>
          <w:szCs w:val="21"/>
        </w:rPr>
      </w:pPr>
      <w:r>
        <w:rPr>
          <w:rFonts w:hint="eastAsia"/>
          <w:sz w:val="21"/>
          <w:szCs w:val="21"/>
        </w:rPr>
        <w:t xml:space="preserve">4、《基金合同》正本一式陆份，除上报有关监管机构一式贰份外，基金管理人、基金托管人各持有贰份，每份具有同等的法律效力。 </w:t>
      </w:r>
    </w:p>
    <w:p>
      <w:pPr>
        <w:pStyle w:val="7"/>
        <w:spacing w:before="0" w:beforeAutospacing="0" w:after="0" w:afterAutospacing="0" w:line="360" w:lineRule="auto"/>
        <w:ind w:firstLine="420"/>
        <w:rPr>
          <w:sz w:val="21"/>
          <w:szCs w:val="21"/>
        </w:rPr>
      </w:pPr>
      <w:r>
        <w:rPr>
          <w:rFonts w:hint="eastAsia"/>
          <w:sz w:val="21"/>
          <w:szCs w:val="21"/>
        </w:rPr>
        <w:t xml:space="preserve">5、《基金合同》可印制成册，供投资人在基金管理人、基金托管人、销售代理人的办公场所和营业场所查阅；投资人也可按工本费购买《基金合同》复制件或复印件，但内容应以本基金合同正本为准。   </w:t>
      </w:r>
    </w:p>
    <w:p>
      <w:pPr>
        <w:pStyle w:val="7"/>
        <w:spacing w:before="0" w:beforeAutospacing="0" w:after="0" w:afterAutospacing="0" w:line="360" w:lineRule="auto"/>
        <w:ind w:firstLine="420"/>
        <w:rPr>
          <w:sz w:val="21"/>
          <w:szCs w:val="21"/>
        </w:rPr>
      </w:pPr>
      <w:r>
        <w:rPr>
          <w:rFonts w:hint="eastAsia"/>
          <w:sz w:val="21"/>
          <w:szCs w:val="21"/>
        </w:rPr>
        <w:t xml:space="preserve">6、本《基金合同》如有未尽事宜，由本《基金合同》当事人各方按有关法律法规协商解决。 </w:t>
      </w:r>
    </w:p>
    <w:p>
      <w:pPr>
        <w:pStyle w:val="7"/>
        <w:spacing w:before="0" w:beforeAutospacing="0" w:after="0" w:afterAutospacing="0" w:line="360" w:lineRule="auto"/>
        <w:ind w:firstLine="420"/>
        <w:rPr>
          <w:sz w:val="21"/>
          <w:szCs w:val="21"/>
        </w:rPr>
      </w:pPr>
      <w:r>
        <w:rPr>
          <w:rStyle w:val="11"/>
          <w:rFonts w:hint="eastAsia"/>
          <w:sz w:val="21"/>
          <w:szCs w:val="21"/>
        </w:rPr>
        <w:t>其他事项</w:t>
      </w:r>
    </w:p>
    <w:p>
      <w:pPr>
        <w:pStyle w:val="7"/>
        <w:spacing w:before="0" w:beforeAutospacing="0" w:after="0" w:afterAutospacing="0" w:line="360" w:lineRule="auto"/>
        <w:ind w:firstLine="420"/>
        <w:rPr>
          <w:sz w:val="21"/>
          <w:szCs w:val="21"/>
        </w:rPr>
      </w:pPr>
      <w:r>
        <w:rPr>
          <w:rFonts w:hint="eastAsia"/>
          <w:sz w:val="21"/>
          <w:szCs w:val="21"/>
        </w:rPr>
        <w:t xml:space="preserve">除非有关法律法规、基金合同、招募说明书等法律文件另有规定或约定，基金合同当事人应遵守本基金的基金管理人所制定的开放式基金业务规则。该规则由基金管理人在符合法律法规的前提下制订，并由其解释与修改，其中涉及到托管业务的部分需与基金托管人协商一致。 </w:t>
      </w:r>
    </w:p>
    <w:p>
      <w:pPr>
        <w:pStyle w:val="7"/>
        <w:spacing w:before="0" w:beforeAutospacing="0" w:after="0" w:afterAutospacing="0" w:line="360" w:lineRule="auto"/>
        <w:ind w:firstLine="420"/>
        <w:rPr>
          <w:sz w:val="21"/>
          <w:szCs w:val="21"/>
        </w:rPr>
      </w:pPr>
      <w:r>
        <w:rPr>
          <w:rFonts w:hint="eastAsia"/>
          <w:sz w:val="21"/>
          <w:szCs w:val="21"/>
        </w:rPr>
        <w:t>本基金相关业务的处理，凡未在基金合同、招募说明书、发售公告或者其它另行公开发布的业务指南中明确规定的，依照本基金管理人所制定的开放式基金业务规则办理或进行解</w:t>
      </w:r>
      <w:bookmarkStart w:id="196" w:name="chapter_level1_22_71_section_1_end"/>
      <w:bookmarkEnd w:id="196"/>
      <w:r>
        <w:rPr>
          <w:rFonts w:hint="eastAsia"/>
          <w:sz w:val="21"/>
          <w:szCs w:val="21"/>
        </w:rPr>
        <w:t xml:space="preserve">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7" w:name="chapter_level1_23_72"/>
      <w:bookmarkStart w:id="198" w:name="_Toc113522961"/>
      <w:r>
        <w:rPr>
          <w:rFonts w:hint="eastAsia" w:ascii="宋体" w:hAnsi="宋体" w:eastAsia="宋体"/>
          <w:sz w:val="30"/>
        </w:rPr>
        <w:t>十九、基金托管协议的内容摘要</w:t>
      </w:r>
      <w:bookmarkEnd w:id="197"/>
      <w:bookmarkEnd w:id="198"/>
    </w:p>
    <w:p>
      <w:pPr>
        <w:pStyle w:val="7"/>
        <w:spacing w:before="0" w:beforeAutospacing="0" w:after="0" w:afterAutospacing="0" w:line="360" w:lineRule="auto"/>
        <w:ind w:firstLine="420"/>
        <w:rPr>
          <w:sz w:val="21"/>
          <w:szCs w:val="21"/>
        </w:rPr>
      </w:pPr>
      <w:bookmarkStart w:id="199" w:name="chapter_level1_23_72_section_1"/>
      <w:bookmarkEnd w:id="199"/>
      <w:r>
        <w:rPr>
          <w:rStyle w:val="11"/>
          <w:rFonts w:hint="eastAsia"/>
          <w:sz w:val="21"/>
          <w:szCs w:val="21"/>
        </w:rPr>
        <w:t>一、基金托管协议当事人</w:t>
      </w:r>
    </w:p>
    <w:p>
      <w:pPr>
        <w:pStyle w:val="7"/>
        <w:spacing w:before="0" w:beforeAutospacing="0" w:after="0" w:afterAutospacing="0" w:line="360" w:lineRule="auto"/>
        <w:ind w:firstLine="420"/>
        <w:rPr>
          <w:sz w:val="21"/>
          <w:szCs w:val="21"/>
        </w:rPr>
      </w:pPr>
      <w:r>
        <w:rPr>
          <w:rFonts w:hint="eastAsia"/>
          <w:sz w:val="21"/>
          <w:szCs w:val="21"/>
        </w:rPr>
        <w:t xml:space="preserve">（一）基金管理人 </w:t>
      </w:r>
    </w:p>
    <w:p>
      <w:pPr>
        <w:pStyle w:val="7"/>
        <w:spacing w:before="0" w:beforeAutospacing="0" w:after="0" w:afterAutospacing="0" w:line="360" w:lineRule="auto"/>
        <w:ind w:firstLine="420"/>
        <w:rPr>
          <w:sz w:val="21"/>
          <w:szCs w:val="21"/>
        </w:rPr>
      </w:pPr>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 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 广东省深圳市福田区益田路5999号基金大厦21层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邮政编码：518040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成立日期：1998年7月13日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经营范围：发起设立基金、基金管理 </w:t>
      </w:r>
    </w:p>
    <w:p>
      <w:pPr>
        <w:pStyle w:val="7"/>
        <w:spacing w:before="0" w:beforeAutospacing="0" w:after="0" w:afterAutospacing="0" w:line="360" w:lineRule="auto"/>
        <w:ind w:firstLine="420"/>
        <w:rPr>
          <w:sz w:val="21"/>
          <w:szCs w:val="21"/>
        </w:rPr>
      </w:pPr>
      <w:r>
        <w:rPr>
          <w:rFonts w:hint="eastAsia"/>
          <w:sz w:val="21"/>
          <w:szCs w:val="21"/>
        </w:rPr>
        <w:t xml:space="preserve">（二）基金托管人 </w:t>
      </w:r>
    </w:p>
    <w:p>
      <w:pPr>
        <w:pStyle w:val="7"/>
        <w:spacing w:before="0" w:beforeAutospacing="0" w:after="0" w:afterAutospacing="0" w:line="360" w:lineRule="auto"/>
        <w:ind w:firstLine="420"/>
        <w:rPr>
          <w:sz w:val="21"/>
          <w:szCs w:val="21"/>
        </w:rPr>
      </w:pPr>
      <w:r>
        <w:rPr>
          <w:rFonts w:hint="eastAsia"/>
          <w:sz w:val="21"/>
          <w:szCs w:val="21"/>
        </w:rPr>
        <w:t xml:space="preserve">基金托管人名称：中国工商银行股份有限公司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注册地址：北京市西城区复兴门内大街55号 </w:t>
      </w:r>
    </w:p>
    <w:p>
      <w:pPr>
        <w:pStyle w:val="7"/>
        <w:spacing w:before="0" w:beforeAutospacing="0" w:after="0" w:afterAutospacing="0" w:line="360" w:lineRule="auto"/>
        <w:ind w:firstLine="420"/>
        <w:rPr>
          <w:sz w:val="21"/>
          <w:szCs w:val="21"/>
        </w:rPr>
      </w:pPr>
      <w:r>
        <w:rPr>
          <w:rFonts w:hint="eastAsia"/>
          <w:sz w:val="21"/>
          <w:szCs w:val="21"/>
        </w:rPr>
        <w:t xml:space="preserve">法定代表人：陈四清 </w:t>
      </w:r>
    </w:p>
    <w:p>
      <w:pPr>
        <w:pStyle w:val="7"/>
        <w:spacing w:before="0" w:beforeAutospacing="0" w:after="0" w:afterAutospacing="0" w:line="360" w:lineRule="auto"/>
        <w:ind w:firstLine="420"/>
        <w:rPr>
          <w:sz w:val="21"/>
          <w:szCs w:val="21"/>
        </w:rPr>
      </w:pPr>
      <w:r>
        <w:rPr>
          <w:rFonts w:hint="eastAsia"/>
          <w:sz w:val="21"/>
          <w:szCs w:val="21"/>
        </w:rPr>
        <w:t xml:space="preserve">电话：（010）66106912 </w:t>
      </w:r>
    </w:p>
    <w:p>
      <w:pPr>
        <w:pStyle w:val="7"/>
        <w:spacing w:before="0" w:beforeAutospacing="0" w:after="0" w:afterAutospacing="0" w:line="360" w:lineRule="auto"/>
        <w:ind w:firstLine="420"/>
        <w:rPr>
          <w:sz w:val="21"/>
          <w:szCs w:val="21"/>
        </w:rPr>
      </w:pPr>
      <w:r>
        <w:rPr>
          <w:rFonts w:hint="eastAsia"/>
          <w:sz w:val="21"/>
          <w:szCs w:val="21"/>
        </w:rPr>
        <w:t xml:space="preserve">传真：（010）66106904 </w:t>
      </w:r>
    </w:p>
    <w:p>
      <w:pPr>
        <w:pStyle w:val="7"/>
        <w:spacing w:before="0" w:beforeAutospacing="0" w:after="0" w:afterAutospacing="0" w:line="360" w:lineRule="auto"/>
        <w:ind w:firstLine="420"/>
        <w:rPr>
          <w:sz w:val="21"/>
          <w:szCs w:val="21"/>
        </w:rPr>
      </w:pPr>
      <w:r>
        <w:rPr>
          <w:rFonts w:hint="eastAsia"/>
          <w:sz w:val="21"/>
          <w:szCs w:val="21"/>
        </w:rPr>
        <w:t xml:space="preserve">成立时间：1984年1月1日 </w:t>
      </w:r>
    </w:p>
    <w:p>
      <w:pPr>
        <w:pStyle w:val="7"/>
        <w:spacing w:before="0" w:beforeAutospacing="0" w:after="0" w:afterAutospacing="0" w:line="360" w:lineRule="auto"/>
        <w:ind w:firstLine="420"/>
        <w:rPr>
          <w:sz w:val="21"/>
          <w:szCs w:val="21"/>
        </w:rPr>
      </w:pPr>
      <w:r>
        <w:rPr>
          <w:rFonts w:hint="eastAsia"/>
          <w:sz w:val="21"/>
          <w:szCs w:val="21"/>
        </w:rPr>
        <w:t xml:space="preserve">组织形式：国有独资企业 </w:t>
      </w:r>
    </w:p>
    <w:p>
      <w:pPr>
        <w:pStyle w:val="7"/>
        <w:spacing w:before="0" w:beforeAutospacing="0" w:after="0" w:afterAutospacing="0" w:line="360" w:lineRule="auto"/>
        <w:ind w:firstLine="420"/>
        <w:rPr>
          <w:sz w:val="21"/>
          <w:szCs w:val="21"/>
        </w:rPr>
      </w:pPr>
      <w:r>
        <w:rPr>
          <w:rFonts w:hint="eastAsia"/>
          <w:sz w:val="21"/>
          <w:szCs w:val="21"/>
        </w:rPr>
        <w:t xml:space="preserve">注册资本：356,406,257,089元人民币 </w:t>
      </w:r>
    </w:p>
    <w:p>
      <w:pPr>
        <w:pStyle w:val="7"/>
        <w:spacing w:before="0" w:beforeAutospacing="0" w:after="0" w:afterAutospacing="0" w:line="360" w:lineRule="auto"/>
        <w:ind w:firstLine="420"/>
        <w:rPr>
          <w:sz w:val="21"/>
          <w:szCs w:val="21"/>
        </w:rPr>
      </w:pPr>
      <w:r>
        <w:rPr>
          <w:rFonts w:hint="eastAsia"/>
          <w:sz w:val="21"/>
          <w:szCs w:val="21"/>
        </w:rPr>
        <w:t xml:space="preserve">批准设立机关和设立文号：国务院《关于中国人民银行专门行使中央银行职能的决定》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人民币存款、贷款、结算业务；居民储蓄业务；信托贷款、投资业务；金融租赁业务；外汇存款；外汇汇款；外汇投资；在境内、外发行或代理发行外币有价证券；贸易、非贸易结算；外币票据贴现；外汇放款；买卖或代理买卖外汇及外币有价证券；境内、外外汇借款；外汇及外币票据兑换；外汇担保；保管箱业务；征信调查、咨询服务；证券投资基金托管；社保基金托管；企业年金托管；委托资产托管；信托资产托管；基本养老保险个人账户基金托管；农村社会保障基金托管；投资连接保险产品的托管；收支账户的托管；合格境外机构投资者（QFII）境内证券投资托管。 </w:t>
      </w:r>
    </w:p>
    <w:p>
      <w:pPr>
        <w:pStyle w:val="7"/>
        <w:spacing w:before="0" w:beforeAutospacing="0" w:after="0" w:afterAutospacing="0" w:line="360" w:lineRule="auto"/>
        <w:ind w:firstLine="420"/>
        <w:rPr>
          <w:sz w:val="21"/>
          <w:szCs w:val="21"/>
        </w:rPr>
      </w:pPr>
      <w:r>
        <w:rPr>
          <w:rStyle w:val="11"/>
          <w:rFonts w:hint="eastAsia"/>
          <w:sz w:val="21"/>
          <w:szCs w:val="21"/>
        </w:rPr>
        <w:t>二、基金托管人对基金管理人的业务监督和核查  </w:t>
      </w:r>
    </w:p>
    <w:p>
      <w:pPr>
        <w:pStyle w:val="7"/>
        <w:spacing w:before="0" w:beforeAutospacing="0" w:after="0" w:afterAutospacing="0" w:line="360" w:lineRule="auto"/>
        <w:ind w:firstLine="420"/>
        <w:rPr>
          <w:sz w:val="21"/>
          <w:szCs w:val="21"/>
        </w:rPr>
      </w:pPr>
      <w:r>
        <w:rPr>
          <w:rFonts w:hint="eastAsia"/>
          <w:sz w:val="21"/>
          <w:szCs w:val="21"/>
        </w:rPr>
        <w:t xml:space="preserve">1、根据《基金法》、《基金合同》、本协议和有关基金法规的规定，基金托管人对基金的投资对象、基金财产的投资组合比例、基金财产的核算、基金资产净值的计算、基金管理人报酬的计提和支付、基金费用的支付、基金申购资金的到账和赎回资金的划付、基金收益分配、基金的融资条件等行为的合法性、合规性进行监督和核查，其中对基金的投资比例的监督和检查自《基金合同》生效之后六个月开始。 </w:t>
      </w:r>
    </w:p>
    <w:p>
      <w:pPr>
        <w:pStyle w:val="7"/>
        <w:spacing w:before="0" w:beforeAutospacing="0" w:after="0" w:afterAutospacing="0" w:line="360" w:lineRule="auto"/>
        <w:ind w:firstLine="420"/>
        <w:rPr>
          <w:sz w:val="21"/>
          <w:szCs w:val="21"/>
        </w:rPr>
      </w:pPr>
      <w:r>
        <w:rPr>
          <w:rFonts w:hint="eastAsia"/>
          <w:sz w:val="21"/>
          <w:szCs w:val="21"/>
        </w:rPr>
        <w:t xml:space="preserve">基金托管人发现基金管理人违反《基金法》、《基金合同》、本协议或有关基金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基金托管人有义务要求基金管理人赔偿因其过失致使投资者遭受的损失。 </w:t>
      </w:r>
    </w:p>
    <w:p>
      <w:pPr>
        <w:pStyle w:val="7"/>
        <w:spacing w:before="0" w:beforeAutospacing="0" w:after="0" w:afterAutospacing="0" w:line="360" w:lineRule="auto"/>
        <w:ind w:firstLine="420"/>
        <w:rPr>
          <w:sz w:val="21"/>
          <w:szCs w:val="21"/>
        </w:rPr>
      </w:pPr>
      <w:r>
        <w:rPr>
          <w:rFonts w:hint="eastAsia"/>
          <w:sz w:val="21"/>
          <w:szCs w:val="21"/>
        </w:rPr>
        <w:t xml:space="preserve">基金托管人发现基金管理人有重大违规行为，应立即报告中国证监会，同时通知基金管理人限期纠正。 </w:t>
      </w:r>
    </w:p>
    <w:p>
      <w:pPr>
        <w:pStyle w:val="7"/>
        <w:spacing w:before="0" w:beforeAutospacing="0" w:after="0" w:afterAutospacing="0" w:line="360" w:lineRule="auto"/>
        <w:ind w:firstLine="420"/>
        <w:rPr>
          <w:sz w:val="21"/>
          <w:szCs w:val="21"/>
        </w:rPr>
      </w:pPr>
      <w:r>
        <w:rPr>
          <w:rFonts w:hint="eastAsia"/>
          <w:sz w:val="21"/>
          <w:szCs w:val="21"/>
        </w:rPr>
        <w:t xml:space="preserve">2、根据《基金法》、《基金合同》、本协议及其他有关规定，基金管理人就基金托管人是否及时执行基金管理人的划款指令、是否擅自动用基金财产、是否按时将分配给基金份额持有人的收益划入分红派息账户等事项，对基金托管人进行监督和核查。 </w:t>
      </w:r>
    </w:p>
    <w:p>
      <w:pPr>
        <w:pStyle w:val="7"/>
        <w:spacing w:before="0" w:beforeAutospacing="0" w:after="0" w:afterAutospacing="0" w:line="360" w:lineRule="auto"/>
        <w:ind w:firstLine="420"/>
        <w:rPr>
          <w:sz w:val="21"/>
          <w:szCs w:val="21"/>
        </w:rPr>
      </w:pPr>
      <w:r>
        <w:rPr>
          <w:rFonts w:hint="eastAsia"/>
          <w:sz w:val="21"/>
          <w:szCs w:val="21"/>
        </w:rPr>
        <w:t xml:space="preserve">基金管理人定期对基金托管人保管的基金财产进行核查。基金管理人发现基金托管人未对基金财产实行分账管理、擅自挪用基金财产、因基金托管人的过错导致基金财产灭失、减损或处于危险状态的，基金管理人应立即以书面的方式要求基金托管人予以纠正并采取必要的补救措施。基金管理人有义务要求基金托管人赔偿基金因此所遭受的损失。 </w:t>
      </w:r>
    </w:p>
    <w:p>
      <w:pPr>
        <w:pStyle w:val="7"/>
        <w:spacing w:before="0" w:beforeAutospacing="0" w:after="0" w:afterAutospacing="0" w:line="360" w:lineRule="auto"/>
        <w:ind w:firstLine="420"/>
        <w:rPr>
          <w:sz w:val="21"/>
          <w:szCs w:val="21"/>
        </w:rPr>
      </w:pPr>
      <w:r>
        <w:rPr>
          <w:rFonts w:hint="eastAsia"/>
          <w:sz w:val="21"/>
          <w:szCs w:val="21"/>
        </w:rPr>
        <w:t xml:space="preserve">基金管理人发现基金托管人的行为违反《基金法》、《基金合同》、本协议或有关基金法规的规定，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 </w:t>
      </w:r>
    </w:p>
    <w:p>
      <w:pPr>
        <w:pStyle w:val="7"/>
        <w:spacing w:before="0" w:beforeAutospacing="0" w:after="0" w:afterAutospacing="0" w:line="360" w:lineRule="auto"/>
        <w:ind w:firstLine="420"/>
        <w:rPr>
          <w:sz w:val="21"/>
          <w:szCs w:val="21"/>
        </w:rPr>
      </w:pPr>
      <w:r>
        <w:rPr>
          <w:rFonts w:hint="eastAsia"/>
          <w:sz w:val="21"/>
          <w:szCs w:val="21"/>
        </w:rPr>
        <w:t xml:space="preserve">基金管理人发现基金托管人有重大违规行为，应立即报告中国证监会，同时通知基金托管人限期纠正。 </w:t>
      </w:r>
    </w:p>
    <w:p>
      <w:pPr>
        <w:pStyle w:val="7"/>
        <w:spacing w:before="0" w:beforeAutospacing="0" w:after="0" w:afterAutospacing="0" w:line="360" w:lineRule="auto"/>
        <w:ind w:firstLine="420"/>
        <w:rPr>
          <w:sz w:val="21"/>
          <w:szCs w:val="21"/>
        </w:rPr>
      </w:pPr>
      <w:r>
        <w:rPr>
          <w:rFonts w:hint="eastAsia"/>
          <w:sz w:val="21"/>
          <w:szCs w:val="21"/>
        </w:rPr>
        <w:t xml:space="preserve">3、基金管理人和基金托管人有义务配合和协助对方依照本协议对基金业务执行监督、核查。基金管理人或基金托管人无正当理由，拒绝、阻挠对方根据本协议规定行使监督权，或采取拖延、欺诈等手段妨碍对方进行有效监督，情节严重或经监督方提出警告仍不改正的，监督方应报告中国证监会。 </w:t>
      </w:r>
    </w:p>
    <w:p>
      <w:pPr>
        <w:pStyle w:val="7"/>
        <w:spacing w:before="0" w:beforeAutospacing="0" w:after="0" w:afterAutospacing="0" w:line="360" w:lineRule="auto"/>
        <w:ind w:firstLine="420"/>
        <w:rPr>
          <w:sz w:val="21"/>
          <w:szCs w:val="21"/>
        </w:rPr>
      </w:pPr>
      <w:r>
        <w:rPr>
          <w:rStyle w:val="11"/>
          <w:rFonts w:hint="eastAsia"/>
          <w:sz w:val="21"/>
          <w:szCs w:val="21"/>
        </w:rPr>
        <w:t>三、基金财产保管</w:t>
      </w:r>
    </w:p>
    <w:p>
      <w:pPr>
        <w:pStyle w:val="7"/>
        <w:spacing w:before="0" w:beforeAutospacing="0" w:after="0" w:afterAutospacing="0" w:line="360" w:lineRule="auto"/>
        <w:ind w:firstLine="420"/>
        <w:rPr>
          <w:sz w:val="21"/>
          <w:szCs w:val="21"/>
        </w:rPr>
      </w:pPr>
      <w:r>
        <w:rPr>
          <w:rFonts w:hint="eastAsia"/>
          <w:sz w:val="21"/>
          <w:szCs w:val="21"/>
        </w:rPr>
        <w:t xml:space="preserve">（一）基金财产保管的原则 </w:t>
      </w:r>
    </w:p>
    <w:p>
      <w:pPr>
        <w:pStyle w:val="7"/>
        <w:spacing w:before="0" w:beforeAutospacing="0" w:after="0" w:afterAutospacing="0" w:line="360" w:lineRule="auto"/>
        <w:ind w:firstLine="420"/>
        <w:rPr>
          <w:sz w:val="21"/>
          <w:szCs w:val="21"/>
        </w:rPr>
      </w:pPr>
      <w:r>
        <w:rPr>
          <w:rFonts w:hint="eastAsia"/>
          <w:sz w:val="21"/>
          <w:szCs w:val="21"/>
        </w:rPr>
        <w:t xml:space="preserve">1、基金托管人应安全、完整地保管基金财产。未经基金管理人的正当指令，不得自行运用、处分、分配基金的任何财产。属于基金托管人实际有效控制下的实物证券在基金托管人保管期间的损坏、灭失，由此产生的责任应由基金托管人承担。 </w:t>
      </w:r>
    </w:p>
    <w:p>
      <w:pPr>
        <w:pStyle w:val="7"/>
        <w:spacing w:before="0" w:beforeAutospacing="0" w:after="0" w:afterAutospacing="0" w:line="360" w:lineRule="auto"/>
        <w:ind w:firstLine="420"/>
        <w:rPr>
          <w:sz w:val="21"/>
          <w:szCs w:val="21"/>
        </w:rPr>
      </w:pPr>
      <w:r>
        <w:rPr>
          <w:rFonts w:hint="eastAsia"/>
          <w:sz w:val="21"/>
          <w:szCs w:val="21"/>
        </w:rPr>
        <w:t xml:space="preserve">2、基金财产应独立于基金管理人、基金托管人的自有财产。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3、基金托管人按照规定开立基金财产的资金账户和证券账户，对所托管的基金财产分别设置账户，与基金托管人的其他业务和其他基金的托管业务实行严格的分账管理，确保基金财产的完整与独立。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4、对于因基金投资、基金申（认）购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 </w:t>
      </w:r>
    </w:p>
    <w:p>
      <w:pPr>
        <w:pStyle w:val="7"/>
        <w:spacing w:before="0" w:beforeAutospacing="0" w:after="0" w:afterAutospacing="0" w:line="360" w:lineRule="auto"/>
        <w:ind w:firstLine="420"/>
        <w:rPr>
          <w:sz w:val="21"/>
          <w:szCs w:val="21"/>
        </w:rPr>
      </w:pPr>
      <w:r>
        <w:rPr>
          <w:rFonts w:hint="eastAsia"/>
          <w:sz w:val="21"/>
          <w:szCs w:val="21"/>
        </w:rPr>
        <w:t xml:space="preserve">（二）募集资金的验证 </w:t>
      </w:r>
    </w:p>
    <w:p>
      <w:pPr>
        <w:pStyle w:val="7"/>
        <w:spacing w:before="0" w:beforeAutospacing="0" w:after="0" w:afterAutospacing="0" w:line="360" w:lineRule="auto"/>
        <w:ind w:firstLine="420"/>
        <w:rPr>
          <w:sz w:val="21"/>
          <w:szCs w:val="21"/>
        </w:rPr>
      </w:pPr>
      <w:r>
        <w:rPr>
          <w:rFonts w:hint="eastAsia"/>
          <w:sz w:val="21"/>
          <w:szCs w:val="21"/>
        </w:rPr>
        <w:t xml:space="preserve">认购期内销售机构按销售与服务代理协议的约定，将认购资金划入基金管理人在具有托管资格的商业银行开设的博时基金管理有限公司基金认购专户。基金设立募集期满，由基金管理人聘请具有从事证券业务资格的会计师事务所进行验资，出具验资报告，出具的验资报告应由参加验资的2名以上（含2名）中国注册会计师签字有效。验资完成，基金管理人应将募集到的全部资金存入基金托管人为基金开立的基金托管专户中，基金托管人在收到资金当日出具基金财产接收报告。 </w:t>
      </w:r>
    </w:p>
    <w:p>
      <w:pPr>
        <w:pStyle w:val="7"/>
        <w:spacing w:before="0" w:beforeAutospacing="0" w:after="0" w:afterAutospacing="0" w:line="360" w:lineRule="auto"/>
        <w:ind w:firstLine="420"/>
        <w:rPr>
          <w:sz w:val="21"/>
          <w:szCs w:val="21"/>
        </w:rPr>
      </w:pPr>
      <w:r>
        <w:rPr>
          <w:rFonts w:hint="eastAsia"/>
          <w:sz w:val="21"/>
          <w:szCs w:val="21"/>
        </w:rPr>
        <w:t xml:space="preserve">（三）投资者申购资金和赎回资金的划付 </w:t>
      </w:r>
    </w:p>
    <w:p>
      <w:pPr>
        <w:pStyle w:val="7"/>
        <w:spacing w:before="0" w:beforeAutospacing="0" w:after="0" w:afterAutospacing="0" w:line="360" w:lineRule="auto"/>
        <w:ind w:firstLine="420"/>
        <w:rPr>
          <w:sz w:val="21"/>
          <w:szCs w:val="21"/>
        </w:rPr>
      </w:pPr>
      <w:r>
        <w:rPr>
          <w:rFonts w:hint="eastAsia"/>
          <w:sz w:val="21"/>
          <w:szCs w:val="21"/>
        </w:rPr>
        <w:t xml:space="preserve">基金申购、赎回的款项采用单笔净额交收的结算方式，净额在T+3日内交收。 </w:t>
      </w:r>
    </w:p>
    <w:p>
      <w:pPr>
        <w:pStyle w:val="7"/>
        <w:spacing w:before="0" w:beforeAutospacing="0" w:after="0" w:afterAutospacing="0" w:line="360" w:lineRule="auto"/>
        <w:ind w:firstLine="420"/>
        <w:rPr>
          <w:sz w:val="21"/>
          <w:szCs w:val="21"/>
        </w:rPr>
      </w:pPr>
      <w:r>
        <w:rPr>
          <w:rFonts w:hint="eastAsia"/>
          <w:sz w:val="21"/>
          <w:szCs w:val="21"/>
        </w:rPr>
        <w:t xml:space="preserve">基金托管人应及时查收申购资金是否到账，对于未准时到账的资金，应及时通知基金管理人，由基金管理人负责催收。 </w:t>
      </w:r>
    </w:p>
    <w:p>
      <w:pPr>
        <w:pStyle w:val="7"/>
        <w:spacing w:before="0" w:beforeAutospacing="0" w:after="0" w:afterAutospacing="0" w:line="360" w:lineRule="auto"/>
        <w:ind w:firstLine="420"/>
        <w:rPr>
          <w:sz w:val="21"/>
          <w:szCs w:val="21"/>
        </w:rPr>
      </w:pPr>
      <w:r>
        <w:rPr>
          <w:rFonts w:hint="eastAsia"/>
          <w:sz w:val="21"/>
          <w:szCs w:val="21"/>
        </w:rPr>
        <w:t xml:space="preserve">因投资者赎回而应划付的款项，基金托管人应根据基金管理人的指令进行划付，划付前应当经托管人复核，无误后方可划付。 </w:t>
      </w:r>
    </w:p>
    <w:p>
      <w:pPr>
        <w:pStyle w:val="7"/>
        <w:spacing w:before="0" w:beforeAutospacing="0" w:after="0" w:afterAutospacing="0" w:line="360" w:lineRule="auto"/>
        <w:ind w:firstLine="420"/>
        <w:rPr>
          <w:sz w:val="21"/>
          <w:szCs w:val="21"/>
        </w:rPr>
      </w:pPr>
      <w:r>
        <w:rPr>
          <w:rFonts w:hint="eastAsia"/>
          <w:sz w:val="21"/>
          <w:szCs w:val="21"/>
        </w:rPr>
        <w:t xml:space="preserve">（四）基金的银行账户的开设和管理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 </w:t>
      </w:r>
    </w:p>
    <w:p>
      <w:pPr>
        <w:pStyle w:val="7"/>
        <w:spacing w:before="0" w:beforeAutospacing="0" w:after="0" w:afterAutospacing="0" w:line="360" w:lineRule="auto"/>
        <w:ind w:firstLine="420"/>
        <w:rPr>
          <w:sz w:val="21"/>
          <w:szCs w:val="21"/>
        </w:rPr>
      </w:pPr>
      <w:r>
        <w:rPr>
          <w:rFonts w:hint="eastAsia"/>
          <w:sz w:val="21"/>
          <w:szCs w:val="21"/>
        </w:rPr>
        <w:t xml:space="preserve">基金托管专户的开立和使用，限于满足开展本基金业务的需要。基金托管人和基金管理人不得假借本基金的名义开立任何银行账户；亦不得使用基金的任何账户进行本基金业务以外的活动。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基金托管专户的管理和使用应符合《银行账户管理办法》、《现金管理条例》、《中国人民银行利率管理的有关规定》、《关于大额现金支付管理的通知》、《支付结算办法》以及中国人民银行、中国证券监督管理委员会的其他规定。 </w:t>
      </w:r>
    </w:p>
    <w:p>
      <w:pPr>
        <w:pStyle w:val="7"/>
        <w:spacing w:before="0" w:beforeAutospacing="0" w:after="0" w:afterAutospacing="0" w:line="360" w:lineRule="auto"/>
        <w:ind w:firstLine="420"/>
        <w:rPr>
          <w:sz w:val="21"/>
          <w:szCs w:val="21"/>
        </w:rPr>
      </w:pPr>
      <w:r>
        <w:rPr>
          <w:rFonts w:hint="eastAsia"/>
          <w:sz w:val="21"/>
          <w:szCs w:val="21"/>
        </w:rPr>
        <w:t xml:space="preserve">（五）基金证券账户、证券交易资金账户的开设和管理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基金托管人以基金托管人和本基金联名的方式在中国证券登记结算有限公司上海分公司/深圳分公司开设证券账户。 </w:t>
      </w:r>
    </w:p>
    <w:p>
      <w:pPr>
        <w:pStyle w:val="7"/>
        <w:spacing w:before="0" w:beforeAutospacing="0" w:after="0" w:afterAutospacing="0" w:line="360" w:lineRule="auto"/>
        <w:ind w:firstLine="420"/>
        <w:rPr>
          <w:sz w:val="21"/>
          <w:szCs w:val="21"/>
        </w:rPr>
      </w:pPr>
      <w:r>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基金托管人以基金托管人的名义在中国证券登记结算有限责任公司上海分公司/深圳分公司开立基金证券交易资金账户，用于证券清算。 </w:t>
      </w:r>
    </w:p>
    <w:p>
      <w:pPr>
        <w:pStyle w:val="7"/>
        <w:spacing w:before="0" w:beforeAutospacing="0" w:after="0" w:afterAutospacing="0" w:line="360" w:lineRule="auto"/>
        <w:ind w:firstLine="420"/>
        <w:rPr>
          <w:sz w:val="21"/>
          <w:szCs w:val="21"/>
        </w:rPr>
      </w:pPr>
      <w:r>
        <w:rPr>
          <w:rFonts w:hint="eastAsia"/>
          <w:sz w:val="21"/>
          <w:szCs w:val="21"/>
        </w:rPr>
        <w:t xml:space="preserve">（六）债券托管自营账户的开设和管理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1、基金合同生效后，基金管理人负责向中国证监会和中国人民银行申请基金进入全国银行间同业拆借市场进行交易。由基金管理人在全国银行间同业拆借中心开设同业拆借市场交易账户，由基金托管人在中央国债登记结算有限责任公司开设债券托管自营账户，并由基金托管人负责基金的债券的后台匹配及资金的清算。 </w:t>
      </w:r>
    </w:p>
    <w:p>
      <w:pPr>
        <w:pStyle w:val="7"/>
        <w:spacing w:before="0" w:beforeAutospacing="0" w:after="0" w:afterAutospacing="0" w:line="360" w:lineRule="auto"/>
        <w:ind w:firstLine="420"/>
        <w:rPr>
          <w:sz w:val="21"/>
          <w:szCs w:val="21"/>
        </w:rPr>
      </w:pPr>
      <w:r>
        <w:rPr>
          <w:rFonts w:hint="eastAsia"/>
          <w:sz w:val="21"/>
          <w:szCs w:val="21"/>
        </w:rPr>
        <w:t xml:space="preserve">2、同业拆借市场交易账户和债券托管账户根据中国人民银行、全国银行间同业拆借中心和中央国债登记结算有限责任公司的有关规定，由基金管理人和基金托管人签订补充协议，进行使用和管理。基金管理人和基金托管人应一起负责为基金对外签订全国银行间国债市场回购主协议，正本由基金托管人保管，基金管理人保存副本。 </w:t>
      </w:r>
    </w:p>
    <w:p>
      <w:pPr>
        <w:pStyle w:val="7"/>
        <w:spacing w:before="0" w:beforeAutospacing="0" w:after="0" w:afterAutospacing="0" w:line="360" w:lineRule="auto"/>
        <w:ind w:firstLine="420"/>
        <w:rPr>
          <w:sz w:val="21"/>
          <w:szCs w:val="21"/>
        </w:rPr>
      </w:pPr>
      <w:r>
        <w:rPr>
          <w:rFonts w:hint="eastAsia"/>
          <w:sz w:val="21"/>
          <w:szCs w:val="21"/>
        </w:rPr>
        <w:t xml:space="preserve">（七）基金财产投资的有关实物证券的保管 </w:t>
      </w:r>
    </w:p>
    <w:p>
      <w:pPr>
        <w:pStyle w:val="7"/>
        <w:spacing w:before="0" w:beforeAutospacing="0" w:after="0" w:afterAutospacing="0" w:line="360" w:lineRule="auto"/>
        <w:ind w:firstLine="420"/>
        <w:rPr>
          <w:sz w:val="21"/>
          <w:szCs w:val="21"/>
        </w:rPr>
      </w:pPr>
      <w:r>
        <w:rPr>
          <w:rFonts w:hint="eastAsia"/>
          <w:sz w:val="21"/>
          <w:szCs w:val="21"/>
        </w:rPr>
        <w:t xml:space="preserve">实物证券由基金托管人存放于托管银行的保管库；也可存入中央国债登记结算有限责任公司或中国证券登记结算有限责任公司上海分公司/深圳分公司或票据营业中心的代保管库。实物证券的购买和转让，由基金托管人根据基金管理人的指令办理。托管人对托管人以外机构实际合法、有效控制的证券不承担保管责任。 </w:t>
      </w:r>
    </w:p>
    <w:p>
      <w:pPr>
        <w:pStyle w:val="7"/>
        <w:spacing w:before="0" w:beforeAutospacing="0" w:after="0" w:afterAutospacing="0" w:line="360" w:lineRule="auto"/>
        <w:ind w:firstLine="420"/>
        <w:rPr>
          <w:sz w:val="21"/>
          <w:szCs w:val="21"/>
        </w:rPr>
      </w:pPr>
      <w:r>
        <w:rPr>
          <w:rFonts w:hint="eastAsia"/>
          <w:sz w:val="21"/>
          <w:szCs w:val="21"/>
        </w:rPr>
        <w:t xml:space="preserve">（八）与基金财产有关的重大合同的保管 </w:t>
      </w:r>
    </w:p>
    <w:p>
      <w:pPr>
        <w:pStyle w:val="7"/>
        <w:spacing w:before="0" w:beforeAutospacing="0" w:after="0" w:afterAutospacing="0" w:line="360" w:lineRule="auto"/>
        <w:ind w:firstLine="420"/>
        <w:rPr>
          <w:sz w:val="21"/>
          <w:szCs w:val="21"/>
        </w:rPr>
      </w:pPr>
      <w:r>
        <w:rPr>
          <w:rFonts w:hint="eastAsia"/>
          <w:sz w:val="21"/>
          <w:szCs w:val="21"/>
        </w:rPr>
        <w:t xml:space="preserve">由基金管理人代表基金签署的与基金有关的重大合同的原件分别由基金托管人、基金管理人保管。除本协议另有规定外，基金管理人在代表基金签署与基金有关的重大合同时应保证基金一方持有两份以上的正本，以便基金管理人和基金托管人至少各持有一份正本的原件。 </w:t>
      </w:r>
    </w:p>
    <w:p>
      <w:pPr>
        <w:pStyle w:val="7"/>
        <w:spacing w:before="0" w:beforeAutospacing="0" w:after="0" w:afterAutospacing="0" w:line="360" w:lineRule="auto"/>
        <w:ind w:firstLine="420"/>
        <w:rPr>
          <w:sz w:val="21"/>
          <w:szCs w:val="21"/>
        </w:rPr>
      </w:pPr>
      <w:r>
        <w:rPr>
          <w:rStyle w:val="11"/>
          <w:rFonts w:hint="eastAsia"/>
          <w:sz w:val="21"/>
          <w:szCs w:val="21"/>
        </w:rPr>
        <w:t>四、基金资产净值计算和会计核算</w:t>
      </w:r>
    </w:p>
    <w:p>
      <w:pPr>
        <w:pStyle w:val="7"/>
        <w:spacing w:before="0" w:beforeAutospacing="0" w:after="0" w:afterAutospacing="0" w:line="360" w:lineRule="auto"/>
        <w:ind w:firstLine="420"/>
        <w:rPr>
          <w:sz w:val="21"/>
          <w:szCs w:val="21"/>
        </w:rPr>
      </w:pPr>
      <w:r>
        <w:rPr>
          <w:rFonts w:hint="eastAsia"/>
          <w:sz w:val="21"/>
          <w:szCs w:val="21"/>
        </w:rPr>
        <w:t xml:space="preserve">（一）估值目的 </w:t>
      </w:r>
    </w:p>
    <w:p>
      <w:pPr>
        <w:pStyle w:val="7"/>
        <w:spacing w:before="0" w:beforeAutospacing="0" w:after="0" w:afterAutospacing="0" w:line="360" w:lineRule="auto"/>
        <w:ind w:firstLine="420"/>
        <w:rPr>
          <w:sz w:val="21"/>
          <w:szCs w:val="21"/>
        </w:rPr>
      </w:pPr>
      <w:r>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pPr>
        <w:pStyle w:val="7"/>
        <w:spacing w:before="0" w:beforeAutospacing="0" w:after="0" w:afterAutospacing="0" w:line="360" w:lineRule="auto"/>
        <w:ind w:firstLine="420"/>
        <w:rPr>
          <w:sz w:val="21"/>
          <w:szCs w:val="21"/>
        </w:rPr>
      </w:pPr>
      <w:r>
        <w:rPr>
          <w:rFonts w:hint="eastAsia"/>
          <w:sz w:val="21"/>
          <w:szCs w:val="21"/>
        </w:rPr>
        <w:t xml:space="preserve">（二）估值日 </w:t>
      </w:r>
    </w:p>
    <w:p>
      <w:pPr>
        <w:pStyle w:val="7"/>
        <w:spacing w:before="0" w:beforeAutospacing="0" w:after="0" w:afterAutospacing="0" w:line="360" w:lineRule="auto"/>
        <w:ind w:firstLine="420"/>
        <w:rPr>
          <w:sz w:val="21"/>
          <w:szCs w:val="21"/>
        </w:rPr>
      </w:pPr>
      <w:r>
        <w:rPr>
          <w:rFonts w:hint="eastAsia"/>
          <w:sz w:val="21"/>
          <w:szCs w:val="21"/>
        </w:rPr>
        <w:t xml:space="preserve">本基金的估值日为相关的证券交易场所的正常营业日以及国家法律法规规定需要对外披露基金净值的非营业日。 </w:t>
      </w:r>
    </w:p>
    <w:p>
      <w:pPr>
        <w:pStyle w:val="7"/>
        <w:spacing w:before="0" w:beforeAutospacing="0" w:after="0" w:afterAutospacing="0" w:line="360" w:lineRule="auto"/>
        <w:ind w:firstLine="420"/>
        <w:rPr>
          <w:sz w:val="21"/>
          <w:szCs w:val="21"/>
        </w:rPr>
      </w:pPr>
      <w:r>
        <w:rPr>
          <w:rFonts w:hint="eastAsia"/>
          <w:sz w:val="21"/>
          <w:szCs w:val="21"/>
        </w:rPr>
        <w:t xml:space="preserve">（三）估值对象 </w:t>
      </w:r>
    </w:p>
    <w:p>
      <w:pPr>
        <w:pStyle w:val="7"/>
        <w:spacing w:before="0" w:beforeAutospacing="0" w:after="0" w:afterAutospacing="0" w:line="360" w:lineRule="auto"/>
        <w:ind w:firstLine="420"/>
        <w:rPr>
          <w:sz w:val="21"/>
          <w:szCs w:val="21"/>
        </w:rPr>
      </w:pPr>
      <w:r>
        <w:rPr>
          <w:rFonts w:hint="eastAsia"/>
          <w:sz w:val="21"/>
          <w:szCs w:val="21"/>
        </w:rPr>
        <w:t xml:space="preserve">基金所拥有的股票、债券、权证和银行存款本息等资产和负债。 </w:t>
      </w:r>
    </w:p>
    <w:p>
      <w:pPr>
        <w:pStyle w:val="7"/>
        <w:spacing w:before="0" w:beforeAutospacing="0" w:after="0" w:afterAutospacing="0" w:line="360" w:lineRule="auto"/>
        <w:ind w:firstLine="420"/>
        <w:rPr>
          <w:sz w:val="21"/>
          <w:szCs w:val="21"/>
        </w:rPr>
      </w:pPr>
      <w:r>
        <w:rPr>
          <w:rFonts w:hint="eastAsia"/>
          <w:sz w:val="21"/>
          <w:szCs w:val="21"/>
        </w:rPr>
        <w:t xml:space="preserve">（四）估值程序 </w:t>
      </w:r>
    </w:p>
    <w:p>
      <w:pPr>
        <w:pStyle w:val="7"/>
        <w:spacing w:before="0" w:beforeAutospacing="0" w:after="0" w:afterAutospacing="0" w:line="360" w:lineRule="auto"/>
        <w:ind w:firstLine="420"/>
        <w:rPr>
          <w:sz w:val="21"/>
          <w:szCs w:val="21"/>
        </w:rPr>
      </w:pPr>
      <w:r>
        <w:rPr>
          <w:rFonts w:hint="eastAsia"/>
          <w:sz w:val="21"/>
          <w:szCs w:val="21"/>
        </w:rPr>
        <w:t xml:space="preserve">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 </w:t>
      </w:r>
    </w:p>
    <w:p>
      <w:pPr>
        <w:pStyle w:val="7"/>
        <w:spacing w:before="0" w:beforeAutospacing="0" w:after="0" w:afterAutospacing="0" w:line="360" w:lineRule="auto"/>
        <w:ind w:firstLine="420"/>
        <w:rPr>
          <w:sz w:val="21"/>
          <w:szCs w:val="21"/>
        </w:rPr>
      </w:pPr>
      <w:r>
        <w:rPr>
          <w:rFonts w:hint="eastAsia"/>
          <w:sz w:val="21"/>
          <w:szCs w:val="21"/>
        </w:rPr>
        <w:t xml:space="preserve">（五）估值方法 </w:t>
      </w:r>
    </w:p>
    <w:p>
      <w:pPr>
        <w:pStyle w:val="7"/>
        <w:spacing w:before="0" w:beforeAutospacing="0" w:after="0" w:afterAutospacing="0" w:line="360" w:lineRule="auto"/>
        <w:ind w:firstLine="420"/>
        <w:rPr>
          <w:sz w:val="21"/>
          <w:szCs w:val="21"/>
        </w:rPr>
      </w:pPr>
      <w:r>
        <w:rPr>
          <w:rFonts w:hint="eastAsia"/>
          <w:sz w:val="21"/>
          <w:szCs w:val="21"/>
        </w:rPr>
        <w:t xml:space="preserve">本基金按以下方式进行估值： </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（1）送股、转增股、配股和公开增发的新股，按估值日在证券交易所挂牌的同一股票的市价（收盘价）估值；该日无交易的，以最近一日的市价（收盘价）估值；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（3）首次公开发行有明确锁定期的股票，同一股票在交易所上市后，按交易所上市的同一股票的市价（收盘价）估值；非公开发行有明确锁定期的股票，按监管机构或行业协会有关规定确定公允价值。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3、因持有股票而享有的配股权，从配股除权日起到配股确认日止，如果收盘价高于配股价，按收盘价高于配股价的差额估值。收盘价等于或低于配股价，则估值为零。 </w:t>
      </w:r>
    </w:p>
    <w:p>
      <w:pPr>
        <w:pStyle w:val="7"/>
        <w:spacing w:before="0" w:beforeAutospacing="0" w:after="0" w:afterAutospacing="0" w:line="360" w:lineRule="auto"/>
        <w:ind w:firstLine="420"/>
        <w:rPr>
          <w:sz w:val="21"/>
          <w:szCs w:val="21"/>
        </w:rPr>
      </w:pPr>
      <w:r>
        <w:rPr>
          <w:rFonts w:hint="eastAsia"/>
          <w:sz w:val="21"/>
          <w:szCs w:val="21"/>
        </w:rPr>
        <w:t xml:space="preserve">4、全国银行间债券市场交易的债券、资产支持证券等固定收益品种，采用估值技术确定公允价值。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5、同一证券同时在两个或两个以上市场交易的，按证券所处的市场分别估值。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7、相关法律法规以及监管部门有强制规定的，从其规定。如有新增事项，按国家最新规定估值。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 </w:t>
      </w:r>
    </w:p>
    <w:p>
      <w:pPr>
        <w:pStyle w:val="7"/>
        <w:spacing w:before="0" w:beforeAutospacing="0" w:after="0" w:afterAutospacing="0" w:line="360" w:lineRule="auto"/>
        <w:ind w:firstLine="420"/>
        <w:rPr>
          <w:sz w:val="21"/>
          <w:szCs w:val="21"/>
        </w:rPr>
      </w:pPr>
      <w:r>
        <w:rPr>
          <w:rFonts w:hint="eastAsia"/>
          <w:sz w:val="21"/>
          <w:szCs w:val="21"/>
        </w:rPr>
        <w:t xml:space="preserve">（六） 基金份额净值的确认和估值错误的处理 </w:t>
      </w:r>
    </w:p>
    <w:p>
      <w:pPr>
        <w:pStyle w:val="7"/>
        <w:spacing w:before="0" w:beforeAutospacing="0" w:after="0" w:afterAutospacing="0" w:line="360" w:lineRule="auto"/>
        <w:ind w:firstLine="420"/>
        <w:rPr>
          <w:sz w:val="21"/>
          <w:szCs w:val="21"/>
        </w:rPr>
      </w:pPr>
      <w:r>
        <w:rPr>
          <w:rFonts w:hint="eastAsia"/>
          <w:sz w:val="21"/>
          <w:szCs w:val="21"/>
        </w:rPr>
        <w:t xml:space="preserve">基金份额净值的计算保留到小数点后3位，小数点后第4位四舍五入。当估值或份额净值计价错误实际发生时，基金管理人应当立即纠正，并采取合理的措施防止损失进一步扩大。当估值错误偏差达到基金份额净值的0.25%时，基金管理人应当通报基金托管人并报中国证监会备案。当估值错误偏差达到基金份额净值的0.5%时，基金管理人应当公告，并报中国证监会备案。因基金估值错误给投资人造成损失的，应先由基金管理人承担，基金管理人对不应由其承担的责任，有权向过错人追偿。 </w:t>
      </w:r>
    </w:p>
    <w:p>
      <w:pPr>
        <w:pStyle w:val="7"/>
        <w:spacing w:before="0" w:beforeAutospacing="0" w:after="0" w:afterAutospacing="0" w:line="360" w:lineRule="auto"/>
        <w:ind w:firstLine="420"/>
        <w:rPr>
          <w:sz w:val="21"/>
          <w:szCs w:val="21"/>
        </w:rPr>
      </w:pPr>
      <w:r>
        <w:rPr>
          <w:rFonts w:hint="eastAsia"/>
          <w:sz w:val="21"/>
          <w:szCs w:val="21"/>
        </w:rPr>
        <w:t xml:space="preserve">关于差错处理，本协议的当事人按照以下约定处理：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1、差错类型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代理销售机构、或投资人自身的过错造成差错，导致其他当事人遭受损失的，过错的责任人应当对由于该差错遭受损失的当事人（“受损方”）按下述“差错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pPr>
        <w:pStyle w:val="7"/>
        <w:spacing w:before="0" w:beforeAutospacing="0" w:after="0" w:afterAutospacing="0" w:line="360" w:lineRule="auto"/>
        <w:ind w:firstLine="420"/>
        <w:rPr>
          <w:sz w:val="21"/>
          <w:szCs w:val="21"/>
        </w:rPr>
      </w:pPr>
      <w:r>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pPr>
        <w:pStyle w:val="7"/>
        <w:spacing w:before="0" w:beforeAutospacing="0" w:after="0" w:afterAutospacing="0" w:line="360" w:lineRule="auto"/>
        <w:ind w:firstLine="420"/>
        <w:rPr>
          <w:sz w:val="21"/>
          <w:szCs w:val="21"/>
        </w:rPr>
      </w:pPr>
      <w:r>
        <w:rPr>
          <w:rFonts w:hint="eastAsia"/>
          <w:sz w:val="21"/>
          <w:szCs w:val="21"/>
        </w:rPr>
        <w:t xml:space="preserve">2、差错处理原则 </w:t>
      </w:r>
    </w:p>
    <w:p>
      <w:pPr>
        <w:pStyle w:val="7"/>
        <w:spacing w:before="0" w:beforeAutospacing="0" w:after="0" w:afterAutospacing="0" w:line="360" w:lineRule="auto"/>
        <w:ind w:firstLine="420"/>
        <w:rPr>
          <w:sz w:val="21"/>
          <w:szCs w:val="21"/>
        </w:rPr>
      </w:pPr>
      <w:r>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pPr>
        <w:pStyle w:val="7"/>
        <w:spacing w:before="0" w:beforeAutospacing="0" w:after="0" w:afterAutospacing="0" w:line="360" w:lineRule="auto"/>
        <w:ind w:firstLine="420"/>
        <w:rPr>
          <w:sz w:val="21"/>
          <w:szCs w:val="21"/>
        </w:rPr>
      </w:pPr>
      <w:r>
        <w:rPr>
          <w:rFonts w:hint="eastAsia"/>
          <w:sz w:val="21"/>
          <w:szCs w:val="21"/>
        </w:rPr>
        <w:t xml:space="preserve">（2）差错的责任方对可能导致有关当事人的直接损失负责，不对间接损失负责，并且仅对差错的有关直接当事人负责，不对第三方负责。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pPr>
        <w:pStyle w:val="7"/>
        <w:spacing w:before="0" w:beforeAutospacing="0" w:after="0" w:afterAutospacing="0" w:line="360" w:lineRule="auto"/>
        <w:ind w:firstLine="420"/>
        <w:rPr>
          <w:sz w:val="21"/>
          <w:szCs w:val="21"/>
        </w:rPr>
      </w:pPr>
      <w:r>
        <w:rPr>
          <w:rFonts w:hint="eastAsia"/>
          <w:sz w:val="21"/>
          <w:szCs w:val="21"/>
        </w:rPr>
        <w:t xml:space="preserve">（4）差错调整采用尽量恢复至假设未发生差错的正确情形的方式。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pPr>
        <w:pStyle w:val="7"/>
        <w:spacing w:before="0" w:beforeAutospacing="0" w:after="0" w:afterAutospacing="0" w:line="360" w:lineRule="auto"/>
        <w:ind w:firstLine="420"/>
        <w:rPr>
          <w:sz w:val="21"/>
          <w:szCs w:val="21"/>
        </w:rPr>
      </w:pPr>
      <w:r>
        <w:rPr>
          <w:rFonts w:hint="eastAsia"/>
          <w:sz w:val="21"/>
          <w:szCs w:val="21"/>
        </w:rPr>
        <w:t xml:space="preserve">（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 </w:t>
      </w:r>
    </w:p>
    <w:p>
      <w:pPr>
        <w:pStyle w:val="7"/>
        <w:spacing w:before="0" w:beforeAutospacing="0" w:after="0" w:afterAutospacing="0" w:line="360" w:lineRule="auto"/>
        <w:ind w:firstLine="420"/>
        <w:rPr>
          <w:sz w:val="21"/>
          <w:szCs w:val="21"/>
        </w:rPr>
      </w:pPr>
      <w:r>
        <w:rPr>
          <w:rFonts w:hint="eastAsia"/>
          <w:sz w:val="21"/>
          <w:szCs w:val="21"/>
        </w:rPr>
        <w:t xml:space="preserve">（7）按法律法规规定的其他原则处理差错。 </w:t>
      </w:r>
    </w:p>
    <w:p>
      <w:pPr>
        <w:pStyle w:val="7"/>
        <w:spacing w:before="0" w:beforeAutospacing="0" w:after="0" w:afterAutospacing="0" w:line="360" w:lineRule="auto"/>
        <w:ind w:firstLine="420"/>
        <w:rPr>
          <w:sz w:val="21"/>
          <w:szCs w:val="21"/>
        </w:rPr>
      </w:pPr>
      <w:r>
        <w:rPr>
          <w:rFonts w:hint="eastAsia"/>
          <w:sz w:val="21"/>
          <w:szCs w:val="21"/>
        </w:rPr>
        <w:t xml:space="preserve">3、差错处理程序 </w:t>
      </w:r>
    </w:p>
    <w:p>
      <w:pPr>
        <w:pStyle w:val="7"/>
        <w:spacing w:before="0" w:beforeAutospacing="0" w:after="0" w:afterAutospacing="0" w:line="360" w:lineRule="auto"/>
        <w:ind w:firstLine="420"/>
        <w:rPr>
          <w:sz w:val="21"/>
          <w:szCs w:val="21"/>
        </w:rPr>
      </w:pPr>
      <w:r>
        <w:rPr>
          <w:rFonts w:hint="eastAsia"/>
          <w:sz w:val="21"/>
          <w:szCs w:val="21"/>
        </w:rPr>
        <w:t xml:space="preserve">差错被发现后，有关的当事人应当及时进行处理，处理的程序如下：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（1）查明差错发生的原因，列明所有的当事人，并根据差错发生的原因确定差错的责任方； </w:t>
      </w:r>
    </w:p>
    <w:p>
      <w:pPr>
        <w:pStyle w:val="7"/>
        <w:spacing w:before="0" w:beforeAutospacing="0" w:after="0" w:afterAutospacing="0" w:line="360" w:lineRule="auto"/>
        <w:ind w:firstLine="420"/>
        <w:rPr>
          <w:sz w:val="21"/>
          <w:szCs w:val="21"/>
        </w:rPr>
      </w:pPr>
      <w:r>
        <w:rPr>
          <w:rFonts w:hint="eastAsia"/>
          <w:sz w:val="21"/>
          <w:szCs w:val="21"/>
        </w:rPr>
        <w:t xml:space="preserve">（2）根据差错处理原则或当事人协商的方法对因差错造成的损失进行评估；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（3）根据差错处理原则或当事人协商的方法由差错的责任方进行更正和赔偿损失；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（4）根据差错处理的方法，需要修改登记机构的交易数据的，由登记机构进行更正，并就差错的更正向有关当事人进行确认；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5）基金管理人及基金托管人基金份额净值计算错误偏差达到基金份额净值的0.25%时，基金管理人应当通报基金托管人并报中国证监会备案，错误偏差达到基金份额净值的0.5%时，基金管理人应当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（7） 暂停估值的情形 </w:t>
      </w:r>
    </w:p>
    <w:p>
      <w:pPr>
        <w:pStyle w:val="7"/>
        <w:spacing w:before="0" w:beforeAutospacing="0" w:after="0" w:afterAutospacing="0" w:line="360" w:lineRule="auto"/>
        <w:ind w:firstLine="420"/>
        <w:rPr>
          <w:sz w:val="21"/>
          <w:szCs w:val="21"/>
        </w:rPr>
      </w:pPr>
      <w:r>
        <w:rPr>
          <w:rFonts w:hint="eastAsia"/>
          <w:sz w:val="21"/>
          <w:szCs w:val="21"/>
        </w:rPr>
        <w:t xml:space="preserve">1、与本基金投资有关的证券交易场所遇法定节假日或因其他原因暂停营业时；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2、因不可抗力或其他情形致使基金管理人无法准确评估基金资产价值时；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4、法律法规规定、中国证监会认定的其他情形。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（8） 特殊情形的处理 </w:t>
      </w:r>
    </w:p>
    <w:p>
      <w:pPr>
        <w:pStyle w:val="7"/>
        <w:spacing w:before="0" w:beforeAutospacing="0" w:after="0" w:afterAutospacing="0" w:line="360" w:lineRule="auto"/>
        <w:ind w:firstLine="420"/>
        <w:rPr>
          <w:sz w:val="21"/>
          <w:szCs w:val="21"/>
        </w:rPr>
      </w:pPr>
      <w:r>
        <w:rPr>
          <w:rFonts w:hint="eastAsia"/>
          <w:sz w:val="21"/>
          <w:szCs w:val="21"/>
        </w:rPr>
        <w:t xml:space="preserve">1、基金管理人按估值方法的第6项进行估值时，所造成的误差不作为基金资产估值错误处理；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 xml:space="preserve">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 </w:t>
      </w:r>
    </w:p>
    <w:p>
      <w:pPr>
        <w:pStyle w:val="7"/>
        <w:spacing w:before="0" w:beforeAutospacing="0" w:after="0" w:afterAutospacing="0" w:line="360" w:lineRule="auto"/>
        <w:ind w:firstLine="420"/>
        <w:rPr>
          <w:sz w:val="21"/>
          <w:szCs w:val="21"/>
        </w:rPr>
      </w:pPr>
      <w:r>
        <w:rPr>
          <w:rStyle w:val="11"/>
          <w:rFonts w:hint="eastAsia"/>
          <w:sz w:val="21"/>
          <w:szCs w:val="21"/>
        </w:rPr>
        <w:t>五、基金份额持有人名册的保管</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包括基金设立募集期结束时的基金份额持有人名册、基金权益登记日的基金份额持有人名册、基金份额持有人大会登记日的基金份额持有人名册、每月最后一个交易日的基金份额持有人名册，由基金注册登记机构负责制定。基金注册登记机构对基金份额持有人名册负保管义务。 </w:t>
      </w:r>
    </w:p>
    <w:p>
      <w:pPr>
        <w:pStyle w:val="7"/>
        <w:spacing w:before="0" w:beforeAutospacing="0" w:after="0" w:afterAutospacing="0" w:line="360" w:lineRule="auto"/>
        <w:ind w:firstLine="420"/>
        <w:rPr>
          <w:sz w:val="21"/>
          <w:szCs w:val="21"/>
        </w:rPr>
      </w:pPr>
      <w:r>
        <w:rPr>
          <w:rStyle w:val="11"/>
          <w:rFonts w:hint="eastAsia"/>
          <w:sz w:val="21"/>
          <w:szCs w:val="21"/>
        </w:rPr>
        <w:t>六、基金托管协议的变更、终止与基金财产的清算</w:t>
      </w:r>
    </w:p>
    <w:p>
      <w:pPr>
        <w:pStyle w:val="7"/>
        <w:spacing w:before="0" w:beforeAutospacing="0" w:after="0" w:afterAutospacing="0" w:line="360" w:lineRule="auto"/>
        <w:ind w:firstLine="420"/>
        <w:rPr>
          <w:sz w:val="21"/>
          <w:szCs w:val="21"/>
        </w:rPr>
      </w:pPr>
      <w:r>
        <w:rPr>
          <w:rFonts w:hint="eastAsia"/>
          <w:sz w:val="21"/>
          <w:szCs w:val="21"/>
        </w:rPr>
        <w:t xml:space="preserve">1、本协议相关各方当事人经协商一致，可以对协议进行修改。修改后的新协议，其内容不得与《基金合同》的规定有任何冲突。修改后的新协议向中国证监会办理完必要的核准或备案手续后生效。 </w:t>
      </w:r>
    </w:p>
    <w:p>
      <w:pPr>
        <w:pStyle w:val="7"/>
        <w:spacing w:before="0" w:beforeAutospacing="0" w:after="0" w:afterAutospacing="0" w:line="360" w:lineRule="auto"/>
        <w:ind w:firstLine="420"/>
        <w:rPr>
          <w:sz w:val="21"/>
          <w:szCs w:val="21"/>
        </w:rPr>
      </w:pPr>
      <w:r>
        <w:rPr>
          <w:rFonts w:hint="eastAsia"/>
          <w:sz w:val="21"/>
          <w:szCs w:val="21"/>
        </w:rPr>
        <w:t xml:space="preserve">2、发生以下情况，本托管协议终止：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（2）因基金托管人解散、依法被撤销、破产或其他事由造成本基金更换基金托管人； </w:t>
      </w:r>
    </w:p>
    <w:p>
      <w:pPr>
        <w:pStyle w:val="7"/>
        <w:spacing w:before="0" w:beforeAutospacing="0" w:after="0" w:afterAutospacing="0" w:line="360" w:lineRule="auto"/>
        <w:ind w:firstLine="420"/>
        <w:rPr>
          <w:sz w:val="21"/>
          <w:szCs w:val="21"/>
        </w:rPr>
      </w:pPr>
      <w:r>
        <w:rPr>
          <w:rFonts w:hint="eastAsia"/>
          <w:sz w:val="21"/>
          <w:szCs w:val="21"/>
        </w:rPr>
        <w:t xml:space="preserve">（3）因基金管理人解散、依法被撤销、破产或其他事由造成本基金更换基金管理人； </w:t>
      </w:r>
    </w:p>
    <w:p>
      <w:pPr>
        <w:pStyle w:val="7"/>
        <w:spacing w:before="0" w:beforeAutospacing="0" w:after="0" w:afterAutospacing="0" w:line="360" w:lineRule="auto"/>
        <w:ind w:firstLine="420"/>
        <w:rPr>
          <w:sz w:val="21"/>
          <w:szCs w:val="21"/>
        </w:rPr>
      </w:pPr>
      <w:r>
        <w:rPr>
          <w:rFonts w:hint="eastAsia"/>
          <w:sz w:val="21"/>
          <w:szCs w:val="21"/>
        </w:rPr>
        <w:t xml:space="preserve">（4）发生《基金法》或其他法律法规规定的终止事项。 </w:t>
      </w:r>
    </w:p>
    <w:p>
      <w:pPr>
        <w:pStyle w:val="7"/>
        <w:spacing w:before="0" w:beforeAutospacing="0" w:after="0" w:afterAutospacing="0" w:line="360" w:lineRule="auto"/>
        <w:ind w:firstLine="420"/>
        <w:rPr>
          <w:sz w:val="21"/>
          <w:szCs w:val="21"/>
        </w:rPr>
      </w:pPr>
      <w:r>
        <w:rPr>
          <w:rStyle w:val="11"/>
          <w:rFonts w:hint="eastAsia"/>
          <w:sz w:val="21"/>
          <w:szCs w:val="21"/>
        </w:rPr>
        <w:t>七、争议解决方式</w:t>
      </w:r>
    </w:p>
    <w:p>
      <w:pPr>
        <w:pStyle w:val="7"/>
        <w:spacing w:before="0" w:beforeAutospacing="0" w:after="0" w:afterAutospacing="0" w:line="360" w:lineRule="auto"/>
        <w:ind w:firstLine="420"/>
        <w:rPr>
          <w:sz w:val="21"/>
          <w:szCs w:val="21"/>
        </w:rPr>
      </w:pPr>
      <w:r>
        <w:rPr>
          <w:rFonts w:hint="eastAsia"/>
          <w:sz w:val="21"/>
          <w:szCs w:val="21"/>
        </w:rPr>
        <w:t xml:space="preserve">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pPr>
        <w:pStyle w:val="7"/>
        <w:spacing w:before="0" w:beforeAutospacing="0" w:after="0" w:afterAutospacing="0" w:line="360" w:lineRule="auto"/>
        <w:ind w:firstLine="420"/>
        <w:rPr>
          <w:sz w:val="21"/>
          <w:szCs w:val="21"/>
        </w:rPr>
      </w:pPr>
      <w:bookmarkStart w:id="200" w:name="chapter_level1_23_72_section_1_end"/>
      <w:bookmarkEnd w:id="200"/>
      <w:r>
        <w:rPr>
          <w:rFonts w:hint="eastAsia"/>
          <w:sz w:val="21"/>
          <w:szCs w:val="21"/>
        </w:rPr>
        <w:t xml:space="preserve">本协议受中国法律管辖。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1" w:name="_Toc113522962"/>
      <w:bookmarkStart w:id="202" w:name="chapter_level1_24_75"/>
      <w:r>
        <w:rPr>
          <w:rFonts w:hint="eastAsia" w:ascii="宋体" w:hAnsi="宋体" w:eastAsia="宋体"/>
          <w:sz w:val="30"/>
        </w:rPr>
        <w:t>二十、对基金份额持有人的服务</w:t>
      </w:r>
      <w:bookmarkEnd w:id="201"/>
      <w:bookmarkEnd w:id="202"/>
    </w:p>
    <w:p>
      <w:pPr>
        <w:pStyle w:val="7"/>
        <w:spacing w:before="0" w:beforeAutospacing="0" w:after="0" w:afterAutospacing="0" w:line="360" w:lineRule="auto"/>
        <w:ind w:firstLine="420"/>
        <w:rPr>
          <w:sz w:val="21"/>
          <w:szCs w:val="21"/>
        </w:rPr>
      </w:pPr>
      <w:bookmarkStart w:id="203" w:name="chapter_level1_24_75_section_1"/>
      <w:bookmarkEnd w:id="203"/>
      <w:r>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pPr>
        <w:pStyle w:val="7"/>
        <w:spacing w:before="0" w:beforeAutospacing="0" w:after="0" w:afterAutospacing="0" w:line="360" w:lineRule="auto"/>
        <w:ind w:firstLine="420"/>
        <w:rPr>
          <w:sz w:val="21"/>
          <w:szCs w:val="21"/>
        </w:rPr>
      </w:pPr>
      <w:r>
        <w:rPr>
          <w:rFonts w:hint="eastAsia"/>
          <w:sz w:val="21"/>
          <w:szCs w:val="21"/>
        </w:rPr>
        <w:t xml:space="preserve">2、每月结束后，基金管理人向所有订阅电子邮件对账单的投资者发送电子邮件对账单。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投资者可以登录基金管理人网站（http://www.bosera.com）“博时快e通”系统网上自助订阅；或发送“订阅电子对账单”邮件到客服邮箱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r>
        <w:rPr>
          <w:rFonts w:hint="eastAsia"/>
          <w:sz w:val="21"/>
          <w:szCs w:val="21"/>
        </w:rPr>
        <w:t xml:space="preserve">；也可直接拨打博时一线通95105568（免长途话费）订阅。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投资者使用建设银行、农业银行、工商银行、交通银行、招商银行、兴业银行、浦发银行、邮储银行、民生银行、中信银行、光大银行、平安银行、中国银行、广发银行的借记卡或招商银行i理财账户、汇付天下天天盈账户、支付宝基金专户均可以在基金管理人网站上自助开户并进行网上交易。 </w:t>
      </w:r>
    </w:p>
    <w:p>
      <w:pPr>
        <w:pStyle w:val="7"/>
        <w:spacing w:before="0" w:beforeAutospacing="0" w:after="0" w:afterAutospacing="0" w:line="360" w:lineRule="auto"/>
        <w:ind w:firstLine="420"/>
        <w:rPr>
          <w:sz w:val="21"/>
          <w:szCs w:val="21"/>
        </w:rPr>
      </w:pPr>
      <w:r>
        <w:rPr>
          <w:rFonts w:hint="eastAsia"/>
          <w:sz w:val="21"/>
          <w:szCs w:val="21"/>
        </w:rPr>
        <w:t xml:space="preserve">2、查询服务：投资者可以通过基金管理人网站查询所持有基金的基金份额、交易记录等信息，同时可以修改基金账户信息等基本资料。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3、信息咨询服务：投资者可以利用基金管理人网站获取基金和基金管理人各类信息，包括基金法律文件、基金管理人最新动态、热点问题等。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bookmarkStart w:id="204" w:name="chapter_level1_24_75_section_1_end"/>
      <w:bookmarkEnd w:id="204"/>
      <w:r>
        <w:rPr>
          <w:rFonts w:hint="eastAsia"/>
          <w:sz w:val="21"/>
          <w:szCs w:val="21"/>
        </w:rPr>
        <w:t xml:space="preserve">基金管理人为投资者提供电子邮件方式的业务咨询、投诉受理、基金份额净值等服务。 </w:t>
      </w:r>
    </w:p>
    <w:p>
      <w:pPr>
        <w:pStyle w:val="7"/>
        <w:spacing w:before="0" w:beforeAutospacing="0" w:after="0" w:afterAutospacing="0" w:line="360" w:lineRule="auto"/>
        <w:ind w:firstLine="420"/>
        <w:rPr>
          <w:sz w:val="21"/>
          <w:szCs w:val="21"/>
        </w:rPr>
      </w:pPr>
      <w:bookmarkStart w:id="205" w:name="chapter_level1_24_75_section_2"/>
      <w:bookmarkEnd w:id="205"/>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投资者可以通过手机登陆博时移动版直销网上交易系统（m.bosera.com）、手机基金交易系统（wap.bosera.com）和博时App版直销网上交易系统，享受基金理财所需的基金交易、理财查询、账户管理、信息服务等功能。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3、人工电话服务：投资者可以获得业务咨询、信息查询、资料修改、投诉受理、信息订制、电话交易人工服务、账户诊断等服务。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Fonts w:hint="eastAsia"/>
          <w:sz w:val="21"/>
          <w:szCs w:val="21"/>
        </w:rPr>
        <w:t xml:space="preserve">基金管理人的互联网地址及电子信箱 </w:t>
      </w:r>
    </w:p>
    <w:p>
      <w:pPr>
        <w:pStyle w:val="7"/>
        <w:spacing w:before="0" w:beforeAutospacing="0" w:after="0" w:afterAutospacing="0" w:line="360" w:lineRule="auto"/>
        <w:ind w:firstLine="420"/>
        <w:rPr>
          <w:sz w:val="21"/>
          <w:szCs w:val="21"/>
        </w:rPr>
      </w:pPr>
      <w:r>
        <w:rPr>
          <w:rFonts w:hint="eastAsia"/>
          <w:sz w:val="21"/>
          <w:szCs w:val="21"/>
        </w:rPr>
        <w:t xml:space="preserve">网址： www.bosera.com </w:t>
      </w:r>
    </w:p>
    <w:p>
      <w:pPr>
        <w:pStyle w:val="7"/>
        <w:spacing w:before="0" w:beforeAutospacing="0" w:after="0" w:afterAutospacing="0" w:line="360" w:lineRule="auto"/>
        <w:ind w:firstLine="420"/>
        <w:rPr>
          <w:sz w:val="21"/>
          <w:szCs w:val="21"/>
        </w:rPr>
      </w:pPr>
      <w:bookmarkStart w:id="206" w:name="chapter_level1_24_75_section_2_end"/>
      <w:bookmarkEnd w:id="206"/>
      <w:r>
        <w:rPr>
          <w:rFonts w:hint="eastAsia"/>
          <w:sz w:val="21"/>
          <w:szCs w:val="21"/>
        </w:rPr>
        <w:t>电子信箱：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7" w:name="_Toc113522963"/>
      <w:bookmarkStart w:id="208" w:name="chapter_level1_25_3499"/>
      <w:r>
        <w:rPr>
          <w:rFonts w:hint="eastAsia" w:ascii="宋体" w:hAnsi="宋体" w:eastAsia="宋体"/>
          <w:sz w:val="30"/>
        </w:rPr>
        <w:t>二十一、其他应披露的事项</w:t>
      </w:r>
      <w:bookmarkEnd w:id="207"/>
      <w:bookmarkEnd w:id="208"/>
    </w:p>
    <w:p>
      <w:pPr>
        <w:pStyle w:val="7"/>
        <w:spacing w:before="0" w:beforeAutospacing="0" w:after="0" w:afterAutospacing="0" w:line="360" w:lineRule="auto"/>
        <w:ind w:firstLine="420"/>
        <w:rPr>
          <w:sz w:val="21"/>
          <w:szCs w:val="21"/>
        </w:rPr>
      </w:pPr>
      <w:bookmarkStart w:id="209" w:name="chapter_level1_25_3499_section_1"/>
      <w:bookmarkEnd w:id="209"/>
      <w:bookmarkStart w:id="210" w:name="field_0_bsrevealinfo_1_start"/>
      <w:bookmarkEnd w:id="210"/>
      <w:r>
        <w:rPr>
          <w:rFonts w:hint="eastAsia"/>
          <w:sz w:val="21"/>
          <w:szCs w:val="21"/>
        </w:rPr>
        <w:t>（一）、 2022年08月31日，我公司公告了《博时平衡配置混合型证券投资基金2022年中期报告》；</w:t>
      </w:r>
    </w:p>
    <w:p>
      <w:pPr>
        <w:pStyle w:val="7"/>
        <w:spacing w:before="0" w:beforeAutospacing="0" w:after="0" w:afterAutospacing="0" w:line="360" w:lineRule="auto"/>
        <w:ind w:firstLine="420"/>
        <w:rPr>
          <w:sz w:val="21"/>
          <w:szCs w:val="21"/>
        </w:rPr>
      </w:pPr>
      <w:r>
        <w:rPr>
          <w:rFonts w:hint="eastAsia"/>
          <w:sz w:val="21"/>
          <w:szCs w:val="21"/>
        </w:rPr>
        <w:t>（二）、 2022年08月29日，我公司公告了《博时基金管理有限公司关于直销网上交易开通广发银行快捷开户和支付服务及费率优惠的公告》；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（三）、 2022年08月25日，我公司公告了《博时平衡配置混合型证券投资基金基金产品资料概要更新》；</w:t>
      </w:r>
    </w:p>
    <w:p>
      <w:pPr>
        <w:pStyle w:val="7"/>
        <w:spacing w:before="0" w:beforeAutospacing="0" w:after="0" w:afterAutospacing="0" w:line="360" w:lineRule="auto"/>
        <w:ind w:firstLine="420"/>
        <w:rPr>
          <w:sz w:val="21"/>
          <w:szCs w:val="21"/>
        </w:rPr>
      </w:pPr>
      <w:r>
        <w:rPr>
          <w:rFonts w:hint="eastAsia"/>
          <w:sz w:val="21"/>
          <w:szCs w:val="21"/>
        </w:rPr>
        <w:t>（四）、 2022年08月22日，我公司公告了《博时基金管理有限公司旗下基金在兴业银行钱大掌柜开展费率优惠活动的公告》；</w:t>
      </w:r>
    </w:p>
    <w:p>
      <w:pPr>
        <w:pStyle w:val="7"/>
        <w:spacing w:before="0" w:beforeAutospacing="0" w:after="0" w:afterAutospacing="0" w:line="360" w:lineRule="auto"/>
        <w:ind w:firstLine="420"/>
        <w:rPr>
          <w:sz w:val="21"/>
          <w:szCs w:val="21"/>
        </w:rPr>
      </w:pPr>
      <w:r>
        <w:rPr>
          <w:rFonts w:hint="eastAsia"/>
          <w:sz w:val="21"/>
          <w:szCs w:val="21"/>
        </w:rPr>
        <w:t>（五）、 2022年07月21日，我公司公告了《博时平衡配置混合型证券投资基金2022年第2季度报告》；</w:t>
      </w:r>
    </w:p>
    <w:p>
      <w:pPr>
        <w:pStyle w:val="7"/>
        <w:spacing w:before="0" w:beforeAutospacing="0" w:after="0" w:afterAutospacing="0" w:line="360" w:lineRule="auto"/>
        <w:ind w:firstLine="420"/>
        <w:rPr>
          <w:sz w:val="21"/>
          <w:szCs w:val="21"/>
        </w:rPr>
      </w:pPr>
      <w:r>
        <w:rPr>
          <w:rFonts w:hint="eastAsia"/>
          <w:sz w:val="21"/>
          <w:szCs w:val="21"/>
        </w:rPr>
        <w:t>（六）、 2022年07月18日，我公司公告了《博时基金管理有限公司关于旗下所有前端收费模式基金在直销柜台实施费率优惠的公告》；</w:t>
      </w:r>
    </w:p>
    <w:p>
      <w:pPr>
        <w:pStyle w:val="7"/>
        <w:spacing w:before="0" w:beforeAutospacing="0" w:after="0" w:afterAutospacing="0" w:line="360" w:lineRule="auto"/>
        <w:ind w:firstLine="420"/>
        <w:rPr>
          <w:sz w:val="21"/>
          <w:szCs w:val="21"/>
        </w:rPr>
      </w:pPr>
      <w:r>
        <w:rPr>
          <w:rFonts w:hint="eastAsia"/>
          <w:sz w:val="21"/>
          <w:szCs w:val="21"/>
        </w:rPr>
        <w:t>（七）、 2022年07月16日，我公司公告了《博时基金管理有限公司关于暂停北京微动利基金销售有限公司办理旗下基金相关销售业务的公告》、《博时基金管理有限公司关于暂停喜鹊财富基金销售有限公司办理旗下基金相关销售业务的公告》；</w:t>
      </w:r>
    </w:p>
    <w:p>
      <w:pPr>
        <w:pStyle w:val="7"/>
        <w:spacing w:before="0" w:beforeAutospacing="0" w:after="0" w:afterAutospacing="0" w:line="360" w:lineRule="auto"/>
        <w:ind w:firstLine="420"/>
        <w:rPr>
          <w:sz w:val="21"/>
          <w:szCs w:val="21"/>
        </w:rPr>
      </w:pPr>
      <w:r>
        <w:rPr>
          <w:rFonts w:hint="eastAsia"/>
          <w:sz w:val="21"/>
          <w:szCs w:val="21"/>
        </w:rPr>
        <w:t>（八）、 2022年07月05日，我公司公告了《博时基金管理有限公司关于部分基金在招赢通平台开展费率优惠活动的公告》；</w:t>
      </w:r>
    </w:p>
    <w:p>
      <w:pPr>
        <w:pStyle w:val="7"/>
        <w:spacing w:before="0" w:beforeAutospacing="0" w:after="0" w:afterAutospacing="0" w:line="360" w:lineRule="auto"/>
        <w:ind w:firstLine="420"/>
        <w:rPr>
          <w:sz w:val="21"/>
          <w:szCs w:val="21"/>
        </w:rPr>
      </w:pPr>
      <w:r>
        <w:rPr>
          <w:rFonts w:hint="eastAsia"/>
          <w:sz w:val="21"/>
          <w:szCs w:val="21"/>
        </w:rPr>
        <w:t>（九）、 2022年06月18日，我公司公告了《博时基金管理有限公司关于旗下基金投资关联方承销期内承销证券的公告》；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（十）、 2022年04月30日，我公司公告了《博时基金管理有限公司关于旗下基金持有的长期停牌股票调整估值方法的公告-20220430》；</w:t>
      </w:r>
    </w:p>
    <w:p>
      <w:pPr>
        <w:pStyle w:val="7"/>
        <w:spacing w:before="0" w:beforeAutospacing="0" w:after="0" w:afterAutospacing="0" w:line="360" w:lineRule="auto"/>
        <w:ind w:firstLine="420"/>
        <w:rPr>
          <w:sz w:val="21"/>
          <w:szCs w:val="21"/>
        </w:rPr>
      </w:pPr>
      <w:r>
        <w:rPr>
          <w:rFonts w:hint="eastAsia"/>
          <w:sz w:val="21"/>
          <w:szCs w:val="21"/>
        </w:rPr>
        <w:t>（十一）、 2022年04月22日，我公司公告了《博时平衡配置混合型证券投资基金2022年第1季度报告》；</w:t>
      </w:r>
    </w:p>
    <w:p>
      <w:pPr>
        <w:pStyle w:val="7"/>
        <w:spacing w:before="0" w:beforeAutospacing="0" w:after="0" w:afterAutospacing="0" w:line="360" w:lineRule="auto"/>
        <w:ind w:firstLine="420"/>
        <w:rPr>
          <w:sz w:val="21"/>
          <w:szCs w:val="21"/>
        </w:rPr>
      </w:pPr>
      <w:r>
        <w:rPr>
          <w:rFonts w:hint="eastAsia"/>
          <w:sz w:val="21"/>
          <w:szCs w:val="21"/>
        </w:rPr>
        <w:t>（十二）、 2022年03月30日，我公司公告了《博时平衡配置混合型证券投资基金2021年年度报告》；</w:t>
      </w:r>
    </w:p>
    <w:p>
      <w:pPr>
        <w:pStyle w:val="7"/>
        <w:spacing w:before="0" w:beforeAutospacing="0" w:after="0" w:afterAutospacing="0" w:line="360" w:lineRule="auto"/>
        <w:ind w:firstLine="420"/>
        <w:rPr>
          <w:sz w:val="21"/>
          <w:szCs w:val="21"/>
        </w:rPr>
      </w:pPr>
      <w:r>
        <w:rPr>
          <w:rFonts w:hint="eastAsia"/>
          <w:sz w:val="21"/>
          <w:szCs w:val="21"/>
        </w:rPr>
        <w:t>（十三）、 2022年03月14日，我公司公告了《博时基金管理有限公司关于调整直销网上交易定期投资业务影响部分定期投资计划的公告》；</w:t>
      </w:r>
    </w:p>
    <w:p>
      <w:pPr>
        <w:pStyle w:val="7"/>
        <w:spacing w:before="0" w:beforeAutospacing="0" w:after="0" w:afterAutospacing="0" w:line="360" w:lineRule="auto"/>
        <w:ind w:firstLine="420"/>
        <w:rPr>
          <w:sz w:val="21"/>
          <w:szCs w:val="21"/>
        </w:rPr>
      </w:pPr>
      <w:r>
        <w:rPr>
          <w:rFonts w:hint="eastAsia"/>
          <w:sz w:val="21"/>
          <w:szCs w:val="21"/>
        </w:rPr>
        <w:t>（十四）、 2022年02月11日，我公司公告了《博时基金管理有限公司关于部分基金在青岛农商银行直销银行开展费率优惠活动的公告》；</w:t>
      </w:r>
    </w:p>
    <w:p>
      <w:pPr>
        <w:pStyle w:val="7"/>
        <w:spacing w:before="0" w:beforeAutospacing="0" w:after="0" w:afterAutospacing="0" w:line="360" w:lineRule="auto"/>
        <w:ind w:firstLine="420"/>
        <w:rPr>
          <w:sz w:val="21"/>
          <w:szCs w:val="21"/>
        </w:rPr>
      </w:pPr>
      <w:r>
        <w:rPr>
          <w:rFonts w:hint="eastAsia"/>
          <w:sz w:val="21"/>
          <w:szCs w:val="21"/>
        </w:rPr>
        <w:t>（十五）、 2022年01月28日，我公司公告了《博时基金管理有限公司关于公司固有资金投资旗下公募基金的公告》；</w:t>
      </w:r>
    </w:p>
    <w:p>
      <w:pPr>
        <w:pStyle w:val="7"/>
        <w:spacing w:before="0" w:beforeAutospacing="0" w:after="0" w:afterAutospacing="0" w:line="360" w:lineRule="auto"/>
        <w:ind w:firstLine="420"/>
        <w:rPr>
          <w:sz w:val="21"/>
          <w:szCs w:val="21"/>
        </w:rPr>
      </w:pPr>
      <w:r>
        <w:rPr>
          <w:rFonts w:hint="eastAsia"/>
          <w:sz w:val="21"/>
          <w:szCs w:val="21"/>
        </w:rPr>
        <w:t>（十六）、 2022年01月24日，我公司公告了《博时平衡配置混合型证券投资基金2021年第4季度报告》；</w:t>
      </w:r>
    </w:p>
    <w:p>
      <w:pPr>
        <w:pStyle w:val="7"/>
        <w:spacing w:before="0" w:beforeAutospacing="0" w:after="0" w:afterAutospacing="0" w:line="360" w:lineRule="auto"/>
        <w:ind w:firstLine="420"/>
        <w:rPr>
          <w:sz w:val="21"/>
          <w:szCs w:val="21"/>
        </w:rPr>
      </w:pPr>
      <w:r>
        <w:rPr>
          <w:rFonts w:hint="eastAsia"/>
          <w:sz w:val="21"/>
          <w:szCs w:val="21"/>
        </w:rPr>
        <w:t>（十七）、 2022年01月21日，我公司公告了《博时基金管理有限公司关于旗下基金持有的长期停牌股票调整估值方法的公告-20220121》；</w:t>
      </w:r>
    </w:p>
    <w:p>
      <w:pPr>
        <w:pStyle w:val="7"/>
        <w:spacing w:before="0" w:beforeAutospacing="0" w:after="0" w:afterAutospacing="0" w:line="360" w:lineRule="auto"/>
        <w:ind w:firstLine="420"/>
        <w:rPr>
          <w:sz w:val="21"/>
          <w:szCs w:val="21"/>
        </w:rPr>
      </w:pPr>
      <w:r>
        <w:rPr>
          <w:rFonts w:hint="eastAsia"/>
          <w:sz w:val="21"/>
          <w:szCs w:val="21"/>
        </w:rPr>
        <w:t>（十八）、 2022年01月20日，我公司公告了《关于成立博时财富基金销售有限公司的公告》；</w:t>
      </w:r>
    </w:p>
    <w:p>
      <w:pPr>
        <w:pStyle w:val="7"/>
        <w:spacing w:before="0" w:beforeAutospacing="0" w:after="0" w:afterAutospacing="0" w:line="360" w:lineRule="auto"/>
        <w:ind w:firstLine="420"/>
        <w:rPr>
          <w:sz w:val="21"/>
          <w:szCs w:val="21"/>
        </w:rPr>
      </w:pPr>
      <w:r>
        <w:rPr>
          <w:rFonts w:hint="eastAsia"/>
          <w:sz w:val="21"/>
          <w:szCs w:val="21"/>
        </w:rPr>
        <w:t>（十九）、 2022年01月18日，我公司公告了《博时基金管理有限公司关于旗下基金投资关联方承销期内承销证券的公告》；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（二十）、 2022年01月08日，我公司公告了《博时平衡配置混合型证券投资基金分红公告》、《博时平衡配置混合型证券投资基金暂停大额申购、转换转入、定期定额投资业务的公告》；</w:t>
      </w:r>
    </w:p>
    <w:p>
      <w:pPr>
        <w:pStyle w:val="7"/>
        <w:spacing w:before="0" w:beforeAutospacing="0" w:after="0" w:afterAutospacing="0" w:line="360" w:lineRule="auto"/>
        <w:ind w:firstLine="420"/>
        <w:rPr>
          <w:sz w:val="21"/>
          <w:szCs w:val="21"/>
        </w:rPr>
      </w:pPr>
      <w:r>
        <w:rPr>
          <w:rFonts w:hint="eastAsia"/>
          <w:sz w:val="21"/>
          <w:szCs w:val="21"/>
        </w:rPr>
        <w:t>（二十一）、 2022年01月06日，我公司公告了《博时基金管理有限公司关于博时平衡配置混合型证券投资基金的基金经理变更的公告》、《博时平衡配置混合型证券投资基金更新招募说明书》、《博时平衡配置混合型证券投资基金基金产品资料概要更新》、《博时基金管理有限公司关于暂停使用交通银行非快捷支付服务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（二十二）、 2022年01月04日，我公司公告了《博时基金管理有限公司关于直销网上交易开通交通银行快捷开户和支付服务及费率优惠的公告》；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（二十三）、 2022年01月01日，我公司公告了《博时基金管理有限公司关于对投资者在直销网上交易申购、认购及定投基金实施费率优惠的公告》、《博时基金管理有限公司关于旗下公开募集证券投资基金执行新金融工具准则的公告》；</w:t>
      </w:r>
    </w:p>
    <w:p>
      <w:pPr>
        <w:pStyle w:val="7"/>
        <w:spacing w:before="0" w:beforeAutospacing="0" w:after="0" w:afterAutospacing="0" w:line="360" w:lineRule="auto"/>
        <w:ind w:firstLine="420"/>
        <w:rPr>
          <w:sz w:val="21"/>
          <w:szCs w:val="21"/>
        </w:rPr>
      </w:pPr>
      <w:r>
        <w:rPr>
          <w:rFonts w:hint="eastAsia"/>
          <w:sz w:val="21"/>
          <w:szCs w:val="21"/>
        </w:rPr>
        <w:t>（二十四）、 2021年11月26日，我公司公告了《博时基金管理有限公司关于旗下部分公开募集证券投资基金可投资北京证券交易所股票的公告》；</w:t>
      </w:r>
    </w:p>
    <w:p>
      <w:pPr>
        <w:pStyle w:val="7"/>
        <w:spacing w:before="0" w:beforeAutospacing="0" w:after="0" w:afterAutospacing="0" w:line="360" w:lineRule="auto"/>
        <w:ind w:firstLine="420"/>
        <w:rPr>
          <w:sz w:val="21"/>
          <w:szCs w:val="21"/>
        </w:rPr>
      </w:pPr>
      <w:r>
        <w:rPr>
          <w:rFonts w:hint="eastAsia"/>
          <w:sz w:val="21"/>
          <w:szCs w:val="21"/>
        </w:rPr>
        <w:t>（二十五）、 2021年10月27日，我公司公告了《博时平衡配置混合型证券投资基金2021年第3季度报告》；</w:t>
      </w:r>
    </w:p>
    <w:p>
      <w:pPr>
        <w:pStyle w:val="7"/>
        <w:spacing w:before="0" w:beforeAutospacing="0" w:after="0" w:afterAutospacing="0" w:line="360" w:lineRule="auto"/>
        <w:ind w:firstLine="420"/>
        <w:rPr>
          <w:sz w:val="21"/>
          <w:szCs w:val="21"/>
        </w:rPr>
      </w:pPr>
      <w:r>
        <w:rPr>
          <w:rFonts w:hint="eastAsia"/>
          <w:sz w:val="21"/>
          <w:szCs w:val="21"/>
        </w:rPr>
        <w:t>（二十六）、 2021年09月30日，我公司公告了《博时基金管理有限公司关于对投资者在直销网上交易申购、认购及定投基金实施费率优惠的公告》、《博时平衡配置混合型证券投资基金更新招募说明书》；</w:t>
      </w:r>
    </w:p>
    <w:p>
      <w:pPr>
        <w:pStyle w:val="7"/>
        <w:spacing w:before="0" w:beforeAutospacing="0" w:after="0" w:afterAutospacing="0" w:line="360" w:lineRule="auto"/>
        <w:ind w:firstLine="420"/>
        <w:rPr>
          <w:sz w:val="21"/>
          <w:szCs w:val="21"/>
        </w:rPr>
      </w:pPr>
      <w:r>
        <w:rPr>
          <w:rFonts w:hint="eastAsia"/>
          <w:sz w:val="21"/>
          <w:szCs w:val="21"/>
        </w:rPr>
        <w:t>（二十七）、 2021年09月28日，我公司公告了《博时基金管理有限公司关于旗下基金持有的长期停牌股票调整估值方法的公告-20210928》；</w:t>
      </w:r>
    </w:p>
    <w:p>
      <w:pPr>
        <w:pStyle w:val="7"/>
        <w:spacing w:before="0" w:beforeAutospacing="0" w:after="0" w:afterAutospacing="0" w:line="360" w:lineRule="auto"/>
        <w:ind w:firstLine="420"/>
        <w:rPr>
          <w:sz w:val="21"/>
          <w:szCs w:val="21"/>
        </w:rPr>
      </w:pPr>
      <w:r>
        <w:rPr>
          <w:rFonts w:hint="eastAsia"/>
          <w:sz w:val="21"/>
          <w:szCs w:val="21"/>
        </w:rPr>
        <w:t>（二十八）、 2021年08月31日，我公司公告了《博时平衡配置混合型证券投资基</w:t>
      </w:r>
      <w:bookmarkStart w:id="211" w:name="chapter_level1_25_3499_section_1_end"/>
      <w:bookmarkEnd w:id="211"/>
      <w:r>
        <w:rPr>
          <w:rFonts w:hint="eastAsia"/>
          <w:sz w:val="21"/>
          <w:szCs w:val="21"/>
        </w:rPr>
        <w:t>金2021年中期报告》。</w:t>
      </w:r>
      <w:bookmarkStart w:id="212" w:name="field_0_bsrevealinfo_1_end"/>
      <w:bookmarkEnd w:id="212"/>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3" w:name="_Toc113522964"/>
      <w:bookmarkStart w:id="214" w:name="chapter_level1_26_77"/>
      <w:r>
        <w:rPr>
          <w:rFonts w:hint="eastAsia" w:ascii="宋体" w:hAnsi="宋体" w:eastAsia="宋体"/>
          <w:sz w:val="30"/>
        </w:rPr>
        <w:t>二十二、招募说明书存放及查阅方式</w:t>
      </w:r>
      <w:bookmarkEnd w:id="213"/>
      <w:bookmarkEnd w:id="214"/>
    </w:p>
    <w:p>
      <w:pPr>
        <w:pStyle w:val="7"/>
        <w:spacing w:before="0" w:beforeAutospacing="0" w:after="0" w:afterAutospacing="0" w:line="360" w:lineRule="auto"/>
        <w:ind w:firstLine="420"/>
        <w:rPr>
          <w:sz w:val="21"/>
          <w:szCs w:val="21"/>
        </w:rPr>
      </w:pPr>
      <w:bookmarkStart w:id="215" w:name="chapter_level1_26_77_section_1"/>
      <w:bookmarkEnd w:id="215"/>
      <w:r>
        <w:rPr>
          <w:rFonts w:hint="eastAsia"/>
          <w:sz w:val="21"/>
          <w:szCs w:val="21"/>
        </w:rPr>
        <w:t xml:space="preserve">依法必须披露的信息发布后，基金管理人、基金托管人应当按照相关法律法规规定将信息置备于各自住所，供社会公众查阅、复制。投资人在支付工本费后，可在合理时间内取得上述文件复制件或复印件。对投资人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16" w:name="chapter_level1_26_77_section_1_end"/>
      <w:bookmarkEnd w:id="216"/>
      <w:r>
        <w:rPr>
          <w:rFonts w:hint="eastAsia"/>
          <w:sz w:val="21"/>
          <w:szCs w:val="21"/>
        </w:rPr>
        <w:t xml:space="preserve">投资人还可以直接登录基金管理人的网站(www.bosera.com)查阅和下载招募说明书。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7" w:name="_Toc113522965"/>
      <w:bookmarkStart w:id="218" w:name="chapter_level1_27_332"/>
      <w:r>
        <w:rPr>
          <w:rFonts w:hint="eastAsia" w:ascii="宋体" w:hAnsi="宋体" w:eastAsia="宋体"/>
          <w:sz w:val="30"/>
        </w:rPr>
        <w:t>二十三、备查文件</w:t>
      </w:r>
      <w:bookmarkEnd w:id="217"/>
      <w:bookmarkEnd w:id="218"/>
    </w:p>
    <w:p>
      <w:pPr>
        <w:pStyle w:val="7"/>
        <w:spacing w:before="0" w:beforeAutospacing="0" w:after="0" w:afterAutospacing="0" w:line="360" w:lineRule="auto"/>
        <w:ind w:firstLine="420"/>
        <w:rPr>
          <w:sz w:val="21"/>
          <w:szCs w:val="21"/>
        </w:rPr>
      </w:pPr>
      <w:bookmarkStart w:id="219" w:name="chapter_level1_27_332_section_1"/>
      <w:bookmarkEnd w:id="219"/>
      <w:r>
        <w:rPr>
          <w:rStyle w:val="11"/>
          <w:rFonts w:hint="eastAsia"/>
          <w:sz w:val="21"/>
          <w:szCs w:val="21"/>
        </w:rPr>
        <w:t>（一）有关备查文件</w:t>
      </w:r>
    </w:p>
    <w:p>
      <w:pPr>
        <w:pStyle w:val="7"/>
        <w:spacing w:before="0" w:beforeAutospacing="0" w:after="0" w:afterAutospacing="0" w:line="360" w:lineRule="auto"/>
        <w:ind w:firstLine="420"/>
        <w:rPr>
          <w:sz w:val="21"/>
          <w:szCs w:val="21"/>
        </w:rPr>
      </w:pPr>
      <w:r>
        <w:rPr>
          <w:rFonts w:hint="eastAsia"/>
          <w:sz w:val="21"/>
          <w:szCs w:val="21"/>
        </w:rPr>
        <w:t>1、中国证监会批准</w:t>
      </w:r>
      <w:bookmarkStart w:id="220" w:name="field_0_productfullname_8"/>
      <w:r>
        <w:rPr>
          <w:rFonts w:hint="eastAsia"/>
          <w:sz w:val="21"/>
          <w:szCs w:val="21"/>
        </w:rPr>
        <w:t>博时平衡配置混合型证券投资基金</w:t>
      </w:r>
      <w:bookmarkEnd w:id="220"/>
      <w:r>
        <w:rPr>
          <w:rFonts w:hint="eastAsia"/>
          <w:sz w:val="21"/>
          <w:szCs w:val="21"/>
        </w:rPr>
        <w:t xml:space="preserve">募集的文件 </w:t>
      </w:r>
    </w:p>
    <w:p>
      <w:pPr>
        <w:pStyle w:val="7"/>
        <w:spacing w:before="0" w:beforeAutospacing="0" w:after="0" w:afterAutospacing="0" w:line="360" w:lineRule="auto"/>
        <w:ind w:firstLine="420"/>
        <w:rPr>
          <w:sz w:val="21"/>
          <w:szCs w:val="21"/>
        </w:rPr>
      </w:pPr>
      <w:r>
        <w:rPr>
          <w:rFonts w:hint="eastAsia"/>
          <w:sz w:val="21"/>
          <w:szCs w:val="21"/>
        </w:rPr>
        <w:t>2、《</w:t>
      </w:r>
      <w:bookmarkStart w:id="221" w:name="field_0_productfullname_9"/>
      <w:r>
        <w:rPr>
          <w:rFonts w:hint="eastAsia"/>
          <w:sz w:val="21"/>
          <w:szCs w:val="21"/>
        </w:rPr>
        <w:t>博时平衡配置混合型证券投资基金</w:t>
      </w:r>
      <w:bookmarkEnd w:id="221"/>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3、《</w:t>
      </w:r>
      <w:bookmarkStart w:id="222" w:name="field_0_productfullname_10"/>
      <w:r>
        <w:rPr>
          <w:rFonts w:hint="eastAsia"/>
          <w:sz w:val="21"/>
          <w:szCs w:val="21"/>
        </w:rPr>
        <w:t>博时平衡配置混合型证券投资基金</w:t>
      </w:r>
      <w:bookmarkEnd w:id="222"/>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4、基金管理人业务资格批件、营业执照和公司章程 </w:t>
      </w:r>
    </w:p>
    <w:p>
      <w:pPr>
        <w:pStyle w:val="7"/>
        <w:spacing w:before="0" w:beforeAutospacing="0" w:after="0" w:afterAutospacing="0" w:line="360" w:lineRule="auto"/>
        <w:ind w:firstLine="420"/>
        <w:rPr>
          <w:sz w:val="21"/>
          <w:szCs w:val="21"/>
        </w:rPr>
      </w:pPr>
      <w:r>
        <w:rPr>
          <w:rFonts w:hint="eastAsia"/>
          <w:sz w:val="21"/>
          <w:szCs w:val="21"/>
        </w:rPr>
        <w:t xml:space="preserve">5、基金托管人业务资格批件、营业执照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6、关于募集</w:t>
      </w:r>
      <w:bookmarkStart w:id="223" w:name="field_0_productfullname_11"/>
      <w:r>
        <w:rPr>
          <w:rFonts w:hint="eastAsia"/>
          <w:sz w:val="21"/>
          <w:szCs w:val="21"/>
        </w:rPr>
        <w:t>博时平衡配置混合型证券投资基金</w:t>
      </w:r>
      <w:bookmarkEnd w:id="223"/>
      <w:r>
        <w:rPr>
          <w:rFonts w:hint="eastAsia"/>
          <w:sz w:val="21"/>
          <w:szCs w:val="21"/>
        </w:rPr>
        <w:t xml:space="preserve">之法律意见书 </w:t>
      </w:r>
    </w:p>
    <w:p>
      <w:pPr>
        <w:pStyle w:val="7"/>
        <w:spacing w:before="0" w:beforeAutospacing="0" w:after="0" w:afterAutospacing="0" w:line="360" w:lineRule="auto"/>
        <w:ind w:firstLine="420"/>
        <w:rPr>
          <w:sz w:val="21"/>
          <w:szCs w:val="21"/>
        </w:rPr>
      </w:pPr>
      <w:r>
        <w:rPr>
          <w:rFonts w:hint="eastAsia"/>
          <w:sz w:val="21"/>
          <w:szCs w:val="21"/>
        </w:rPr>
        <w:t xml:space="preserve">7、本基金各期更新招募说明书正文及摘要 </w:t>
      </w:r>
    </w:p>
    <w:p>
      <w:pPr>
        <w:pStyle w:val="7"/>
        <w:spacing w:before="0" w:beforeAutospacing="0" w:after="0" w:afterAutospacing="0" w:line="360" w:lineRule="auto"/>
        <w:ind w:firstLine="420"/>
        <w:rPr>
          <w:sz w:val="21"/>
          <w:szCs w:val="21"/>
        </w:rPr>
      </w:pPr>
      <w:r>
        <w:rPr>
          <w:rFonts w:hint="eastAsia"/>
          <w:sz w:val="21"/>
          <w:szCs w:val="21"/>
        </w:rPr>
        <w:t xml:space="preserve">8、本基金各期信息披露公告及相关业务规则的变更公告 </w:t>
      </w:r>
    </w:p>
    <w:p>
      <w:pPr>
        <w:pStyle w:val="7"/>
        <w:spacing w:before="0" w:beforeAutospacing="0" w:after="0" w:afterAutospacing="0" w:line="360" w:lineRule="auto"/>
        <w:ind w:firstLine="420"/>
        <w:rPr>
          <w:sz w:val="21"/>
          <w:szCs w:val="21"/>
        </w:rPr>
      </w:pPr>
      <w:r>
        <w:rPr>
          <w:rStyle w:val="11"/>
          <w:rFonts w:hint="eastAsia"/>
          <w:sz w:val="21"/>
          <w:szCs w:val="21"/>
        </w:rPr>
        <w:t>（二）备查文件的存放地点和投资人查阅方式</w:t>
      </w:r>
    </w:p>
    <w:p>
      <w:pPr>
        <w:pStyle w:val="7"/>
        <w:spacing w:before="0" w:beforeAutospacing="0" w:after="0" w:afterAutospacing="0" w:line="360" w:lineRule="auto"/>
        <w:ind w:firstLine="420"/>
        <w:rPr>
          <w:sz w:val="21"/>
          <w:szCs w:val="21"/>
        </w:rPr>
      </w:pPr>
      <w:r>
        <w:rPr>
          <w:rFonts w:hint="eastAsia"/>
          <w:sz w:val="21"/>
          <w:szCs w:val="21"/>
        </w:rPr>
        <w:t>1、存放地点：《基金合同》、《托</w:t>
      </w:r>
      <w:bookmarkStart w:id="228" w:name="_GoBack"/>
      <w:bookmarkEnd w:id="228"/>
      <w:r>
        <w:rPr>
          <w:rFonts w:hint="eastAsia"/>
          <w:sz w:val="21"/>
          <w:szCs w:val="21"/>
        </w:rPr>
        <w:t xml:space="preserve">管协议》存放在基金管理人和基金托管人处 ；其余备查文件存放在基金管理人处。 </w:t>
      </w:r>
    </w:p>
    <w:p>
      <w:pPr>
        <w:pStyle w:val="7"/>
        <w:spacing w:before="0" w:beforeAutospacing="0" w:after="0" w:afterAutospacing="0" w:line="360" w:lineRule="auto"/>
        <w:ind w:firstLine="420"/>
        <w:rPr>
          <w:sz w:val="21"/>
          <w:szCs w:val="21"/>
        </w:rPr>
      </w:pPr>
      <w:r>
        <w:rPr>
          <w:rFonts w:hint="eastAsia"/>
          <w:sz w:val="21"/>
          <w:szCs w:val="21"/>
        </w:rPr>
        <w:t xml:space="preserve">2、查阅方式：投资人可在营业时间到管理人及托管人的存放地点免费查阅，也可按工本费购买复印件，也可登陆本公司官方网站阅读相关电子文档。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24" w:name="field_0_managerorgfullname_7"/>
      <w:r>
        <w:rPr>
          <w:rFonts w:hint="eastAsia"/>
          <w:sz w:val="21"/>
          <w:szCs w:val="21"/>
        </w:rPr>
        <w:t>博时基金管理有限公司</w:t>
      </w:r>
      <w:bookmarkEnd w:id="224"/>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25" w:name="chapter_level1_27_332_section_1_end"/>
      <w:bookmarkEnd w:id="225"/>
      <w:bookmarkStart w:id="226" w:name="field_0_commitmenttime_1"/>
      <w:r>
        <w:rPr>
          <w:sz w:val="21"/>
          <w:szCs w:val="21"/>
        </w:rPr>
        <w:t>202</w:t>
      </w:r>
      <w:r>
        <w:rPr>
          <w:rFonts w:hint="eastAsia"/>
          <w:sz w:val="21"/>
          <w:szCs w:val="21"/>
          <w:lang w:val="en-US" w:eastAsia="zh-CN"/>
        </w:rPr>
        <w:t>3</w:t>
      </w:r>
      <w:r>
        <w:rPr>
          <w:sz w:val="21"/>
          <w:szCs w:val="21"/>
        </w:rPr>
        <w:t>年</w:t>
      </w:r>
      <w:r>
        <w:rPr>
          <w:rFonts w:hint="eastAsia"/>
          <w:sz w:val="21"/>
          <w:szCs w:val="21"/>
          <w:lang w:val="en-US" w:eastAsia="zh-CN"/>
        </w:rPr>
        <w:t>7</w:t>
      </w:r>
      <w:r>
        <w:rPr>
          <w:sz w:val="21"/>
          <w:szCs w:val="21"/>
        </w:rPr>
        <w:t>月</w:t>
      </w:r>
      <w:r>
        <w:rPr>
          <w:rFonts w:hint="eastAsia"/>
          <w:sz w:val="21"/>
          <w:szCs w:val="21"/>
          <w:lang w:val="en-US" w:eastAsia="zh-CN"/>
        </w:rPr>
        <w:t>10</w:t>
      </w:r>
      <w:r>
        <w:rPr>
          <w:sz w:val="21"/>
          <w:szCs w:val="21"/>
        </w:rPr>
        <w:t>日</w:t>
      </w:r>
      <w:bookmarkEnd w:id="226"/>
      <w:r>
        <w:rPr>
          <w:rFonts w:hint="eastAsia"/>
          <w:sz w:val="21"/>
          <w:szCs w:val="21"/>
        </w:rPr>
        <w:t xml:space="preserve">  </w:t>
      </w:r>
    </w:p>
    <w:p>
      <w:pPr>
        <w:rPr>
          <w:rFonts w:ascii="宋体" w:hAnsi="宋体" w:eastAsia="宋体"/>
        </w:rPr>
      </w:pPr>
      <w:bookmarkStart w:id="227" w:name="end"/>
      <w:bookmarkEnd w:id="227"/>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93</w:t>
    </w:r>
    <w:r>
      <w:fldChar w:fldCharType="end"/>
    </w:r>
    <w:r>
      <w:rPr>
        <w:rFonts w:hint="eastAsia"/>
      </w:rPr>
      <w:t>页 共</w:t>
    </w:r>
    <w:r>
      <w:fldChar w:fldCharType="begin"/>
    </w:r>
    <w:r>
      <w:instrText xml:space="preserve"> NumPages \* MERGEFORMAT </w:instrText>
    </w:r>
    <w:r>
      <w:fldChar w:fldCharType="separate"/>
    </w:r>
    <w:r>
      <w:t>155</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博时平衡配置混合型证券投资基金更新招募说明书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FA"/>
    <w:rsid w:val="000F40FA"/>
    <w:rsid w:val="001435F4"/>
    <w:rsid w:val="00B645A3"/>
    <w:rsid w:val="00D702C8"/>
    <w:rsid w:val="013E36A5"/>
    <w:rsid w:val="04740BF3"/>
    <w:rsid w:val="0C3A3454"/>
    <w:rsid w:val="103F710B"/>
    <w:rsid w:val="114D67A2"/>
    <w:rsid w:val="294A703F"/>
    <w:rsid w:val="2A880AA0"/>
    <w:rsid w:val="2C613338"/>
    <w:rsid w:val="36726774"/>
    <w:rsid w:val="3870581D"/>
    <w:rsid w:val="4DA3335B"/>
    <w:rsid w:val="56910370"/>
    <w:rsid w:val="57AD3CF4"/>
    <w:rsid w:val="5D282397"/>
    <w:rsid w:val="655E0572"/>
    <w:rsid w:val="6FFB16D3"/>
    <w:rsid w:val="764A7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2 Char"/>
    <w:basedOn w:val="10"/>
    <w:link w:val="2"/>
    <w:qFormat/>
    <w:uiPriority w:val="9"/>
    <w:rPr>
      <w:rFonts w:asciiTheme="majorHAnsi" w:hAnsiTheme="majorHAnsi" w:eastAsiaTheme="majorEastAsia" w:cstheme="majorBidi"/>
      <w:b/>
      <w:bCs/>
      <w:sz w:val="32"/>
      <w:szCs w:val="32"/>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155</Pages>
  <Words>18020</Words>
  <Characters>102714</Characters>
  <Lines>855</Lines>
  <Paragraphs>240</Paragraphs>
  <TotalTime>1</TotalTime>
  <ScaleCrop>false</ScaleCrop>
  <LinksUpToDate>false</LinksUpToDate>
  <CharactersWithSpaces>120494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2022-09-08T01:48:00Z</dcterms:created>
  <dc:creator>BSKMadminDev</dc:creator>
  <cp:lastModifiedBy>Liwen Xiao</cp:lastModifiedBy>
  <dcterms:modified xsi:type="dcterms:W3CDTF">2023-07-08T14:00:57Z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58915FA30295462ABC8593A629BD1B59</vt:lpwstr>
  </property>
</Properties>
</file>