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spacing w:line="800" w:lineRule="exact"/>
        <w:jc w:val="center"/>
        <w:rPr>
          <w:rFonts w:ascii="宋体" w:hAnsi="宋体" w:eastAsia="宋体"/>
          <w:b/>
          <w:sz w:val="52"/>
        </w:rPr>
      </w:pPr>
      <w:r>
        <w:rPr>
          <w:rFonts w:hint="eastAsia" w:ascii="宋体" w:hAnsi="宋体" w:eastAsia="宋体"/>
          <w:b/>
          <w:sz w:val="52"/>
        </w:rPr>
        <w:t>博时汇悦回报混合型证券投资基金</w:t>
      </w:r>
    </w:p>
    <w:p>
      <w:pPr>
        <w:widowControl/>
        <w:spacing w:line="800" w:lineRule="exact"/>
        <w:jc w:val="center"/>
        <w:rPr>
          <w:rFonts w:ascii="宋体" w:hAnsi="宋体" w:eastAsia="宋体"/>
          <w:b/>
          <w:sz w:val="52"/>
        </w:rPr>
      </w:pPr>
      <w:r>
        <w:rPr>
          <w:rFonts w:hint="eastAsia" w:ascii="宋体" w:hAnsi="宋体" w:eastAsia="宋体"/>
          <w:b/>
          <w:sz w:val="52"/>
        </w:rPr>
        <w:t>更新招募说明书</w:t>
      </w: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30"/>
        </w:rPr>
      </w:pPr>
      <w:r>
        <w:rPr>
          <w:rFonts w:hint="eastAsia" w:ascii="宋体" w:hAnsi="宋体" w:eastAsia="宋体"/>
          <w:b/>
          <w:sz w:val="30"/>
        </w:rPr>
        <w:t>基金管理人</w:t>
      </w:r>
      <w:r>
        <w:rPr>
          <w:rFonts w:ascii="宋体" w:hAnsi="宋体" w:eastAsia="宋体"/>
          <w:b/>
          <w:sz w:val="30"/>
        </w:rPr>
        <w:t>: 博时基金管理有限公司</w:t>
      </w:r>
    </w:p>
    <w:p>
      <w:pPr>
        <w:widowControl/>
        <w:spacing w:line="800" w:lineRule="exact"/>
        <w:jc w:val="center"/>
        <w:rPr>
          <w:rFonts w:ascii="宋体" w:hAnsi="宋体" w:eastAsia="宋体" w:cstheme="majorBidi"/>
          <w:b/>
          <w:bCs/>
          <w:sz w:val="30"/>
          <w:szCs w:val="32"/>
        </w:rPr>
      </w:pPr>
      <w:r>
        <w:rPr>
          <w:rFonts w:hint="eastAsia" w:ascii="宋体" w:hAnsi="宋体" w:eastAsia="宋体"/>
          <w:b/>
          <w:sz w:val="30"/>
        </w:rPr>
        <w:t>基金托管人</w:t>
      </w:r>
      <w:r>
        <w:rPr>
          <w:rFonts w:ascii="宋体" w:hAnsi="宋体" w:eastAsia="宋体"/>
          <w:b/>
          <w:sz w:val="30"/>
        </w:rPr>
        <w:t>: 中国银行股份有限公司</w:t>
      </w:r>
      <w:r>
        <w:rPr>
          <w:rFonts w:ascii="宋体" w:hAnsi="宋体" w:eastAsia="宋体"/>
          <w:b/>
          <w:sz w:val="30"/>
        </w:rPr>
        <w:br w:type="page"/>
      </w:r>
    </w:p>
    <w:p>
      <w:pPr>
        <w:pStyle w:val="2"/>
        <w:jc w:val="center"/>
        <w:rPr>
          <w:rFonts w:ascii="宋体" w:hAnsi="宋体" w:eastAsia="宋体"/>
          <w:sz w:val="30"/>
        </w:rPr>
      </w:pPr>
      <w:bookmarkStart w:id="0" w:name="_Toc113633882"/>
      <w:r>
        <w:rPr>
          <w:rFonts w:hint="eastAsia" w:ascii="宋体" w:hAnsi="宋体" w:eastAsia="宋体"/>
          <w:sz w:val="30"/>
        </w:rPr>
        <w:t>【重要提示】</w:t>
      </w:r>
      <w:bookmarkEnd w:id="0"/>
    </w:p>
    <w:p>
      <w:pPr>
        <w:pStyle w:val="7"/>
        <w:spacing w:before="0" w:beforeAutospacing="0" w:after="0" w:afterAutospacing="0" w:line="360" w:lineRule="auto"/>
        <w:ind w:firstLine="420"/>
        <w:rPr>
          <w:sz w:val="21"/>
          <w:szCs w:val="21"/>
        </w:rPr>
      </w:pPr>
      <w:r>
        <w:rPr>
          <w:rFonts w:hint="eastAsia"/>
          <w:sz w:val="21"/>
          <w:szCs w:val="21"/>
        </w:rPr>
        <w:t>1、本基金经中国证监会</w:t>
      </w:r>
      <w:bookmarkStart w:id="1" w:name="field_2343_approveddate_1"/>
      <w:r>
        <w:rPr>
          <w:sz w:val="21"/>
          <w:szCs w:val="21"/>
        </w:rPr>
        <w:t>2018年9月28日</w:t>
      </w:r>
      <w:bookmarkEnd w:id="1"/>
      <w:r>
        <w:rPr>
          <w:rFonts w:hint="eastAsia"/>
          <w:sz w:val="21"/>
          <w:szCs w:val="21"/>
        </w:rPr>
        <w:t>证监许可</w:t>
      </w:r>
      <w:bookmarkStart w:id="2" w:name="field_2343_lotnumber_1"/>
      <w:r>
        <w:rPr>
          <w:sz w:val="21"/>
          <w:szCs w:val="21"/>
        </w:rPr>
        <w:t>[2018]1561</w:t>
      </w:r>
      <w:bookmarkEnd w:id="2"/>
      <w:r>
        <w:rPr>
          <w:rFonts w:hint="eastAsia"/>
          <w:sz w:val="21"/>
          <w:szCs w:val="21"/>
        </w:rPr>
        <w:t xml:space="preserve">号文准予注册募集。  </w:t>
      </w:r>
    </w:p>
    <w:p>
      <w:pPr>
        <w:pStyle w:val="7"/>
        <w:spacing w:before="0" w:beforeAutospacing="0" w:after="0" w:afterAutospacing="0" w:line="360" w:lineRule="auto"/>
        <w:ind w:firstLine="420"/>
        <w:rPr>
          <w:sz w:val="21"/>
          <w:szCs w:val="21"/>
        </w:rPr>
      </w:pPr>
      <w:r>
        <w:rPr>
          <w:rFonts w:hint="eastAsia"/>
          <w:sz w:val="21"/>
          <w:szCs w:val="21"/>
        </w:rPr>
        <w:t xml:space="preserve">2、基金管理人保证招募说明书的内容真实、准确、完整。本招募说明书经中国证监会注册，但中国证监会对本基金募集的注册，并不表明其对本基金的投资价值和市场前景作出实质性判断或保证，也不表明投资于本基金没有风险。中国证监会不对基金的投资价值及市场前景等作出实质性判断或者保证。  </w:t>
      </w:r>
    </w:p>
    <w:p>
      <w:pPr>
        <w:pStyle w:val="7"/>
        <w:spacing w:before="0" w:beforeAutospacing="0" w:after="0" w:afterAutospacing="0" w:line="360" w:lineRule="auto"/>
        <w:ind w:firstLine="420"/>
        <w:rPr>
          <w:sz w:val="21"/>
          <w:szCs w:val="21"/>
        </w:rPr>
      </w:pPr>
      <w:r>
        <w:rPr>
          <w:rFonts w:hint="eastAsia"/>
          <w:sz w:val="21"/>
          <w:szCs w:val="21"/>
        </w:rPr>
        <w:t xml:space="preserve">3、投资有风险，投资者认购（或申购）基金份额时应认真阅读基金合同、本招募说明书、基金产品资料概要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  </w:t>
      </w:r>
    </w:p>
    <w:p>
      <w:pPr>
        <w:pStyle w:val="7"/>
        <w:spacing w:before="0" w:beforeAutospacing="0" w:after="0" w:afterAutospacing="0" w:line="360" w:lineRule="auto"/>
        <w:ind w:firstLine="420"/>
        <w:rPr>
          <w:sz w:val="21"/>
          <w:szCs w:val="21"/>
        </w:rPr>
      </w:pPr>
      <w:r>
        <w:rPr>
          <w:rFonts w:hint="eastAsia"/>
          <w:sz w:val="21"/>
          <w:szCs w:val="21"/>
        </w:rPr>
        <w:t xml:space="preserve">4、本基金主要投资于具有良好流动性的金融工具，包括国内依法发行上市的股票（存托凭证）、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pPr>
        <w:pStyle w:val="7"/>
        <w:spacing w:before="0" w:beforeAutospacing="0" w:after="0" w:afterAutospacing="0" w:line="360" w:lineRule="auto"/>
        <w:ind w:firstLine="420"/>
        <w:rPr>
          <w:sz w:val="21"/>
          <w:szCs w:val="21"/>
        </w:rPr>
      </w:pPr>
      <w:r>
        <w:rPr>
          <w:rFonts w:hint="eastAsia"/>
          <w:sz w:val="21"/>
          <w:szCs w:val="21"/>
        </w:rPr>
        <w:t xml:space="preserve">5、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  </w:t>
      </w:r>
    </w:p>
    <w:p>
      <w:pPr>
        <w:pStyle w:val="7"/>
        <w:spacing w:before="0" w:beforeAutospacing="0" w:after="0" w:afterAutospacing="0" w:line="360" w:lineRule="auto"/>
        <w:ind w:firstLine="420"/>
        <w:rPr>
          <w:sz w:val="21"/>
          <w:szCs w:val="21"/>
        </w:rPr>
      </w:pPr>
      <w:r>
        <w:rPr>
          <w:rFonts w:hint="eastAsia"/>
          <w:sz w:val="21"/>
          <w:szCs w:val="21"/>
        </w:rPr>
        <w:t xml:space="preserve">6、本基金是混合型证券投资基金，其预期收益和预期风险水平高于债券型基金产品和货币市场基金，低于股票型基金，属于中高预期风险、中高预期收益的基金产品。  </w:t>
      </w:r>
    </w:p>
    <w:p>
      <w:pPr>
        <w:pStyle w:val="7"/>
        <w:spacing w:before="0" w:beforeAutospacing="0" w:after="0" w:afterAutospacing="0" w:line="360" w:lineRule="auto"/>
        <w:ind w:firstLine="420"/>
        <w:rPr>
          <w:sz w:val="21"/>
          <w:szCs w:val="21"/>
        </w:rPr>
      </w:pPr>
      <w:r>
        <w:rPr>
          <w:rFonts w:hint="eastAsia"/>
          <w:sz w:val="21"/>
          <w:szCs w:val="21"/>
        </w:rPr>
        <w:t xml:space="preserve">7、本基金投资于国内依法发行上市的股票（包括中小板、创业板及其他经中国证监会核准上市的股票、存托凭证）、沪/深港股票市场交易互联互通机制下允许投资的香港联合交易所上市的股票（以下简称“港股通标的股票”）、债券（国债、金融债、企业债、公司债、央行票据、中期票据、短期融资券、超短期融资券、可转换债券（含可分离交易可转换债券）、可交换债、次级债、中小企业私募债等）、货币市场工具、同业存单、资产支持证券、债券回购、银行存款、权证、股指期货、国债期货，以及法律法规或中国证监会允许基金投资的其他金融工具(但须符合中国证监会的相关规定)。  </w:t>
      </w:r>
    </w:p>
    <w:p>
      <w:pPr>
        <w:pStyle w:val="7"/>
        <w:spacing w:before="0" w:beforeAutospacing="0" w:after="0" w:afterAutospacing="0" w:line="360" w:lineRule="auto"/>
        <w:ind w:firstLine="420"/>
        <w:rPr>
          <w:sz w:val="21"/>
          <w:szCs w:val="21"/>
        </w:rPr>
      </w:pPr>
      <w:r>
        <w:rPr>
          <w:rFonts w:hint="eastAsia"/>
          <w:sz w:val="21"/>
          <w:szCs w:val="21"/>
        </w:rPr>
        <w:t xml:space="preserve">本基金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可根据投资策略需要或不同配置地市场环境的变化，选择将部分基金资产投资于港股或选择不将基金资产投资于港股，基金资产并非必然投资港股。本基金可根据投资策略需要或不同配置地市场环境的变化，选择将部分基金资产投资于港股或选择不将基金资产投资于港股，基金资产并非必然投资港股。  </w:t>
      </w:r>
    </w:p>
    <w:p>
      <w:pPr>
        <w:pStyle w:val="7"/>
        <w:spacing w:before="0" w:beforeAutospacing="0" w:after="0" w:afterAutospacing="0" w:line="360" w:lineRule="auto"/>
        <w:ind w:firstLine="420"/>
        <w:rPr>
          <w:sz w:val="21"/>
          <w:szCs w:val="21"/>
        </w:rPr>
      </w:pPr>
      <w:r>
        <w:rPr>
          <w:rFonts w:hint="eastAsia"/>
          <w:sz w:val="21"/>
          <w:szCs w:val="21"/>
        </w:rPr>
        <w:t xml:space="preserve">本基金投资中小企业私募债，中小企业私募债是根据相关法律法规由非上市中小企业采用非公开方式发行的债券。由于不能公开交易，一般情况下，交易不活跃，存在较大流动性风险。当发债主体信用质量恶化时，受市场流动性所限，本基金可能无法卖出所持有的中小企业私募债，由此可能给基金净值带来更大的负面影响和损失。  </w:t>
      </w:r>
    </w:p>
    <w:p>
      <w:pPr>
        <w:pStyle w:val="7"/>
        <w:spacing w:before="0" w:beforeAutospacing="0" w:after="0" w:afterAutospacing="0" w:line="360" w:lineRule="auto"/>
        <w:ind w:firstLine="420"/>
        <w:rPr>
          <w:sz w:val="21"/>
          <w:szCs w:val="21"/>
        </w:rPr>
      </w:pPr>
      <w:r>
        <w:rPr>
          <w:rFonts w:hint="eastAsia"/>
          <w:sz w:val="21"/>
          <w:szCs w:val="21"/>
        </w:rPr>
        <w:t xml:space="preserve">本基金可投资资产支持证券（ABS）。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pPr>
        <w:pStyle w:val="7"/>
        <w:spacing w:before="0" w:beforeAutospacing="0" w:after="0" w:afterAutospacing="0" w:line="360" w:lineRule="auto"/>
        <w:ind w:firstLine="420"/>
        <w:rPr>
          <w:sz w:val="21"/>
          <w:szCs w:val="21"/>
        </w:rPr>
      </w:pPr>
      <w:r>
        <w:rPr>
          <w:rFonts w:hint="eastAsia"/>
          <w:sz w:val="21"/>
          <w:szCs w:val="21"/>
        </w:rPr>
        <w:t xml:space="preserve">本基金可投资股指期货、国债期货。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Fonts w:hint="eastAsia"/>
          <w:sz w:val="21"/>
          <w:szCs w:val="21"/>
        </w:rPr>
        <w:t xml:space="preserve">8、本基金的投资组合比例为：股票（含存托凭证）投资比例为基金资产的45％-90％；港股通标的股票的投资比例为股票资产的0%-50%；权证投资比例为基金资产净值的0-3%；每个交易日日终，在扣除股指期货、国债期货合约需缴纳的交易保证金后，应当保持不低于基金资产净值5%的现金或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9、本基金初始募集面值为人民币1.00元。在市场波动因素影响下，本基金净值可能低于初始面值，本基金投资者有可能出现亏损。  </w:t>
      </w:r>
    </w:p>
    <w:p>
      <w:pPr>
        <w:pStyle w:val="7"/>
        <w:spacing w:before="0" w:beforeAutospacing="0" w:after="0" w:afterAutospacing="0" w:line="360" w:lineRule="auto"/>
        <w:ind w:firstLine="420"/>
        <w:rPr>
          <w:sz w:val="21"/>
          <w:szCs w:val="21"/>
        </w:rPr>
      </w:pPr>
      <w:r>
        <w:rPr>
          <w:rFonts w:hint="eastAsia"/>
          <w:sz w:val="21"/>
          <w:szCs w:val="21"/>
        </w:rPr>
        <w:t xml:space="preserve">10、基金合同生效后，连续六十个工作日出现基金份额持有人数量不满二百人或者基金资产净值低于五千万元情形的，本基金应当按照基金合同约定的程序进行清算并终止，投资者将面临基金合同可能终止的不确定性风险。  </w:t>
      </w:r>
    </w:p>
    <w:p>
      <w:pPr>
        <w:pStyle w:val="7"/>
        <w:spacing w:before="0" w:beforeAutospacing="0" w:after="0" w:afterAutospacing="0" w:line="360" w:lineRule="auto"/>
        <w:ind w:firstLine="420"/>
        <w:rPr>
          <w:sz w:val="21"/>
          <w:szCs w:val="21"/>
        </w:rPr>
      </w:pPr>
      <w:r>
        <w:rPr>
          <w:rFonts w:hint="eastAsia"/>
          <w:sz w:val="21"/>
          <w:szCs w:val="21"/>
        </w:rPr>
        <w:t xml:space="preserve">11、基金的过往业绩并不预示其未来表现，基金管理人管理的其他基金的业绩也不构成对本基金业绩表现的保证。  </w:t>
      </w:r>
    </w:p>
    <w:p>
      <w:pPr>
        <w:pStyle w:val="7"/>
        <w:spacing w:before="0" w:beforeAutospacing="0" w:after="0" w:afterAutospacing="0" w:line="360" w:lineRule="auto"/>
        <w:ind w:firstLine="420"/>
        <w:rPr>
          <w:sz w:val="21"/>
          <w:szCs w:val="21"/>
        </w:rPr>
      </w:pPr>
      <w:r>
        <w:rPr>
          <w:rFonts w:hint="eastAsia"/>
          <w:sz w:val="21"/>
          <w:szCs w:val="21"/>
        </w:rPr>
        <w:t xml:space="preserve">12、基金管理人依照恪尽职守、诚实信用、谨慎勤勉的原则管理和运用基金财产，但不保证基金一定盈利，也不保证最低收益。  </w:t>
      </w:r>
    </w:p>
    <w:p>
      <w:pPr>
        <w:pStyle w:val="7"/>
        <w:spacing w:before="0" w:beforeAutospacing="0" w:after="0" w:afterAutospacing="0" w:line="360" w:lineRule="auto"/>
        <w:ind w:firstLine="420"/>
        <w:rPr>
          <w:sz w:val="21"/>
          <w:szCs w:val="21"/>
        </w:rPr>
      </w:pPr>
      <w:r>
        <w:rPr>
          <w:rFonts w:hint="eastAsia"/>
          <w:sz w:val="21"/>
          <w:szCs w:val="21"/>
        </w:rPr>
        <w:t>本招募说明书（更新）所载内容截止日</w:t>
      </w:r>
      <w:bookmarkStart w:id="3" w:name="field_2343_infoendday_1"/>
      <w:r>
        <w:rPr>
          <w:sz w:val="21"/>
          <w:szCs w:val="21"/>
        </w:rPr>
        <w:t>2023年</w:t>
      </w:r>
      <w:r>
        <w:rPr>
          <w:rFonts w:hint="eastAsia"/>
          <w:sz w:val="21"/>
          <w:szCs w:val="21"/>
        </w:rPr>
        <w:t>7</w:t>
      </w:r>
      <w:r>
        <w:rPr>
          <w:sz w:val="21"/>
          <w:szCs w:val="21"/>
        </w:rPr>
        <w:t>月</w:t>
      </w:r>
      <w:r>
        <w:rPr>
          <w:rFonts w:hint="eastAsia"/>
          <w:sz w:val="21"/>
          <w:szCs w:val="21"/>
        </w:rPr>
        <w:t>8</w:t>
      </w:r>
      <w:r>
        <w:rPr>
          <w:sz w:val="21"/>
          <w:szCs w:val="21"/>
        </w:rPr>
        <w:t>日</w:t>
      </w:r>
      <w:bookmarkEnd w:id="3"/>
      <w:r>
        <w:rPr>
          <w:rFonts w:hint="eastAsia"/>
          <w:sz w:val="21"/>
          <w:szCs w:val="21"/>
        </w:rPr>
        <w:t>，有关财务数据和净值表现截止日为</w:t>
      </w:r>
      <w:bookmarkStart w:id="4" w:name="field_2343_financeendday_1"/>
      <w:r>
        <w:rPr>
          <w:sz w:val="21"/>
          <w:szCs w:val="21"/>
        </w:rPr>
        <w:t>2022年6月30日</w:t>
      </w:r>
      <w:bookmarkEnd w:id="4"/>
      <w:r>
        <w:rPr>
          <w:rFonts w:hint="eastAsia"/>
          <w:sz w:val="21"/>
          <w:szCs w:val="21"/>
        </w:rPr>
        <w:t xml:space="preserve">（财务数据未经审计）。 </w:t>
      </w:r>
      <w:r>
        <w:rPr>
          <w:sz w:val="30"/>
        </w:rPr>
        <w:br w:type="page"/>
      </w:r>
    </w:p>
    <w:p>
      <w:pPr>
        <w:widowControl/>
        <w:jc w:val="center"/>
        <w:rPr>
          <w:rFonts w:ascii="宋体" w:hAnsi="宋体" w:eastAsia="宋体"/>
          <w:b/>
          <w:sz w:val="28"/>
        </w:rPr>
      </w:pPr>
      <w:r>
        <w:rPr>
          <w:rFonts w:hint="eastAsia" w:ascii="宋体" w:hAnsi="宋体" w:eastAsia="宋体"/>
          <w:b/>
          <w:sz w:val="28"/>
        </w:rPr>
        <w:t>目录</w:t>
      </w:r>
    </w:p>
    <w:p>
      <w:pPr>
        <w:pStyle w:val="6"/>
        <w:tabs>
          <w:tab w:val="right" w:leader="dot" w:pos="8290"/>
        </w:tabs>
        <w:spacing w:line="360" w:lineRule="auto"/>
        <w:rPr>
          <w:rFonts w:ascii="宋体" w:hAnsi="宋体" w:eastAsia="宋体"/>
        </w:rPr>
      </w:pPr>
      <w:r>
        <w:rPr>
          <w:rFonts w:ascii="宋体" w:hAnsi="宋体" w:eastAsia="宋体"/>
        </w:rPr>
        <w:fldChar w:fldCharType="begin"/>
      </w:r>
      <w:r>
        <w:rPr>
          <w:rFonts w:ascii="宋体" w:hAnsi="宋体" w:eastAsia="宋体"/>
        </w:rPr>
        <w:instrText xml:space="preserve"> TOC \o "1-2" \f 8 \h \t "2" </w:instrText>
      </w:r>
      <w:r>
        <w:rPr>
          <w:rFonts w:ascii="宋体" w:hAnsi="宋体" w:eastAsia="宋体"/>
        </w:rPr>
        <w:fldChar w:fldCharType="separate"/>
      </w:r>
      <w:r>
        <w:fldChar w:fldCharType="begin"/>
      </w:r>
      <w:r>
        <w:instrText xml:space="preserve"> HYPERLINK \l "_Toc113633882" </w:instrText>
      </w:r>
      <w:r>
        <w:fldChar w:fldCharType="separate"/>
      </w:r>
      <w:r>
        <w:rPr>
          <w:rStyle w:val="12"/>
          <w:rFonts w:hint="eastAsia" w:ascii="宋体" w:hAnsi="宋体" w:eastAsia="宋体"/>
          <w:u w:val="none"/>
        </w:rPr>
        <w:t>【重要提示】</w:t>
      </w:r>
      <w:r>
        <w:rPr>
          <w:rFonts w:ascii="宋体" w:hAnsi="宋体" w:eastAsia="宋体"/>
        </w:rPr>
        <w:tab/>
      </w:r>
      <w:r>
        <w:rPr>
          <w:rFonts w:ascii="宋体" w:hAnsi="宋体" w:eastAsia="宋体"/>
        </w:rPr>
        <w:fldChar w:fldCharType="begin"/>
      </w:r>
      <w:r>
        <w:rPr>
          <w:rFonts w:ascii="宋体" w:hAnsi="宋体" w:eastAsia="宋体"/>
        </w:rPr>
        <w:instrText xml:space="preserve"> PAGEREF _Toc113633882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"_Toc113633883" </w:instrText>
      </w:r>
      <w:r>
        <w:fldChar w:fldCharType="separate"/>
      </w:r>
      <w:r>
        <w:rPr>
          <w:rStyle w:val="12"/>
          <w:rFonts w:hint="eastAsia" w:ascii="宋体" w:hAnsi="宋体" w:eastAsia="宋体"/>
          <w:u w:val="none"/>
        </w:rPr>
        <w:t>第一部分</w:t>
      </w:r>
      <w:r>
        <w:rPr>
          <w:rStyle w:val="12"/>
          <w:rFonts w:ascii="宋体" w:hAnsi="宋体" w:eastAsia="宋体"/>
          <w:u w:val="none"/>
        </w:rPr>
        <w:t xml:space="preserve">  </w:t>
      </w:r>
      <w:r>
        <w:rPr>
          <w:rStyle w:val="12"/>
          <w:rFonts w:hint="eastAsia" w:ascii="宋体" w:hAnsi="宋体" w:eastAsia="宋体"/>
          <w:u w:val="none"/>
        </w:rPr>
        <w:t>绪言</w:t>
      </w:r>
      <w:r>
        <w:rPr>
          <w:rFonts w:ascii="宋体" w:hAnsi="宋体" w:eastAsia="宋体"/>
        </w:rPr>
        <w:tab/>
      </w:r>
      <w:r>
        <w:rPr>
          <w:rFonts w:ascii="宋体" w:hAnsi="宋体" w:eastAsia="宋体"/>
        </w:rPr>
        <w:fldChar w:fldCharType="begin"/>
      </w:r>
      <w:r>
        <w:rPr>
          <w:rFonts w:ascii="宋体" w:hAnsi="宋体" w:eastAsia="宋体"/>
        </w:rPr>
        <w:instrText xml:space="preserve"> PAGEREF _Toc113633883 \h </w:instrText>
      </w:r>
      <w:r>
        <w:rPr>
          <w:rFonts w:ascii="宋体" w:hAnsi="宋体" w:eastAsia="宋体"/>
        </w:rPr>
        <w:fldChar w:fldCharType="separate"/>
      </w:r>
      <w:r>
        <w:rPr>
          <w:rFonts w:ascii="宋体" w:hAnsi="宋体" w:eastAsia="宋体"/>
        </w:rPr>
        <w:t>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"_Toc113633884" </w:instrText>
      </w:r>
      <w:r>
        <w:fldChar w:fldCharType="separate"/>
      </w:r>
      <w:r>
        <w:rPr>
          <w:rStyle w:val="12"/>
          <w:rFonts w:hint="eastAsia" w:ascii="宋体" w:hAnsi="宋体" w:eastAsia="宋体"/>
          <w:u w:val="none"/>
        </w:rPr>
        <w:t>第二部分</w:t>
      </w:r>
      <w:r>
        <w:rPr>
          <w:rStyle w:val="12"/>
          <w:rFonts w:ascii="宋体" w:hAnsi="宋体" w:eastAsia="宋体"/>
          <w:u w:val="none"/>
        </w:rPr>
        <w:t xml:space="preserve">  </w:t>
      </w:r>
      <w:r>
        <w:rPr>
          <w:rStyle w:val="12"/>
          <w:rFonts w:hint="eastAsia" w:ascii="宋体" w:hAnsi="宋体" w:eastAsia="宋体"/>
          <w:u w:val="none"/>
        </w:rPr>
        <w:t>释义</w:t>
      </w:r>
      <w:r>
        <w:rPr>
          <w:rFonts w:ascii="宋体" w:hAnsi="宋体" w:eastAsia="宋体"/>
        </w:rPr>
        <w:tab/>
      </w:r>
      <w:r>
        <w:rPr>
          <w:rFonts w:ascii="宋体" w:hAnsi="宋体" w:eastAsia="宋体"/>
        </w:rPr>
        <w:fldChar w:fldCharType="begin"/>
      </w:r>
      <w:r>
        <w:rPr>
          <w:rFonts w:ascii="宋体" w:hAnsi="宋体" w:eastAsia="宋体"/>
        </w:rPr>
        <w:instrText xml:space="preserve"> PAGEREF _Toc113633884 \h </w:instrText>
      </w:r>
      <w:r>
        <w:rPr>
          <w:rFonts w:ascii="宋体" w:hAnsi="宋体" w:eastAsia="宋体"/>
        </w:rPr>
        <w:fldChar w:fldCharType="separate"/>
      </w:r>
      <w:r>
        <w:rPr>
          <w:rFonts w:ascii="宋体" w:hAnsi="宋体" w:eastAsia="宋体"/>
        </w:rPr>
        <w:t>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"_Toc113633885" </w:instrText>
      </w:r>
      <w:r>
        <w:fldChar w:fldCharType="separate"/>
      </w:r>
      <w:r>
        <w:rPr>
          <w:rStyle w:val="12"/>
          <w:rFonts w:hint="eastAsia" w:ascii="宋体" w:hAnsi="宋体" w:eastAsia="宋体"/>
          <w:u w:val="none"/>
        </w:rPr>
        <w:t>第三部分</w:t>
      </w:r>
      <w:r>
        <w:rPr>
          <w:rStyle w:val="12"/>
          <w:rFonts w:ascii="宋体" w:hAnsi="宋体" w:eastAsia="宋体"/>
          <w:u w:val="none"/>
        </w:rPr>
        <w:t xml:space="preserve">  </w:t>
      </w:r>
      <w:r>
        <w:rPr>
          <w:rStyle w:val="12"/>
          <w:rFonts w:hint="eastAsia" w:ascii="宋体" w:hAnsi="宋体" w:eastAsia="宋体"/>
          <w:u w:val="none"/>
        </w:rPr>
        <w:t>基金管理人</w:t>
      </w:r>
      <w:r>
        <w:rPr>
          <w:rFonts w:ascii="宋体" w:hAnsi="宋体" w:eastAsia="宋体"/>
        </w:rPr>
        <w:tab/>
      </w:r>
      <w:r>
        <w:rPr>
          <w:rFonts w:ascii="宋体" w:hAnsi="宋体" w:eastAsia="宋体"/>
        </w:rPr>
        <w:fldChar w:fldCharType="begin"/>
      </w:r>
      <w:r>
        <w:rPr>
          <w:rFonts w:ascii="宋体" w:hAnsi="宋体" w:eastAsia="宋体"/>
        </w:rPr>
        <w:instrText xml:space="preserve"> PAGEREF _Toc113633885 \h </w:instrText>
      </w:r>
      <w:r>
        <w:rPr>
          <w:rFonts w:ascii="宋体" w:hAnsi="宋体" w:eastAsia="宋体"/>
        </w:rPr>
        <w:fldChar w:fldCharType="separate"/>
      </w:r>
      <w:r>
        <w:rPr>
          <w:rFonts w:ascii="宋体" w:hAnsi="宋体" w:eastAsia="宋体"/>
        </w:rPr>
        <w:t>11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"_Toc113633886" </w:instrText>
      </w:r>
      <w:r>
        <w:fldChar w:fldCharType="separate"/>
      </w:r>
      <w:r>
        <w:rPr>
          <w:rStyle w:val="12"/>
          <w:rFonts w:hint="eastAsia" w:ascii="宋体" w:hAnsi="宋体" w:eastAsia="宋体"/>
          <w:u w:val="none"/>
        </w:rPr>
        <w:t>第四部分</w:t>
      </w:r>
      <w:r>
        <w:rPr>
          <w:rStyle w:val="12"/>
          <w:rFonts w:ascii="宋体" w:hAnsi="宋体" w:eastAsia="宋体"/>
          <w:u w:val="none"/>
        </w:rPr>
        <w:t xml:space="preserve">  </w:t>
      </w:r>
      <w:r>
        <w:rPr>
          <w:rStyle w:val="12"/>
          <w:rFonts w:hint="eastAsia" w:ascii="宋体" w:hAnsi="宋体" w:eastAsia="宋体"/>
          <w:u w:val="none"/>
        </w:rPr>
        <w:t>基金托管人</w:t>
      </w:r>
      <w:r>
        <w:rPr>
          <w:rFonts w:ascii="宋体" w:hAnsi="宋体" w:eastAsia="宋体"/>
        </w:rPr>
        <w:tab/>
      </w:r>
      <w:r>
        <w:rPr>
          <w:rFonts w:ascii="宋体" w:hAnsi="宋体" w:eastAsia="宋体"/>
        </w:rPr>
        <w:fldChar w:fldCharType="begin"/>
      </w:r>
      <w:r>
        <w:rPr>
          <w:rFonts w:ascii="宋体" w:hAnsi="宋体" w:eastAsia="宋体"/>
        </w:rPr>
        <w:instrText xml:space="preserve"> PAGEREF _Toc113633886 \h </w:instrText>
      </w:r>
      <w:r>
        <w:rPr>
          <w:rFonts w:ascii="宋体" w:hAnsi="宋体" w:eastAsia="宋体"/>
        </w:rPr>
        <w:fldChar w:fldCharType="separate"/>
      </w:r>
      <w:r>
        <w:rPr>
          <w:rFonts w:ascii="宋体" w:hAnsi="宋体" w:eastAsia="宋体"/>
        </w:rPr>
        <w:t>23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"_Toc113633887" </w:instrText>
      </w:r>
      <w:r>
        <w:fldChar w:fldCharType="separate"/>
      </w:r>
      <w:r>
        <w:rPr>
          <w:rStyle w:val="12"/>
          <w:rFonts w:hint="eastAsia" w:ascii="宋体" w:hAnsi="宋体" w:eastAsia="宋体"/>
          <w:u w:val="none"/>
        </w:rPr>
        <w:t>第五部分</w:t>
      </w:r>
      <w:r>
        <w:rPr>
          <w:rStyle w:val="12"/>
          <w:rFonts w:ascii="宋体" w:hAnsi="宋体" w:eastAsia="宋体"/>
          <w:u w:val="none"/>
        </w:rPr>
        <w:t xml:space="preserve">  </w:t>
      </w:r>
      <w:r>
        <w:rPr>
          <w:rStyle w:val="12"/>
          <w:rFonts w:hint="eastAsia" w:ascii="宋体" w:hAnsi="宋体" w:eastAsia="宋体"/>
          <w:u w:val="none"/>
        </w:rPr>
        <w:t>相关服务机构</w:t>
      </w:r>
      <w:r>
        <w:rPr>
          <w:rFonts w:ascii="宋体" w:hAnsi="宋体" w:eastAsia="宋体"/>
        </w:rPr>
        <w:tab/>
      </w:r>
      <w:r>
        <w:rPr>
          <w:rFonts w:ascii="宋体" w:hAnsi="宋体" w:eastAsia="宋体"/>
        </w:rPr>
        <w:fldChar w:fldCharType="begin"/>
      </w:r>
      <w:r>
        <w:rPr>
          <w:rFonts w:ascii="宋体" w:hAnsi="宋体" w:eastAsia="宋体"/>
        </w:rPr>
        <w:instrText xml:space="preserve"> PAGEREF _Toc113633887 \h </w:instrText>
      </w:r>
      <w:r>
        <w:rPr>
          <w:rFonts w:ascii="宋体" w:hAnsi="宋体" w:eastAsia="宋体"/>
        </w:rPr>
        <w:fldChar w:fldCharType="separate"/>
      </w:r>
      <w:r>
        <w:rPr>
          <w:rFonts w:ascii="宋体" w:hAnsi="宋体" w:eastAsia="宋体"/>
        </w:rPr>
        <w:t>25</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"_Toc113633888" </w:instrText>
      </w:r>
      <w:r>
        <w:fldChar w:fldCharType="separate"/>
      </w:r>
      <w:r>
        <w:rPr>
          <w:rStyle w:val="12"/>
          <w:rFonts w:hint="eastAsia" w:ascii="宋体" w:hAnsi="宋体" w:eastAsia="宋体"/>
          <w:u w:val="none"/>
        </w:rPr>
        <w:t>第六部分</w:t>
      </w:r>
      <w:r>
        <w:rPr>
          <w:rStyle w:val="12"/>
          <w:rFonts w:ascii="宋体" w:hAnsi="宋体" w:eastAsia="宋体"/>
          <w:u w:val="none"/>
        </w:rPr>
        <w:t xml:space="preserve">  </w:t>
      </w:r>
      <w:r>
        <w:rPr>
          <w:rStyle w:val="12"/>
          <w:rFonts w:hint="eastAsia" w:ascii="宋体" w:hAnsi="宋体" w:eastAsia="宋体"/>
          <w:u w:val="none"/>
        </w:rPr>
        <w:t>基金的募集与基金合同的生效</w:t>
      </w:r>
      <w:r>
        <w:rPr>
          <w:rFonts w:ascii="宋体" w:hAnsi="宋体" w:eastAsia="宋体"/>
        </w:rPr>
        <w:tab/>
      </w:r>
      <w:r>
        <w:rPr>
          <w:rFonts w:ascii="宋体" w:hAnsi="宋体" w:eastAsia="宋体"/>
        </w:rPr>
        <w:fldChar w:fldCharType="begin"/>
      </w:r>
      <w:r>
        <w:rPr>
          <w:rFonts w:ascii="宋体" w:hAnsi="宋体" w:eastAsia="宋体"/>
        </w:rPr>
        <w:instrText xml:space="preserve"> PAGEREF _Toc113633888 \h </w:instrText>
      </w:r>
      <w:r>
        <w:rPr>
          <w:rFonts w:ascii="宋体" w:hAnsi="宋体" w:eastAsia="宋体"/>
        </w:rPr>
        <w:fldChar w:fldCharType="separate"/>
      </w:r>
      <w:r>
        <w:rPr>
          <w:rFonts w:ascii="宋体" w:hAnsi="宋体" w:eastAsia="宋体"/>
        </w:rPr>
        <w:t>49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"_Toc113633889" </w:instrText>
      </w:r>
      <w:r>
        <w:fldChar w:fldCharType="separate"/>
      </w:r>
      <w:r>
        <w:rPr>
          <w:rStyle w:val="12"/>
          <w:rFonts w:hint="eastAsia" w:ascii="宋体" w:hAnsi="宋体" w:eastAsia="宋体"/>
          <w:u w:val="none"/>
        </w:rPr>
        <w:t>第七部分</w:t>
      </w:r>
      <w:r>
        <w:rPr>
          <w:rStyle w:val="12"/>
          <w:rFonts w:ascii="宋体" w:hAnsi="宋体" w:eastAsia="宋体"/>
          <w:u w:val="none"/>
        </w:rPr>
        <w:t xml:space="preserve">  </w:t>
      </w:r>
      <w:r>
        <w:rPr>
          <w:rStyle w:val="12"/>
          <w:rFonts w:hint="eastAsia" w:ascii="宋体" w:hAnsi="宋体" w:eastAsia="宋体"/>
          <w:u w:val="none"/>
        </w:rPr>
        <w:t>基金份额的申购与赎回</w:t>
      </w:r>
      <w:r>
        <w:rPr>
          <w:rFonts w:ascii="宋体" w:hAnsi="宋体" w:eastAsia="宋体"/>
        </w:rPr>
        <w:tab/>
      </w:r>
      <w:r>
        <w:rPr>
          <w:rFonts w:ascii="宋体" w:hAnsi="宋体" w:eastAsia="宋体"/>
        </w:rPr>
        <w:fldChar w:fldCharType="begin"/>
      </w:r>
      <w:r>
        <w:rPr>
          <w:rFonts w:ascii="宋体" w:hAnsi="宋体" w:eastAsia="宋体"/>
        </w:rPr>
        <w:instrText xml:space="preserve"> PAGEREF _Toc113633889 \h </w:instrText>
      </w:r>
      <w:r>
        <w:rPr>
          <w:rFonts w:ascii="宋体" w:hAnsi="宋体" w:eastAsia="宋体"/>
        </w:rPr>
        <w:fldChar w:fldCharType="separate"/>
      </w:r>
      <w:r>
        <w:rPr>
          <w:rFonts w:ascii="宋体" w:hAnsi="宋体" w:eastAsia="宋体"/>
        </w:rPr>
        <w:t>50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"_Toc113633890" </w:instrText>
      </w:r>
      <w:r>
        <w:fldChar w:fldCharType="separate"/>
      </w:r>
      <w:r>
        <w:rPr>
          <w:rStyle w:val="12"/>
          <w:rFonts w:hint="eastAsia" w:ascii="宋体" w:hAnsi="宋体" w:eastAsia="宋体"/>
          <w:u w:val="none"/>
        </w:rPr>
        <w:t>第八部分</w:t>
      </w:r>
      <w:r>
        <w:rPr>
          <w:rStyle w:val="12"/>
          <w:rFonts w:ascii="宋体" w:hAnsi="宋体" w:eastAsia="宋体"/>
          <w:u w:val="none"/>
        </w:rPr>
        <w:t xml:space="preserve">  </w:t>
      </w:r>
      <w:r>
        <w:rPr>
          <w:rStyle w:val="12"/>
          <w:rFonts w:hint="eastAsia" w:ascii="宋体" w:hAnsi="宋体" w:eastAsia="宋体"/>
          <w:u w:val="none"/>
        </w:rPr>
        <w:t>基金的投资</w:t>
      </w:r>
      <w:r>
        <w:rPr>
          <w:rFonts w:ascii="宋体" w:hAnsi="宋体" w:eastAsia="宋体"/>
        </w:rPr>
        <w:tab/>
      </w:r>
      <w:r>
        <w:rPr>
          <w:rFonts w:ascii="宋体" w:hAnsi="宋体" w:eastAsia="宋体"/>
        </w:rPr>
        <w:fldChar w:fldCharType="begin"/>
      </w:r>
      <w:r>
        <w:rPr>
          <w:rFonts w:ascii="宋体" w:hAnsi="宋体" w:eastAsia="宋体"/>
        </w:rPr>
        <w:instrText xml:space="preserve"> PAGEREF _Toc113633890 \h </w:instrText>
      </w:r>
      <w:r>
        <w:rPr>
          <w:rFonts w:ascii="宋体" w:hAnsi="宋体" w:eastAsia="宋体"/>
        </w:rPr>
        <w:fldChar w:fldCharType="separate"/>
      </w:r>
      <w:r>
        <w:rPr>
          <w:rFonts w:ascii="宋体" w:hAnsi="宋体" w:eastAsia="宋体"/>
        </w:rPr>
        <w:t>60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"_Toc113633891" </w:instrText>
      </w:r>
      <w:r>
        <w:fldChar w:fldCharType="separate"/>
      </w:r>
      <w:r>
        <w:rPr>
          <w:rStyle w:val="12"/>
          <w:rFonts w:hint="eastAsia" w:ascii="宋体" w:hAnsi="宋体" w:eastAsia="宋体"/>
          <w:u w:val="none"/>
        </w:rPr>
        <w:t>第九部分</w:t>
      </w:r>
      <w:r>
        <w:rPr>
          <w:rStyle w:val="12"/>
          <w:rFonts w:ascii="宋体" w:hAnsi="宋体" w:eastAsia="宋体"/>
          <w:u w:val="none"/>
        </w:rPr>
        <w:t xml:space="preserve">  </w:t>
      </w:r>
      <w:r>
        <w:rPr>
          <w:rStyle w:val="12"/>
          <w:rFonts w:hint="eastAsia" w:ascii="宋体" w:hAnsi="宋体" w:eastAsia="宋体"/>
          <w:u w:val="none"/>
        </w:rPr>
        <w:t>基金的业绩</w:t>
      </w:r>
      <w:r>
        <w:rPr>
          <w:rFonts w:ascii="宋体" w:hAnsi="宋体" w:eastAsia="宋体"/>
        </w:rPr>
        <w:tab/>
      </w:r>
      <w:r>
        <w:rPr>
          <w:rFonts w:ascii="宋体" w:hAnsi="宋体" w:eastAsia="宋体"/>
        </w:rPr>
        <w:fldChar w:fldCharType="begin"/>
      </w:r>
      <w:r>
        <w:rPr>
          <w:rFonts w:ascii="宋体" w:hAnsi="宋体" w:eastAsia="宋体"/>
        </w:rPr>
        <w:instrText xml:space="preserve"> PAGEREF _Toc113633891 \h </w:instrText>
      </w:r>
      <w:r>
        <w:rPr>
          <w:rFonts w:ascii="宋体" w:hAnsi="宋体" w:eastAsia="宋体"/>
        </w:rPr>
        <w:fldChar w:fldCharType="separate"/>
      </w:r>
      <w:r>
        <w:rPr>
          <w:rFonts w:ascii="宋体" w:hAnsi="宋体" w:eastAsia="宋体"/>
        </w:rPr>
        <w:t>71</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"_Toc113633892" </w:instrText>
      </w:r>
      <w:r>
        <w:fldChar w:fldCharType="separate"/>
      </w:r>
      <w:r>
        <w:rPr>
          <w:rStyle w:val="12"/>
          <w:rFonts w:hint="eastAsia" w:ascii="宋体" w:hAnsi="宋体" w:eastAsia="宋体"/>
          <w:u w:val="none"/>
        </w:rPr>
        <w:t>第十部分</w:t>
      </w:r>
      <w:r>
        <w:rPr>
          <w:rStyle w:val="12"/>
          <w:rFonts w:ascii="宋体" w:hAnsi="宋体" w:eastAsia="宋体"/>
          <w:u w:val="none"/>
        </w:rPr>
        <w:t xml:space="preserve">  </w:t>
      </w:r>
      <w:r>
        <w:rPr>
          <w:rStyle w:val="12"/>
          <w:rFonts w:hint="eastAsia" w:ascii="宋体" w:hAnsi="宋体" w:eastAsia="宋体"/>
          <w:u w:val="none"/>
        </w:rPr>
        <w:t>基金的财产</w:t>
      </w:r>
      <w:r>
        <w:rPr>
          <w:rFonts w:ascii="宋体" w:hAnsi="宋体" w:eastAsia="宋体"/>
        </w:rPr>
        <w:tab/>
      </w:r>
      <w:r>
        <w:rPr>
          <w:rFonts w:ascii="宋体" w:hAnsi="宋体" w:eastAsia="宋体"/>
        </w:rPr>
        <w:fldChar w:fldCharType="begin"/>
      </w:r>
      <w:r>
        <w:rPr>
          <w:rFonts w:ascii="宋体" w:hAnsi="宋体" w:eastAsia="宋体"/>
        </w:rPr>
        <w:instrText xml:space="preserve"> PAGEREF _Toc113633892 \h </w:instrText>
      </w:r>
      <w:r>
        <w:rPr>
          <w:rFonts w:ascii="宋体" w:hAnsi="宋体" w:eastAsia="宋体"/>
        </w:rPr>
        <w:fldChar w:fldCharType="separate"/>
      </w:r>
      <w:r>
        <w:rPr>
          <w:rFonts w:ascii="宋体" w:hAnsi="宋体" w:eastAsia="宋体"/>
        </w:rPr>
        <w:t>72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"_Toc113633893" </w:instrText>
      </w:r>
      <w:r>
        <w:fldChar w:fldCharType="separate"/>
      </w:r>
      <w:r>
        <w:rPr>
          <w:rStyle w:val="12"/>
          <w:rFonts w:hint="eastAsia" w:ascii="宋体" w:hAnsi="宋体" w:eastAsia="宋体"/>
          <w:u w:val="none"/>
        </w:rPr>
        <w:t>第十一部分</w:t>
      </w:r>
      <w:r>
        <w:rPr>
          <w:rStyle w:val="12"/>
          <w:rFonts w:ascii="宋体" w:hAnsi="宋体" w:eastAsia="宋体"/>
          <w:u w:val="none"/>
        </w:rPr>
        <w:t xml:space="preserve">  </w:t>
      </w:r>
      <w:r>
        <w:rPr>
          <w:rStyle w:val="12"/>
          <w:rFonts w:hint="eastAsia" w:ascii="宋体" w:hAnsi="宋体" w:eastAsia="宋体"/>
          <w:u w:val="none"/>
        </w:rPr>
        <w:t>基金资产的估值</w:t>
      </w:r>
      <w:r>
        <w:rPr>
          <w:rFonts w:ascii="宋体" w:hAnsi="宋体" w:eastAsia="宋体"/>
        </w:rPr>
        <w:tab/>
      </w:r>
      <w:r>
        <w:rPr>
          <w:rFonts w:ascii="宋体" w:hAnsi="宋体" w:eastAsia="宋体"/>
        </w:rPr>
        <w:fldChar w:fldCharType="begin"/>
      </w:r>
      <w:r>
        <w:rPr>
          <w:rFonts w:ascii="宋体" w:hAnsi="宋体" w:eastAsia="宋体"/>
        </w:rPr>
        <w:instrText xml:space="preserve"> PAGEREF _Toc113633893 \h </w:instrText>
      </w:r>
      <w:r>
        <w:rPr>
          <w:rFonts w:ascii="宋体" w:hAnsi="宋体" w:eastAsia="宋体"/>
        </w:rPr>
        <w:fldChar w:fldCharType="separate"/>
      </w:r>
      <w:r>
        <w:rPr>
          <w:rFonts w:ascii="宋体" w:hAnsi="宋体" w:eastAsia="宋体"/>
        </w:rPr>
        <w:t>73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"_Toc113633894" </w:instrText>
      </w:r>
      <w:r>
        <w:fldChar w:fldCharType="separate"/>
      </w:r>
      <w:r>
        <w:rPr>
          <w:rStyle w:val="12"/>
          <w:rFonts w:hint="eastAsia" w:ascii="宋体" w:hAnsi="宋体" w:eastAsia="宋体"/>
          <w:u w:val="none"/>
        </w:rPr>
        <w:t>第十二部分</w:t>
      </w:r>
      <w:r>
        <w:rPr>
          <w:rStyle w:val="12"/>
          <w:rFonts w:ascii="宋体" w:hAnsi="宋体" w:eastAsia="宋体"/>
          <w:u w:val="none"/>
        </w:rPr>
        <w:t xml:space="preserve">  </w:t>
      </w:r>
      <w:r>
        <w:rPr>
          <w:rStyle w:val="12"/>
          <w:rFonts w:hint="eastAsia" w:ascii="宋体" w:hAnsi="宋体" w:eastAsia="宋体"/>
          <w:u w:val="none"/>
        </w:rPr>
        <w:t>基金的收益分配</w:t>
      </w:r>
      <w:r>
        <w:rPr>
          <w:rFonts w:ascii="宋体" w:hAnsi="宋体" w:eastAsia="宋体"/>
        </w:rPr>
        <w:tab/>
      </w:r>
      <w:r>
        <w:rPr>
          <w:rFonts w:ascii="宋体" w:hAnsi="宋体" w:eastAsia="宋体"/>
        </w:rPr>
        <w:fldChar w:fldCharType="begin"/>
      </w:r>
      <w:r>
        <w:rPr>
          <w:rFonts w:ascii="宋体" w:hAnsi="宋体" w:eastAsia="宋体"/>
        </w:rPr>
        <w:instrText xml:space="preserve"> PAGEREF _Toc113633894 \h </w:instrText>
      </w:r>
      <w:r>
        <w:rPr>
          <w:rFonts w:ascii="宋体" w:hAnsi="宋体" w:eastAsia="宋体"/>
        </w:rPr>
        <w:fldChar w:fldCharType="separate"/>
      </w:r>
      <w:r>
        <w:rPr>
          <w:rFonts w:ascii="宋体" w:hAnsi="宋体" w:eastAsia="宋体"/>
        </w:rPr>
        <w:t>78</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"_Toc113633895" </w:instrText>
      </w:r>
      <w:r>
        <w:fldChar w:fldCharType="separate"/>
      </w:r>
      <w:r>
        <w:rPr>
          <w:rStyle w:val="12"/>
          <w:rFonts w:hint="eastAsia" w:ascii="宋体" w:hAnsi="宋体" w:eastAsia="宋体"/>
          <w:u w:val="none"/>
        </w:rPr>
        <w:t>第十三部分</w:t>
      </w:r>
      <w:r>
        <w:rPr>
          <w:rStyle w:val="12"/>
          <w:rFonts w:ascii="宋体" w:hAnsi="宋体" w:eastAsia="宋体"/>
          <w:u w:val="none"/>
        </w:rPr>
        <w:t xml:space="preserve">  </w:t>
      </w:r>
      <w:r>
        <w:rPr>
          <w:rStyle w:val="12"/>
          <w:rFonts w:hint="eastAsia" w:ascii="宋体" w:hAnsi="宋体" w:eastAsia="宋体"/>
          <w:u w:val="none"/>
        </w:rPr>
        <w:t>基金的费用与税收</w:t>
      </w:r>
      <w:r>
        <w:rPr>
          <w:rFonts w:ascii="宋体" w:hAnsi="宋体" w:eastAsia="宋体"/>
        </w:rPr>
        <w:tab/>
      </w:r>
      <w:r>
        <w:rPr>
          <w:rFonts w:ascii="宋体" w:hAnsi="宋体" w:eastAsia="宋体"/>
        </w:rPr>
        <w:fldChar w:fldCharType="begin"/>
      </w:r>
      <w:r>
        <w:rPr>
          <w:rFonts w:ascii="宋体" w:hAnsi="宋体" w:eastAsia="宋体"/>
        </w:rPr>
        <w:instrText xml:space="preserve"> PAGEREF _Toc113633895 \h </w:instrText>
      </w:r>
      <w:r>
        <w:rPr>
          <w:rFonts w:ascii="宋体" w:hAnsi="宋体" w:eastAsia="宋体"/>
        </w:rPr>
        <w:fldChar w:fldCharType="separate"/>
      </w:r>
      <w:r>
        <w:rPr>
          <w:rFonts w:ascii="宋体" w:hAnsi="宋体" w:eastAsia="宋体"/>
        </w:rPr>
        <w:t>80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"_Toc113633896" </w:instrText>
      </w:r>
      <w:r>
        <w:fldChar w:fldCharType="separate"/>
      </w:r>
      <w:r>
        <w:rPr>
          <w:rStyle w:val="12"/>
          <w:rFonts w:hint="eastAsia" w:ascii="宋体" w:hAnsi="宋体" w:eastAsia="宋体"/>
          <w:u w:val="none"/>
        </w:rPr>
        <w:t>第十四部分</w:t>
      </w:r>
      <w:r>
        <w:rPr>
          <w:rStyle w:val="12"/>
          <w:rFonts w:ascii="宋体" w:hAnsi="宋体" w:eastAsia="宋体"/>
          <w:u w:val="none"/>
        </w:rPr>
        <w:t xml:space="preserve">  </w:t>
      </w:r>
      <w:r>
        <w:rPr>
          <w:rStyle w:val="12"/>
          <w:rFonts w:hint="eastAsia" w:ascii="宋体" w:hAnsi="宋体" w:eastAsia="宋体"/>
          <w:u w:val="none"/>
        </w:rPr>
        <w:t>基金的会计与审计</w:t>
      </w:r>
      <w:r>
        <w:rPr>
          <w:rFonts w:ascii="宋体" w:hAnsi="宋体" w:eastAsia="宋体"/>
        </w:rPr>
        <w:tab/>
      </w:r>
      <w:r>
        <w:rPr>
          <w:rFonts w:ascii="宋体" w:hAnsi="宋体" w:eastAsia="宋体"/>
        </w:rPr>
        <w:fldChar w:fldCharType="begin"/>
      </w:r>
      <w:r>
        <w:rPr>
          <w:rFonts w:ascii="宋体" w:hAnsi="宋体" w:eastAsia="宋体"/>
        </w:rPr>
        <w:instrText xml:space="preserve"> PAGEREF _Toc113633896 \h </w:instrText>
      </w:r>
      <w:r>
        <w:rPr>
          <w:rFonts w:ascii="宋体" w:hAnsi="宋体" w:eastAsia="宋体"/>
        </w:rPr>
        <w:fldChar w:fldCharType="separate"/>
      </w:r>
      <w:r>
        <w:rPr>
          <w:rFonts w:ascii="宋体" w:hAnsi="宋体" w:eastAsia="宋体"/>
        </w:rPr>
        <w:t>82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"_Toc113633897" </w:instrText>
      </w:r>
      <w:r>
        <w:fldChar w:fldCharType="separate"/>
      </w:r>
      <w:r>
        <w:rPr>
          <w:rStyle w:val="12"/>
          <w:rFonts w:hint="eastAsia" w:ascii="宋体" w:hAnsi="宋体" w:eastAsia="宋体"/>
          <w:u w:val="none"/>
        </w:rPr>
        <w:t>第十五部分</w:t>
      </w:r>
      <w:r>
        <w:rPr>
          <w:rStyle w:val="12"/>
          <w:rFonts w:ascii="宋体" w:hAnsi="宋体" w:eastAsia="宋体"/>
          <w:u w:val="none"/>
        </w:rPr>
        <w:t xml:space="preserve">  </w:t>
      </w:r>
      <w:r>
        <w:rPr>
          <w:rStyle w:val="12"/>
          <w:rFonts w:hint="eastAsia" w:ascii="宋体" w:hAnsi="宋体" w:eastAsia="宋体"/>
          <w:u w:val="none"/>
        </w:rPr>
        <w:t>基金的信息披露</w:t>
      </w:r>
      <w:r>
        <w:rPr>
          <w:rFonts w:ascii="宋体" w:hAnsi="宋体" w:eastAsia="宋体"/>
        </w:rPr>
        <w:tab/>
      </w:r>
      <w:r>
        <w:rPr>
          <w:rFonts w:ascii="宋体" w:hAnsi="宋体" w:eastAsia="宋体"/>
        </w:rPr>
        <w:fldChar w:fldCharType="begin"/>
      </w:r>
      <w:r>
        <w:rPr>
          <w:rFonts w:ascii="宋体" w:hAnsi="宋体" w:eastAsia="宋体"/>
        </w:rPr>
        <w:instrText xml:space="preserve"> PAGEREF _Toc113633897 \h </w:instrText>
      </w:r>
      <w:r>
        <w:rPr>
          <w:rFonts w:ascii="宋体" w:hAnsi="宋体" w:eastAsia="宋体"/>
        </w:rPr>
        <w:fldChar w:fldCharType="separate"/>
      </w:r>
      <w:r>
        <w:rPr>
          <w:rFonts w:ascii="宋体" w:hAnsi="宋体" w:eastAsia="宋体"/>
        </w:rPr>
        <w:t>83</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"_Toc113633898" </w:instrText>
      </w:r>
      <w:r>
        <w:fldChar w:fldCharType="separate"/>
      </w:r>
      <w:r>
        <w:rPr>
          <w:rStyle w:val="12"/>
          <w:rFonts w:hint="eastAsia" w:ascii="宋体" w:hAnsi="宋体" w:eastAsia="宋体"/>
          <w:u w:val="none"/>
        </w:rPr>
        <w:t>第十六部分</w:t>
      </w:r>
      <w:r>
        <w:rPr>
          <w:rStyle w:val="12"/>
          <w:rFonts w:ascii="宋体" w:hAnsi="宋体" w:eastAsia="宋体"/>
          <w:u w:val="none"/>
        </w:rPr>
        <w:t xml:space="preserve">  </w:t>
      </w:r>
      <w:r>
        <w:rPr>
          <w:rStyle w:val="12"/>
          <w:rFonts w:hint="eastAsia" w:ascii="宋体" w:hAnsi="宋体" w:eastAsia="宋体"/>
          <w:u w:val="none"/>
        </w:rPr>
        <w:t>风险揭示</w:t>
      </w:r>
      <w:r>
        <w:rPr>
          <w:rFonts w:ascii="宋体" w:hAnsi="宋体" w:eastAsia="宋体"/>
        </w:rPr>
        <w:tab/>
      </w:r>
      <w:r>
        <w:rPr>
          <w:rFonts w:ascii="宋体" w:hAnsi="宋体" w:eastAsia="宋体"/>
        </w:rPr>
        <w:fldChar w:fldCharType="begin"/>
      </w:r>
      <w:r>
        <w:rPr>
          <w:rFonts w:ascii="宋体" w:hAnsi="宋体" w:eastAsia="宋体"/>
        </w:rPr>
        <w:instrText xml:space="preserve"> PAGEREF _Toc113633898 \h </w:instrText>
      </w:r>
      <w:r>
        <w:rPr>
          <w:rFonts w:ascii="宋体" w:hAnsi="宋体" w:eastAsia="宋体"/>
        </w:rPr>
        <w:fldChar w:fldCharType="separate"/>
      </w:r>
      <w:r>
        <w:rPr>
          <w:rFonts w:ascii="宋体" w:hAnsi="宋体" w:eastAsia="宋体"/>
        </w:rPr>
        <w:t>90</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"_Toc113633899" </w:instrText>
      </w:r>
      <w:r>
        <w:fldChar w:fldCharType="separate"/>
      </w:r>
      <w:r>
        <w:rPr>
          <w:rStyle w:val="12"/>
          <w:rFonts w:hint="eastAsia" w:ascii="宋体" w:hAnsi="宋体" w:eastAsia="宋体"/>
          <w:u w:val="none"/>
        </w:rPr>
        <w:t>第十七部分</w:t>
      </w:r>
      <w:r>
        <w:rPr>
          <w:rStyle w:val="12"/>
          <w:rFonts w:ascii="宋体" w:hAnsi="宋体" w:eastAsia="宋体"/>
          <w:u w:val="none"/>
        </w:rPr>
        <w:t xml:space="preserve">  </w:t>
      </w:r>
      <w:r>
        <w:rPr>
          <w:rStyle w:val="12"/>
          <w:rFonts w:hint="eastAsia" w:ascii="宋体" w:hAnsi="宋体" w:eastAsia="宋体"/>
          <w:u w:val="none"/>
        </w:rPr>
        <w:t>基金合同的变更、终止与基金财产的清算</w:t>
      </w:r>
      <w:r>
        <w:rPr>
          <w:rFonts w:ascii="宋体" w:hAnsi="宋体" w:eastAsia="宋体"/>
        </w:rPr>
        <w:tab/>
      </w:r>
      <w:r>
        <w:rPr>
          <w:rFonts w:ascii="宋体" w:hAnsi="宋体" w:eastAsia="宋体"/>
        </w:rPr>
        <w:fldChar w:fldCharType="begin"/>
      </w:r>
      <w:r>
        <w:rPr>
          <w:rFonts w:ascii="宋体" w:hAnsi="宋体" w:eastAsia="宋体"/>
        </w:rPr>
        <w:instrText xml:space="preserve"> PAGEREF _Toc113633899 \h </w:instrText>
      </w:r>
      <w:r>
        <w:rPr>
          <w:rFonts w:ascii="宋体" w:hAnsi="宋体" w:eastAsia="宋体"/>
        </w:rPr>
        <w:fldChar w:fldCharType="separate"/>
      </w:r>
      <w:r>
        <w:rPr>
          <w:rFonts w:ascii="宋体" w:hAnsi="宋体" w:eastAsia="宋体"/>
        </w:rPr>
        <w:t>97</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"_Toc113633900" </w:instrText>
      </w:r>
      <w:r>
        <w:fldChar w:fldCharType="separate"/>
      </w:r>
      <w:r>
        <w:rPr>
          <w:rStyle w:val="12"/>
          <w:rFonts w:hint="eastAsia" w:ascii="宋体" w:hAnsi="宋体" w:eastAsia="宋体"/>
          <w:u w:val="none"/>
        </w:rPr>
        <w:t>第十八部分</w:t>
      </w:r>
      <w:r>
        <w:rPr>
          <w:rStyle w:val="12"/>
          <w:rFonts w:ascii="宋体" w:hAnsi="宋体" w:eastAsia="宋体"/>
          <w:u w:val="none"/>
        </w:rPr>
        <w:t xml:space="preserve">  </w:t>
      </w:r>
      <w:r>
        <w:rPr>
          <w:rStyle w:val="12"/>
          <w:rFonts w:hint="eastAsia" w:ascii="宋体" w:hAnsi="宋体" w:eastAsia="宋体"/>
          <w:u w:val="none"/>
        </w:rPr>
        <w:t>基金合同的内容摘要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_Toc113633900 \h </w:instrText>
      </w:r>
      <w:r>
        <w:rPr>
          <w:rFonts w:ascii="宋体" w:hAnsi="宋体" w:eastAsia="宋体"/>
        </w:rPr>
        <w:fldChar w:fldCharType="separate"/>
      </w:r>
      <w:r>
        <w:rPr>
          <w:rFonts w:ascii="宋体" w:hAnsi="宋体" w:eastAsia="宋体"/>
        </w:rPr>
        <w:t>99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"_Toc113633901" </w:instrText>
      </w:r>
      <w:r>
        <w:fldChar w:fldCharType="separate"/>
      </w:r>
      <w:r>
        <w:rPr>
          <w:rStyle w:val="12"/>
          <w:rFonts w:hint="eastAsia" w:ascii="宋体" w:hAnsi="宋体" w:eastAsia="宋体"/>
          <w:u w:val="none"/>
        </w:rPr>
        <w:t>第十九部分</w:t>
      </w:r>
      <w:r>
        <w:rPr>
          <w:rStyle w:val="12"/>
          <w:rFonts w:ascii="宋体" w:hAnsi="宋体" w:eastAsia="宋体"/>
          <w:u w:val="none"/>
        </w:rPr>
        <w:t xml:space="preserve">  </w:t>
      </w:r>
      <w:r>
        <w:rPr>
          <w:rStyle w:val="12"/>
          <w:rFonts w:hint="eastAsia" w:ascii="宋体" w:hAnsi="宋体" w:eastAsia="宋体"/>
          <w:u w:val="none"/>
        </w:rPr>
        <w:t>基金托管协议的内容摘要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_Toc113633901 \h </w:instrText>
      </w:r>
      <w:r>
        <w:rPr>
          <w:rFonts w:ascii="宋体" w:hAnsi="宋体" w:eastAsia="宋体"/>
        </w:rPr>
        <w:fldChar w:fldCharType="separate"/>
      </w:r>
      <w:r>
        <w:rPr>
          <w:rFonts w:ascii="宋体" w:hAnsi="宋体" w:eastAsia="宋体"/>
        </w:rPr>
        <w:t>114</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"_Toc113633902" </w:instrText>
      </w:r>
      <w:r>
        <w:fldChar w:fldCharType="separate"/>
      </w:r>
      <w:r>
        <w:rPr>
          <w:rStyle w:val="12"/>
          <w:rFonts w:hint="eastAsia" w:ascii="宋体" w:hAnsi="宋体" w:eastAsia="宋体"/>
          <w:u w:val="none"/>
        </w:rPr>
        <w:t>第二十部分</w:t>
      </w:r>
      <w:r>
        <w:rPr>
          <w:rStyle w:val="12"/>
          <w:rFonts w:ascii="宋体" w:hAnsi="宋体" w:eastAsia="宋体"/>
          <w:u w:val="none"/>
        </w:rPr>
        <w:t xml:space="preserve">  </w:t>
      </w:r>
      <w:r>
        <w:rPr>
          <w:rStyle w:val="12"/>
          <w:rFonts w:hint="eastAsia" w:ascii="宋体" w:hAnsi="宋体" w:eastAsia="宋体"/>
          <w:u w:val="none"/>
        </w:rPr>
        <w:t>对基金份额持有人的服务</w:t>
      </w:r>
      <w:r>
        <w:rPr>
          <w:rFonts w:ascii="宋体" w:hAnsi="宋体" w:eastAsia="宋体"/>
        </w:rPr>
        <w:tab/>
      </w:r>
      <w:r>
        <w:rPr>
          <w:rFonts w:ascii="宋体" w:hAnsi="宋体" w:eastAsia="宋体"/>
        </w:rPr>
        <w:fldChar w:fldCharType="begin"/>
      </w:r>
      <w:r>
        <w:rPr>
          <w:rFonts w:ascii="宋体" w:hAnsi="宋体" w:eastAsia="宋体"/>
        </w:rPr>
        <w:instrText xml:space="preserve"> PAGEREF _Toc113633902 \h </w:instrText>
      </w:r>
      <w:r>
        <w:rPr>
          <w:rFonts w:ascii="宋体" w:hAnsi="宋体" w:eastAsia="宋体"/>
        </w:rPr>
        <w:fldChar w:fldCharType="separate"/>
      </w:r>
      <w:r>
        <w:rPr>
          <w:rFonts w:ascii="宋体" w:hAnsi="宋体" w:eastAsia="宋体"/>
        </w:rPr>
        <w:t>126</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"_Toc113633903" </w:instrText>
      </w:r>
      <w:r>
        <w:fldChar w:fldCharType="separate"/>
      </w:r>
      <w:r>
        <w:rPr>
          <w:rStyle w:val="12"/>
          <w:rFonts w:hint="eastAsia" w:ascii="宋体" w:hAnsi="宋体" w:eastAsia="宋体"/>
          <w:u w:val="none"/>
        </w:rPr>
        <w:t>第二十一部分</w:t>
      </w:r>
      <w:r>
        <w:rPr>
          <w:rStyle w:val="12"/>
          <w:rFonts w:ascii="宋体" w:hAnsi="宋体" w:eastAsia="宋体"/>
          <w:u w:val="none"/>
        </w:rPr>
        <w:t xml:space="preserve">  </w:t>
      </w:r>
      <w:r>
        <w:rPr>
          <w:rStyle w:val="12"/>
          <w:rFonts w:hint="eastAsia" w:ascii="宋体" w:hAnsi="宋体" w:eastAsia="宋体"/>
          <w:u w:val="none"/>
        </w:rPr>
        <w:t>其他应披露的事项</w:t>
      </w:r>
      <w:r>
        <w:rPr>
          <w:rFonts w:ascii="宋体" w:hAnsi="宋体" w:eastAsia="宋体"/>
        </w:rPr>
        <w:tab/>
      </w:r>
      <w:r>
        <w:rPr>
          <w:rFonts w:ascii="宋体" w:hAnsi="宋体" w:eastAsia="宋体"/>
        </w:rPr>
        <w:fldChar w:fldCharType="begin"/>
      </w:r>
      <w:r>
        <w:rPr>
          <w:rFonts w:ascii="宋体" w:hAnsi="宋体" w:eastAsia="宋体"/>
        </w:rPr>
        <w:instrText xml:space="preserve"> PAGEREF _Toc113633903 \h </w:instrText>
      </w:r>
      <w:r>
        <w:rPr>
          <w:rFonts w:ascii="宋体" w:hAnsi="宋体" w:eastAsia="宋体"/>
        </w:rPr>
        <w:fldChar w:fldCharType="separate"/>
      </w:r>
      <w:r>
        <w:rPr>
          <w:rFonts w:ascii="宋体" w:hAnsi="宋体" w:eastAsia="宋体"/>
        </w:rPr>
        <w:t>129</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"_Toc113633904" </w:instrText>
      </w:r>
      <w:r>
        <w:fldChar w:fldCharType="separate"/>
      </w:r>
      <w:r>
        <w:rPr>
          <w:rStyle w:val="12"/>
          <w:rFonts w:hint="eastAsia" w:ascii="宋体" w:hAnsi="宋体" w:eastAsia="宋体"/>
          <w:u w:val="none"/>
        </w:rPr>
        <w:t>第二十二部分</w:t>
      </w:r>
      <w:r>
        <w:rPr>
          <w:rStyle w:val="12"/>
          <w:rFonts w:ascii="宋体" w:hAnsi="宋体" w:eastAsia="宋体"/>
          <w:u w:val="none"/>
        </w:rPr>
        <w:t xml:space="preserve">  </w:t>
      </w:r>
      <w:r>
        <w:rPr>
          <w:rStyle w:val="12"/>
          <w:rFonts w:hint="eastAsia" w:ascii="宋体" w:hAnsi="宋体" w:eastAsia="宋体"/>
          <w:u w:val="none"/>
        </w:rPr>
        <w:t>招募说明书存放及查阅方式</w:t>
      </w:r>
      <w:r>
        <w:rPr>
          <w:rFonts w:ascii="宋体" w:hAnsi="宋体" w:eastAsia="宋体"/>
        </w:rPr>
        <w:tab/>
      </w:r>
      <w:r>
        <w:rPr>
          <w:rFonts w:ascii="宋体" w:hAnsi="宋体" w:eastAsia="宋体"/>
        </w:rPr>
        <w:fldChar w:fldCharType="begin"/>
      </w:r>
      <w:r>
        <w:rPr>
          <w:rFonts w:ascii="宋体" w:hAnsi="宋体" w:eastAsia="宋体"/>
        </w:rPr>
        <w:instrText xml:space="preserve"> PAGEREF _Toc113633904 \h </w:instrText>
      </w:r>
      <w:r>
        <w:rPr>
          <w:rFonts w:ascii="宋体" w:hAnsi="宋体" w:eastAsia="宋体"/>
        </w:rPr>
        <w:fldChar w:fldCharType="separate"/>
      </w:r>
      <w:r>
        <w:rPr>
          <w:rFonts w:ascii="宋体" w:hAnsi="宋体" w:eastAsia="宋体"/>
        </w:rPr>
        <w:t>132</w:t>
      </w:r>
      <w:r>
        <w:rPr>
          <w:rFonts w:ascii="宋体" w:hAnsi="宋体" w:eastAsia="宋体"/>
        </w:rPr>
        <w:fldChar w:fldCharType="end"/>
      </w:r>
      <w:r>
        <w:rPr>
          <w:rFonts w:ascii="宋体" w:hAnsi="宋体" w:eastAsia="宋体"/>
        </w:rPr>
        <w:fldChar w:fldCharType="end"/>
      </w:r>
    </w:p>
    <w:p>
      <w:pPr>
        <w:pStyle w:val="6"/>
        <w:tabs>
          <w:tab w:val="right" w:leader="dot" w:pos="8290"/>
        </w:tabs>
        <w:spacing w:line="360" w:lineRule="auto"/>
        <w:rPr>
          <w:rFonts w:ascii="宋体" w:hAnsi="宋体" w:eastAsia="宋体"/>
        </w:rPr>
      </w:pPr>
      <w:r>
        <w:fldChar w:fldCharType="begin"/>
      </w:r>
      <w:r>
        <w:instrText xml:space="preserve"> HYPERLINK \l "_Toc113633905" </w:instrText>
      </w:r>
      <w:r>
        <w:fldChar w:fldCharType="separate"/>
      </w:r>
      <w:r>
        <w:rPr>
          <w:rStyle w:val="12"/>
          <w:rFonts w:hint="eastAsia" w:ascii="宋体" w:hAnsi="宋体" w:eastAsia="宋体"/>
          <w:u w:val="none"/>
        </w:rPr>
        <w:t>第二十三部分</w:t>
      </w:r>
      <w:r>
        <w:rPr>
          <w:rStyle w:val="12"/>
          <w:rFonts w:ascii="宋体" w:hAnsi="宋体" w:eastAsia="宋体"/>
          <w:u w:val="none"/>
        </w:rPr>
        <w:t xml:space="preserve">  </w:t>
      </w:r>
      <w:r>
        <w:rPr>
          <w:rStyle w:val="12"/>
          <w:rFonts w:hint="eastAsia" w:ascii="宋体" w:hAnsi="宋体" w:eastAsia="宋体"/>
          <w:u w:val="none"/>
        </w:rPr>
        <w:t>备查文件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_Toc113633905 \h </w:instrText>
      </w:r>
      <w:r>
        <w:rPr>
          <w:rFonts w:ascii="宋体" w:hAnsi="宋体" w:eastAsia="宋体"/>
        </w:rPr>
        <w:fldChar w:fldCharType="separate"/>
      </w:r>
      <w:r>
        <w:rPr>
          <w:rFonts w:ascii="宋体" w:hAnsi="宋体" w:eastAsia="宋体"/>
        </w:rPr>
        <w:t>133</w:t>
      </w:r>
      <w:r>
        <w:rPr>
          <w:rFonts w:ascii="宋体" w:hAnsi="宋体" w:eastAsia="宋体"/>
        </w:rPr>
        <w:fldChar w:fldCharType="end"/>
      </w:r>
      <w:r>
        <w:rPr>
          <w:rFonts w:ascii="宋体" w:hAnsi="宋体" w:eastAsia="宋体"/>
        </w:rPr>
        <w:fldChar w:fldCharType="end"/>
      </w:r>
    </w:p>
    <w:p>
      <w:pPr>
        <w:widowControl/>
        <w:spacing w:line="360" w:lineRule="auto"/>
        <w:ind w:left="-2" w:leftChars="-1"/>
        <w:jc w:val="center"/>
        <w:rPr>
          <w:rFonts w:ascii="宋体" w:hAnsi="宋体" w:eastAsia="宋体"/>
          <w:b/>
          <w:sz w:val="28"/>
        </w:rPr>
      </w:pPr>
      <w:r>
        <w:rPr>
          <w:rFonts w:ascii="宋体" w:hAnsi="宋体" w:eastAsia="宋体"/>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 w:name="_Toc113633883"/>
      <w:bookmarkStart w:id="6" w:name="chapter_level1_3_2344"/>
      <w:r>
        <w:rPr>
          <w:rFonts w:hint="eastAsia" w:ascii="宋体" w:hAnsi="宋体" w:eastAsia="宋体"/>
          <w:sz w:val="30"/>
        </w:rPr>
        <w:t>第一部分  绪言</w:t>
      </w:r>
      <w:bookmarkEnd w:id="5"/>
      <w:bookmarkEnd w:id="6"/>
    </w:p>
    <w:p>
      <w:pPr>
        <w:pStyle w:val="7"/>
        <w:spacing w:before="0" w:beforeAutospacing="0" w:after="0" w:afterAutospacing="0" w:line="360" w:lineRule="auto"/>
        <w:ind w:firstLine="420"/>
        <w:rPr>
          <w:sz w:val="21"/>
          <w:szCs w:val="21"/>
        </w:rPr>
      </w:pPr>
      <w:bookmarkStart w:id="7" w:name="chapter_level1_3_2344_section_1"/>
      <w:bookmarkEnd w:id="7"/>
      <w:r>
        <w:rPr>
          <w:rFonts w:hint="eastAsia"/>
          <w:sz w:val="21"/>
          <w:szCs w:val="21"/>
        </w:rPr>
        <w:t>《</w:t>
      </w:r>
      <w:bookmarkStart w:id="8" w:name="field_0_productfullname_1"/>
      <w:r>
        <w:rPr>
          <w:rFonts w:hint="eastAsia"/>
          <w:sz w:val="21"/>
          <w:szCs w:val="21"/>
        </w:rPr>
        <w:t>博时汇悦回报混合型证券投资基金</w:t>
      </w:r>
      <w:bookmarkEnd w:id="8"/>
      <w:r>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以及《</w:t>
      </w:r>
      <w:bookmarkStart w:id="9" w:name="field_0_productfullname_2"/>
      <w:r>
        <w:rPr>
          <w:rFonts w:hint="eastAsia"/>
          <w:sz w:val="21"/>
          <w:szCs w:val="21"/>
        </w:rPr>
        <w:t>博时汇悦回报混合型证券投资基金</w:t>
      </w:r>
      <w:bookmarkEnd w:id="9"/>
      <w:r>
        <w:rPr>
          <w:rFonts w:hint="eastAsia"/>
          <w:sz w:val="21"/>
          <w:szCs w:val="21"/>
        </w:rPr>
        <w:t xml:space="preserve">基金合同》（以下简称“基金合同”）编写。  </w:t>
      </w:r>
    </w:p>
    <w:p>
      <w:pPr>
        <w:pStyle w:val="7"/>
        <w:spacing w:before="0" w:beforeAutospacing="0" w:after="0" w:afterAutospacing="0" w:line="360" w:lineRule="auto"/>
        <w:ind w:firstLine="420"/>
        <w:rPr>
          <w:sz w:val="21"/>
          <w:szCs w:val="21"/>
        </w:rPr>
      </w:pPr>
      <w:r>
        <w:rPr>
          <w:rFonts w:hint="eastAsia"/>
          <w:sz w:val="21"/>
          <w:szCs w:val="21"/>
        </w:rPr>
        <w:t>本招募说明书阐述了</w:t>
      </w:r>
      <w:bookmarkStart w:id="10" w:name="field_0_productfullname_3"/>
      <w:r>
        <w:rPr>
          <w:rFonts w:hint="eastAsia"/>
          <w:sz w:val="21"/>
          <w:szCs w:val="21"/>
        </w:rPr>
        <w:t>博时汇悦回报混合型证券投资基金</w:t>
      </w:r>
      <w:bookmarkEnd w:id="10"/>
      <w:r>
        <w:rPr>
          <w:rFonts w:hint="eastAsia"/>
          <w:sz w:val="21"/>
          <w:szCs w:val="21"/>
        </w:rPr>
        <w:t xml:space="preserve">的投资目标、策略、风险、费率等与投资人投资决策有关的必要事项，投资人在作出投资决策前应仔细阅读本招募说明书。 </w:t>
      </w:r>
    </w:p>
    <w:p>
      <w:pPr>
        <w:pStyle w:val="7"/>
        <w:spacing w:before="0" w:beforeAutospacing="0" w:after="0" w:afterAutospacing="0" w:line="360" w:lineRule="auto"/>
        <w:ind w:firstLine="420"/>
        <w:rPr>
          <w:sz w:val="21"/>
          <w:szCs w:val="21"/>
        </w:rPr>
      </w:pPr>
      <w:r>
        <w:rPr>
          <w:rFonts w:hint="eastAsia"/>
          <w:sz w:val="21"/>
          <w:szCs w:val="21"/>
        </w:rPr>
        <w:t xml:space="preserve">基金管理人承诺本招募说明书不存在任何虚假记载、误导性陈述或重大遗漏，并对其真实性、准确性、完整性承担法律责任。 </w:t>
      </w:r>
    </w:p>
    <w:p>
      <w:pPr>
        <w:pStyle w:val="7"/>
        <w:spacing w:before="0" w:beforeAutospacing="0" w:after="0" w:afterAutospacing="0" w:line="360" w:lineRule="auto"/>
        <w:ind w:firstLine="420"/>
        <w:rPr>
          <w:sz w:val="21"/>
          <w:szCs w:val="21"/>
        </w:rPr>
      </w:pPr>
      <w:bookmarkStart w:id="11" w:name="field_0_productfullname_4"/>
      <w:r>
        <w:rPr>
          <w:rFonts w:hint="eastAsia"/>
          <w:sz w:val="21"/>
          <w:szCs w:val="21"/>
        </w:rPr>
        <w:t>博时汇悦回报混合型证券投资基金</w:t>
      </w:r>
      <w:bookmarkEnd w:id="11"/>
      <w:r>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pPr>
        <w:pStyle w:val="7"/>
        <w:spacing w:before="0" w:beforeAutospacing="0" w:after="0" w:afterAutospacing="0" w:line="360" w:lineRule="auto"/>
        <w:ind w:firstLine="420"/>
        <w:rPr>
          <w:sz w:val="21"/>
          <w:szCs w:val="21"/>
        </w:rPr>
      </w:pPr>
      <w:r>
        <w:rPr>
          <w:rFonts w:hint="eastAsia"/>
          <w:sz w:val="21"/>
          <w:szCs w:val="21"/>
        </w:rPr>
        <w:t>本招募说明书根据本基金的基金合同编写，并经中国证券监督管理委员会（以下简称“中国证监会”）注册。基金合同是约定基金合同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w:t>
      </w:r>
      <w:bookmarkStart w:id="12" w:name="chapter_level1_3_2344_section_1_end"/>
      <w:bookmarkEnd w:id="12"/>
      <w:r>
        <w:rPr>
          <w:rFonts w:hint="eastAsia"/>
          <w:sz w:val="21"/>
          <w:szCs w:val="21"/>
        </w:rPr>
        <w:t xml:space="preserve">金合同。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3" w:name="_Toc113633884"/>
      <w:bookmarkStart w:id="14" w:name="chapter_level1_4_49"/>
      <w:r>
        <w:rPr>
          <w:rFonts w:hint="eastAsia" w:ascii="宋体" w:hAnsi="宋体" w:eastAsia="宋体"/>
          <w:sz w:val="30"/>
        </w:rPr>
        <w:t>第二部分  释义</w:t>
      </w:r>
      <w:bookmarkEnd w:id="13"/>
      <w:bookmarkEnd w:id="14"/>
    </w:p>
    <w:p>
      <w:pPr>
        <w:pStyle w:val="7"/>
        <w:spacing w:before="0" w:beforeAutospacing="0" w:after="0" w:afterAutospacing="0" w:line="360" w:lineRule="auto"/>
        <w:ind w:firstLine="420"/>
        <w:rPr>
          <w:sz w:val="21"/>
          <w:szCs w:val="21"/>
        </w:rPr>
      </w:pPr>
      <w:bookmarkStart w:id="15" w:name="chapter_level1_4_49_section_1"/>
      <w:bookmarkEnd w:id="15"/>
      <w:r>
        <w:rPr>
          <w:rFonts w:hint="eastAsia"/>
          <w:sz w:val="21"/>
          <w:szCs w:val="21"/>
        </w:rPr>
        <w:t xml:space="preserve">在本招募说明书中，除非文意另有所指，下列词语或简称具有如下含义：    </w:t>
      </w:r>
    </w:p>
    <w:p>
      <w:pPr>
        <w:pStyle w:val="7"/>
        <w:spacing w:before="0" w:beforeAutospacing="0" w:after="0" w:afterAutospacing="0" w:line="360" w:lineRule="auto"/>
        <w:ind w:firstLine="420"/>
        <w:rPr>
          <w:sz w:val="21"/>
          <w:szCs w:val="21"/>
        </w:rPr>
      </w:pPr>
      <w:r>
        <w:rPr>
          <w:rFonts w:hint="eastAsia"/>
          <w:sz w:val="21"/>
          <w:szCs w:val="21"/>
        </w:rPr>
        <w:t>1、基金或本基金：指</w:t>
      </w:r>
      <w:bookmarkStart w:id="16" w:name="field_0_productfullname_5"/>
      <w:r>
        <w:rPr>
          <w:rFonts w:hint="eastAsia"/>
          <w:sz w:val="21"/>
          <w:szCs w:val="21"/>
        </w:rPr>
        <w:t>博时汇悦回报混合型证券投资基金</w:t>
      </w:r>
      <w:bookmarkEnd w:id="16"/>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2、基金管理人：指</w:t>
      </w:r>
      <w:bookmarkStart w:id="17" w:name="field_0_managerorgfullname_1"/>
      <w:r>
        <w:rPr>
          <w:rFonts w:hint="eastAsia"/>
          <w:sz w:val="21"/>
          <w:szCs w:val="21"/>
        </w:rPr>
        <w:t>博时基金管理有限公司</w:t>
      </w:r>
      <w:bookmarkEnd w:id="17"/>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3、基金托管人：指</w:t>
      </w:r>
      <w:bookmarkStart w:id="18" w:name="field_0_trustorgfullname_1"/>
      <w:r>
        <w:rPr>
          <w:rFonts w:hint="eastAsia"/>
          <w:sz w:val="21"/>
          <w:szCs w:val="21"/>
        </w:rPr>
        <w:t>中国银行股份有限公司</w:t>
      </w:r>
      <w:bookmarkEnd w:id="18"/>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4、基金合同：指《</w:t>
      </w:r>
      <w:bookmarkStart w:id="19" w:name="field_0_productfullname_6"/>
      <w:r>
        <w:rPr>
          <w:rFonts w:hint="eastAsia"/>
          <w:sz w:val="21"/>
          <w:szCs w:val="21"/>
        </w:rPr>
        <w:t>博时汇悦回报混合型证券投资基金</w:t>
      </w:r>
      <w:bookmarkEnd w:id="19"/>
      <w:r>
        <w:rPr>
          <w:rFonts w:hint="eastAsia"/>
          <w:sz w:val="21"/>
          <w:szCs w:val="21"/>
        </w:rPr>
        <w:t xml:space="preserve">基金合同》及对基金合同的任何有效修订和补充 </w:t>
      </w:r>
    </w:p>
    <w:p>
      <w:pPr>
        <w:pStyle w:val="7"/>
        <w:spacing w:before="0" w:beforeAutospacing="0" w:after="0" w:afterAutospacing="0" w:line="360" w:lineRule="auto"/>
        <w:ind w:firstLine="420"/>
        <w:rPr>
          <w:sz w:val="21"/>
          <w:szCs w:val="21"/>
        </w:rPr>
      </w:pPr>
      <w:r>
        <w:rPr>
          <w:rFonts w:hint="eastAsia"/>
          <w:sz w:val="21"/>
          <w:szCs w:val="21"/>
        </w:rPr>
        <w:t>5、托管协议：指基金管理人与基金托管人就本基金签订之《</w:t>
      </w:r>
      <w:bookmarkStart w:id="20" w:name="field_0_productfullname_7"/>
      <w:r>
        <w:rPr>
          <w:rFonts w:hint="eastAsia"/>
          <w:sz w:val="21"/>
          <w:szCs w:val="21"/>
        </w:rPr>
        <w:t>博时汇悦回报混合型证券投资基金</w:t>
      </w:r>
      <w:bookmarkEnd w:id="20"/>
      <w:r>
        <w:rPr>
          <w:rFonts w:hint="eastAsia"/>
          <w:sz w:val="21"/>
          <w:szCs w:val="21"/>
        </w:rPr>
        <w:t xml:space="preserve">托管协议》及对该托管协议的任何有效修订和补充 </w:t>
      </w:r>
    </w:p>
    <w:p>
      <w:pPr>
        <w:pStyle w:val="7"/>
        <w:spacing w:before="0" w:beforeAutospacing="0" w:after="0" w:afterAutospacing="0" w:line="360" w:lineRule="auto"/>
        <w:ind w:firstLine="420"/>
        <w:rPr>
          <w:sz w:val="21"/>
          <w:szCs w:val="21"/>
        </w:rPr>
      </w:pPr>
      <w:r>
        <w:rPr>
          <w:rFonts w:hint="eastAsia"/>
          <w:sz w:val="21"/>
          <w:szCs w:val="21"/>
        </w:rPr>
        <w:t>6、招募说明书或本招募说明书：指《</w:t>
      </w:r>
      <w:bookmarkStart w:id="21" w:name="field_0_productfullname_8"/>
      <w:r>
        <w:rPr>
          <w:rFonts w:hint="eastAsia"/>
          <w:sz w:val="21"/>
          <w:szCs w:val="21"/>
        </w:rPr>
        <w:t>博时汇悦回报混合型证券投资基金</w:t>
      </w:r>
      <w:bookmarkEnd w:id="21"/>
      <w:r>
        <w:rPr>
          <w:rFonts w:hint="eastAsia"/>
          <w:sz w:val="21"/>
          <w:szCs w:val="21"/>
        </w:rPr>
        <w:t xml:space="preserve">招募说明书》及其更新 </w:t>
      </w:r>
    </w:p>
    <w:p>
      <w:pPr>
        <w:pStyle w:val="7"/>
        <w:spacing w:before="0" w:beforeAutospacing="0" w:after="0" w:afterAutospacing="0" w:line="360" w:lineRule="auto"/>
        <w:ind w:firstLine="420"/>
        <w:rPr>
          <w:sz w:val="21"/>
          <w:szCs w:val="21"/>
        </w:rPr>
      </w:pPr>
      <w:r>
        <w:rPr>
          <w:rFonts w:hint="eastAsia"/>
          <w:sz w:val="21"/>
          <w:szCs w:val="21"/>
        </w:rPr>
        <w:t>7、基金份额发售公告：指《</w:t>
      </w:r>
      <w:bookmarkStart w:id="22" w:name="field_0_productfullname_9"/>
      <w:r>
        <w:rPr>
          <w:rFonts w:hint="eastAsia"/>
          <w:sz w:val="21"/>
          <w:szCs w:val="21"/>
        </w:rPr>
        <w:t>博时汇悦回报混合型证券投资基金</w:t>
      </w:r>
      <w:bookmarkEnd w:id="22"/>
      <w:r>
        <w:rPr>
          <w:rFonts w:hint="eastAsia"/>
          <w:sz w:val="21"/>
          <w:szCs w:val="21"/>
        </w:rPr>
        <w:t xml:space="preserve">基金份额发售公告》 </w:t>
      </w:r>
    </w:p>
    <w:p>
      <w:pPr>
        <w:pStyle w:val="7"/>
        <w:spacing w:before="0" w:beforeAutospacing="0" w:after="0" w:afterAutospacing="0" w:line="360" w:lineRule="auto"/>
        <w:ind w:firstLine="420"/>
        <w:rPr>
          <w:sz w:val="21"/>
          <w:szCs w:val="21"/>
        </w:rPr>
      </w:pPr>
      <w:r>
        <w:rPr>
          <w:rFonts w:hint="eastAsia"/>
          <w:sz w:val="21"/>
          <w:szCs w:val="21"/>
        </w:rPr>
        <w:t>8、基金产品资料概要：指《</w:t>
      </w:r>
      <w:bookmarkStart w:id="23" w:name="field_0_productfullname_10"/>
      <w:r>
        <w:rPr>
          <w:rFonts w:hint="eastAsia"/>
          <w:sz w:val="21"/>
          <w:szCs w:val="21"/>
        </w:rPr>
        <w:t>博时汇悦回报混合型证券投资基金</w:t>
      </w:r>
      <w:bookmarkEnd w:id="23"/>
      <w:r>
        <w:rPr>
          <w:rFonts w:hint="eastAsia"/>
          <w:sz w:val="21"/>
          <w:szCs w:val="21"/>
        </w:rPr>
        <w:t xml:space="preserve">基金产品资料概要》及其更新 </w:t>
      </w:r>
    </w:p>
    <w:p>
      <w:pPr>
        <w:pStyle w:val="7"/>
        <w:spacing w:before="0" w:beforeAutospacing="0" w:after="0" w:afterAutospacing="0" w:line="360" w:lineRule="auto"/>
        <w:ind w:firstLine="420"/>
        <w:rPr>
          <w:sz w:val="21"/>
          <w:szCs w:val="21"/>
        </w:rPr>
      </w:pPr>
      <w:r>
        <w:rPr>
          <w:rFonts w:hint="eastAsia"/>
          <w:sz w:val="21"/>
          <w:szCs w:val="21"/>
        </w:rPr>
        <w:t xml:space="preserve">9、法律法规：指中国现行有效并公布实施的法律、行政法规、规范性文件、司法解释、行政规章以及其他对基金合同当事人有约束力的决定、决议、通知等 </w:t>
      </w:r>
    </w:p>
    <w:p>
      <w:pPr>
        <w:pStyle w:val="7"/>
        <w:spacing w:before="0" w:beforeAutospacing="0" w:after="0" w:afterAutospacing="0" w:line="360" w:lineRule="auto"/>
        <w:ind w:firstLine="420"/>
        <w:rPr>
          <w:sz w:val="21"/>
          <w:szCs w:val="21"/>
        </w:rPr>
      </w:pPr>
      <w:r>
        <w:rPr>
          <w:rFonts w:hint="eastAsia"/>
          <w:sz w:val="21"/>
          <w:szCs w:val="21"/>
        </w:rPr>
        <w:t xml:space="preserve">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11、《销售办法》：指中国证监会2013年3月15日颁布、同年6月1日实施的《证券投资基金销售管理办法》及颁布机关对其不时做出的修订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12、《信息披露办法》：指中国证监会2019年7月26日颁布、同年9月1日实施的《公开募集证券投资基金信息披露管理办法》及颁布机关对其不时做出的修订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13、《运作办法》：指中国证监会2014年7月7日颁布、同年8月8日实施的《公开募集证券投资基金运作管理办法》及颁布机关对其不时做出的修订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14、《流动性风险管理规定》：指中国证监会2017年8月31日颁布、同年10月1日实施的《公开募集开放式证券投资基金流动性风险管理规定》及颁布机关对其不时做出的修订 </w:t>
      </w:r>
    </w:p>
    <w:p>
      <w:pPr>
        <w:pStyle w:val="7"/>
        <w:spacing w:before="0" w:beforeAutospacing="0" w:after="0" w:afterAutospacing="0" w:line="360" w:lineRule="auto"/>
        <w:ind w:firstLine="420"/>
        <w:rPr>
          <w:sz w:val="21"/>
          <w:szCs w:val="21"/>
        </w:rPr>
      </w:pPr>
      <w:r>
        <w:rPr>
          <w:rFonts w:hint="eastAsia"/>
          <w:sz w:val="21"/>
          <w:szCs w:val="21"/>
        </w:rPr>
        <w:t xml:space="preserve">15、中国证监会：指中国证券监督管理委员会 </w:t>
      </w:r>
    </w:p>
    <w:p>
      <w:pPr>
        <w:pStyle w:val="7"/>
        <w:spacing w:before="0" w:beforeAutospacing="0" w:after="0" w:afterAutospacing="0" w:line="360" w:lineRule="auto"/>
        <w:ind w:firstLine="420"/>
        <w:rPr>
          <w:sz w:val="21"/>
          <w:szCs w:val="21"/>
        </w:rPr>
      </w:pPr>
      <w:r>
        <w:rPr>
          <w:rFonts w:hint="eastAsia"/>
          <w:sz w:val="21"/>
          <w:szCs w:val="21"/>
        </w:rPr>
        <w:t xml:space="preserve">16、银行业监督管理机构：指中国人民银行和/或中国银行业监督管理委员会 </w:t>
      </w:r>
    </w:p>
    <w:p>
      <w:pPr>
        <w:pStyle w:val="7"/>
        <w:spacing w:before="0" w:beforeAutospacing="0" w:after="0" w:afterAutospacing="0" w:line="360" w:lineRule="auto"/>
        <w:ind w:firstLine="420"/>
        <w:rPr>
          <w:sz w:val="21"/>
          <w:szCs w:val="21"/>
        </w:rPr>
      </w:pPr>
      <w:r>
        <w:rPr>
          <w:rFonts w:hint="eastAsia"/>
          <w:sz w:val="21"/>
          <w:szCs w:val="21"/>
        </w:rPr>
        <w:t xml:space="preserve">17、基金合同当事人：指受基金合同约束，根据基金合同享有权利并承担义务的法律主体，包括基金管理人、基金托管人和基金份额持有人 </w:t>
      </w:r>
    </w:p>
    <w:p>
      <w:pPr>
        <w:pStyle w:val="7"/>
        <w:spacing w:before="0" w:beforeAutospacing="0" w:after="0" w:afterAutospacing="0" w:line="360" w:lineRule="auto"/>
        <w:ind w:firstLine="420"/>
        <w:rPr>
          <w:sz w:val="21"/>
          <w:szCs w:val="21"/>
        </w:rPr>
      </w:pPr>
      <w:r>
        <w:rPr>
          <w:rFonts w:hint="eastAsia"/>
          <w:sz w:val="21"/>
          <w:szCs w:val="21"/>
        </w:rPr>
        <w:t xml:space="preserve">18、个人投资者：指依据有关法律法规规定可投资于证券投资基金的自然人 </w:t>
      </w:r>
    </w:p>
    <w:p>
      <w:pPr>
        <w:pStyle w:val="7"/>
        <w:spacing w:before="0" w:beforeAutospacing="0" w:after="0" w:afterAutospacing="0" w:line="360" w:lineRule="auto"/>
        <w:ind w:firstLine="420"/>
        <w:rPr>
          <w:sz w:val="21"/>
          <w:szCs w:val="21"/>
        </w:rPr>
      </w:pPr>
      <w:r>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pPr>
        <w:pStyle w:val="7"/>
        <w:spacing w:before="0" w:beforeAutospacing="0" w:after="0" w:afterAutospacing="0" w:line="360" w:lineRule="auto"/>
        <w:ind w:firstLine="420"/>
        <w:rPr>
          <w:sz w:val="21"/>
          <w:szCs w:val="21"/>
        </w:rPr>
      </w:pPr>
      <w:r>
        <w:rPr>
          <w:rFonts w:hint="eastAsia"/>
          <w:sz w:val="21"/>
          <w:szCs w:val="21"/>
        </w:rPr>
        <w:t xml:space="preserve">20、合格境外机构投资者：指符合相关法律法规规定可以投资于在中国境内依法募集的证券投资基金的中国境外的机构投资者 </w:t>
      </w:r>
    </w:p>
    <w:p>
      <w:pPr>
        <w:pStyle w:val="7"/>
        <w:spacing w:before="0" w:beforeAutospacing="0" w:after="0" w:afterAutospacing="0" w:line="360" w:lineRule="auto"/>
        <w:ind w:firstLine="420"/>
        <w:rPr>
          <w:sz w:val="21"/>
          <w:szCs w:val="21"/>
        </w:rPr>
      </w:pPr>
      <w:r>
        <w:rPr>
          <w:rFonts w:hint="eastAsia"/>
          <w:sz w:val="21"/>
          <w:szCs w:val="21"/>
        </w:rPr>
        <w:t xml:space="preserve">21、投资人：指个人投资者、机构投资者、合格境外机构投资者以及法律法规或中国证监会允许购买证券投资基金的其他投资人的合称 </w:t>
      </w:r>
    </w:p>
    <w:p>
      <w:pPr>
        <w:pStyle w:val="7"/>
        <w:spacing w:before="0" w:beforeAutospacing="0" w:after="0" w:afterAutospacing="0" w:line="360" w:lineRule="auto"/>
        <w:ind w:firstLine="420"/>
        <w:rPr>
          <w:sz w:val="21"/>
          <w:szCs w:val="21"/>
        </w:rPr>
      </w:pPr>
      <w:r>
        <w:rPr>
          <w:rFonts w:hint="eastAsia"/>
          <w:sz w:val="21"/>
          <w:szCs w:val="21"/>
        </w:rPr>
        <w:t xml:space="preserve">22、基金份额持有人：指依基金合同和招募说明书合法取得基金份额的投资人 </w:t>
      </w:r>
    </w:p>
    <w:p>
      <w:pPr>
        <w:pStyle w:val="7"/>
        <w:spacing w:before="0" w:beforeAutospacing="0" w:after="0" w:afterAutospacing="0" w:line="360" w:lineRule="auto"/>
        <w:ind w:firstLine="420"/>
        <w:rPr>
          <w:sz w:val="21"/>
          <w:szCs w:val="21"/>
        </w:rPr>
      </w:pPr>
      <w:r>
        <w:rPr>
          <w:rFonts w:hint="eastAsia"/>
          <w:sz w:val="21"/>
          <w:szCs w:val="21"/>
        </w:rPr>
        <w:t xml:space="preserve">23、基金销售业务：指基金管理人或销售机构宣传推介基金，发售基金份额，办理基金份额的申购、赎回、转换、转托管及定期定额投资等业务 </w:t>
      </w:r>
    </w:p>
    <w:p>
      <w:pPr>
        <w:pStyle w:val="7"/>
        <w:spacing w:before="0" w:beforeAutospacing="0" w:after="0" w:afterAutospacing="0" w:line="360" w:lineRule="auto"/>
        <w:ind w:firstLine="420"/>
        <w:rPr>
          <w:sz w:val="21"/>
          <w:szCs w:val="21"/>
        </w:rPr>
      </w:pPr>
      <w:r>
        <w:rPr>
          <w:rFonts w:hint="eastAsia"/>
          <w:sz w:val="21"/>
          <w:szCs w:val="21"/>
        </w:rPr>
        <w:t>24、销售机构：指</w:t>
      </w:r>
      <w:bookmarkStart w:id="24" w:name="field_0_managerorgfullname_2"/>
      <w:r>
        <w:rPr>
          <w:rFonts w:hint="eastAsia"/>
          <w:sz w:val="21"/>
          <w:szCs w:val="21"/>
        </w:rPr>
        <w:t>博时基金管理有限公司</w:t>
      </w:r>
      <w:bookmarkEnd w:id="24"/>
      <w:r>
        <w:rPr>
          <w:rFonts w:hint="eastAsia"/>
          <w:sz w:val="21"/>
          <w:szCs w:val="21"/>
        </w:rPr>
        <w:t xml:space="preserve">以及符合《销售办法》和中国证监会规定的其他条件，取得基金销售业务资格并与基金管理人签订了基金销售服务代理协议，代为办理基金销售业务的机构 </w:t>
      </w:r>
    </w:p>
    <w:p>
      <w:pPr>
        <w:pStyle w:val="7"/>
        <w:spacing w:before="0" w:beforeAutospacing="0" w:after="0" w:afterAutospacing="0" w:line="360" w:lineRule="auto"/>
        <w:ind w:firstLine="420"/>
        <w:rPr>
          <w:sz w:val="21"/>
          <w:szCs w:val="21"/>
        </w:rPr>
      </w:pPr>
      <w:r>
        <w:rPr>
          <w:rFonts w:hint="eastAsia"/>
          <w:sz w:val="21"/>
          <w:szCs w:val="21"/>
        </w:rPr>
        <w:t>25、登记业务：指基金登记、存管、过户、清算和结算业务，具体内容包括投资人基金账户的建立和管理、基金份额登记、基金销售业务的确认、清算和结算、代理发放红利、建</w:t>
      </w:r>
      <w:bookmarkStart w:id="25" w:name="chapter_level1_4_49_section_1_end"/>
      <w:bookmarkEnd w:id="25"/>
      <w:r>
        <w:rPr>
          <w:rFonts w:hint="eastAsia"/>
          <w:sz w:val="21"/>
          <w:szCs w:val="21"/>
        </w:rPr>
        <w:t xml:space="preserve">立并保管基金份额持有人名册和办理非交易过户等 </w:t>
      </w:r>
    </w:p>
    <w:p>
      <w:pPr>
        <w:pStyle w:val="7"/>
        <w:spacing w:before="0" w:beforeAutospacing="0" w:after="0" w:afterAutospacing="0" w:line="360" w:lineRule="auto"/>
        <w:ind w:firstLine="420"/>
        <w:rPr>
          <w:sz w:val="21"/>
          <w:szCs w:val="21"/>
        </w:rPr>
      </w:pPr>
      <w:bookmarkStart w:id="26" w:name="chapter_level1_4_49_section_2"/>
      <w:bookmarkEnd w:id="26"/>
      <w:r>
        <w:rPr>
          <w:rFonts w:hint="eastAsia"/>
          <w:sz w:val="21"/>
          <w:szCs w:val="21"/>
        </w:rPr>
        <w:t>26、登记机构：指办理登记业务的机构。基金的登记机构为</w:t>
      </w:r>
      <w:bookmarkStart w:id="27" w:name="field_0_managerorgfullname_3"/>
      <w:r>
        <w:rPr>
          <w:rFonts w:hint="eastAsia"/>
          <w:sz w:val="21"/>
          <w:szCs w:val="21"/>
        </w:rPr>
        <w:t>博时基金管理有限公司</w:t>
      </w:r>
      <w:bookmarkEnd w:id="27"/>
      <w:r>
        <w:rPr>
          <w:rFonts w:hint="eastAsia"/>
          <w:sz w:val="21"/>
          <w:szCs w:val="21"/>
        </w:rPr>
        <w:t>或接受</w:t>
      </w:r>
      <w:bookmarkStart w:id="28" w:name="field_0_managerorgfullname_4"/>
      <w:r>
        <w:rPr>
          <w:rFonts w:hint="eastAsia"/>
          <w:sz w:val="21"/>
          <w:szCs w:val="21"/>
        </w:rPr>
        <w:t>博时基金管理有限公司</w:t>
      </w:r>
      <w:bookmarkEnd w:id="28"/>
      <w:r>
        <w:rPr>
          <w:rFonts w:hint="eastAsia"/>
          <w:sz w:val="21"/>
          <w:szCs w:val="21"/>
        </w:rPr>
        <w:t xml:space="preserve">委托代为办理登记业务的机构  </w:t>
      </w:r>
    </w:p>
    <w:p>
      <w:pPr>
        <w:pStyle w:val="7"/>
        <w:spacing w:before="0" w:beforeAutospacing="0" w:after="0" w:afterAutospacing="0" w:line="360" w:lineRule="auto"/>
        <w:ind w:firstLine="420"/>
        <w:rPr>
          <w:sz w:val="21"/>
          <w:szCs w:val="21"/>
        </w:rPr>
      </w:pPr>
      <w:r>
        <w:rPr>
          <w:rFonts w:hint="eastAsia"/>
          <w:sz w:val="21"/>
          <w:szCs w:val="21"/>
        </w:rPr>
        <w:t xml:space="preserve">27、基金账户：指登记机构为投资人开立的、记录其持有的、基金管理人所管理的基金份额余额及其变动情况的账户   </w:t>
      </w:r>
    </w:p>
    <w:p>
      <w:pPr>
        <w:pStyle w:val="7"/>
        <w:spacing w:before="0" w:beforeAutospacing="0" w:after="0" w:afterAutospacing="0" w:line="360" w:lineRule="auto"/>
        <w:ind w:firstLine="420"/>
        <w:rPr>
          <w:sz w:val="21"/>
          <w:szCs w:val="21"/>
        </w:rPr>
      </w:pPr>
      <w:r>
        <w:rPr>
          <w:rFonts w:hint="eastAsia"/>
          <w:sz w:val="21"/>
          <w:szCs w:val="21"/>
        </w:rPr>
        <w:t xml:space="preserve">28、基金交易账户：指销售机构为投资人开立的、记录投资人通过该销售机构办理认购、申购、赎回、转换、转托管及定期定额投资等业务而引起的基金份额变动及结余情况的账户 </w:t>
      </w:r>
    </w:p>
    <w:p>
      <w:pPr>
        <w:pStyle w:val="7"/>
        <w:spacing w:before="0" w:beforeAutospacing="0" w:after="0" w:afterAutospacing="0" w:line="360" w:lineRule="auto"/>
        <w:ind w:firstLine="420"/>
        <w:rPr>
          <w:sz w:val="21"/>
          <w:szCs w:val="21"/>
        </w:rPr>
      </w:pPr>
      <w:r>
        <w:rPr>
          <w:rFonts w:hint="eastAsia"/>
          <w:sz w:val="21"/>
          <w:szCs w:val="21"/>
        </w:rPr>
        <w:t xml:space="preserve">29、基金合同生效日：指基金募集达到法律法规规定及基金合同规定的条件，基金管理人向中国证监会办理基金备案手续完毕，并获得中国证监会书面确认的日期 </w:t>
      </w:r>
    </w:p>
    <w:p>
      <w:pPr>
        <w:pStyle w:val="7"/>
        <w:spacing w:before="0" w:beforeAutospacing="0" w:after="0" w:afterAutospacing="0" w:line="360" w:lineRule="auto"/>
        <w:ind w:firstLine="420"/>
        <w:rPr>
          <w:sz w:val="21"/>
          <w:szCs w:val="21"/>
        </w:rPr>
      </w:pPr>
      <w:r>
        <w:rPr>
          <w:rFonts w:hint="eastAsia"/>
          <w:sz w:val="21"/>
          <w:szCs w:val="21"/>
        </w:rPr>
        <w:t xml:space="preserve">30、基金合同终止日：指基金合同规定的基金合同终止事由出现后，基金财产清算完毕，清算结果报中国证监会备案并予以公告的日期 </w:t>
      </w:r>
    </w:p>
    <w:p>
      <w:pPr>
        <w:pStyle w:val="7"/>
        <w:spacing w:before="0" w:beforeAutospacing="0" w:after="0" w:afterAutospacing="0" w:line="360" w:lineRule="auto"/>
        <w:ind w:firstLine="420"/>
        <w:rPr>
          <w:sz w:val="21"/>
          <w:szCs w:val="21"/>
        </w:rPr>
      </w:pPr>
      <w:r>
        <w:rPr>
          <w:rFonts w:hint="eastAsia"/>
          <w:sz w:val="21"/>
          <w:szCs w:val="21"/>
        </w:rPr>
        <w:t xml:space="preserve">31、基金募集期：指自基金份额发售之日起至发售结束之日止的期间，最长不得超过3个月 </w:t>
      </w:r>
    </w:p>
    <w:p>
      <w:pPr>
        <w:pStyle w:val="7"/>
        <w:spacing w:before="0" w:beforeAutospacing="0" w:after="0" w:afterAutospacing="0" w:line="360" w:lineRule="auto"/>
        <w:ind w:firstLine="420"/>
        <w:rPr>
          <w:sz w:val="21"/>
          <w:szCs w:val="21"/>
        </w:rPr>
      </w:pPr>
      <w:r>
        <w:rPr>
          <w:rFonts w:hint="eastAsia"/>
          <w:sz w:val="21"/>
          <w:szCs w:val="21"/>
        </w:rPr>
        <w:t xml:space="preserve">32、存续期：指基金合同生效至终止之间的不定期期限 </w:t>
      </w:r>
    </w:p>
    <w:p>
      <w:pPr>
        <w:pStyle w:val="7"/>
        <w:spacing w:before="0" w:beforeAutospacing="0" w:after="0" w:afterAutospacing="0" w:line="360" w:lineRule="auto"/>
        <w:ind w:firstLine="420"/>
        <w:rPr>
          <w:sz w:val="21"/>
          <w:szCs w:val="21"/>
        </w:rPr>
      </w:pPr>
      <w:r>
        <w:rPr>
          <w:rFonts w:hint="eastAsia"/>
          <w:sz w:val="21"/>
          <w:szCs w:val="21"/>
        </w:rPr>
        <w:t xml:space="preserve">33、工作日：指上海证券交易所、深圳证券交易所及相关期货交易所的正常交易日 </w:t>
      </w:r>
    </w:p>
    <w:p>
      <w:pPr>
        <w:pStyle w:val="7"/>
        <w:spacing w:before="0" w:beforeAutospacing="0" w:after="0" w:afterAutospacing="0" w:line="360" w:lineRule="auto"/>
        <w:ind w:firstLine="420"/>
        <w:rPr>
          <w:sz w:val="21"/>
          <w:szCs w:val="21"/>
        </w:rPr>
      </w:pPr>
      <w:r>
        <w:rPr>
          <w:rFonts w:hint="eastAsia"/>
          <w:sz w:val="21"/>
          <w:szCs w:val="21"/>
        </w:rPr>
        <w:t xml:space="preserve">34、T日：指销售机构在规定时间受理投资人申购、赎回或其他业务申请的开放日 </w:t>
      </w:r>
    </w:p>
    <w:p>
      <w:pPr>
        <w:pStyle w:val="7"/>
        <w:spacing w:before="0" w:beforeAutospacing="0" w:after="0" w:afterAutospacing="0" w:line="360" w:lineRule="auto"/>
        <w:ind w:firstLine="420"/>
        <w:rPr>
          <w:sz w:val="21"/>
          <w:szCs w:val="21"/>
        </w:rPr>
      </w:pPr>
      <w:r>
        <w:rPr>
          <w:rFonts w:hint="eastAsia"/>
          <w:sz w:val="21"/>
          <w:szCs w:val="21"/>
        </w:rPr>
        <w:t xml:space="preserve">35、T+n日：指自T日起第n个工作日(不包含T日) </w:t>
      </w:r>
    </w:p>
    <w:p>
      <w:pPr>
        <w:pStyle w:val="7"/>
        <w:spacing w:before="0" w:beforeAutospacing="0" w:after="0" w:afterAutospacing="0" w:line="360" w:lineRule="auto"/>
        <w:ind w:firstLine="420"/>
        <w:rPr>
          <w:sz w:val="21"/>
          <w:szCs w:val="21"/>
        </w:rPr>
      </w:pPr>
      <w:r>
        <w:rPr>
          <w:rFonts w:hint="eastAsia"/>
          <w:sz w:val="21"/>
          <w:szCs w:val="21"/>
        </w:rPr>
        <w:t xml:space="preserve">36、开放日：指为投资人办理基金份额申购、赎回或其他业务的工作日（若本基金参与港股通交易且该工作日为非港股通交易日时，则基金管理人可根据实际情况决定本基金是否开放申购、赎回及转换业务，具体以届时提前发布的公告为准） </w:t>
      </w:r>
    </w:p>
    <w:p>
      <w:pPr>
        <w:pStyle w:val="7"/>
        <w:spacing w:before="0" w:beforeAutospacing="0" w:after="0" w:afterAutospacing="0" w:line="360" w:lineRule="auto"/>
        <w:ind w:firstLine="420"/>
        <w:rPr>
          <w:sz w:val="21"/>
          <w:szCs w:val="21"/>
        </w:rPr>
      </w:pPr>
      <w:r>
        <w:rPr>
          <w:rFonts w:hint="eastAsia"/>
          <w:sz w:val="21"/>
          <w:szCs w:val="21"/>
        </w:rPr>
        <w:t xml:space="preserve">37、开放时间：指开放日基金接受申购、赎回或其他交易的时间段 </w:t>
      </w:r>
    </w:p>
    <w:p>
      <w:pPr>
        <w:pStyle w:val="7"/>
        <w:spacing w:before="0" w:beforeAutospacing="0" w:after="0" w:afterAutospacing="0" w:line="360" w:lineRule="auto"/>
        <w:ind w:firstLine="420"/>
        <w:rPr>
          <w:sz w:val="21"/>
          <w:szCs w:val="21"/>
        </w:rPr>
      </w:pPr>
      <w:r>
        <w:rPr>
          <w:rFonts w:hint="eastAsia"/>
          <w:sz w:val="21"/>
          <w:szCs w:val="21"/>
        </w:rPr>
        <w:t>38、《业务规则》：指《</w:t>
      </w:r>
      <w:bookmarkStart w:id="29" w:name="field_0_managerorgfullname_5"/>
      <w:r>
        <w:rPr>
          <w:rFonts w:hint="eastAsia"/>
          <w:sz w:val="21"/>
          <w:szCs w:val="21"/>
        </w:rPr>
        <w:t>博时基金管理有限公司</w:t>
      </w:r>
      <w:bookmarkEnd w:id="29"/>
      <w:r>
        <w:rPr>
          <w:rFonts w:hint="eastAsia"/>
          <w:sz w:val="21"/>
          <w:szCs w:val="21"/>
        </w:rPr>
        <w:t xml:space="preserve">开放式基金业务规则》，是规范基金管理人所管理的开放式证券投资基金登记方面的业务规则，由基金管理人和投资人共同遵守 </w:t>
      </w:r>
    </w:p>
    <w:p>
      <w:pPr>
        <w:pStyle w:val="7"/>
        <w:spacing w:before="0" w:beforeAutospacing="0" w:after="0" w:afterAutospacing="0" w:line="360" w:lineRule="auto"/>
        <w:ind w:firstLine="420"/>
        <w:rPr>
          <w:sz w:val="21"/>
          <w:szCs w:val="21"/>
        </w:rPr>
      </w:pPr>
      <w:r>
        <w:rPr>
          <w:rFonts w:hint="eastAsia"/>
          <w:sz w:val="21"/>
          <w:szCs w:val="21"/>
        </w:rPr>
        <w:t xml:space="preserve">39、认购：指在基金募集期内，投资人根据基金合同和招募说明书的规定申请购买基金份额的行为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40、申购：指基金合同生效后，投资人根据基金合同和招募说明书的规定申请购买基金份额的行为 </w:t>
      </w:r>
    </w:p>
    <w:p>
      <w:pPr>
        <w:pStyle w:val="7"/>
        <w:spacing w:before="0" w:beforeAutospacing="0" w:after="0" w:afterAutospacing="0" w:line="360" w:lineRule="auto"/>
        <w:ind w:firstLine="420"/>
        <w:rPr>
          <w:sz w:val="21"/>
          <w:szCs w:val="21"/>
        </w:rPr>
      </w:pPr>
      <w:r>
        <w:rPr>
          <w:rFonts w:hint="eastAsia"/>
          <w:sz w:val="21"/>
          <w:szCs w:val="21"/>
        </w:rPr>
        <w:t xml:space="preserve">41、赎回：指基金合同生效后，基金份额持有人按基金合同和招募说明书规定的条件要求将基金份额兑换为现金的行为 </w:t>
      </w:r>
    </w:p>
    <w:p>
      <w:pPr>
        <w:pStyle w:val="7"/>
        <w:spacing w:before="0" w:beforeAutospacing="0" w:after="0" w:afterAutospacing="0" w:line="360" w:lineRule="auto"/>
        <w:ind w:firstLine="420"/>
        <w:rPr>
          <w:sz w:val="21"/>
          <w:szCs w:val="21"/>
        </w:rPr>
      </w:pPr>
      <w:r>
        <w:rPr>
          <w:rFonts w:hint="eastAsia"/>
          <w:sz w:val="21"/>
          <w:szCs w:val="21"/>
        </w:rPr>
        <w:t xml:space="preserve">42、基金转换：指基金份额持有人按照基金合同和基金管理人届时有效公告规定的条件，申请将其持有基金管理人管理的、某一基金的基金份额转换为基金管理人管理的其他基金基金份额的行为 </w:t>
      </w:r>
    </w:p>
    <w:p>
      <w:pPr>
        <w:pStyle w:val="7"/>
        <w:spacing w:before="0" w:beforeAutospacing="0" w:after="0" w:afterAutospacing="0" w:line="360" w:lineRule="auto"/>
        <w:ind w:firstLine="420"/>
        <w:rPr>
          <w:sz w:val="21"/>
          <w:szCs w:val="21"/>
        </w:rPr>
      </w:pPr>
      <w:r>
        <w:rPr>
          <w:rFonts w:hint="eastAsia"/>
          <w:sz w:val="21"/>
          <w:szCs w:val="21"/>
        </w:rPr>
        <w:t xml:space="preserve">43、转托管：指基金份额持有人在本基金的不同销售机构之间实施的变更所持基金份额销售机构的操作 </w:t>
      </w:r>
    </w:p>
    <w:p>
      <w:pPr>
        <w:pStyle w:val="7"/>
        <w:spacing w:before="0" w:beforeAutospacing="0" w:after="0" w:afterAutospacing="0" w:line="360" w:lineRule="auto"/>
        <w:ind w:firstLine="420"/>
        <w:rPr>
          <w:sz w:val="21"/>
          <w:szCs w:val="21"/>
        </w:rPr>
      </w:pPr>
      <w:r>
        <w:rPr>
          <w:rFonts w:hint="eastAsia"/>
          <w:sz w:val="21"/>
          <w:szCs w:val="21"/>
        </w:rPr>
        <w:t xml:space="preserve">44、定期定额投资计划：指投资人通过有关销售机构提出申请，约定每期申购日、扣款金额及扣款方式，由销售机构于每期约定扣款日在投资人指定银行账户内自动完成扣款及受理基金申购申请的一种投资方式 </w:t>
      </w:r>
    </w:p>
    <w:p>
      <w:pPr>
        <w:pStyle w:val="7"/>
        <w:spacing w:before="0" w:beforeAutospacing="0" w:after="0" w:afterAutospacing="0" w:line="360" w:lineRule="auto"/>
        <w:ind w:firstLine="420"/>
        <w:rPr>
          <w:sz w:val="21"/>
          <w:szCs w:val="21"/>
        </w:rPr>
      </w:pPr>
      <w:r>
        <w:rPr>
          <w:rFonts w:hint="eastAsia"/>
          <w:sz w:val="21"/>
          <w:szCs w:val="21"/>
        </w:rPr>
        <w:t xml:space="preserve">45、巨额赎回：指本基金单个开放日，基金净赎回申请(赎回申请份额总数加上基金转换中转出申请份额总数后扣除申购申请份额总数及基金转换中转入申请份额总数后的余额)超过上一开放日基金总份额的10% </w:t>
      </w:r>
    </w:p>
    <w:p>
      <w:pPr>
        <w:pStyle w:val="7"/>
        <w:spacing w:before="0" w:beforeAutospacing="0" w:after="0" w:afterAutospacing="0" w:line="360" w:lineRule="auto"/>
        <w:ind w:firstLine="420"/>
        <w:rPr>
          <w:sz w:val="21"/>
          <w:szCs w:val="21"/>
        </w:rPr>
      </w:pPr>
      <w:r>
        <w:rPr>
          <w:rFonts w:hint="eastAsia"/>
          <w:sz w:val="21"/>
          <w:szCs w:val="21"/>
        </w:rPr>
        <w:t xml:space="preserve">46、元：指人民币元 </w:t>
      </w:r>
    </w:p>
    <w:p>
      <w:pPr>
        <w:pStyle w:val="7"/>
        <w:spacing w:before="0" w:beforeAutospacing="0" w:after="0" w:afterAutospacing="0" w:line="360" w:lineRule="auto"/>
        <w:ind w:firstLine="420"/>
        <w:rPr>
          <w:sz w:val="21"/>
          <w:szCs w:val="21"/>
        </w:rPr>
      </w:pPr>
      <w:r>
        <w:rPr>
          <w:rFonts w:hint="eastAsia"/>
          <w:sz w:val="21"/>
          <w:szCs w:val="21"/>
        </w:rPr>
        <w:t xml:space="preserve">47、基金收益：指基金投资所得红利、股息、债券利息、买卖证券价差、银行存款利息、已实现的其他合法收入及因运用基金财产带来的成本和费用的节约 </w:t>
      </w:r>
    </w:p>
    <w:p>
      <w:pPr>
        <w:pStyle w:val="7"/>
        <w:spacing w:before="0" w:beforeAutospacing="0" w:after="0" w:afterAutospacing="0" w:line="360" w:lineRule="auto"/>
        <w:ind w:firstLine="420"/>
        <w:rPr>
          <w:sz w:val="21"/>
          <w:szCs w:val="21"/>
        </w:rPr>
      </w:pPr>
      <w:r>
        <w:rPr>
          <w:rFonts w:hint="eastAsia"/>
          <w:sz w:val="21"/>
          <w:szCs w:val="21"/>
        </w:rPr>
        <w:t xml:space="preserve">48、基金资产总值：指基金拥有的各类有价证券、银行存款本息、基金应收款项及其他资产的价值总和 </w:t>
      </w:r>
    </w:p>
    <w:p>
      <w:pPr>
        <w:pStyle w:val="7"/>
        <w:spacing w:before="0" w:beforeAutospacing="0" w:after="0" w:afterAutospacing="0" w:line="360" w:lineRule="auto"/>
        <w:ind w:firstLine="420"/>
        <w:rPr>
          <w:sz w:val="21"/>
          <w:szCs w:val="21"/>
        </w:rPr>
      </w:pPr>
      <w:r>
        <w:rPr>
          <w:rFonts w:hint="eastAsia"/>
          <w:sz w:val="21"/>
          <w:szCs w:val="21"/>
        </w:rPr>
        <w:t xml:space="preserve">49、基金资产净值：指基金资产总值减去基金负债后的价值 </w:t>
      </w:r>
    </w:p>
    <w:p>
      <w:pPr>
        <w:pStyle w:val="7"/>
        <w:spacing w:before="0" w:beforeAutospacing="0" w:after="0" w:afterAutospacing="0" w:line="360" w:lineRule="auto"/>
        <w:ind w:firstLine="420"/>
        <w:rPr>
          <w:sz w:val="21"/>
          <w:szCs w:val="21"/>
        </w:rPr>
      </w:pPr>
      <w:r>
        <w:rPr>
          <w:rFonts w:hint="eastAsia"/>
          <w:sz w:val="21"/>
          <w:szCs w:val="21"/>
        </w:rPr>
        <w:t xml:space="preserve">50、基金份额净值：指计算日基金资产净值除以计算日基金份额总数 </w:t>
      </w:r>
    </w:p>
    <w:p>
      <w:pPr>
        <w:pStyle w:val="7"/>
        <w:spacing w:before="0" w:beforeAutospacing="0" w:after="0" w:afterAutospacing="0" w:line="360" w:lineRule="auto"/>
        <w:ind w:firstLine="420"/>
        <w:rPr>
          <w:sz w:val="21"/>
          <w:szCs w:val="21"/>
        </w:rPr>
      </w:pPr>
      <w:r>
        <w:rPr>
          <w:rFonts w:hint="eastAsia"/>
          <w:sz w:val="21"/>
          <w:szCs w:val="21"/>
        </w:rPr>
        <w:t xml:space="preserve">51、基金资产估值：指计算评估基金资产和负债的价值，以确定基金资产净值和基金份额净值的过程 </w:t>
      </w:r>
    </w:p>
    <w:p>
      <w:pPr>
        <w:pStyle w:val="7"/>
        <w:spacing w:before="0" w:beforeAutospacing="0" w:after="0" w:afterAutospacing="0" w:line="360" w:lineRule="auto"/>
        <w:ind w:firstLine="420"/>
        <w:rPr>
          <w:sz w:val="21"/>
          <w:szCs w:val="21"/>
        </w:rPr>
      </w:pPr>
      <w:r>
        <w:rPr>
          <w:rFonts w:hint="eastAsia"/>
          <w:sz w:val="21"/>
          <w:szCs w:val="21"/>
        </w:rPr>
        <w:t xml:space="preserve">52、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 </w:t>
      </w:r>
    </w:p>
    <w:p>
      <w:pPr>
        <w:pStyle w:val="7"/>
        <w:spacing w:before="0" w:beforeAutospacing="0" w:after="0" w:afterAutospacing="0" w:line="360" w:lineRule="auto"/>
        <w:ind w:firstLine="420"/>
        <w:rPr>
          <w:sz w:val="21"/>
          <w:szCs w:val="21"/>
        </w:rPr>
      </w:pPr>
      <w:r>
        <w:rPr>
          <w:rFonts w:hint="eastAsia"/>
          <w:sz w:val="21"/>
          <w:szCs w:val="21"/>
        </w:rPr>
        <w:t xml:space="preserve">53、摆动定价机制：指当本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 </w:t>
      </w:r>
    </w:p>
    <w:p>
      <w:pPr>
        <w:pStyle w:val="7"/>
        <w:spacing w:before="0" w:beforeAutospacing="0" w:after="0" w:afterAutospacing="0" w:line="360" w:lineRule="auto"/>
        <w:ind w:firstLine="420"/>
        <w:rPr>
          <w:sz w:val="21"/>
          <w:szCs w:val="21"/>
        </w:rPr>
      </w:pPr>
      <w:r>
        <w:rPr>
          <w:rFonts w:hint="eastAsia"/>
          <w:sz w:val="21"/>
          <w:szCs w:val="21"/>
        </w:rPr>
        <w:t xml:space="preserve">54、港股通：是指内地投资者委托内地证券公司，经由上海证券交易所和深圳证券交易所设立的证券交易服务公司，向香港联合交易所进行申报，买卖规定范围内的香港联合交易所上市的股票的交易机制 </w:t>
      </w:r>
    </w:p>
    <w:p>
      <w:pPr>
        <w:pStyle w:val="7"/>
        <w:spacing w:before="0" w:beforeAutospacing="0" w:after="0" w:afterAutospacing="0" w:line="360" w:lineRule="auto"/>
        <w:ind w:firstLine="420"/>
        <w:rPr>
          <w:sz w:val="21"/>
          <w:szCs w:val="21"/>
        </w:rPr>
      </w:pPr>
      <w:r>
        <w:rPr>
          <w:rFonts w:hint="eastAsia"/>
          <w:sz w:val="21"/>
          <w:szCs w:val="21"/>
        </w:rPr>
        <w:t xml:space="preserve">55、指定媒介：指中国证监会指定的用以进行信息披露的全国性报刊及指定互联网网站（包括基金管理人网站、基金托管人网站、中国证监会基金电子披露网站）等媒介 </w:t>
      </w:r>
    </w:p>
    <w:p>
      <w:pPr>
        <w:pStyle w:val="7"/>
        <w:spacing w:before="0" w:beforeAutospacing="0" w:after="0" w:afterAutospacing="0" w:line="360" w:lineRule="auto"/>
        <w:ind w:firstLine="420"/>
        <w:rPr>
          <w:sz w:val="21"/>
          <w:szCs w:val="21"/>
        </w:rPr>
      </w:pPr>
      <w:bookmarkStart w:id="30" w:name="chapter_level1_4_49_section_2_end"/>
      <w:bookmarkEnd w:id="30"/>
      <w:r>
        <w:rPr>
          <w:rFonts w:hint="eastAsia"/>
          <w:sz w:val="21"/>
          <w:szCs w:val="21"/>
        </w:rPr>
        <w:t xml:space="preserve">56、不可抗力：指基金合同当事人不能预见、不能避免且不能克服的客观事件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31" w:name="_Toc113633885"/>
      <w:bookmarkStart w:id="32" w:name="chapter_level1_5_53"/>
      <w:r>
        <w:rPr>
          <w:rFonts w:hint="eastAsia" w:ascii="宋体" w:hAnsi="宋体" w:eastAsia="宋体"/>
          <w:sz w:val="30"/>
        </w:rPr>
        <w:t>第三部分  基金管理人</w:t>
      </w:r>
      <w:bookmarkEnd w:id="31"/>
      <w:bookmarkEnd w:id="32"/>
    </w:p>
    <w:p>
      <w:pPr>
        <w:spacing w:line="360" w:lineRule="auto"/>
        <w:ind w:firstLine="422" w:firstLineChars="200"/>
        <w:rPr>
          <w:rFonts w:ascii="宋体" w:hAnsi="宋体" w:eastAsia="宋体" w:cs="Times New Roman"/>
          <w:b/>
          <w:kern w:val="0"/>
          <w:szCs w:val="21"/>
        </w:rPr>
      </w:pPr>
      <w:bookmarkStart w:id="33" w:name="chapter_level1_5_53_section_1"/>
      <w:bookmarkEnd w:id="33"/>
      <w:r>
        <w:rPr>
          <w:rFonts w:hint="eastAsia" w:ascii="宋体" w:hAnsi="宋体" w:eastAsia="宋体" w:cs="Times New Roman"/>
          <w:b/>
          <w:kern w:val="0"/>
          <w:szCs w:val="21"/>
        </w:rPr>
        <w:t>一、基金管理人概况</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名称：博时基金管理有限公司</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住所：深圳市福田区莲花街道福新社区益田路5999号基金大厦21层</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办公地址：广东省深圳市福田区益田路5999号基金大厦21层</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法定代表人：江向阳</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成立时间：1998年7月13日</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注册资本：2.5亿元人民币</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存续期间：持续经营</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联系人：王济帆</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联系电话：（0755）8316 9999</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公司设立了投资决策委员会。投资决策委员会负责指导基金资产的运作、确定基本的投资策略和投资组合的原则。</w:t>
      </w:r>
    </w:p>
    <w:p>
      <w:pPr>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公司已经建立健全投资管理制度、风险控制制度、内部监察制度、财务管理制度、人事管理制度、信息披露制度和员工行为准则等公司管理制度体系。</w:t>
      </w:r>
    </w:p>
    <w:p>
      <w:pPr>
        <w:spacing w:line="360" w:lineRule="auto"/>
        <w:ind w:firstLine="422" w:firstLineChars="200"/>
        <w:rPr>
          <w:rFonts w:ascii="宋体" w:hAnsi="宋体" w:eastAsia="宋体" w:cs="Times New Roman"/>
          <w:b/>
          <w:kern w:val="0"/>
          <w:szCs w:val="21"/>
        </w:rPr>
      </w:pPr>
      <w:r>
        <w:rPr>
          <w:rFonts w:hint="eastAsia" w:ascii="宋体" w:hAnsi="宋体" w:eastAsia="宋体" w:cs="Times New Roman"/>
          <w:b/>
          <w:kern w:val="0"/>
          <w:szCs w:val="21"/>
        </w:rPr>
        <w:t>二、主要成员情况</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1、基金管理人董事会成员</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江向阳先生，博士。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1997年8月至2014年12月就职于中国证监会，历任办公厅、党办副主任兼新闻办（网信办）主任；中国证监会办公厅副巡视员；中国证监会深圳专员办处长、副专员；中国证监会期货监管部副处长、处长。2015年1月至7月，任招商局金融集团副总经理、博时基金管理有限公司党委副书记。2015年7月至2020年10月任博时基金管理有限公司总经理。自2020年1月9日至2020年4月15日代为履行博时基金董事长职务。自2020年4月1日起任博时基金管理有限公司党委书记。自2020年4月15日起，任博时基金管理有限公司董事长。</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苏敏女士,分别于1990 年7 月及2002 年12 月获得上海财经大学金融专业学士学位和中国科学技术大学工商管理硕士学位。苏女士分别于1998 年6 月、1999 年6 月及2008 年6 月获中国注册会计师协会授予的注册会计师资格、中国资产评估协会授予的注册资产评估师资格及安徽省人力资源和社会保障厅授予的高级会计师职称。苏女士拥有管理金融类公司及上市公司的经验，其经验包括：自2015 年9 月及2015 年12 月起任招商局金融集团有限公司总经理及董事；自2016年6月起任招商证券股份有限公司（上海证券交易所上市公司，股票代码：600999；香港联交所上市公司，股票代码：6099）董事；自2014 年9 月起担任招商银行股份有限公司（上海证券交易所上市公司，股票代码：600036；香港联交所上市公司，股票代码：3968）董事。自2016 年1 月至2018年8月任招商局资本投资有限责任公司监事；自2015 年11 月至2018年8月任招商局创新投资管理有限公司董事；自2015 年11 月至2017 年4 月任深圳招商启航互联网投资管理有限公司董事长；自2013 年5 月至2015 年8 月任中远海运能源运输股份有限公司（上海证券交易所上市公司，股票代码：600026；香港联交所上市公司，股票代码：1138）董事；自2013 年6月至2015 年12 月任中远海运发展股份有限公司（上海证券交易所上市公司，股票代码：601866；香港联交所上市公司，股票代码：2866）董事；自2009 年12 月至2011 年5 月担任徽商银行股份有限公司（香港联交所上市公司，股票代码：3698）董事；自2008 年3 月至2011年9 月担任安徽省皖能股份有限公司（深圳证券交易所上市公司，股票代码︰000543）董事。苏女士亦拥有会计等相关管理经验，其经验包括：自2011 年3 月至2015 年8 月担任中国海运（集团）总公司总会计师；自2007 年5 月至2011 年4月担任安徽省能源集团有限公司总会计师，并于2010 年11 月至2011 年4 月担任该公司副总经理。自2018年9月3日起，任博时基金管理有限公司董事。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高阳先生，中共党员，经济学硕士，CFA，总经理。1998年7月至2000年2月在中国国际金融股份有限公司任销售交易部经理。2000年3月至2008年2月在博时基金管理有限公司历任债券组合经理、固定收益部总经理、基金经理、股票投资部总经理。2008年8月至2021年1月在鹏华基金管理有限公司工作，2008年12月至2021年1月任鹏华基金管理有限公司副总经理。自2021年2月5日起，任博时基金管理有限公司总经理。自2021年4月7日起，任博时基金管理有限公司第八届董事会董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姚俊先生，博士。1993年至1997年在华南理工大学习，获双学士学位。1997年至2000年在华南理工大学工商管理专业学习，获硕士学位。2002年9月至2005年7月在华南理工大学管理学专业学习，获得博士学位。2000年6月至2002年8月任广东电信广州分公司业务部业务主管。2005年9月至2007年7月，招商局集团博士后工作站任博士后研究员。2007年8月至2014年5月，任招商证券研究发展中心分析师。2014年6月至2015年6月任招商证券研究发展中心二部总经理助理。2015年6月至2016年7月任招商证券研究发展中心二部副总经理（主持工作）。2016年7月至2020年3月任招商证券研究发展中心二部总经理。2020年3月至今任招商证券财富管理及机构业务总部财富管理部总经理。自2020年12月8日起，任博时基金管理有限公司董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赵文武先生，中共党员，硕士。1991年10月至2009年4月，于合肥百货大楼股份有限公司任职，历任董事会秘书、董事、总经理助理、副总经理；2009年4月至2010年6月，任合肥百货大楼集团股份有限公司董事、副董事长、党委副书记、总经理；2010年6月至2015年2月，任合肥市国有资产控股有限公司董事、总经理、党委副书记，同时兼任安徽国风集团有限公司、安徽国风塑业股份有限公司党委书记、董事长；2015年2月至2018年2月，任合肥市产业投资控股（集团）有限公司董事、党委副书记、总经理;2019年2月至2021年1月，任长城国融投资管理有限公司董事、党委委员、副总经理；2021年1月至今，任中国长城资产管理股份有限公司资产经营六部副总经理。</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方瓯华先生，复旦大学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上海盛业股权投资基金公司执行董事（法人代表）、上海永泰房地产开发公司总经理等职，负责公司整体运营。2018年，出任博时基金管理公司第七届董事会董事，2021年卸任。自2022年8月起，任博时基金管理有限公司董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年8月至2008年7月，任中远航运股份有限公司（A股上市公司）首席执行官、董事。2008年8月至2011年12月，任中远投资（新加坡）有限公司（新加坡上市公司）总裁、董事会副主席、中远控股（新加坡）有限公司总裁；并任新加坡中资企业协会会长。2011年11月至2015年12月，任中国远洋控股股份有限公司执行（A+H上市公司）执行董事、总经理。2012年2月至2015年12月，兼任中国上市公司协会副监事长、天津上市公司协会副会长；2014年9月至2015年12月，兼任中国上市公司协会监事会专业委员会副主任委员。自2017年11月3日起，任博时基金管理有限公司独立董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赵如冰先生，1956年生，教授级高级工程师，国际金融专业经济学硕士研究生。赵如冰先生历任葛洲坝水力发电厂工程师、高级工程师、葛洲坝二江电厂电气分厂主任、书记；1989年月至1991年10月任葛洲坝至上海正负50万伏超高压直流输电换流站书记兼站长，主持参加了我国第一条直流输电工程的安装调试和运行。1991年10月至1995年12月任厂办公室主任兼外事办公室主任。1995年12月至1999年12月，赵如冰先生任华能南方开发公司党组书记、总经理，兼任中国华能集团董事、深圳南山热电股份有限公司（上市公司代码0037）副董事长、长城证券有限责任公司副董事长、深圳华能电讯有限公司董事长。2000年1月至2004年7月，华能南方公司被国家电力公司重组后，任华能房地产开发公司副总经理，长城证券有限责任公司副董事长。2004年7月至2009年3月，赵如冰先生任华能房地产开发公司党组书记、总经理。2009年12月至2016年8月, 赵如冰先生任景顺长城基金管理公司董事长、景顺长城资产管理（深圳）公司董事长兼长城证券公司党委副书记。2016年8月至2020年3月, 赵如冰先生任阳光资产管理股份有限公司副董事长；2016年8月至今,任西南证券、百隆东方独立董事，2020年3月至今深圳市深粮控股股份有限公司独立董事。自2017年11月3日起，任博时基金管理有限公司独立董事。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宋子洲先生，1960年生，中国保险资产管理业协会金融科技委员会主任委员。历任中国人寿保险公司稽核部制度处处长、资金运用部财会监督处处长、资金运用中心副总经理，中国人寿资产管理有限公司风险管理及合规部总监、首席风险官、副总裁。从事保险资金投资管理工作20余年，在保险资产管理公司的投资、运营、风险管理等方面积累了丰富的经验。自2020年12月8日起，任博时基金管理有限公司独立董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2、基金管理人监事会成员</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王剑平先生，硕士。分别于1998年7月及2013年7月获得江西财经大学会计专业管理学学士及天津大学管理科学与工程专业管理学硕士学位。王剑平先生于2004年5月获会计师职称。自2006年5月开始任职于招商证券。自2011年3月至2015年6月担任招商证券财务部总经理助理，2015年6月至2017年9月担任招商证券财务部副总经理，2017年9月至2021年4月担任招商证券资金管理部副总经理（主持工作），2021年4月至2022年3月担任招商证券资金管理部总经理，自2022年3月至2022年5月任招商期货有限公司董事、招商证券资产管理有限公司董事，自2022年3月至今担任招商证券财务部总经理、招商致远资本投资有限公司董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蒋伟先生，硕士。2011年3月至2017年5月就职于中国长城资产管理公司，分别任办公室外事处一级业务员、业务副主管、业务主管。2017年5月至2020年7月职于长城罗斯基金管理有限公司任行政总监/执行董事。2020年7月至今任中国长城资产管理有限公司资产经营三部副高级经理（处室负责人）。</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赵兴利先生，硕士。1987年至1995年就职于天津港务局计财处。1995年至2012年5月先后任天津港贸易公司财务科科长、天津港（集团）公司委派货运公司会计主管、华夏人寿保险股份有限公司财务部总经理、天津港财务有限公司常务副总经理。2012年5月至2020年6月就职于天津港（集团）有限公司金融事业部副部长，天津港（集团）有限公司计财部副部长。2020年6月至今任天津港（集团）有限公司专职董监事。自2013年3月起，任博时基金管理有限公司监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严斌先生，硕士。1997年7月起先后在华侨城集团公司、博时基金管理有限公司工作。现任博时基金管理有限公司财务部总经理。自2015年5月起，任博时基金管理有限公司监事。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公司总经理助理。现任公司首席资产配置官兼社保组合投资经理。自2016年3月18日起，担任博时基金管理有限公司监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车宏原先生，工学硕士。1985年至1989年在四川大学计算机系学习，获得学士学位。1989年至1992年在清华大学计算机系学习，获得硕士学位。1992年至1995年深圳市天元金融电子有限公司任技术部负责人，1995年至2000年在中国农业银行总行南方软件开发中心担任副总工程师，2001年至2003年在太极华清信息系统有限公司担任副总经理，2003年至2014年在景顺长城基金管理有限公司担任信息技术总监，2014年至2015年任中财国信（深圳）有限公司总经理，2015年至今担任博时基金管理有限公司信息技术部总经理。</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3、高级管理人员</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江向阳先生，简历同上。</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高阳先生，简历同上。</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吴慧峰先生，硕士，副总经理、财务负责人、董事会秘书。1996年至2023年先后在中国南山开发集团股份有限公司、上海诚南房地产开发有限公司、招商局金融集团有限公司、招商证券股份有限公司从事财务、公司管理等工作。2023年加入博时基金管理有限公司，现任公司副总经理、财务负责人、董事会秘书。</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现任公司副总经理、首席信息官，主管IT、指数与量化投资、养老金、基金零售等工作，兼任博时财富基金销售有限公司董事长、博时资本管理有限公司董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徐卫先生，硕士，副总经理。1993年起先后在深圳市证券管理办公室、中国证监会、摩根士丹利华鑫基金工作。2015年6月加入博时基金管理有限公司，现任公司副总经理，兼博时资本管理有限公司董事、博时财富基金销售有限公司董事。</w:t>
      </w:r>
    </w:p>
    <w:p>
      <w:pPr>
        <w:widowControl/>
        <w:spacing w:line="360" w:lineRule="auto"/>
        <w:ind w:firstLine="420" w:firstLineChars="200"/>
        <w:rPr>
          <w:rFonts w:ascii="宋体" w:hAnsi="宋体" w:eastAsia="宋体" w:cs="Times New Roman"/>
          <w:kern w:val="0"/>
          <w:szCs w:val="21"/>
        </w:rPr>
      </w:pPr>
      <w:r>
        <w:rPr>
          <w:rFonts w:hint="eastAsia" w:ascii="宋体" w:hAnsi="宋体" w:eastAsia="宋体" w:cs="Times New Roman"/>
          <w:kern w:val="0"/>
          <w:szCs w:val="21"/>
        </w:rPr>
        <w:t>孙麒清女士，商法学硕士，督察长。曾供职于广东深港律师事务所。2002年加入博时基金管理有限公司，历任监察法律部法律顾问、监察法律部总经理。现任公司督察长，兼任博时资本管理有限公司副董事长、博时财富基金销售有限公司董事。</w:t>
      </w:r>
    </w:p>
    <w:p>
      <w:pPr>
        <w:pStyle w:val="7"/>
        <w:spacing w:before="0" w:beforeAutospacing="0" w:after="0" w:afterAutospacing="0" w:line="360" w:lineRule="auto"/>
        <w:ind w:firstLine="420"/>
        <w:rPr>
          <w:sz w:val="21"/>
          <w:szCs w:val="21"/>
        </w:rPr>
      </w:pPr>
      <w:bookmarkStart w:id="34" w:name="chapter_level1_5_53_section_2"/>
      <w:bookmarkEnd w:id="34"/>
      <w:bookmarkStart w:id="35" w:name="field_0_managerpersoninfo_1_start"/>
      <w:bookmarkEnd w:id="35"/>
      <w:bookmarkStart w:id="36" w:name="field_0_managercompanyinfo_1_start"/>
      <w:bookmarkEnd w:id="36"/>
      <w:r>
        <w:rPr>
          <w:rFonts w:hint="eastAsia"/>
          <w:sz w:val="21"/>
          <w:szCs w:val="21"/>
        </w:rPr>
        <w:t xml:space="preserve">4、本基金基金经理 </w:t>
      </w:r>
      <w:bookmarkStart w:id="37" w:name="field_0_fundmanagerresume_1_start"/>
      <w:bookmarkEnd w:id="37"/>
      <w:r>
        <w:rPr>
          <w:rFonts w:hint="eastAsia"/>
          <w:sz w:val="21"/>
          <w:szCs w:val="21"/>
        </w:rPr>
        <w:t>  </w:t>
      </w:r>
    </w:p>
    <w:p>
      <w:pPr>
        <w:pStyle w:val="7"/>
        <w:spacing w:before="0" w:beforeAutospacing="0" w:after="0" w:afterAutospacing="0" w:line="360" w:lineRule="auto"/>
        <w:ind w:firstLine="420"/>
        <w:jc w:val="both"/>
        <w:rPr>
          <w:sz w:val="21"/>
          <w:szCs w:val="21"/>
        </w:rPr>
      </w:pPr>
      <w:r>
        <w:rPr>
          <w:rFonts w:hint="eastAsia"/>
          <w:sz w:val="21"/>
          <w:szCs w:val="21"/>
        </w:rPr>
        <w:t xml:space="preserve">郭晓林先生，硕士。2012年从清华大学硕士研究生毕业后加入博时基金管理有限公司。历任研究员、高级研究员、高级研究员兼基金经理助理、资深研究员兼基金经理助理、资深研究员兼投资经理。现任权益投资四部投资总监助理兼博时互联网主题灵活配置混合型证券投资基金(2016年7月20日—至今)、博时汇悦回报混合型证券投资基金(2020年2月20日—至今)、博时创业板两年定期开放混合型证券投资基金(2020年9月3日—至今)、博时新能源汽车主题混合型证券投资基金(2021年6月2日—至今)、博时新能源主题混合型证券投资基金(2021年8月24日—至今)、博时移动互联主题混合型证券投资基金(2021年9月29日—至今)、博时专精特新主题混合型证券投资基金(2021年12月6日—至今)、博时凤凰领航混合型证券投资基金(2022年4月6日—至今)、博时优享回报混合型证券投资基金(2022年8月2日—至今)的基金经理。 </w:t>
      </w:r>
    </w:p>
    <w:p>
      <w:pPr>
        <w:pStyle w:val="7"/>
        <w:spacing w:before="0" w:beforeAutospacing="0" w:after="0" w:afterAutospacing="0" w:line="360" w:lineRule="auto"/>
        <w:ind w:firstLine="420"/>
        <w:rPr>
          <w:sz w:val="21"/>
          <w:szCs w:val="21"/>
        </w:rPr>
      </w:pPr>
      <w:bookmarkStart w:id="38" w:name="field_0_fundmanagershis_1_start"/>
      <w:bookmarkEnd w:id="38"/>
      <w:r>
        <w:rPr>
          <w:rFonts w:hint="eastAsia"/>
          <w:sz w:val="21"/>
          <w:szCs w:val="21"/>
        </w:rPr>
        <w:t>本基金历任基金经理：肖瑞瑾（2020年2月20日-2021年4月13</w:t>
      </w:r>
      <w:bookmarkStart w:id="39" w:name="chapter_level1_5_53_section_2_end"/>
      <w:bookmarkEnd w:id="39"/>
      <w:r>
        <w:rPr>
          <w:rFonts w:hint="eastAsia"/>
          <w:sz w:val="21"/>
          <w:szCs w:val="21"/>
        </w:rPr>
        <w:t>日）、吴渭(20</w:t>
      </w:r>
      <w:r>
        <w:rPr>
          <w:sz w:val="21"/>
          <w:szCs w:val="21"/>
        </w:rPr>
        <w:t>23</w:t>
      </w:r>
      <w:r>
        <w:rPr>
          <w:rFonts w:hint="eastAsia"/>
          <w:sz w:val="21"/>
          <w:szCs w:val="21"/>
        </w:rPr>
        <w:t>年</w:t>
      </w:r>
      <w:r>
        <w:rPr>
          <w:sz w:val="21"/>
          <w:szCs w:val="21"/>
        </w:rPr>
        <w:t>4</w:t>
      </w:r>
      <w:r>
        <w:rPr>
          <w:rFonts w:hint="eastAsia"/>
          <w:sz w:val="21"/>
          <w:szCs w:val="21"/>
        </w:rPr>
        <w:t>月</w:t>
      </w:r>
      <w:r>
        <w:rPr>
          <w:sz w:val="21"/>
          <w:szCs w:val="21"/>
        </w:rPr>
        <w:t>14</w:t>
      </w:r>
      <w:r>
        <w:rPr>
          <w:rFonts w:hint="eastAsia"/>
          <w:sz w:val="21"/>
          <w:szCs w:val="21"/>
        </w:rPr>
        <w:t>日—至今)。</w:t>
      </w:r>
      <w:bookmarkStart w:id="40" w:name="field_0_fundmanagershis_1_end"/>
      <w:bookmarkEnd w:id="40"/>
      <w:r>
        <w:rPr>
          <w:rFonts w:hint="eastAsia"/>
          <w:sz w:val="21"/>
          <w:szCs w:val="21"/>
        </w:rPr>
        <w:t xml:space="preserve">  </w:t>
      </w:r>
    </w:p>
    <w:p>
      <w:pPr>
        <w:pStyle w:val="7"/>
        <w:spacing w:before="0" w:beforeAutospacing="0" w:after="0" w:afterAutospacing="0" w:line="360" w:lineRule="auto"/>
        <w:ind w:firstLine="420"/>
        <w:rPr>
          <w:sz w:val="21"/>
          <w:szCs w:val="21"/>
        </w:rPr>
      </w:pPr>
      <w:bookmarkStart w:id="41" w:name="field_0_managerpersoninfo2_1_start"/>
      <w:bookmarkEnd w:id="41"/>
      <w:bookmarkStart w:id="42" w:name="chapter_level1_5_53_section_3"/>
      <w:bookmarkEnd w:id="42"/>
      <w:r>
        <w:rPr>
          <w:rFonts w:hint="eastAsia"/>
          <w:sz w:val="21"/>
          <w:szCs w:val="21"/>
        </w:rPr>
        <w:t>5、投资决策委员会成员</w:t>
      </w:r>
    </w:p>
    <w:p>
      <w:pPr>
        <w:pStyle w:val="7"/>
        <w:spacing w:before="0" w:beforeAutospacing="0" w:after="0" w:afterAutospacing="0" w:line="360" w:lineRule="auto"/>
        <w:ind w:firstLine="420"/>
        <w:rPr>
          <w:sz w:val="21"/>
          <w:szCs w:val="21"/>
        </w:rPr>
      </w:pPr>
      <w:r>
        <w:rPr>
          <w:rFonts w:hint="eastAsia"/>
          <w:sz w:val="21"/>
          <w:szCs w:val="21"/>
        </w:rPr>
        <w:t>公司总经理高阳先生。</w:t>
      </w:r>
    </w:p>
    <w:p>
      <w:pPr>
        <w:pStyle w:val="7"/>
        <w:spacing w:before="0" w:beforeAutospacing="0" w:after="0" w:afterAutospacing="0" w:line="360" w:lineRule="auto"/>
        <w:ind w:firstLine="420"/>
        <w:rPr>
          <w:sz w:val="21"/>
          <w:szCs w:val="21"/>
        </w:rPr>
      </w:pPr>
      <w:r>
        <w:rPr>
          <w:rFonts w:hint="eastAsia"/>
          <w:sz w:val="21"/>
          <w:szCs w:val="21"/>
        </w:rPr>
        <w:t>公司首席资产配置官黄健斌先生。</w:t>
      </w:r>
    </w:p>
    <w:p>
      <w:pPr>
        <w:pStyle w:val="7"/>
        <w:spacing w:before="0" w:beforeAutospacing="0" w:after="0" w:afterAutospacing="0" w:line="360" w:lineRule="auto"/>
        <w:ind w:firstLine="420"/>
        <w:rPr>
          <w:sz w:val="21"/>
          <w:szCs w:val="21"/>
        </w:rPr>
      </w:pPr>
      <w:r>
        <w:rPr>
          <w:rFonts w:hint="eastAsia"/>
          <w:sz w:val="21"/>
          <w:szCs w:val="21"/>
        </w:rPr>
        <w:t>首席基金经理过钧先生。</w:t>
      </w:r>
    </w:p>
    <w:p>
      <w:pPr>
        <w:pStyle w:val="7"/>
        <w:spacing w:before="0" w:beforeAutospacing="0" w:after="0" w:afterAutospacing="0" w:line="360" w:lineRule="auto"/>
        <w:ind w:firstLine="420"/>
        <w:rPr>
          <w:sz w:val="21"/>
          <w:szCs w:val="21"/>
        </w:rPr>
      </w:pPr>
      <w:r>
        <w:rPr>
          <w:rFonts w:hint="eastAsia"/>
          <w:sz w:val="21"/>
          <w:szCs w:val="21"/>
        </w:rPr>
        <w:t>公司董事总经理兼权益投研一体化总监、权益投资四部总经理、权益投资四部投资总监、境外投资部总经理曾鹏先生。</w:t>
      </w:r>
    </w:p>
    <w:p>
      <w:pPr>
        <w:pStyle w:val="7"/>
        <w:spacing w:before="0" w:beforeAutospacing="0" w:after="0" w:afterAutospacing="0" w:line="360" w:lineRule="auto"/>
        <w:ind w:firstLine="420"/>
        <w:rPr>
          <w:sz w:val="21"/>
          <w:szCs w:val="21"/>
        </w:rPr>
      </w:pPr>
      <w:r>
        <w:rPr>
          <w:rFonts w:hint="eastAsia"/>
          <w:sz w:val="21"/>
          <w:szCs w:val="21"/>
        </w:rPr>
        <w:t>权益投资三部投资总监蔡滨先生。</w:t>
      </w:r>
    </w:p>
    <w:p>
      <w:pPr>
        <w:pStyle w:val="7"/>
        <w:spacing w:before="0" w:beforeAutospacing="0" w:after="0" w:afterAutospacing="0" w:line="360" w:lineRule="auto"/>
        <w:ind w:firstLine="420"/>
        <w:rPr>
          <w:sz w:val="21"/>
          <w:szCs w:val="21"/>
        </w:rPr>
      </w:pPr>
      <w:r>
        <w:rPr>
          <w:rFonts w:hint="eastAsia"/>
          <w:sz w:val="21"/>
          <w:szCs w:val="21"/>
        </w:rPr>
        <w:t>公司董事总经理兼年金投资部总经理、投资总监杨帆先生。</w:t>
      </w:r>
    </w:p>
    <w:p>
      <w:pPr>
        <w:pStyle w:val="7"/>
        <w:spacing w:before="0" w:beforeAutospacing="0" w:after="0" w:afterAutospacing="0" w:line="360" w:lineRule="auto"/>
        <w:ind w:firstLine="420"/>
        <w:rPr>
          <w:sz w:val="21"/>
          <w:szCs w:val="21"/>
        </w:rPr>
      </w:pPr>
      <w:r>
        <w:rPr>
          <w:rFonts w:hint="eastAsia"/>
          <w:sz w:val="21"/>
          <w:szCs w:val="21"/>
        </w:rPr>
        <w:t>指数与量化投资部投资总监赵云阳先生。</w:t>
      </w:r>
    </w:p>
    <w:p>
      <w:pPr>
        <w:pStyle w:val="7"/>
        <w:spacing w:before="0" w:beforeAutospacing="0" w:after="0" w:afterAutospacing="0" w:line="360" w:lineRule="auto"/>
        <w:ind w:firstLine="420"/>
        <w:rPr>
          <w:sz w:val="21"/>
          <w:szCs w:val="21"/>
        </w:rPr>
      </w:pPr>
      <w:r>
        <w:rPr>
          <w:rFonts w:hint="eastAsia"/>
          <w:sz w:val="21"/>
          <w:szCs w:val="21"/>
        </w:rPr>
        <w:t>行业研究部研究总监兼副总经理金晟哲先生。</w:t>
      </w:r>
    </w:p>
    <w:p>
      <w:pPr>
        <w:pStyle w:val="7"/>
        <w:spacing w:before="0" w:beforeAutospacing="0" w:after="0" w:afterAutospacing="0" w:line="360" w:lineRule="auto"/>
        <w:ind w:firstLine="420"/>
        <w:rPr>
          <w:sz w:val="21"/>
          <w:szCs w:val="21"/>
        </w:rPr>
      </w:pPr>
      <w:r>
        <w:rPr>
          <w:rFonts w:hint="eastAsia"/>
          <w:sz w:val="21"/>
          <w:szCs w:val="21"/>
        </w:rPr>
        <w:t>6、上述人员之间均不存在近亲属关系。</w:t>
      </w:r>
      <w:bookmarkStart w:id="43" w:name="chapter_level1_5_53_section_3_end"/>
      <w:bookmarkEnd w:id="43"/>
    </w:p>
    <w:p>
      <w:pPr>
        <w:pStyle w:val="7"/>
        <w:spacing w:before="0" w:beforeAutospacing="0" w:after="0" w:afterAutospacing="0" w:line="360" w:lineRule="auto"/>
        <w:ind w:firstLine="420"/>
        <w:rPr>
          <w:sz w:val="21"/>
          <w:szCs w:val="21"/>
        </w:rPr>
      </w:pPr>
      <w:bookmarkStart w:id="44" w:name="chapter_level1_5_53_section_4"/>
      <w:bookmarkEnd w:id="44"/>
      <w:r>
        <w:rPr>
          <w:rStyle w:val="11"/>
          <w:rFonts w:hint="eastAsia"/>
          <w:sz w:val="21"/>
          <w:szCs w:val="21"/>
        </w:rPr>
        <w:t>三、基金管理人的职责</w:t>
      </w:r>
    </w:p>
    <w:p>
      <w:pPr>
        <w:pStyle w:val="7"/>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pPr>
        <w:pStyle w:val="7"/>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 </w:t>
      </w:r>
    </w:p>
    <w:p>
      <w:pPr>
        <w:pStyle w:val="7"/>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pPr>
        <w:pStyle w:val="7"/>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pPr>
        <w:pStyle w:val="7"/>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pPr>
        <w:pStyle w:val="7"/>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四、基金管理人的承诺</w:t>
      </w:r>
    </w:p>
    <w:p>
      <w:pPr>
        <w:pStyle w:val="7"/>
        <w:spacing w:before="0" w:beforeAutospacing="0" w:after="0" w:afterAutospacing="0" w:line="360" w:lineRule="auto"/>
        <w:ind w:firstLine="420"/>
        <w:rPr>
          <w:sz w:val="21"/>
          <w:szCs w:val="21"/>
        </w:rPr>
      </w:pPr>
      <w:r>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pPr>
        <w:pStyle w:val="7"/>
        <w:spacing w:before="0" w:beforeAutospacing="0" w:after="0" w:afterAutospacing="0" w:line="360" w:lineRule="auto"/>
        <w:ind w:firstLine="420"/>
        <w:rPr>
          <w:sz w:val="21"/>
          <w:szCs w:val="21"/>
        </w:rPr>
      </w:pPr>
      <w:r>
        <w:rPr>
          <w:rFonts w:hint="eastAsia"/>
          <w:sz w:val="21"/>
          <w:szCs w:val="21"/>
        </w:rPr>
        <w:t xml:space="preserve">2、基金管理人承诺不从事违反《基金法》的行为，并承诺建立健全内部风险控制制度，采取有效措施，防止下列行为的发生： </w:t>
      </w:r>
    </w:p>
    <w:p>
      <w:pPr>
        <w:pStyle w:val="7"/>
        <w:spacing w:before="0" w:beforeAutospacing="0" w:after="0" w:afterAutospacing="0" w:line="360" w:lineRule="auto"/>
        <w:ind w:firstLine="420"/>
        <w:rPr>
          <w:sz w:val="21"/>
          <w:szCs w:val="21"/>
        </w:rPr>
      </w:pPr>
      <w:r>
        <w:rPr>
          <w:rFonts w:hint="eastAsia"/>
          <w:sz w:val="21"/>
          <w:szCs w:val="21"/>
        </w:rPr>
        <w:t xml:space="preserve">（1）将基金管理人固有财产或者他人财产混同于基金财产从事证券投资； </w:t>
      </w:r>
    </w:p>
    <w:p>
      <w:pPr>
        <w:pStyle w:val="7"/>
        <w:spacing w:before="0" w:beforeAutospacing="0" w:after="0" w:afterAutospacing="0" w:line="360" w:lineRule="auto"/>
        <w:ind w:firstLine="420"/>
        <w:rPr>
          <w:sz w:val="21"/>
          <w:szCs w:val="21"/>
        </w:rPr>
      </w:pPr>
      <w:r>
        <w:rPr>
          <w:rFonts w:hint="eastAsia"/>
          <w:sz w:val="21"/>
          <w:szCs w:val="21"/>
        </w:rPr>
        <w:t xml:space="preserve">（2）不公平地对待管理的不同基金财产； </w:t>
      </w:r>
    </w:p>
    <w:p>
      <w:pPr>
        <w:pStyle w:val="7"/>
        <w:spacing w:before="0" w:beforeAutospacing="0" w:after="0" w:afterAutospacing="0" w:line="360" w:lineRule="auto"/>
        <w:ind w:firstLine="420"/>
        <w:rPr>
          <w:sz w:val="21"/>
          <w:szCs w:val="21"/>
        </w:rPr>
      </w:pPr>
      <w:r>
        <w:rPr>
          <w:rFonts w:hint="eastAsia"/>
          <w:sz w:val="21"/>
          <w:szCs w:val="21"/>
        </w:rPr>
        <w:t xml:space="preserve">（3）利用基金财产或者职务之便为基金份额持有人以外的第三人牟取利益； </w:t>
      </w:r>
    </w:p>
    <w:p>
      <w:pPr>
        <w:pStyle w:val="7"/>
        <w:spacing w:before="0" w:beforeAutospacing="0" w:after="0" w:afterAutospacing="0" w:line="360" w:lineRule="auto"/>
        <w:ind w:firstLine="420"/>
        <w:rPr>
          <w:sz w:val="21"/>
          <w:szCs w:val="21"/>
        </w:rPr>
      </w:pPr>
      <w:r>
        <w:rPr>
          <w:rFonts w:hint="eastAsia"/>
          <w:sz w:val="21"/>
          <w:szCs w:val="21"/>
        </w:rPr>
        <w:t xml:space="preserve">（4）向基金份额持有人违规承诺收益或者承担损失；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（5）侵占、挪用基金财产； </w:t>
      </w:r>
    </w:p>
    <w:p>
      <w:pPr>
        <w:pStyle w:val="7"/>
        <w:spacing w:before="0" w:beforeAutospacing="0" w:after="0" w:afterAutospacing="0" w:line="360" w:lineRule="auto"/>
        <w:ind w:firstLine="420"/>
        <w:rPr>
          <w:sz w:val="21"/>
          <w:szCs w:val="21"/>
        </w:rPr>
      </w:pPr>
      <w:r>
        <w:rPr>
          <w:rFonts w:hint="eastAsia"/>
          <w:sz w:val="21"/>
          <w:szCs w:val="21"/>
        </w:rPr>
        <w:t xml:space="preserve">（6）泄露因职务便利获取的未公开信息、利用该信息从事或者明示、暗示他人从事相关的交易活动； </w:t>
      </w:r>
    </w:p>
    <w:p>
      <w:pPr>
        <w:pStyle w:val="7"/>
        <w:spacing w:before="0" w:beforeAutospacing="0" w:after="0" w:afterAutospacing="0" w:line="360" w:lineRule="auto"/>
        <w:ind w:firstLine="420"/>
        <w:rPr>
          <w:sz w:val="21"/>
          <w:szCs w:val="21"/>
        </w:rPr>
      </w:pPr>
      <w:r>
        <w:rPr>
          <w:rFonts w:hint="eastAsia"/>
          <w:sz w:val="21"/>
          <w:szCs w:val="21"/>
        </w:rPr>
        <w:t xml:space="preserve">（7）玩忽职守，不按照规定履行职责； </w:t>
      </w:r>
    </w:p>
    <w:p>
      <w:pPr>
        <w:pStyle w:val="7"/>
        <w:spacing w:before="0" w:beforeAutospacing="0" w:after="0" w:afterAutospacing="0" w:line="360" w:lineRule="auto"/>
        <w:ind w:firstLine="420"/>
        <w:rPr>
          <w:sz w:val="21"/>
          <w:szCs w:val="21"/>
        </w:rPr>
      </w:pPr>
      <w:r>
        <w:rPr>
          <w:rFonts w:hint="eastAsia"/>
          <w:sz w:val="21"/>
          <w:szCs w:val="21"/>
        </w:rPr>
        <w:t xml:space="preserve">（8）法律、行政法规和中国证监会规定禁止的其他行为。 </w:t>
      </w:r>
    </w:p>
    <w:p>
      <w:pPr>
        <w:pStyle w:val="7"/>
        <w:spacing w:before="0" w:beforeAutospacing="0" w:after="0" w:afterAutospacing="0" w:line="360" w:lineRule="auto"/>
        <w:ind w:firstLine="420"/>
        <w:rPr>
          <w:sz w:val="21"/>
          <w:szCs w:val="21"/>
        </w:rPr>
      </w:pPr>
      <w:r>
        <w:rPr>
          <w:rFonts w:hint="eastAsia"/>
          <w:sz w:val="21"/>
          <w:szCs w:val="21"/>
        </w:rPr>
        <w:t xml:space="preserve">3、基金管理人承诺严格遵守基金合同，并承诺建立健全内部控制制度，采取有效措施，防止违反基金合同行为的发生； </w:t>
      </w:r>
    </w:p>
    <w:p>
      <w:pPr>
        <w:pStyle w:val="7"/>
        <w:spacing w:before="0" w:beforeAutospacing="0" w:after="0" w:afterAutospacing="0" w:line="360" w:lineRule="auto"/>
        <w:ind w:firstLine="420"/>
        <w:rPr>
          <w:sz w:val="21"/>
          <w:szCs w:val="21"/>
        </w:rPr>
      </w:pPr>
      <w:r>
        <w:rPr>
          <w:rFonts w:hint="eastAsia"/>
          <w:sz w:val="21"/>
          <w:szCs w:val="21"/>
        </w:rPr>
        <w:t xml:space="preserve">4、基金管理人承诺加强人员管理，强化职业操守，督促和约束员工遵守国家有关法律法规及行业规范，诚实信用、勤勉尽责； </w:t>
      </w:r>
    </w:p>
    <w:p>
      <w:pPr>
        <w:pStyle w:val="7"/>
        <w:spacing w:before="0" w:beforeAutospacing="0" w:after="0" w:afterAutospacing="0" w:line="360" w:lineRule="auto"/>
        <w:ind w:firstLine="420"/>
        <w:rPr>
          <w:sz w:val="21"/>
          <w:szCs w:val="21"/>
        </w:rPr>
      </w:pPr>
      <w:r>
        <w:rPr>
          <w:rFonts w:hint="eastAsia"/>
          <w:sz w:val="21"/>
          <w:szCs w:val="21"/>
        </w:rPr>
        <w:t xml:space="preserve">5、基金管理人承诺不从事其他法规规定禁止从事的行为。 </w:t>
      </w:r>
    </w:p>
    <w:p>
      <w:pPr>
        <w:pStyle w:val="7"/>
        <w:spacing w:before="0" w:beforeAutospacing="0" w:after="0" w:afterAutospacing="0" w:line="360" w:lineRule="auto"/>
        <w:ind w:firstLine="420"/>
        <w:rPr>
          <w:sz w:val="21"/>
          <w:szCs w:val="21"/>
        </w:rPr>
      </w:pPr>
      <w:r>
        <w:rPr>
          <w:rStyle w:val="11"/>
          <w:rFonts w:hint="eastAsia"/>
          <w:sz w:val="21"/>
          <w:szCs w:val="21"/>
        </w:rPr>
        <w:t>五、基金经理承诺</w:t>
      </w:r>
    </w:p>
    <w:p>
      <w:pPr>
        <w:pStyle w:val="7"/>
        <w:spacing w:before="0" w:beforeAutospacing="0" w:after="0" w:afterAutospacing="0" w:line="360" w:lineRule="auto"/>
        <w:ind w:firstLine="420"/>
        <w:rPr>
          <w:sz w:val="21"/>
          <w:szCs w:val="21"/>
        </w:rPr>
      </w:pPr>
      <w:r>
        <w:rPr>
          <w:rFonts w:hint="eastAsia"/>
          <w:sz w:val="21"/>
          <w:szCs w:val="21"/>
        </w:rPr>
        <w:t xml:space="preserve">1、依照有关法律法规和基金合同的规定，本着谨慎的原则为基金份额持有人谋取最大利益； </w:t>
      </w:r>
    </w:p>
    <w:p>
      <w:pPr>
        <w:pStyle w:val="7"/>
        <w:spacing w:before="0" w:beforeAutospacing="0" w:after="0" w:afterAutospacing="0" w:line="360" w:lineRule="auto"/>
        <w:ind w:firstLine="420"/>
        <w:rPr>
          <w:sz w:val="21"/>
          <w:szCs w:val="21"/>
        </w:rPr>
      </w:pPr>
      <w:r>
        <w:rPr>
          <w:rFonts w:hint="eastAsia"/>
          <w:sz w:val="21"/>
          <w:szCs w:val="21"/>
        </w:rPr>
        <w:t xml:space="preserve">2、不利用职务之便为自己、受雇人或任何第三者牟取利益； </w:t>
      </w:r>
    </w:p>
    <w:p>
      <w:pPr>
        <w:pStyle w:val="7"/>
        <w:spacing w:before="0" w:beforeAutospacing="0" w:after="0" w:afterAutospacing="0" w:line="360" w:lineRule="auto"/>
        <w:ind w:firstLine="420"/>
        <w:rPr>
          <w:sz w:val="21"/>
          <w:szCs w:val="21"/>
        </w:rPr>
      </w:pPr>
      <w:r>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pPr>
        <w:pStyle w:val="7"/>
        <w:spacing w:before="0" w:beforeAutospacing="0" w:after="0" w:afterAutospacing="0" w:line="360" w:lineRule="auto"/>
        <w:ind w:firstLine="420"/>
        <w:rPr>
          <w:sz w:val="21"/>
          <w:szCs w:val="21"/>
        </w:rPr>
      </w:pPr>
      <w:r>
        <w:rPr>
          <w:rFonts w:hint="eastAsia"/>
          <w:sz w:val="21"/>
          <w:szCs w:val="21"/>
        </w:rPr>
        <w:t xml:space="preserve">4、不以任何形式为其他组织或个人进行证券交易。 </w:t>
      </w:r>
    </w:p>
    <w:p>
      <w:pPr>
        <w:pStyle w:val="7"/>
        <w:spacing w:before="0" w:beforeAutospacing="0" w:after="0" w:afterAutospacing="0" w:line="360" w:lineRule="auto"/>
        <w:ind w:firstLine="420"/>
        <w:rPr>
          <w:sz w:val="21"/>
          <w:szCs w:val="21"/>
        </w:rPr>
      </w:pPr>
      <w:r>
        <w:rPr>
          <w:rStyle w:val="11"/>
          <w:rFonts w:hint="eastAsia"/>
          <w:sz w:val="21"/>
          <w:szCs w:val="21"/>
        </w:rPr>
        <w:t>六、基金管理人的内部控制制度</w:t>
      </w:r>
    </w:p>
    <w:p>
      <w:pPr>
        <w:pStyle w:val="7"/>
        <w:spacing w:before="0" w:beforeAutospacing="0" w:after="0" w:afterAutospacing="0" w:line="360" w:lineRule="auto"/>
        <w:ind w:firstLine="420"/>
        <w:rPr>
          <w:sz w:val="21"/>
          <w:szCs w:val="21"/>
        </w:rPr>
      </w:pPr>
      <w:r>
        <w:rPr>
          <w:rFonts w:hint="eastAsia"/>
          <w:sz w:val="21"/>
          <w:szCs w:val="21"/>
        </w:rPr>
        <w:t xml:space="preserve">1、风险管理的原则 </w:t>
      </w:r>
    </w:p>
    <w:p>
      <w:pPr>
        <w:pStyle w:val="7"/>
        <w:spacing w:before="0" w:beforeAutospacing="0" w:after="0" w:afterAutospacing="0" w:line="360" w:lineRule="auto"/>
        <w:ind w:firstLine="420"/>
        <w:rPr>
          <w:sz w:val="21"/>
          <w:szCs w:val="21"/>
        </w:rPr>
      </w:pPr>
      <w:r>
        <w:rPr>
          <w:rFonts w:hint="eastAsia"/>
          <w:sz w:val="21"/>
          <w:szCs w:val="21"/>
        </w:rPr>
        <w:t xml:space="preserve">（1）全面性原则 </w:t>
      </w:r>
    </w:p>
    <w:p>
      <w:pPr>
        <w:pStyle w:val="7"/>
        <w:spacing w:before="0" w:beforeAutospacing="0" w:after="0" w:afterAutospacing="0" w:line="360" w:lineRule="auto"/>
        <w:ind w:firstLine="420"/>
        <w:rPr>
          <w:sz w:val="21"/>
          <w:szCs w:val="21"/>
        </w:rPr>
      </w:pPr>
      <w:r>
        <w:rPr>
          <w:rFonts w:hint="eastAsia"/>
          <w:sz w:val="21"/>
          <w:szCs w:val="21"/>
        </w:rPr>
        <w:t xml:space="preserve">公司风险管理必须覆盖公司的所有部门和岗位，渗透各项业务过程和业务环节。 </w:t>
      </w:r>
    </w:p>
    <w:p>
      <w:pPr>
        <w:pStyle w:val="7"/>
        <w:spacing w:before="0" w:beforeAutospacing="0" w:after="0" w:afterAutospacing="0" w:line="360" w:lineRule="auto"/>
        <w:ind w:firstLine="420"/>
        <w:rPr>
          <w:sz w:val="21"/>
          <w:szCs w:val="21"/>
        </w:rPr>
      </w:pPr>
      <w:r>
        <w:rPr>
          <w:rFonts w:hint="eastAsia"/>
          <w:sz w:val="21"/>
          <w:szCs w:val="21"/>
        </w:rPr>
        <w:t xml:space="preserve">（2）独立性原则 </w:t>
      </w:r>
    </w:p>
    <w:p>
      <w:pPr>
        <w:pStyle w:val="7"/>
        <w:spacing w:before="0" w:beforeAutospacing="0" w:after="0" w:afterAutospacing="0" w:line="360" w:lineRule="auto"/>
        <w:ind w:firstLine="420"/>
        <w:rPr>
          <w:sz w:val="21"/>
          <w:szCs w:val="21"/>
        </w:rPr>
      </w:pPr>
      <w:r>
        <w:rPr>
          <w:rFonts w:hint="eastAsia"/>
          <w:sz w:val="21"/>
          <w:szCs w:val="21"/>
        </w:rPr>
        <w:t xml:space="preserve">公司设立独立的监察部，监察部保持高度的独立性和权威性，负责对公司各部门风险控制工作进行稽核和检查。 </w:t>
      </w:r>
    </w:p>
    <w:p>
      <w:pPr>
        <w:pStyle w:val="7"/>
        <w:spacing w:before="0" w:beforeAutospacing="0" w:after="0" w:afterAutospacing="0" w:line="360" w:lineRule="auto"/>
        <w:ind w:firstLine="420"/>
        <w:rPr>
          <w:sz w:val="21"/>
          <w:szCs w:val="21"/>
        </w:rPr>
      </w:pPr>
      <w:r>
        <w:rPr>
          <w:rFonts w:hint="eastAsia"/>
          <w:sz w:val="21"/>
          <w:szCs w:val="21"/>
        </w:rPr>
        <w:t xml:space="preserve">（3）相互制约原则 </w:t>
      </w:r>
    </w:p>
    <w:p>
      <w:pPr>
        <w:pStyle w:val="7"/>
        <w:spacing w:before="0" w:beforeAutospacing="0" w:after="0" w:afterAutospacing="0" w:line="360" w:lineRule="auto"/>
        <w:ind w:firstLine="420"/>
        <w:rPr>
          <w:sz w:val="21"/>
          <w:szCs w:val="21"/>
        </w:rPr>
      </w:pPr>
      <w:r>
        <w:rPr>
          <w:rFonts w:hint="eastAsia"/>
          <w:sz w:val="21"/>
          <w:szCs w:val="21"/>
        </w:rPr>
        <w:t xml:space="preserve">公司及各部门在内部组织结构的设计上要形成一种相互制约的机制，建立不同岗位之间的制衡体系。 </w:t>
      </w:r>
    </w:p>
    <w:p>
      <w:pPr>
        <w:pStyle w:val="7"/>
        <w:spacing w:before="0" w:beforeAutospacing="0" w:after="0" w:afterAutospacing="0" w:line="360" w:lineRule="auto"/>
        <w:ind w:firstLine="420"/>
        <w:rPr>
          <w:sz w:val="21"/>
          <w:szCs w:val="21"/>
        </w:rPr>
      </w:pPr>
      <w:r>
        <w:rPr>
          <w:rFonts w:hint="eastAsia"/>
          <w:sz w:val="21"/>
          <w:szCs w:val="21"/>
        </w:rPr>
        <w:t xml:space="preserve">（4）定性和定量相结合原则 </w:t>
      </w:r>
    </w:p>
    <w:p>
      <w:pPr>
        <w:pStyle w:val="7"/>
        <w:spacing w:before="0" w:beforeAutospacing="0" w:after="0" w:afterAutospacing="0" w:line="360" w:lineRule="auto"/>
        <w:ind w:firstLine="420"/>
        <w:rPr>
          <w:sz w:val="21"/>
          <w:szCs w:val="21"/>
        </w:rPr>
      </w:pPr>
      <w:r>
        <w:rPr>
          <w:rFonts w:hint="eastAsia"/>
          <w:sz w:val="21"/>
          <w:szCs w:val="21"/>
        </w:rPr>
        <w:t xml:space="preserve">建立完备的风险管理指标体系，使风险管理更具客观性和操作性。 </w:t>
      </w:r>
    </w:p>
    <w:p>
      <w:pPr>
        <w:pStyle w:val="7"/>
        <w:spacing w:before="0" w:beforeAutospacing="0" w:after="0" w:afterAutospacing="0" w:line="360" w:lineRule="auto"/>
        <w:ind w:firstLine="420"/>
        <w:rPr>
          <w:sz w:val="21"/>
          <w:szCs w:val="21"/>
        </w:rPr>
      </w:pPr>
      <w:r>
        <w:rPr>
          <w:rFonts w:hint="eastAsia"/>
          <w:sz w:val="21"/>
          <w:szCs w:val="21"/>
        </w:rPr>
        <w:t xml:space="preserve">2、风险管理和内部风险控制体系结构 </w:t>
      </w:r>
    </w:p>
    <w:p>
      <w:pPr>
        <w:pStyle w:val="7"/>
        <w:spacing w:before="0" w:beforeAutospacing="0" w:after="0" w:afterAutospacing="0" w:line="360" w:lineRule="auto"/>
        <w:ind w:firstLine="420"/>
        <w:rPr>
          <w:sz w:val="21"/>
          <w:szCs w:val="21"/>
        </w:rPr>
      </w:pPr>
      <w:r>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pPr>
        <w:pStyle w:val="7"/>
        <w:spacing w:before="0" w:beforeAutospacing="0" w:after="0" w:afterAutospacing="0" w:line="360" w:lineRule="auto"/>
        <w:ind w:firstLine="420"/>
        <w:rPr>
          <w:sz w:val="21"/>
          <w:szCs w:val="21"/>
        </w:rPr>
      </w:pPr>
      <w:r>
        <w:rPr>
          <w:rFonts w:hint="eastAsia"/>
          <w:sz w:val="21"/>
          <w:szCs w:val="21"/>
        </w:rPr>
        <w:t xml:space="preserve">（1）董事会 </w:t>
      </w:r>
    </w:p>
    <w:p>
      <w:pPr>
        <w:pStyle w:val="7"/>
        <w:spacing w:before="0" w:beforeAutospacing="0" w:after="0" w:afterAutospacing="0" w:line="360" w:lineRule="auto"/>
        <w:ind w:firstLine="420"/>
        <w:rPr>
          <w:sz w:val="21"/>
          <w:szCs w:val="21"/>
        </w:rPr>
      </w:pPr>
      <w:r>
        <w:rPr>
          <w:rFonts w:hint="eastAsia"/>
          <w:sz w:val="21"/>
          <w:szCs w:val="21"/>
        </w:rPr>
        <w:t xml:space="preserve">负责制定公司的风险管理政策，对风险管理负完全的和最终的责任。 </w:t>
      </w:r>
    </w:p>
    <w:p>
      <w:pPr>
        <w:pStyle w:val="7"/>
        <w:spacing w:before="0" w:beforeAutospacing="0" w:after="0" w:afterAutospacing="0" w:line="360" w:lineRule="auto"/>
        <w:ind w:firstLine="420"/>
        <w:rPr>
          <w:sz w:val="21"/>
          <w:szCs w:val="21"/>
        </w:rPr>
      </w:pPr>
      <w:r>
        <w:rPr>
          <w:rFonts w:hint="eastAsia"/>
          <w:sz w:val="21"/>
          <w:szCs w:val="21"/>
        </w:rPr>
        <w:t xml:space="preserve">（2）风险管理委员会 </w:t>
      </w:r>
    </w:p>
    <w:p>
      <w:pPr>
        <w:pStyle w:val="7"/>
        <w:spacing w:before="0" w:beforeAutospacing="0" w:after="0" w:afterAutospacing="0" w:line="360" w:lineRule="auto"/>
        <w:ind w:firstLine="420"/>
        <w:rPr>
          <w:sz w:val="21"/>
          <w:szCs w:val="21"/>
        </w:rPr>
      </w:pPr>
      <w:r>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pPr>
        <w:pStyle w:val="7"/>
        <w:spacing w:before="0" w:beforeAutospacing="0" w:after="0" w:afterAutospacing="0" w:line="360" w:lineRule="auto"/>
        <w:ind w:firstLine="420"/>
        <w:rPr>
          <w:sz w:val="21"/>
          <w:szCs w:val="21"/>
        </w:rPr>
      </w:pPr>
      <w:r>
        <w:rPr>
          <w:rFonts w:hint="eastAsia"/>
          <w:sz w:val="21"/>
          <w:szCs w:val="21"/>
        </w:rPr>
        <w:t xml:space="preserve">（3）督察长 </w:t>
      </w:r>
    </w:p>
    <w:p>
      <w:pPr>
        <w:pStyle w:val="7"/>
        <w:spacing w:before="0" w:beforeAutospacing="0" w:after="0" w:afterAutospacing="0" w:line="360" w:lineRule="auto"/>
        <w:ind w:firstLine="420"/>
        <w:rPr>
          <w:sz w:val="21"/>
          <w:szCs w:val="21"/>
        </w:rPr>
      </w:pPr>
      <w:r>
        <w:rPr>
          <w:rFonts w:hint="eastAsia"/>
          <w:sz w:val="21"/>
          <w:szCs w:val="21"/>
        </w:rPr>
        <w:t xml:space="preserve">独立行使督察权利；直接对董事会负责；按季向风险管理委员会提交独立的风险管理报告和风险管理建议。 </w:t>
      </w:r>
    </w:p>
    <w:p>
      <w:pPr>
        <w:pStyle w:val="7"/>
        <w:spacing w:before="0" w:beforeAutospacing="0" w:after="0" w:afterAutospacing="0" w:line="360" w:lineRule="auto"/>
        <w:ind w:firstLine="420"/>
        <w:rPr>
          <w:sz w:val="21"/>
          <w:szCs w:val="21"/>
        </w:rPr>
      </w:pPr>
      <w:r>
        <w:rPr>
          <w:rFonts w:hint="eastAsia"/>
          <w:sz w:val="21"/>
          <w:szCs w:val="21"/>
        </w:rPr>
        <w:t xml:space="preserve">（4）监察法律部 </w:t>
      </w:r>
    </w:p>
    <w:p>
      <w:pPr>
        <w:pStyle w:val="7"/>
        <w:spacing w:before="0" w:beforeAutospacing="0" w:after="0" w:afterAutospacing="0" w:line="360" w:lineRule="auto"/>
        <w:ind w:firstLine="420"/>
        <w:rPr>
          <w:sz w:val="21"/>
          <w:szCs w:val="21"/>
        </w:rPr>
      </w:pPr>
      <w:r>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pPr>
        <w:pStyle w:val="7"/>
        <w:spacing w:before="0" w:beforeAutospacing="0" w:after="0" w:afterAutospacing="0" w:line="360" w:lineRule="auto"/>
        <w:ind w:firstLine="420"/>
        <w:rPr>
          <w:sz w:val="21"/>
          <w:szCs w:val="21"/>
        </w:rPr>
      </w:pPr>
      <w:r>
        <w:rPr>
          <w:rFonts w:hint="eastAsia"/>
          <w:sz w:val="21"/>
          <w:szCs w:val="21"/>
        </w:rPr>
        <w:t xml:space="preserve">（5）风险管理部 </w:t>
      </w:r>
    </w:p>
    <w:p>
      <w:pPr>
        <w:pStyle w:val="7"/>
        <w:spacing w:before="0" w:beforeAutospacing="0" w:after="0" w:afterAutospacing="0" w:line="360" w:lineRule="auto"/>
        <w:ind w:firstLine="420"/>
        <w:rPr>
          <w:sz w:val="21"/>
          <w:szCs w:val="21"/>
        </w:rPr>
      </w:pPr>
      <w:r>
        <w:rPr>
          <w:rFonts w:hint="eastAsia"/>
          <w:sz w:val="21"/>
          <w:szCs w:val="21"/>
        </w:rPr>
        <w:t xml:space="preserve">风险管理部负责建立和完善公司投资风险管理制度与流程，组织实施公司投资风险管理与绩效分析工作，确保公司各类投资风险得到良好监督与控制。 </w:t>
      </w:r>
    </w:p>
    <w:p>
      <w:pPr>
        <w:pStyle w:val="7"/>
        <w:spacing w:before="0" w:beforeAutospacing="0" w:after="0" w:afterAutospacing="0" w:line="360" w:lineRule="auto"/>
        <w:ind w:firstLine="420"/>
        <w:rPr>
          <w:sz w:val="21"/>
          <w:szCs w:val="21"/>
        </w:rPr>
      </w:pPr>
      <w:r>
        <w:rPr>
          <w:rFonts w:hint="eastAsia"/>
          <w:sz w:val="21"/>
          <w:szCs w:val="21"/>
        </w:rPr>
        <w:t xml:space="preserve">（6）业务部门 </w:t>
      </w:r>
    </w:p>
    <w:p>
      <w:pPr>
        <w:pStyle w:val="7"/>
        <w:spacing w:before="0" w:beforeAutospacing="0" w:after="0" w:afterAutospacing="0" w:line="360" w:lineRule="auto"/>
        <w:ind w:firstLine="420"/>
        <w:rPr>
          <w:sz w:val="21"/>
          <w:szCs w:val="21"/>
        </w:rPr>
      </w:pPr>
      <w:r>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pPr>
        <w:pStyle w:val="7"/>
        <w:spacing w:before="0" w:beforeAutospacing="0" w:after="0" w:afterAutospacing="0" w:line="360" w:lineRule="auto"/>
        <w:ind w:firstLine="420"/>
        <w:rPr>
          <w:sz w:val="21"/>
          <w:szCs w:val="21"/>
        </w:rPr>
      </w:pPr>
      <w:r>
        <w:rPr>
          <w:rFonts w:hint="eastAsia"/>
          <w:sz w:val="21"/>
          <w:szCs w:val="21"/>
        </w:rPr>
        <w:t xml:space="preserve">3、风险管理和内部风险控制的措施 </w:t>
      </w:r>
    </w:p>
    <w:p>
      <w:pPr>
        <w:pStyle w:val="7"/>
        <w:spacing w:before="0" w:beforeAutospacing="0" w:after="0" w:afterAutospacing="0" w:line="360" w:lineRule="auto"/>
        <w:ind w:firstLine="420"/>
        <w:rPr>
          <w:sz w:val="21"/>
          <w:szCs w:val="21"/>
        </w:rPr>
      </w:pPr>
      <w:r>
        <w:rPr>
          <w:rFonts w:hint="eastAsia"/>
          <w:sz w:val="21"/>
          <w:szCs w:val="21"/>
        </w:rPr>
        <w:t xml:space="preserve">（1）建立内控结构，完善内控制度 </w:t>
      </w:r>
    </w:p>
    <w:p>
      <w:pPr>
        <w:pStyle w:val="7"/>
        <w:spacing w:before="0" w:beforeAutospacing="0" w:after="0" w:afterAutospacing="0" w:line="360" w:lineRule="auto"/>
        <w:ind w:firstLine="420"/>
        <w:rPr>
          <w:sz w:val="21"/>
          <w:szCs w:val="21"/>
        </w:rPr>
      </w:pPr>
      <w:r>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pPr>
        <w:pStyle w:val="7"/>
        <w:spacing w:before="0" w:beforeAutospacing="0" w:after="0" w:afterAutospacing="0" w:line="360" w:lineRule="auto"/>
        <w:ind w:firstLine="420"/>
        <w:rPr>
          <w:sz w:val="21"/>
          <w:szCs w:val="21"/>
        </w:rPr>
      </w:pPr>
      <w:r>
        <w:rPr>
          <w:rFonts w:hint="eastAsia"/>
          <w:sz w:val="21"/>
          <w:szCs w:val="21"/>
        </w:rPr>
        <w:t xml:space="preserve">（2）建立相互分离、相互制衡的内控机制 </w:t>
      </w:r>
    </w:p>
    <w:p>
      <w:pPr>
        <w:pStyle w:val="7"/>
        <w:spacing w:before="0" w:beforeAutospacing="0" w:after="0" w:afterAutospacing="0" w:line="360" w:lineRule="auto"/>
        <w:ind w:firstLine="420"/>
        <w:rPr>
          <w:sz w:val="21"/>
          <w:szCs w:val="21"/>
        </w:rPr>
      </w:pPr>
      <w:r>
        <w:rPr>
          <w:rFonts w:hint="eastAsia"/>
          <w:sz w:val="21"/>
          <w:szCs w:val="21"/>
        </w:rPr>
        <w:t xml:space="preserve">建立、健全了各项制度，做到基金经理分开，投资决策分开，基金交易集中，形成不同部门，不同岗位之间的制衡机制，从制度上减少和防范风险。 </w:t>
      </w:r>
    </w:p>
    <w:p>
      <w:pPr>
        <w:pStyle w:val="7"/>
        <w:spacing w:before="0" w:beforeAutospacing="0" w:after="0" w:afterAutospacing="0" w:line="360" w:lineRule="auto"/>
        <w:ind w:firstLine="420"/>
        <w:rPr>
          <w:sz w:val="21"/>
          <w:szCs w:val="21"/>
        </w:rPr>
      </w:pPr>
      <w:r>
        <w:rPr>
          <w:rFonts w:hint="eastAsia"/>
          <w:sz w:val="21"/>
          <w:szCs w:val="21"/>
        </w:rPr>
        <w:t xml:space="preserve">（3）建立、健全岗位责任制 </w:t>
      </w:r>
    </w:p>
    <w:p>
      <w:pPr>
        <w:pStyle w:val="7"/>
        <w:spacing w:before="0" w:beforeAutospacing="0" w:after="0" w:afterAutospacing="0" w:line="360" w:lineRule="auto"/>
        <w:ind w:firstLine="420"/>
        <w:rPr>
          <w:sz w:val="21"/>
          <w:szCs w:val="21"/>
        </w:rPr>
      </w:pPr>
      <w:r>
        <w:rPr>
          <w:rFonts w:hint="eastAsia"/>
          <w:sz w:val="21"/>
          <w:szCs w:val="21"/>
        </w:rPr>
        <w:t xml:space="preserve">建立、健全了岗位责任制，使每个员工都明确自己的任务、职责，并及时将各自工作领域中的风险隐患上报，以防范和减少风险。 </w:t>
      </w:r>
    </w:p>
    <w:p>
      <w:pPr>
        <w:pStyle w:val="7"/>
        <w:spacing w:before="0" w:beforeAutospacing="0" w:after="0" w:afterAutospacing="0" w:line="360" w:lineRule="auto"/>
        <w:ind w:firstLine="420"/>
        <w:rPr>
          <w:sz w:val="21"/>
          <w:szCs w:val="21"/>
        </w:rPr>
      </w:pPr>
      <w:r>
        <w:rPr>
          <w:rFonts w:hint="eastAsia"/>
          <w:sz w:val="21"/>
          <w:szCs w:val="21"/>
        </w:rPr>
        <w:t xml:space="preserve">（4）建立风险分类、识别、评估、报告、提示程序 </w:t>
      </w:r>
    </w:p>
    <w:p>
      <w:pPr>
        <w:pStyle w:val="7"/>
        <w:spacing w:before="0" w:beforeAutospacing="0" w:after="0" w:afterAutospacing="0" w:line="360" w:lineRule="auto"/>
        <w:ind w:firstLine="420"/>
        <w:rPr>
          <w:sz w:val="21"/>
          <w:szCs w:val="21"/>
        </w:rPr>
      </w:pPr>
      <w:r>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pPr>
        <w:pStyle w:val="7"/>
        <w:spacing w:before="0" w:beforeAutospacing="0" w:after="0" w:afterAutospacing="0" w:line="360" w:lineRule="auto"/>
        <w:ind w:firstLine="420"/>
        <w:rPr>
          <w:sz w:val="21"/>
          <w:szCs w:val="21"/>
        </w:rPr>
      </w:pPr>
      <w:r>
        <w:rPr>
          <w:rFonts w:hint="eastAsia"/>
          <w:sz w:val="21"/>
          <w:szCs w:val="21"/>
        </w:rPr>
        <w:t xml:space="preserve">（5）建立有效的内部监控系统 </w:t>
      </w:r>
    </w:p>
    <w:p>
      <w:pPr>
        <w:pStyle w:val="7"/>
        <w:spacing w:before="0" w:beforeAutospacing="0" w:after="0" w:afterAutospacing="0" w:line="360" w:lineRule="auto"/>
        <w:ind w:firstLine="420"/>
        <w:rPr>
          <w:sz w:val="21"/>
          <w:szCs w:val="21"/>
        </w:rPr>
      </w:pPr>
      <w:r>
        <w:rPr>
          <w:rFonts w:hint="eastAsia"/>
          <w:sz w:val="21"/>
          <w:szCs w:val="21"/>
        </w:rPr>
        <w:t xml:space="preserve">建立了足够、有效的内部监控系统，如电脑预警系统、投资监控系统，对可能出现的各种风险进行全面和实时的监控。 </w:t>
      </w:r>
    </w:p>
    <w:p>
      <w:pPr>
        <w:pStyle w:val="7"/>
        <w:spacing w:before="0" w:beforeAutospacing="0" w:after="0" w:afterAutospacing="0" w:line="360" w:lineRule="auto"/>
        <w:ind w:firstLine="420"/>
        <w:rPr>
          <w:sz w:val="21"/>
          <w:szCs w:val="21"/>
        </w:rPr>
      </w:pPr>
      <w:r>
        <w:rPr>
          <w:rFonts w:hint="eastAsia"/>
          <w:sz w:val="21"/>
          <w:szCs w:val="21"/>
        </w:rPr>
        <w:t xml:space="preserve">（6）使用数量化的风险管理手段 </w:t>
      </w:r>
    </w:p>
    <w:p>
      <w:pPr>
        <w:pStyle w:val="7"/>
        <w:spacing w:before="0" w:beforeAutospacing="0" w:after="0" w:afterAutospacing="0" w:line="360" w:lineRule="auto"/>
        <w:ind w:firstLine="420"/>
        <w:rPr>
          <w:sz w:val="21"/>
          <w:szCs w:val="21"/>
        </w:rPr>
      </w:pPr>
      <w:r>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pPr>
        <w:pStyle w:val="7"/>
        <w:spacing w:before="0" w:beforeAutospacing="0" w:after="0" w:afterAutospacing="0" w:line="360" w:lineRule="auto"/>
        <w:ind w:firstLine="420"/>
        <w:rPr>
          <w:sz w:val="21"/>
          <w:szCs w:val="21"/>
        </w:rPr>
      </w:pPr>
      <w:r>
        <w:rPr>
          <w:rFonts w:hint="eastAsia"/>
          <w:sz w:val="21"/>
          <w:szCs w:val="21"/>
        </w:rPr>
        <w:t xml:space="preserve">（7）提供足够的培训 </w:t>
      </w:r>
    </w:p>
    <w:p>
      <w:pPr>
        <w:pStyle w:val="7"/>
        <w:spacing w:before="0" w:beforeAutospacing="0" w:after="0" w:afterAutospacing="0" w:line="360" w:lineRule="auto"/>
        <w:ind w:firstLine="420"/>
        <w:rPr>
          <w:sz w:val="21"/>
          <w:szCs w:val="21"/>
        </w:rPr>
      </w:pPr>
      <w:r>
        <w:rPr>
          <w:rFonts w:hint="eastAsia"/>
          <w:sz w:val="21"/>
          <w:szCs w:val="21"/>
        </w:rPr>
        <w:t>制定了完整的培训计划，为所有员工提供足够和适当的培训，使员工明确其职责所在，</w:t>
      </w:r>
      <w:bookmarkStart w:id="45" w:name="chapter_level1_5_53_section_4_end"/>
      <w:bookmarkEnd w:id="45"/>
      <w:r>
        <w:rPr>
          <w:rFonts w:hint="eastAsia"/>
          <w:sz w:val="21"/>
          <w:szCs w:val="21"/>
        </w:rPr>
        <w:t xml:space="preserve">控制风险。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46" w:name="chapter_level1_6_55"/>
      <w:bookmarkStart w:id="47" w:name="_Toc113633886"/>
      <w:r>
        <w:rPr>
          <w:rFonts w:hint="eastAsia" w:ascii="宋体" w:hAnsi="宋体" w:eastAsia="宋体"/>
          <w:sz w:val="30"/>
        </w:rPr>
        <w:t>第四部分  基金托管人</w:t>
      </w:r>
      <w:bookmarkEnd w:id="46"/>
      <w:bookmarkEnd w:id="47"/>
    </w:p>
    <w:p>
      <w:pPr>
        <w:pStyle w:val="7"/>
        <w:spacing w:before="0" w:beforeAutospacing="0" w:after="0" w:afterAutospacing="0" w:line="360" w:lineRule="auto"/>
        <w:ind w:firstLine="420"/>
        <w:rPr>
          <w:sz w:val="21"/>
          <w:szCs w:val="21"/>
        </w:rPr>
      </w:pPr>
      <w:bookmarkStart w:id="48" w:name="chapter_level1_6_55_section_1"/>
      <w:bookmarkEnd w:id="48"/>
      <w:bookmarkStart w:id="49" w:name="field_0_trustcompanyinfo_1_start"/>
      <w:bookmarkEnd w:id="49"/>
      <w:r>
        <w:rPr>
          <w:rFonts w:hint="eastAsia"/>
          <w:sz w:val="21"/>
          <w:szCs w:val="21"/>
        </w:rPr>
        <w:t xml:space="preserve">（一）基本情况 </w:t>
      </w:r>
    </w:p>
    <w:p>
      <w:pPr>
        <w:pStyle w:val="7"/>
        <w:spacing w:before="0" w:beforeAutospacing="0" w:after="0" w:afterAutospacing="0" w:line="360" w:lineRule="auto"/>
        <w:ind w:firstLine="420"/>
        <w:rPr>
          <w:sz w:val="21"/>
          <w:szCs w:val="21"/>
        </w:rPr>
      </w:pPr>
      <w:r>
        <w:rPr>
          <w:rFonts w:hint="eastAsia"/>
          <w:sz w:val="21"/>
          <w:szCs w:val="21"/>
        </w:rPr>
        <w:t xml:space="preserve">名称：中国银行股份有限公司（简称“中国银行”） </w:t>
      </w:r>
    </w:p>
    <w:p>
      <w:pPr>
        <w:pStyle w:val="7"/>
        <w:spacing w:before="0" w:beforeAutospacing="0" w:after="0" w:afterAutospacing="0" w:line="360" w:lineRule="auto"/>
        <w:ind w:firstLine="420"/>
        <w:rPr>
          <w:sz w:val="21"/>
          <w:szCs w:val="21"/>
        </w:rPr>
      </w:pPr>
      <w:r>
        <w:rPr>
          <w:rFonts w:hint="eastAsia"/>
          <w:sz w:val="21"/>
          <w:szCs w:val="21"/>
        </w:rPr>
        <w:t xml:space="preserve">住所及办公地址：北京市西城区复兴门内大街1号 </w:t>
      </w:r>
    </w:p>
    <w:p>
      <w:pPr>
        <w:pStyle w:val="7"/>
        <w:spacing w:before="0" w:beforeAutospacing="0" w:after="0" w:afterAutospacing="0" w:line="360" w:lineRule="auto"/>
        <w:ind w:firstLine="420"/>
        <w:rPr>
          <w:sz w:val="21"/>
          <w:szCs w:val="21"/>
        </w:rPr>
      </w:pPr>
      <w:r>
        <w:rPr>
          <w:rFonts w:hint="eastAsia"/>
          <w:sz w:val="21"/>
          <w:szCs w:val="21"/>
        </w:rPr>
        <w:t xml:space="preserve">首次注册登记日期：1983年10月31日 </w:t>
      </w:r>
    </w:p>
    <w:p>
      <w:pPr>
        <w:pStyle w:val="7"/>
        <w:spacing w:before="0" w:beforeAutospacing="0" w:after="0" w:afterAutospacing="0" w:line="360" w:lineRule="auto"/>
        <w:ind w:firstLine="420"/>
        <w:rPr>
          <w:sz w:val="21"/>
          <w:szCs w:val="21"/>
        </w:rPr>
      </w:pPr>
      <w:r>
        <w:rPr>
          <w:rFonts w:hint="eastAsia"/>
          <w:sz w:val="21"/>
          <w:szCs w:val="21"/>
        </w:rPr>
        <w:t xml:space="preserve">注册资本：人民币贰仟玖佰肆拾叁亿捌仟柒佰柒拾玖万壹仟贰佰肆拾壹元整 </w:t>
      </w:r>
    </w:p>
    <w:p>
      <w:pPr>
        <w:pStyle w:val="7"/>
        <w:spacing w:before="0" w:beforeAutospacing="0" w:after="0" w:afterAutospacing="0" w:line="360" w:lineRule="auto"/>
        <w:ind w:firstLine="420"/>
        <w:rPr>
          <w:sz w:val="21"/>
          <w:szCs w:val="21"/>
        </w:rPr>
      </w:pPr>
      <w:r>
        <w:rPr>
          <w:rFonts w:hint="eastAsia"/>
          <w:sz w:val="21"/>
          <w:szCs w:val="21"/>
        </w:rPr>
        <w:t xml:space="preserve">法定代表人：葛海蛟 </w:t>
      </w:r>
    </w:p>
    <w:p>
      <w:pPr>
        <w:pStyle w:val="7"/>
        <w:spacing w:before="0" w:beforeAutospacing="0" w:after="0" w:afterAutospacing="0" w:line="360" w:lineRule="auto"/>
        <w:ind w:firstLine="420"/>
        <w:rPr>
          <w:sz w:val="21"/>
          <w:szCs w:val="21"/>
        </w:rPr>
      </w:pPr>
      <w:r>
        <w:rPr>
          <w:rFonts w:hint="eastAsia"/>
          <w:sz w:val="21"/>
          <w:szCs w:val="21"/>
        </w:rPr>
        <w:t xml:space="preserve">基金托管业务批准文号：中国证监会证监基字【1998】24号 </w:t>
      </w:r>
    </w:p>
    <w:p>
      <w:pPr>
        <w:pStyle w:val="7"/>
        <w:spacing w:before="0" w:beforeAutospacing="0" w:after="0" w:afterAutospacing="0" w:line="360" w:lineRule="auto"/>
        <w:ind w:firstLine="420"/>
        <w:rPr>
          <w:sz w:val="21"/>
          <w:szCs w:val="21"/>
        </w:rPr>
      </w:pPr>
      <w:r>
        <w:rPr>
          <w:rFonts w:hint="eastAsia"/>
          <w:sz w:val="21"/>
          <w:szCs w:val="21"/>
        </w:rPr>
        <w:t xml:space="preserve">托管部门信息披露联系人：许俊 </w:t>
      </w:r>
    </w:p>
    <w:p>
      <w:pPr>
        <w:pStyle w:val="7"/>
        <w:spacing w:before="0" w:beforeAutospacing="0" w:after="0" w:afterAutospacing="0" w:line="360" w:lineRule="auto"/>
        <w:ind w:firstLine="420"/>
        <w:rPr>
          <w:sz w:val="21"/>
          <w:szCs w:val="21"/>
        </w:rPr>
      </w:pPr>
      <w:r>
        <w:rPr>
          <w:rFonts w:hint="eastAsia"/>
          <w:sz w:val="21"/>
          <w:szCs w:val="21"/>
        </w:rPr>
        <w:t xml:space="preserve">传真：（010）66594942 </w:t>
      </w:r>
    </w:p>
    <w:p>
      <w:pPr>
        <w:pStyle w:val="7"/>
        <w:spacing w:before="0" w:beforeAutospacing="0" w:after="0" w:afterAutospacing="0" w:line="360" w:lineRule="auto"/>
        <w:ind w:firstLine="420"/>
        <w:rPr>
          <w:sz w:val="21"/>
          <w:szCs w:val="21"/>
        </w:rPr>
      </w:pPr>
      <w:r>
        <w:rPr>
          <w:rFonts w:hint="eastAsia"/>
          <w:sz w:val="21"/>
          <w:szCs w:val="21"/>
        </w:rPr>
        <w:t xml:space="preserve">中国银行客服电话：95566 </w:t>
      </w:r>
    </w:p>
    <w:p>
      <w:pPr>
        <w:pStyle w:val="7"/>
        <w:spacing w:before="0" w:beforeAutospacing="0" w:after="0" w:afterAutospacing="0" w:line="360" w:lineRule="auto"/>
        <w:ind w:firstLine="420"/>
        <w:rPr>
          <w:sz w:val="21"/>
          <w:szCs w:val="21"/>
        </w:rPr>
      </w:pPr>
      <w:r>
        <w:rPr>
          <w:rFonts w:hint="eastAsia"/>
          <w:sz w:val="21"/>
          <w:szCs w:val="21"/>
        </w:rPr>
        <w:t xml:space="preserve">（二）基金托管部门及主要人员情况 </w:t>
      </w:r>
    </w:p>
    <w:p>
      <w:pPr>
        <w:pStyle w:val="7"/>
        <w:spacing w:before="0" w:beforeAutospacing="0" w:after="0" w:afterAutospacing="0" w:line="360" w:lineRule="auto"/>
        <w:ind w:firstLine="420"/>
        <w:rPr>
          <w:sz w:val="21"/>
          <w:szCs w:val="21"/>
        </w:rPr>
      </w:pPr>
      <w:r>
        <w:rPr>
          <w:rFonts w:hint="eastAsia"/>
          <w:sz w:val="21"/>
          <w:szCs w:val="21"/>
        </w:rPr>
        <w:t xml:space="preserve">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 </w:t>
      </w:r>
    </w:p>
    <w:p>
      <w:pPr>
        <w:pStyle w:val="7"/>
        <w:spacing w:before="0" w:beforeAutospacing="0" w:after="0" w:afterAutospacing="0" w:line="360" w:lineRule="auto"/>
        <w:ind w:firstLine="420"/>
        <w:rPr>
          <w:sz w:val="21"/>
          <w:szCs w:val="21"/>
        </w:rPr>
      </w:pPr>
      <w:r>
        <w:rPr>
          <w:rFonts w:hint="eastAsia"/>
          <w:sz w:val="21"/>
          <w:szCs w:val="21"/>
        </w:rPr>
        <w:t xml:space="preserve">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 </w:t>
      </w:r>
    </w:p>
    <w:p>
      <w:pPr>
        <w:pStyle w:val="7"/>
        <w:spacing w:before="0" w:beforeAutospacing="0" w:after="0" w:afterAutospacing="0" w:line="360" w:lineRule="auto"/>
        <w:ind w:firstLine="420"/>
        <w:rPr>
          <w:sz w:val="21"/>
          <w:szCs w:val="21"/>
        </w:rPr>
      </w:pPr>
      <w:r>
        <w:rPr>
          <w:rFonts w:hint="eastAsia"/>
          <w:sz w:val="21"/>
          <w:szCs w:val="21"/>
        </w:rPr>
        <w:t xml:space="preserve">（三）证券投资基金托管情况 </w:t>
      </w:r>
    </w:p>
    <w:p>
      <w:pPr>
        <w:pStyle w:val="7"/>
        <w:spacing w:before="0" w:beforeAutospacing="0" w:after="0" w:afterAutospacing="0" w:line="360" w:lineRule="auto"/>
        <w:ind w:firstLine="420"/>
        <w:rPr>
          <w:sz w:val="21"/>
          <w:szCs w:val="21"/>
        </w:rPr>
      </w:pPr>
      <w:r>
        <w:rPr>
          <w:rFonts w:hint="eastAsia"/>
          <w:sz w:val="21"/>
          <w:szCs w:val="21"/>
        </w:rPr>
        <w:t>截至2022年6月30日，中国银行已托管1021只证券投资基金，其中境内基金972只，QDII基金49只，覆盖了股票型、债券型、混合型、货币型、指数型、FOF等多种类型的基</w:t>
      </w:r>
      <w:bookmarkStart w:id="50" w:name="chapter_level1_6_55_section_1_end"/>
      <w:bookmarkEnd w:id="50"/>
      <w:r>
        <w:rPr>
          <w:rFonts w:hint="eastAsia"/>
          <w:sz w:val="21"/>
          <w:szCs w:val="21"/>
        </w:rPr>
        <w:t xml:space="preserve">金，满足了不同客户多元化的投资理财需求，基金托管规模位居同业前列。 </w:t>
      </w:r>
      <w:bookmarkStart w:id="51" w:name="field_0_trustcompanyinfo_1_end"/>
      <w:bookmarkEnd w:id="51"/>
      <w:r>
        <w:rPr>
          <w:rFonts w:hint="eastAsia"/>
          <w:sz w:val="21"/>
          <w:szCs w:val="21"/>
        </w:rPr>
        <w:t xml:space="preserve">  </w:t>
      </w:r>
    </w:p>
    <w:p>
      <w:pPr>
        <w:pStyle w:val="7"/>
        <w:spacing w:before="0" w:beforeAutospacing="0" w:after="0" w:afterAutospacing="0" w:line="360" w:lineRule="auto"/>
        <w:ind w:firstLine="420"/>
        <w:rPr>
          <w:sz w:val="21"/>
          <w:szCs w:val="21"/>
        </w:rPr>
      </w:pPr>
      <w:bookmarkStart w:id="52" w:name="field_0_trustcontrollawinfo_1_start"/>
      <w:bookmarkEnd w:id="52"/>
      <w:bookmarkStart w:id="53" w:name="chapter_level1_6_55_section_2"/>
      <w:bookmarkEnd w:id="53"/>
      <w:r>
        <w:rPr>
          <w:rFonts w:hint="eastAsia"/>
          <w:sz w:val="21"/>
          <w:szCs w:val="21"/>
        </w:rPr>
        <w:t xml:space="preserve">（四）托管业务的内部控制制度 </w:t>
      </w:r>
    </w:p>
    <w:p>
      <w:pPr>
        <w:pStyle w:val="7"/>
        <w:spacing w:before="0" w:beforeAutospacing="0" w:after="0" w:afterAutospacing="0" w:line="360" w:lineRule="auto"/>
        <w:ind w:firstLine="420"/>
        <w:rPr>
          <w:sz w:val="21"/>
          <w:szCs w:val="21"/>
        </w:rPr>
      </w:pPr>
      <w:r>
        <w:rPr>
          <w:rFonts w:hint="eastAsia"/>
          <w:sz w:val="21"/>
          <w:szCs w:val="21"/>
        </w:rPr>
        <w:t xml:space="preserve">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 </w:t>
      </w:r>
    </w:p>
    <w:p>
      <w:pPr>
        <w:pStyle w:val="7"/>
        <w:spacing w:before="0" w:beforeAutospacing="0" w:after="0" w:afterAutospacing="0" w:line="360" w:lineRule="auto"/>
        <w:ind w:firstLine="420"/>
        <w:rPr>
          <w:sz w:val="21"/>
          <w:szCs w:val="21"/>
        </w:rPr>
      </w:pPr>
      <w:r>
        <w:rPr>
          <w:rFonts w:hint="eastAsia"/>
          <w:sz w:val="21"/>
          <w:szCs w:val="21"/>
        </w:rPr>
        <w:t xml:space="preserve">2007年起，中国银行连续聘请外部会计会计师事务所开展托管业务内部控制审阅工作。先后获得基于 “SAS70”、“AAF01/06” “ISAE3402”和“SSAE16”等国际主流内控审阅准则的无保留意见的审阅报告。2020年，中国银行继续获得了基于“ISAE3402”和“SSAE16”双准则的内部控制审计报告。中国银行托管业务内控制度完善，内控措施严密，能够有效保证托管资产的安全。 </w:t>
      </w:r>
    </w:p>
    <w:p>
      <w:pPr>
        <w:pStyle w:val="7"/>
        <w:spacing w:before="0" w:beforeAutospacing="0" w:after="0" w:afterAutospacing="0" w:line="360" w:lineRule="auto"/>
        <w:ind w:firstLine="420"/>
        <w:rPr>
          <w:sz w:val="21"/>
          <w:szCs w:val="21"/>
        </w:rPr>
      </w:pPr>
      <w:r>
        <w:rPr>
          <w:rFonts w:hint="eastAsia"/>
          <w:sz w:val="21"/>
          <w:szCs w:val="21"/>
        </w:rPr>
        <w:t xml:space="preserve">（五）托管人对管理人运作基金进行监督的方法和程序 </w:t>
      </w:r>
    </w:p>
    <w:p>
      <w:pPr>
        <w:pStyle w:val="7"/>
        <w:spacing w:before="0" w:beforeAutospacing="0" w:after="0" w:afterAutospacing="0" w:line="360" w:lineRule="auto"/>
        <w:ind w:firstLine="420"/>
        <w:rPr>
          <w:sz w:val="21"/>
          <w:szCs w:val="21"/>
        </w:rPr>
      </w:pPr>
      <w:r>
        <w:rPr>
          <w:rFonts w:hint="eastAsia"/>
          <w:sz w:val="21"/>
          <w:szCs w:val="2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w:t>
      </w:r>
      <w:bookmarkStart w:id="54" w:name="chapter_level1_6_55_section_2_end"/>
      <w:bookmarkEnd w:id="54"/>
      <w:r>
        <w:rPr>
          <w:rFonts w:hint="eastAsia"/>
          <w:sz w:val="21"/>
          <w:szCs w:val="21"/>
        </w:rPr>
        <w:t xml:space="preserve">务院证券监督管理机构报告。 </w:t>
      </w:r>
      <w:bookmarkStart w:id="55" w:name="field_0_trustcontrollawinfo_1_end"/>
      <w:bookmarkEnd w:id="55"/>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6" w:name="_Toc113633887"/>
      <w:bookmarkStart w:id="57" w:name="chapter_level1_7_56"/>
      <w:r>
        <w:rPr>
          <w:rFonts w:hint="eastAsia" w:ascii="宋体" w:hAnsi="宋体" w:eastAsia="宋体"/>
          <w:sz w:val="30"/>
        </w:rPr>
        <w:t>第五部分  相关服务机构</w:t>
      </w:r>
      <w:bookmarkEnd w:id="56"/>
      <w:bookmarkEnd w:id="57"/>
    </w:p>
    <w:p>
      <w:pPr>
        <w:pStyle w:val="7"/>
        <w:spacing w:before="0" w:beforeAutospacing="0" w:after="0" w:afterAutospacing="0" w:line="360" w:lineRule="auto"/>
        <w:ind w:firstLine="420"/>
        <w:rPr>
          <w:sz w:val="21"/>
          <w:szCs w:val="21"/>
        </w:rPr>
      </w:pPr>
      <w:bookmarkStart w:id="58" w:name="chapter_level1_7_56_section_1"/>
      <w:bookmarkEnd w:id="58"/>
      <w:r>
        <w:rPr>
          <w:rStyle w:val="11"/>
          <w:rFonts w:hint="eastAsia"/>
          <w:sz w:val="21"/>
          <w:szCs w:val="21"/>
        </w:rPr>
        <w:t>一、基金份额销售机构</w:t>
      </w:r>
    </w:p>
    <w:p>
      <w:pPr>
        <w:pStyle w:val="7"/>
        <w:spacing w:before="0" w:beforeAutospacing="0" w:after="0" w:afterAutospacing="0" w:line="360" w:lineRule="auto"/>
        <w:ind w:firstLine="420"/>
        <w:rPr>
          <w:sz w:val="21"/>
          <w:szCs w:val="21"/>
        </w:rPr>
      </w:pPr>
      <w:r>
        <w:rPr>
          <w:rFonts w:hint="eastAsia"/>
          <w:sz w:val="21"/>
          <w:szCs w:val="21"/>
        </w:rPr>
        <w:t xml:space="preserve">1、直销机构 </w:t>
      </w:r>
    </w:p>
    <w:p>
      <w:pPr>
        <w:pStyle w:val="7"/>
        <w:spacing w:before="0" w:beforeAutospacing="0" w:after="0" w:afterAutospacing="0" w:line="360" w:lineRule="auto"/>
        <w:ind w:firstLine="420"/>
        <w:rPr>
          <w:sz w:val="21"/>
          <w:szCs w:val="21"/>
        </w:rPr>
      </w:pPr>
      <w:bookmarkStart w:id="59" w:name="field_0_marketcompanyinfo_1_start"/>
      <w:bookmarkEnd w:id="59"/>
      <w:r>
        <w:rPr>
          <w:rFonts w:hint="eastAsia"/>
          <w:sz w:val="21"/>
          <w:szCs w:val="21"/>
        </w:rPr>
        <w:t xml:space="preserve">名称：博时基金管理有限公司北京直销中心 </w:t>
      </w:r>
    </w:p>
    <w:p>
      <w:pPr>
        <w:pStyle w:val="7"/>
        <w:spacing w:before="0" w:beforeAutospacing="0" w:after="0" w:afterAutospacing="0" w:line="360" w:lineRule="auto"/>
        <w:ind w:firstLine="420"/>
        <w:rPr>
          <w:sz w:val="21"/>
          <w:szCs w:val="21"/>
        </w:rPr>
      </w:pPr>
      <w:r>
        <w:rPr>
          <w:rFonts w:hint="eastAsia"/>
          <w:sz w:val="21"/>
          <w:szCs w:val="21"/>
        </w:rPr>
        <w:t xml:space="preserve">地址：北京市建国门内大街18号恒基中心1座23层 </w:t>
      </w:r>
    </w:p>
    <w:p>
      <w:pPr>
        <w:pStyle w:val="7"/>
        <w:spacing w:before="0" w:beforeAutospacing="0" w:after="0" w:afterAutospacing="0" w:line="360" w:lineRule="auto"/>
        <w:ind w:firstLine="420"/>
        <w:rPr>
          <w:sz w:val="21"/>
          <w:szCs w:val="21"/>
        </w:rPr>
      </w:pPr>
      <w:r>
        <w:rPr>
          <w:rFonts w:hint="eastAsia"/>
          <w:sz w:val="21"/>
          <w:szCs w:val="21"/>
        </w:rPr>
        <w:t xml:space="preserve">电话：010-65187055 </w:t>
      </w:r>
    </w:p>
    <w:p>
      <w:pPr>
        <w:pStyle w:val="7"/>
        <w:spacing w:before="0" w:beforeAutospacing="0" w:after="0" w:afterAutospacing="0" w:line="360" w:lineRule="auto"/>
        <w:ind w:firstLine="420"/>
        <w:rPr>
          <w:sz w:val="21"/>
          <w:szCs w:val="21"/>
        </w:rPr>
      </w:pPr>
      <w:r>
        <w:rPr>
          <w:rFonts w:hint="eastAsia"/>
          <w:sz w:val="21"/>
          <w:szCs w:val="21"/>
        </w:rPr>
        <w:t xml:space="preserve">传真：010-65187032 </w:t>
      </w:r>
    </w:p>
    <w:p>
      <w:pPr>
        <w:pStyle w:val="7"/>
        <w:spacing w:before="0" w:beforeAutospacing="0" w:after="0" w:afterAutospacing="0" w:line="360" w:lineRule="auto"/>
        <w:ind w:firstLine="420"/>
        <w:rPr>
          <w:sz w:val="21"/>
          <w:szCs w:val="21"/>
        </w:rPr>
      </w:pPr>
      <w:r>
        <w:rPr>
          <w:rFonts w:hint="eastAsia"/>
          <w:sz w:val="21"/>
          <w:szCs w:val="21"/>
        </w:rPr>
        <w:t xml:space="preserve">联系人：韩明亮 </w:t>
      </w:r>
    </w:p>
    <w:p>
      <w:pPr>
        <w:pStyle w:val="7"/>
        <w:spacing w:before="0" w:beforeAutospacing="0" w:after="0" w:afterAutospacing="0" w:line="360" w:lineRule="auto"/>
        <w:ind w:firstLine="420"/>
        <w:rPr>
          <w:sz w:val="21"/>
          <w:szCs w:val="21"/>
        </w:rPr>
      </w:pPr>
      <w:bookmarkStart w:id="60" w:name="chapter_level1_7_56_section_1_end"/>
      <w:bookmarkEnd w:id="60"/>
      <w:r>
        <w:rPr>
          <w:rFonts w:hint="eastAsia"/>
          <w:sz w:val="21"/>
          <w:szCs w:val="21"/>
        </w:rPr>
        <w:t xml:space="preserve">博时一线通：95105568（免长途话费） </w:t>
      </w:r>
      <w:bookmarkStart w:id="61" w:name="field_0_marketcompanyinfo_1_end"/>
      <w:bookmarkEnd w:id="61"/>
      <w:r>
        <w:rPr>
          <w:rFonts w:hint="eastAsia"/>
          <w:sz w:val="21"/>
          <w:szCs w:val="21"/>
        </w:rPr>
        <w:t xml:space="preserve">  </w:t>
      </w:r>
    </w:p>
    <w:p>
      <w:pPr>
        <w:pStyle w:val="7"/>
        <w:spacing w:before="0" w:beforeAutospacing="0" w:after="0" w:afterAutospacing="0" w:line="360" w:lineRule="auto"/>
        <w:ind w:firstLine="420"/>
        <w:rPr>
          <w:sz w:val="21"/>
          <w:szCs w:val="21"/>
        </w:rPr>
      </w:pPr>
      <w:bookmarkStart w:id="62" w:name="chapter_level1_7_56_section_2"/>
      <w:bookmarkEnd w:id="62"/>
      <w:r>
        <w:rPr>
          <w:rFonts w:hint="eastAsia"/>
          <w:sz w:val="21"/>
          <w:szCs w:val="21"/>
        </w:rPr>
        <w:t xml:space="preserve">2、代销机构 </w:t>
      </w:r>
    </w:p>
    <w:p>
      <w:pPr>
        <w:pStyle w:val="7"/>
        <w:spacing w:before="0" w:beforeAutospacing="0" w:after="0" w:afterAutospacing="0" w:line="360" w:lineRule="auto"/>
        <w:ind w:firstLine="420"/>
        <w:rPr>
          <w:sz w:val="21"/>
          <w:szCs w:val="21"/>
        </w:rPr>
      </w:pPr>
      <w:bookmarkStart w:id="63" w:name="field_0_allproxysaletables_1_start"/>
      <w:bookmarkEnd w:id="63"/>
      <w:r>
        <w:rPr>
          <w:rFonts w:hint="eastAsia"/>
          <w:b/>
          <w:bCs/>
          <w:sz w:val="21"/>
          <w:szCs w:val="21"/>
        </w:rPr>
        <w:t>(1)中国工商银行股份有限公司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陈四清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杨菲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010－66107914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http://www.icbc.com.cn/ </w:t>
            </w:r>
          </w:p>
        </w:tc>
      </w:tr>
    </w:tbl>
    <w:p>
      <w:pPr>
        <w:pStyle w:val="7"/>
        <w:spacing w:before="0" w:beforeAutospacing="0" w:after="0" w:afterAutospacing="0" w:line="360" w:lineRule="auto"/>
        <w:ind w:firstLine="420"/>
        <w:rPr>
          <w:sz w:val="21"/>
          <w:szCs w:val="21"/>
        </w:rPr>
      </w:pPr>
      <w:r>
        <w:rPr>
          <w:rFonts w:hint="eastAsia"/>
          <w:b/>
          <w:bCs/>
          <w:sz w:val="21"/>
          <w:szCs w:val="21"/>
        </w:rPr>
        <w:t>(2)中国银行股份有限公司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葛海蛟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高越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010-66594973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http://www.boc.cn/ </w:t>
            </w:r>
          </w:p>
        </w:tc>
      </w:tr>
    </w:tbl>
    <w:p>
      <w:pPr>
        <w:pStyle w:val="7"/>
        <w:spacing w:before="0" w:beforeAutospacing="0" w:after="0" w:afterAutospacing="0" w:line="360" w:lineRule="auto"/>
        <w:ind w:firstLine="420"/>
        <w:rPr>
          <w:sz w:val="21"/>
          <w:szCs w:val="21"/>
        </w:rPr>
      </w:pPr>
      <w:r>
        <w:rPr>
          <w:rFonts w:hint="eastAsia"/>
          <w:b/>
          <w:bCs/>
          <w:sz w:val="21"/>
          <w:szCs w:val="21"/>
        </w:rPr>
        <w:t>(3)交通银行股份有限公司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上海市银城中路188号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任德奇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021-58781234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021-58408483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http://www.bankcomm.com/ </w:t>
            </w:r>
          </w:p>
        </w:tc>
      </w:tr>
    </w:tbl>
    <w:p>
      <w:pPr>
        <w:pStyle w:val="7"/>
        <w:spacing w:before="0" w:beforeAutospacing="0" w:after="0" w:afterAutospacing="0" w:line="360" w:lineRule="auto"/>
        <w:ind w:firstLine="420"/>
        <w:rPr>
          <w:sz w:val="21"/>
          <w:szCs w:val="21"/>
        </w:rPr>
      </w:pPr>
      <w:r>
        <w:rPr>
          <w:rFonts w:hint="eastAsia"/>
          <w:b/>
          <w:bCs/>
          <w:sz w:val="21"/>
          <w:szCs w:val="21"/>
        </w:rPr>
        <w:t>(4)招商银行股份有限公司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缪建民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季平伟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0755－83198888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0755－83195049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http://www.cmbchina.com/ </w:t>
            </w:r>
          </w:p>
        </w:tc>
      </w:tr>
    </w:tbl>
    <w:p>
      <w:pPr>
        <w:pStyle w:val="7"/>
        <w:spacing w:before="0" w:beforeAutospacing="0" w:after="0" w:afterAutospacing="0" w:line="360" w:lineRule="auto"/>
        <w:ind w:firstLine="420"/>
        <w:rPr>
          <w:sz w:val="21"/>
          <w:szCs w:val="21"/>
        </w:rPr>
      </w:pPr>
      <w:r>
        <w:rPr>
          <w:rFonts w:hint="eastAsia"/>
          <w:b/>
          <w:bCs/>
          <w:sz w:val="21"/>
          <w:szCs w:val="21"/>
        </w:rPr>
        <w:t>(5)中信银行股份有限公司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北京市东城区朝阳门北大街8号富华大厦C座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北京市东城区朝阳门北大街9号文化大厦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朱鹤新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王晓琳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010－89937325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http://bank.ecitic.com/ </w:t>
            </w:r>
          </w:p>
        </w:tc>
      </w:tr>
    </w:tbl>
    <w:p>
      <w:pPr>
        <w:pStyle w:val="7"/>
        <w:spacing w:before="0" w:beforeAutospacing="0" w:after="0" w:afterAutospacing="0" w:line="360" w:lineRule="auto"/>
        <w:ind w:firstLine="420"/>
        <w:rPr>
          <w:sz w:val="21"/>
          <w:szCs w:val="21"/>
        </w:rPr>
      </w:pPr>
      <w:r>
        <w:rPr>
          <w:rFonts w:hint="eastAsia"/>
          <w:b/>
          <w:bCs/>
          <w:sz w:val="21"/>
          <w:szCs w:val="21"/>
        </w:rPr>
        <w:t>(6)上海浦东发展银行股份有限公司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上海市中山东一路12号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上海市北京东路689号东银大厦25楼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郑杨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吴斌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021－61618888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021－63602431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http://www.spdb.com.cn </w:t>
            </w:r>
          </w:p>
        </w:tc>
      </w:tr>
    </w:tbl>
    <w:p>
      <w:pPr>
        <w:pStyle w:val="7"/>
        <w:spacing w:before="0" w:beforeAutospacing="0" w:after="0" w:afterAutospacing="0" w:line="360" w:lineRule="auto"/>
        <w:ind w:firstLine="420"/>
        <w:rPr>
          <w:sz w:val="21"/>
          <w:szCs w:val="21"/>
        </w:rPr>
      </w:pPr>
      <w:r>
        <w:rPr>
          <w:rFonts w:hint="eastAsia"/>
          <w:b/>
          <w:bCs/>
          <w:sz w:val="21"/>
          <w:szCs w:val="21"/>
        </w:rPr>
        <w:t>(7)兴业银行股份有限公司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福州市湖东路154号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上海市江宁路168号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吕家进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曾鸣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021-52629999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www.cib.com.cn </w:t>
            </w:r>
          </w:p>
        </w:tc>
      </w:tr>
    </w:tbl>
    <w:p>
      <w:pPr>
        <w:pStyle w:val="7"/>
        <w:spacing w:before="0" w:beforeAutospacing="0" w:after="0" w:afterAutospacing="0" w:line="360" w:lineRule="auto"/>
        <w:ind w:firstLine="420"/>
        <w:rPr>
          <w:sz w:val="21"/>
          <w:szCs w:val="21"/>
        </w:rPr>
      </w:pPr>
      <w:r>
        <w:rPr>
          <w:rFonts w:hint="eastAsia"/>
          <w:b/>
          <w:bCs/>
          <w:sz w:val="21"/>
          <w:szCs w:val="21"/>
        </w:rPr>
        <w:t>(8)上海银行股份有限公司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上海市浦东新区银城中路168号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上海市浦东新区银城中路168号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范一飞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汤征程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021-68475521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021-68476497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www.bosc.cn </w:t>
            </w:r>
          </w:p>
        </w:tc>
      </w:tr>
    </w:tbl>
    <w:p>
      <w:pPr>
        <w:pStyle w:val="7"/>
        <w:spacing w:before="0" w:beforeAutospacing="0" w:after="0" w:afterAutospacing="0" w:line="360" w:lineRule="auto"/>
        <w:ind w:firstLine="420"/>
        <w:rPr>
          <w:sz w:val="21"/>
          <w:szCs w:val="21"/>
        </w:rPr>
      </w:pPr>
      <w:r>
        <w:rPr>
          <w:rFonts w:hint="eastAsia"/>
          <w:b/>
          <w:bCs/>
          <w:sz w:val="21"/>
          <w:szCs w:val="21"/>
        </w:rPr>
        <w:t>(9)广发银行股份有限公司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6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陈泾渭/刘伟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020-38321497/020-38322566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020-38321676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4008308003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http://www.cgbchina.com.cn/ </w:t>
            </w:r>
          </w:p>
        </w:tc>
      </w:tr>
    </w:tbl>
    <w:p>
      <w:pPr>
        <w:pStyle w:val="7"/>
        <w:spacing w:before="0" w:beforeAutospacing="0" w:after="0" w:afterAutospacing="0" w:line="360" w:lineRule="auto"/>
        <w:ind w:firstLine="420"/>
        <w:rPr>
          <w:sz w:val="21"/>
          <w:szCs w:val="21"/>
        </w:rPr>
      </w:pPr>
      <w:r>
        <w:rPr>
          <w:rFonts w:hint="eastAsia"/>
          <w:b/>
          <w:bCs/>
          <w:sz w:val="21"/>
          <w:szCs w:val="21"/>
        </w:rPr>
        <w:t>(10)平安银行股份有限公司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谢永林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施艺帆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021-50979384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021-50979507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http://bank.pingan.com </w:t>
            </w:r>
          </w:p>
        </w:tc>
      </w:tr>
    </w:tbl>
    <w:p>
      <w:pPr>
        <w:pStyle w:val="7"/>
        <w:spacing w:before="0" w:beforeAutospacing="0" w:after="0" w:afterAutospacing="0" w:line="360" w:lineRule="auto"/>
        <w:ind w:firstLine="420"/>
        <w:rPr>
          <w:sz w:val="21"/>
          <w:szCs w:val="21"/>
        </w:rPr>
      </w:pPr>
      <w:r>
        <w:rPr>
          <w:rFonts w:hint="eastAsia"/>
          <w:b/>
          <w:bCs/>
          <w:sz w:val="21"/>
          <w:szCs w:val="21"/>
        </w:rPr>
        <w:t>(11)宁波银行股份有限公司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陆华裕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胡技勋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0574-89068340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0574-87050024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http://www.nbcb.com.cn </w:t>
            </w:r>
          </w:p>
        </w:tc>
      </w:tr>
    </w:tbl>
    <w:p>
      <w:pPr>
        <w:pStyle w:val="7"/>
        <w:spacing w:before="0" w:beforeAutospacing="0" w:after="0" w:afterAutospacing="0" w:line="360" w:lineRule="auto"/>
        <w:ind w:firstLine="420"/>
        <w:rPr>
          <w:sz w:val="21"/>
          <w:szCs w:val="21"/>
        </w:rPr>
      </w:pPr>
      <w:r>
        <w:rPr>
          <w:rFonts w:hint="eastAsia"/>
          <w:b/>
          <w:bCs/>
          <w:sz w:val="21"/>
          <w:szCs w:val="21"/>
        </w:rPr>
        <w:t>(12)上海农村商业银行股份有限公司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冀光恒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施传荣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021－38576666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021－50105124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021-962999;4006962999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http://www.srcb.com/ </w:t>
            </w:r>
          </w:p>
        </w:tc>
      </w:tr>
    </w:tbl>
    <w:p>
      <w:pPr>
        <w:pStyle w:val="7"/>
        <w:spacing w:before="0" w:beforeAutospacing="0" w:after="0" w:afterAutospacing="0" w:line="360" w:lineRule="auto"/>
        <w:ind w:firstLine="420"/>
        <w:rPr>
          <w:sz w:val="21"/>
          <w:szCs w:val="21"/>
        </w:rPr>
      </w:pPr>
      <w:r>
        <w:rPr>
          <w:rFonts w:hint="eastAsia"/>
          <w:b/>
          <w:bCs/>
          <w:sz w:val="21"/>
          <w:szCs w:val="21"/>
        </w:rPr>
        <w:t>(13)北京农村商业银行股份有限公司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王金山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鲁娟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010-89198762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010-89198678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http://www.bjrcb.com </w:t>
            </w:r>
          </w:p>
        </w:tc>
      </w:tr>
    </w:tbl>
    <w:p>
      <w:pPr>
        <w:pStyle w:val="7"/>
        <w:spacing w:before="0" w:beforeAutospacing="0" w:after="0" w:afterAutospacing="0" w:line="360" w:lineRule="auto"/>
        <w:ind w:firstLine="420"/>
        <w:rPr>
          <w:sz w:val="21"/>
          <w:szCs w:val="21"/>
        </w:rPr>
      </w:pPr>
      <w:r>
        <w:rPr>
          <w:rFonts w:hint="eastAsia"/>
          <w:b/>
          <w:bCs/>
          <w:sz w:val="21"/>
          <w:szCs w:val="21"/>
        </w:rPr>
        <w:t>(14)南京银行股份有限公司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南京市白下区淮海路50号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南京市玄武区中山路288号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林复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025－86775335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025－86775376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http://www.njcb.com.cn </w:t>
            </w:r>
          </w:p>
        </w:tc>
      </w:tr>
    </w:tbl>
    <w:p>
      <w:pPr>
        <w:pStyle w:val="7"/>
        <w:spacing w:before="0" w:beforeAutospacing="0" w:after="0" w:afterAutospacing="0" w:line="360" w:lineRule="auto"/>
        <w:ind w:firstLine="420"/>
        <w:rPr>
          <w:sz w:val="21"/>
          <w:szCs w:val="21"/>
        </w:rPr>
      </w:pPr>
      <w:r>
        <w:rPr>
          <w:rFonts w:hint="eastAsia"/>
          <w:b/>
          <w:bCs/>
          <w:sz w:val="21"/>
          <w:szCs w:val="21"/>
        </w:rPr>
        <w:t>(15)江苏银行股份有限公司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南京市洪武北路55号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南京市中华路26号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夏平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田春慧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025-58587018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025-58587038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http://www.jsbchina.cn </w:t>
            </w:r>
          </w:p>
        </w:tc>
      </w:tr>
    </w:tbl>
    <w:p>
      <w:pPr>
        <w:pStyle w:val="7"/>
        <w:spacing w:before="0" w:beforeAutospacing="0" w:after="0" w:afterAutospacing="0" w:line="360" w:lineRule="auto"/>
        <w:ind w:firstLine="420"/>
        <w:rPr>
          <w:sz w:val="21"/>
          <w:szCs w:val="21"/>
        </w:rPr>
      </w:pPr>
      <w:r>
        <w:rPr>
          <w:rFonts w:hint="eastAsia"/>
          <w:b/>
          <w:bCs/>
          <w:sz w:val="21"/>
          <w:szCs w:val="21"/>
        </w:rPr>
        <w:t>(16)渤海银行股份有限公司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李伏安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022-58316666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022-58316569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http://www.cbhb.com.cn </w:t>
            </w:r>
          </w:p>
        </w:tc>
      </w:tr>
    </w:tbl>
    <w:p>
      <w:pPr>
        <w:pStyle w:val="7"/>
        <w:spacing w:before="0" w:beforeAutospacing="0" w:after="0" w:afterAutospacing="0" w:line="360" w:lineRule="auto"/>
        <w:ind w:firstLine="420"/>
        <w:rPr>
          <w:sz w:val="21"/>
          <w:szCs w:val="21"/>
        </w:rPr>
      </w:pPr>
      <w:r>
        <w:rPr>
          <w:rFonts w:hint="eastAsia"/>
          <w:b/>
          <w:bCs/>
          <w:sz w:val="21"/>
          <w:szCs w:val="21"/>
        </w:rPr>
        <w:t>(17)浙江民泰商业银行股份有限公司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浙江省温岭市太平街道三星大道168号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浙江省杭州市江干区丹桂街8号汉嘉国际401室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江建法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沈斯诺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www.mintaibank.com </w:t>
            </w:r>
          </w:p>
        </w:tc>
      </w:tr>
    </w:tbl>
    <w:p>
      <w:pPr>
        <w:pStyle w:val="7"/>
        <w:spacing w:before="0" w:beforeAutospacing="0" w:after="0" w:afterAutospacing="0" w:line="360" w:lineRule="auto"/>
        <w:ind w:firstLine="420"/>
        <w:rPr>
          <w:sz w:val="21"/>
          <w:szCs w:val="21"/>
        </w:rPr>
      </w:pPr>
      <w:r>
        <w:rPr>
          <w:rFonts w:hint="eastAsia"/>
          <w:b/>
          <w:bCs/>
          <w:sz w:val="21"/>
          <w:szCs w:val="21"/>
        </w:rPr>
        <w:t>(18)东莞农村商业银行股份有限公司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广东省东莞市东城区鸿福东路2号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广东省东莞市东城区鸿福东路2号东莞农商银行大厦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王耀球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杨亢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0769-22866270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0769-22866282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961122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http://www.drcbank.com/ </w:t>
            </w:r>
          </w:p>
        </w:tc>
      </w:tr>
    </w:tbl>
    <w:p>
      <w:pPr>
        <w:pStyle w:val="7"/>
        <w:spacing w:before="0" w:beforeAutospacing="0" w:after="0" w:afterAutospacing="0" w:line="360" w:lineRule="auto"/>
        <w:ind w:firstLine="420"/>
        <w:rPr>
          <w:sz w:val="21"/>
          <w:szCs w:val="21"/>
        </w:rPr>
      </w:pPr>
      <w:r>
        <w:rPr>
          <w:rFonts w:hint="eastAsia"/>
          <w:b/>
          <w:bCs/>
          <w:sz w:val="21"/>
          <w:szCs w:val="21"/>
        </w:rPr>
        <w:t>(19)嘉兴银行股份有限公司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夏林生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顾晓光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0573-96528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http://www.jxccb.com/ </w:t>
            </w:r>
          </w:p>
        </w:tc>
      </w:tr>
    </w:tbl>
    <w:p>
      <w:pPr>
        <w:pStyle w:val="7"/>
        <w:spacing w:before="0" w:beforeAutospacing="0" w:after="0" w:afterAutospacing="0" w:line="360" w:lineRule="auto"/>
        <w:ind w:firstLine="420"/>
        <w:rPr>
          <w:sz w:val="21"/>
          <w:szCs w:val="21"/>
        </w:rPr>
      </w:pPr>
      <w:r>
        <w:rPr>
          <w:rFonts w:hint="eastAsia"/>
          <w:b/>
          <w:bCs/>
          <w:sz w:val="21"/>
          <w:szCs w:val="21"/>
        </w:rPr>
        <w:t>(20)广州银行股份有限公司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广州市天河区珠江东路30号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广州市天河区珠江东路30号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黄子励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020-28302955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020-28302000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www.gzcb.com.cn </w:t>
            </w:r>
          </w:p>
        </w:tc>
      </w:tr>
    </w:tbl>
    <w:p>
      <w:pPr>
        <w:pStyle w:val="7"/>
        <w:spacing w:before="0" w:beforeAutospacing="0" w:after="0" w:afterAutospacing="0" w:line="360" w:lineRule="auto"/>
        <w:ind w:firstLine="420"/>
        <w:rPr>
          <w:sz w:val="21"/>
          <w:szCs w:val="21"/>
        </w:rPr>
      </w:pPr>
      <w:r>
        <w:rPr>
          <w:rFonts w:hint="eastAsia"/>
          <w:b/>
          <w:bCs/>
          <w:sz w:val="21"/>
          <w:szCs w:val="21"/>
        </w:rPr>
        <w:t>(21)西安银行股份有限公司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西安市高新路60号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西安市高新路60号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郭军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白智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029-88992881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029-88992881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4008696779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www.xacbank.com </w:t>
            </w:r>
          </w:p>
        </w:tc>
      </w:tr>
    </w:tbl>
    <w:p>
      <w:pPr>
        <w:pStyle w:val="7"/>
        <w:spacing w:before="0" w:beforeAutospacing="0" w:after="0" w:afterAutospacing="0" w:line="360" w:lineRule="auto"/>
        <w:ind w:firstLine="420"/>
        <w:rPr>
          <w:sz w:val="21"/>
          <w:szCs w:val="21"/>
        </w:rPr>
      </w:pPr>
      <w:r>
        <w:rPr>
          <w:rFonts w:hint="eastAsia"/>
          <w:b/>
          <w:bCs/>
          <w:sz w:val="21"/>
          <w:szCs w:val="21"/>
        </w:rPr>
        <w:t>(22)金华银行股份有限公司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浙江省金华市光南路668号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浙江省金华市光南路668号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徐雅清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徐晓峰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0579-83207775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0579-82178321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400-711-6668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http://www.jhccb.com.cn </w:t>
            </w:r>
          </w:p>
        </w:tc>
      </w:tr>
    </w:tbl>
    <w:p>
      <w:pPr>
        <w:pStyle w:val="7"/>
        <w:spacing w:before="0" w:beforeAutospacing="0" w:after="0" w:afterAutospacing="0" w:line="360" w:lineRule="auto"/>
        <w:ind w:firstLine="420"/>
        <w:rPr>
          <w:sz w:val="21"/>
          <w:szCs w:val="21"/>
        </w:rPr>
      </w:pPr>
      <w:r>
        <w:rPr>
          <w:rFonts w:hint="eastAsia"/>
          <w:b/>
          <w:bCs/>
          <w:sz w:val="21"/>
          <w:szCs w:val="21"/>
        </w:rPr>
        <w:t>(23)苏州银行股份有限公司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王兰凤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熊志强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0512-69868390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0512-69868370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www.suzhoubank.com </w:t>
            </w:r>
          </w:p>
        </w:tc>
      </w:tr>
    </w:tbl>
    <w:p>
      <w:pPr>
        <w:pStyle w:val="7"/>
        <w:spacing w:before="0" w:beforeAutospacing="0" w:after="0" w:afterAutospacing="0" w:line="360" w:lineRule="auto"/>
        <w:ind w:firstLine="420"/>
        <w:rPr>
          <w:sz w:val="21"/>
          <w:szCs w:val="21"/>
        </w:rPr>
      </w:pPr>
      <w:r>
        <w:rPr>
          <w:rFonts w:hint="eastAsia"/>
          <w:b/>
          <w:bCs/>
          <w:sz w:val="21"/>
          <w:szCs w:val="21"/>
        </w:rPr>
        <w:t>(24)珠海华润银行股份有限公司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广东省珠海市吉大九洲大道东1346号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广东省珠海市吉大九洲大道东1346号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刘晓勇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96588（广东省外加拨0756）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0755-82811423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96588（广东省外加拨0756）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http://www.crbank.com.cn/ </w:t>
            </w:r>
          </w:p>
        </w:tc>
      </w:tr>
    </w:tbl>
    <w:p>
      <w:pPr>
        <w:pStyle w:val="7"/>
        <w:spacing w:before="0" w:beforeAutospacing="0" w:after="0" w:afterAutospacing="0" w:line="360" w:lineRule="auto"/>
        <w:ind w:firstLine="420"/>
        <w:rPr>
          <w:sz w:val="21"/>
          <w:szCs w:val="21"/>
        </w:rPr>
      </w:pPr>
      <w:r>
        <w:rPr>
          <w:rFonts w:hint="eastAsia"/>
          <w:b/>
          <w:bCs/>
          <w:sz w:val="21"/>
          <w:szCs w:val="21"/>
        </w:rPr>
        <w:t>(25)福建海峡银行股份有限公司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福建省福州市台江区江滨中大道358号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福州台江区江滨中大道358号福建海峡银行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俞敏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吴白玫、张翠娟、黄钰雯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0591-87332762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0591-87330926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400-893-9999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www.fjhxbank.com </w:t>
            </w:r>
          </w:p>
        </w:tc>
      </w:tr>
    </w:tbl>
    <w:p>
      <w:pPr>
        <w:pStyle w:val="7"/>
        <w:spacing w:before="0" w:beforeAutospacing="0" w:after="0" w:afterAutospacing="0" w:line="360" w:lineRule="auto"/>
        <w:ind w:firstLine="420"/>
        <w:rPr>
          <w:sz w:val="21"/>
          <w:szCs w:val="21"/>
        </w:rPr>
      </w:pPr>
      <w:r>
        <w:rPr>
          <w:rFonts w:hint="eastAsia"/>
          <w:b/>
          <w:bCs/>
          <w:sz w:val="21"/>
          <w:szCs w:val="21"/>
        </w:rPr>
        <w:t>(26)鼎信汇金（北京）投资管理有限公司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北京市朝阳区霄云路40号院1号楼3层306室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北京市朝阳区霄云路40号院1号楼3层306室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齐凌峰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010-84489488-8702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010-82086110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400-158-5050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www.9ifund.com </w:t>
            </w:r>
          </w:p>
        </w:tc>
      </w:tr>
    </w:tbl>
    <w:p>
      <w:pPr>
        <w:pStyle w:val="7"/>
        <w:spacing w:before="0" w:beforeAutospacing="0" w:after="0" w:afterAutospacing="0" w:line="360" w:lineRule="auto"/>
        <w:ind w:firstLine="420"/>
        <w:rPr>
          <w:sz w:val="21"/>
          <w:szCs w:val="21"/>
        </w:rPr>
      </w:pPr>
      <w:r>
        <w:rPr>
          <w:rFonts w:hint="eastAsia"/>
          <w:b/>
          <w:bCs/>
          <w:sz w:val="21"/>
          <w:szCs w:val="21"/>
        </w:rPr>
        <w:t>(27)深圳市新兰德证券投资咨询有限公司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深圳市福田区华强北路赛格科技园4栋10层1006#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北京市西城区宣武门外大街28号富卓大厦A座6层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马勇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010-58325388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010-58325300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400-166-1188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http://8.jrj.com.cn/ </w:t>
            </w:r>
          </w:p>
        </w:tc>
      </w:tr>
    </w:tbl>
    <w:p>
      <w:pPr>
        <w:pStyle w:val="7"/>
        <w:spacing w:before="0" w:beforeAutospacing="0" w:after="0" w:afterAutospacing="0" w:line="360" w:lineRule="auto"/>
        <w:ind w:firstLine="420"/>
        <w:rPr>
          <w:sz w:val="21"/>
          <w:szCs w:val="21"/>
        </w:rPr>
      </w:pPr>
      <w:r>
        <w:rPr>
          <w:rFonts w:hint="eastAsia"/>
          <w:b/>
          <w:bCs/>
          <w:sz w:val="21"/>
          <w:szCs w:val="21"/>
        </w:rPr>
        <w:t>(28)厦门市鑫鼎盛控股有限公司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陈洪生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徐明静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0592-3122716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0592-8060771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400-918-0808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www.xds.com.cn </w:t>
            </w:r>
          </w:p>
        </w:tc>
      </w:tr>
    </w:tbl>
    <w:p>
      <w:pPr>
        <w:pStyle w:val="7"/>
        <w:spacing w:before="0" w:beforeAutospacing="0" w:after="0" w:afterAutospacing="0" w:line="360" w:lineRule="auto"/>
        <w:ind w:firstLine="420"/>
        <w:rPr>
          <w:sz w:val="21"/>
          <w:szCs w:val="21"/>
        </w:rPr>
      </w:pPr>
      <w:r>
        <w:rPr>
          <w:rFonts w:hint="eastAsia"/>
          <w:b/>
          <w:bCs/>
          <w:sz w:val="21"/>
          <w:szCs w:val="21"/>
        </w:rPr>
        <w:t>(29)江苏天鼎证券投资咨询有限公司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南京市秦淮区太平南路389号1002室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南京市鼓楼区平安里74号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金婷婷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黄丹昀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025-66001159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025-66001172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025-962155 </w:t>
            </w:r>
          </w:p>
        </w:tc>
      </w:tr>
    </w:tbl>
    <w:p>
      <w:pPr>
        <w:pStyle w:val="7"/>
        <w:spacing w:before="0" w:beforeAutospacing="0" w:after="0" w:afterAutospacing="0" w:line="360" w:lineRule="auto"/>
        <w:ind w:firstLine="420"/>
        <w:rPr>
          <w:sz w:val="21"/>
          <w:szCs w:val="21"/>
        </w:rPr>
      </w:pPr>
      <w:r>
        <w:rPr>
          <w:rFonts w:hint="eastAsia"/>
          <w:b/>
          <w:bCs/>
          <w:sz w:val="21"/>
          <w:szCs w:val="21"/>
        </w:rPr>
        <w:t>(30)腾安基金销售（深圳）有限公司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深圳市南山区海天二路33号腾讯滨海大厦15层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谭广锋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0755-86013399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95017(拨通后转1再转8)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https://www.txfund.com/ </w:t>
            </w:r>
          </w:p>
        </w:tc>
      </w:tr>
    </w:tbl>
    <w:p>
      <w:pPr>
        <w:pStyle w:val="7"/>
        <w:spacing w:before="0" w:beforeAutospacing="0" w:after="0" w:afterAutospacing="0" w:line="360" w:lineRule="auto"/>
        <w:ind w:firstLine="420"/>
        <w:rPr>
          <w:sz w:val="21"/>
          <w:szCs w:val="21"/>
        </w:rPr>
      </w:pPr>
      <w:r>
        <w:rPr>
          <w:rFonts w:hint="eastAsia"/>
          <w:b/>
          <w:bCs/>
          <w:sz w:val="21"/>
          <w:szCs w:val="21"/>
        </w:rPr>
        <w:t>(31)北京度小满基金销售有限公司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北京市海淀区西北旺东路10号院西区4号楼1层103室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北京市海淀区西北旺东路10号院西区4号楼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葛新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孙博超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010-59403028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010-59403027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95055-4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www.duxiaomanfund.com </w:t>
            </w:r>
          </w:p>
        </w:tc>
      </w:tr>
    </w:tbl>
    <w:p>
      <w:pPr>
        <w:pStyle w:val="7"/>
        <w:spacing w:before="0" w:beforeAutospacing="0" w:after="0" w:afterAutospacing="0" w:line="360" w:lineRule="auto"/>
        <w:ind w:firstLine="420"/>
        <w:rPr>
          <w:sz w:val="21"/>
          <w:szCs w:val="21"/>
        </w:rPr>
      </w:pPr>
      <w:r>
        <w:rPr>
          <w:rFonts w:hint="eastAsia"/>
          <w:b/>
          <w:bCs/>
          <w:sz w:val="21"/>
          <w:szCs w:val="21"/>
        </w:rPr>
        <w:t>(32)博时财富基金销售有限公司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王德英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崔丹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0755-83169999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0755-83195220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400-610-5568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www.boserawealth.com </w:t>
            </w:r>
          </w:p>
        </w:tc>
      </w:tr>
    </w:tbl>
    <w:p>
      <w:pPr>
        <w:pStyle w:val="7"/>
        <w:spacing w:before="0" w:beforeAutospacing="0" w:after="0" w:afterAutospacing="0" w:line="360" w:lineRule="auto"/>
        <w:ind w:firstLine="420"/>
        <w:rPr>
          <w:sz w:val="21"/>
          <w:szCs w:val="21"/>
        </w:rPr>
      </w:pPr>
      <w:r>
        <w:rPr>
          <w:rFonts w:hint="eastAsia"/>
          <w:b/>
          <w:bCs/>
          <w:sz w:val="21"/>
          <w:szCs w:val="21"/>
        </w:rPr>
        <w:t>(33)诺亚正行基金销售有限公司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上海市金山区廊下镇漕廊公路7650号205室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上海浦东新区银城中路68号时代金融中心8楼801室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汪静波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方成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021-38602377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021-38509777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400-821-5399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http://www.noah-fund.com </w:t>
            </w:r>
          </w:p>
        </w:tc>
      </w:tr>
    </w:tbl>
    <w:p>
      <w:pPr>
        <w:pStyle w:val="7"/>
        <w:spacing w:before="0" w:beforeAutospacing="0" w:after="0" w:afterAutospacing="0" w:line="360" w:lineRule="auto"/>
        <w:ind w:firstLine="420"/>
        <w:rPr>
          <w:sz w:val="21"/>
          <w:szCs w:val="21"/>
        </w:rPr>
      </w:pPr>
      <w:r>
        <w:rPr>
          <w:rFonts w:hint="eastAsia"/>
          <w:b/>
          <w:bCs/>
          <w:sz w:val="21"/>
          <w:szCs w:val="21"/>
        </w:rPr>
        <w:t>(34)深圳众禄基金销售股份有限公司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薛峰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童彩平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0755-33227950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0755-33227951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400-678-8887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https://www.zlfund.cn/ </w:t>
            </w:r>
          </w:p>
        </w:tc>
      </w:tr>
    </w:tbl>
    <w:p>
      <w:pPr>
        <w:pStyle w:val="7"/>
        <w:spacing w:before="0" w:beforeAutospacing="0" w:after="0" w:afterAutospacing="0" w:line="360" w:lineRule="auto"/>
        <w:ind w:firstLine="420"/>
        <w:rPr>
          <w:sz w:val="21"/>
          <w:szCs w:val="21"/>
        </w:rPr>
      </w:pPr>
      <w:r>
        <w:rPr>
          <w:rFonts w:hint="eastAsia"/>
          <w:b/>
          <w:bCs/>
          <w:sz w:val="21"/>
          <w:szCs w:val="21"/>
        </w:rPr>
        <w:t>(35)上海天天基金销售有限公司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上海市徐汇区龙田路190号2号楼2层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上海市徐汇区龙田路195号3C座9楼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其实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潘世友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021-54509998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021-64385308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400-181-8188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http://www.1234567.com.cn </w:t>
            </w:r>
          </w:p>
        </w:tc>
      </w:tr>
    </w:tbl>
    <w:p>
      <w:pPr>
        <w:pStyle w:val="7"/>
        <w:spacing w:before="0" w:beforeAutospacing="0" w:after="0" w:afterAutospacing="0" w:line="360" w:lineRule="auto"/>
        <w:ind w:firstLine="420"/>
        <w:rPr>
          <w:sz w:val="21"/>
          <w:szCs w:val="21"/>
        </w:rPr>
      </w:pPr>
      <w:r>
        <w:rPr>
          <w:rFonts w:hint="eastAsia"/>
          <w:b/>
          <w:bCs/>
          <w:sz w:val="21"/>
          <w:szCs w:val="21"/>
        </w:rPr>
        <w:t>(36)上海好买基金销售有限公司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上海市虹口区场中路685弄37号4号楼449室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上海市浦东新区浦东南路1118号鄂尔多斯国际大厦903～906室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杨文斌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021-20613610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400-700-9665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http://www.howbuy.com </w:t>
            </w:r>
          </w:p>
        </w:tc>
      </w:tr>
    </w:tbl>
    <w:p>
      <w:pPr>
        <w:pStyle w:val="7"/>
        <w:spacing w:before="0" w:beforeAutospacing="0" w:after="0" w:afterAutospacing="0" w:line="360" w:lineRule="auto"/>
        <w:ind w:firstLine="420"/>
        <w:rPr>
          <w:sz w:val="21"/>
          <w:szCs w:val="21"/>
        </w:rPr>
      </w:pPr>
      <w:r>
        <w:rPr>
          <w:rFonts w:hint="eastAsia"/>
          <w:b/>
          <w:bCs/>
          <w:sz w:val="21"/>
          <w:szCs w:val="21"/>
        </w:rPr>
        <w:t>(37)蚂蚁（杭州）基金销售有限公司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浙江省杭州市余杭区五常街道文一西路969号3幢5层599室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浙江省杭州市西湖区西溪路556号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韩爱彬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021-60897840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0571-26697013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95188-8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http://www.fund123.cn </w:t>
            </w:r>
          </w:p>
        </w:tc>
      </w:tr>
    </w:tbl>
    <w:p>
      <w:pPr>
        <w:pStyle w:val="7"/>
        <w:spacing w:before="0" w:beforeAutospacing="0" w:after="0" w:afterAutospacing="0" w:line="360" w:lineRule="auto"/>
        <w:ind w:firstLine="420"/>
        <w:rPr>
          <w:sz w:val="21"/>
          <w:szCs w:val="21"/>
        </w:rPr>
      </w:pPr>
      <w:r>
        <w:rPr>
          <w:rFonts w:hint="eastAsia"/>
          <w:b/>
          <w:bCs/>
          <w:sz w:val="21"/>
          <w:szCs w:val="21"/>
        </w:rPr>
        <w:t>(38)上海长量基金销售有限公司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上海市浦东新区高翔路526号2幢220室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上海市浦东新区东方路1267号11层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张跃伟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敖玲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021-58788678-8201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021—58787698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400-820-2899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http://www.erichfund.com </w:t>
            </w:r>
          </w:p>
        </w:tc>
      </w:tr>
    </w:tbl>
    <w:p>
      <w:pPr>
        <w:pStyle w:val="7"/>
        <w:spacing w:before="0" w:beforeAutospacing="0" w:after="0" w:afterAutospacing="0" w:line="360" w:lineRule="auto"/>
        <w:ind w:firstLine="420"/>
        <w:rPr>
          <w:sz w:val="21"/>
          <w:szCs w:val="21"/>
        </w:rPr>
      </w:pPr>
      <w:r>
        <w:rPr>
          <w:rFonts w:hint="eastAsia"/>
          <w:b/>
          <w:bCs/>
          <w:sz w:val="21"/>
          <w:szCs w:val="21"/>
        </w:rPr>
        <w:t>(39)浙江同花顺基金销售有限公司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杭州市西湖区文二西路1号元茂大厦903室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浙江省杭州市余杭区五常街道同顺街18号同花顺大楼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凌顺平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吴杰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0571-88911818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0571-86800423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952555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www.5ifund.com </w:t>
            </w:r>
          </w:p>
        </w:tc>
      </w:tr>
    </w:tbl>
    <w:p>
      <w:pPr>
        <w:pStyle w:val="7"/>
        <w:spacing w:before="0" w:beforeAutospacing="0" w:after="0" w:afterAutospacing="0" w:line="360" w:lineRule="auto"/>
        <w:ind w:firstLine="420"/>
        <w:rPr>
          <w:sz w:val="21"/>
          <w:szCs w:val="21"/>
        </w:rPr>
      </w:pPr>
      <w:r>
        <w:rPr>
          <w:rFonts w:hint="eastAsia"/>
          <w:b/>
          <w:bCs/>
          <w:sz w:val="21"/>
          <w:szCs w:val="21"/>
        </w:rPr>
        <w:t>(40)上海利得基金销售有限公司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上海市宝山区蕴川路5475号1033室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上海浦东新区峨山路91弄61号10号楼12楼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李兴春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徐鹏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021-50583533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021-50583633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400-921-7755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http://a.leadfund.com.cn/ </w:t>
            </w:r>
          </w:p>
        </w:tc>
      </w:tr>
    </w:tbl>
    <w:p>
      <w:pPr>
        <w:pStyle w:val="7"/>
        <w:spacing w:before="0" w:beforeAutospacing="0" w:after="0" w:afterAutospacing="0" w:line="360" w:lineRule="auto"/>
        <w:ind w:firstLine="420"/>
        <w:rPr>
          <w:sz w:val="21"/>
          <w:szCs w:val="21"/>
        </w:rPr>
      </w:pPr>
      <w:r>
        <w:rPr>
          <w:rFonts w:hint="eastAsia"/>
          <w:b/>
          <w:bCs/>
          <w:sz w:val="21"/>
          <w:szCs w:val="21"/>
        </w:rPr>
        <w:t>(41)嘉实财富管理有限公司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上海市浦东新区世纪大道8号上海国金中心办公楼二期46层4609-10单元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北京市朝阳区建国门外大街21号北京国际俱乐部C座写字楼11层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赵学军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余永键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010-85097570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010-65215433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400-021-8850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www.harvestwm.cn </w:t>
            </w:r>
          </w:p>
        </w:tc>
      </w:tr>
    </w:tbl>
    <w:p>
      <w:pPr>
        <w:pStyle w:val="7"/>
        <w:spacing w:before="0" w:beforeAutospacing="0" w:after="0" w:afterAutospacing="0" w:line="360" w:lineRule="auto"/>
        <w:ind w:firstLine="420"/>
        <w:rPr>
          <w:sz w:val="21"/>
          <w:szCs w:val="21"/>
        </w:rPr>
      </w:pPr>
      <w:r>
        <w:rPr>
          <w:rFonts w:hint="eastAsia"/>
          <w:b/>
          <w:bCs/>
          <w:sz w:val="21"/>
          <w:szCs w:val="21"/>
        </w:rPr>
        <w:t>(42)宜信普泽（北京）基金销售有限公司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北京市朝阳区建国路88号9号楼15层1809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北京市朝阳区建国路88号SOHO现代城C座18层1809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戎兵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010-52855713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010-85894285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400-609-9200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http://www.yixinfund.com </w:t>
            </w:r>
          </w:p>
        </w:tc>
      </w:tr>
    </w:tbl>
    <w:p>
      <w:pPr>
        <w:pStyle w:val="7"/>
        <w:spacing w:before="0" w:beforeAutospacing="0" w:after="0" w:afterAutospacing="0" w:line="360" w:lineRule="auto"/>
        <w:ind w:firstLine="420"/>
        <w:rPr>
          <w:sz w:val="21"/>
          <w:szCs w:val="21"/>
        </w:rPr>
      </w:pPr>
      <w:r>
        <w:rPr>
          <w:rFonts w:hint="eastAsia"/>
          <w:b/>
          <w:bCs/>
          <w:sz w:val="21"/>
          <w:szCs w:val="21"/>
        </w:rPr>
        <w:t>(43)南京苏宁基金销售有限公司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钱燕飞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喻明明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www.snjijin.com </w:t>
            </w:r>
          </w:p>
        </w:tc>
      </w:tr>
    </w:tbl>
    <w:p>
      <w:pPr>
        <w:pStyle w:val="7"/>
        <w:spacing w:before="0" w:beforeAutospacing="0" w:after="0" w:afterAutospacing="0" w:line="360" w:lineRule="auto"/>
        <w:ind w:firstLine="420"/>
        <w:rPr>
          <w:sz w:val="21"/>
          <w:szCs w:val="21"/>
        </w:rPr>
      </w:pPr>
      <w:r>
        <w:rPr>
          <w:rFonts w:hint="eastAsia"/>
          <w:b/>
          <w:bCs/>
          <w:sz w:val="21"/>
          <w:szCs w:val="21"/>
        </w:rPr>
        <w:t>(44)浦领基金销售有限公司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北京市朝阳区望京东园四区2号楼10层1001号04室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北京市朝阳区望京中航资本大厦10层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聂婉君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010-59497361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010-64788016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400-012-5899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www.zscffund.com </w:t>
            </w:r>
          </w:p>
        </w:tc>
      </w:tr>
    </w:tbl>
    <w:p>
      <w:pPr>
        <w:pStyle w:val="7"/>
        <w:spacing w:before="0" w:beforeAutospacing="0" w:after="0" w:afterAutospacing="0" w:line="360" w:lineRule="auto"/>
        <w:ind w:firstLine="420"/>
        <w:rPr>
          <w:sz w:val="21"/>
          <w:szCs w:val="21"/>
        </w:rPr>
      </w:pPr>
      <w:r>
        <w:rPr>
          <w:rFonts w:hint="eastAsia"/>
          <w:b/>
          <w:bCs/>
          <w:sz w:val="21"/>
          <w:szCs w:val="21"/>
        </w:rPr>
        <w:t>(45)北京中植基金销售有限公司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北京市北京经济技术开发区宏达北路10号五层5122室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北京市朝阳区大望路金地中心A座28层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武建华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丛瑞丰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010-59313555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010-56642623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400-8180-888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http://www.zzfund.com </w:t>
            </w:r>
          </w:p>
        </w:tc>
      </w:tr>
    </w:tbl>
    <w:p>
      <w:pPr>
        <w:pStyle w:val="7"/>
        <w:spacing w:before="0" w:beforeAutospacing="0" w:after="0" w:afterAutospacing="0" w:line="360" w:lineRule="auto"/>
        <w:ind w:firstLine="420"/>
        <w:rPr>
          <w:sz w:val="21"/>
          <w:szCs w:val="21"/>
        </w:rPr>
      </w:pPr>
      <w:r>
        <w:rPr>
          <w:rFonts w:hint="eastAsia"/>
          <w:b/>
          <w:bCs/>
          <w:sz w:val="21"/>
          <w:szCs w:val="21"/>
        </w:rPr>
        <w:t>(46)北京汇成基金销售有限公司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王伟刚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丁向坤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010-56282140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010-62680827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400-619-9059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www.hcjijin.com </w:t>
            </w:r>
          </w:p>
        </w:tc>
      </w:tr>
    </w:tbl>
    <w:p>
      <w:pPr>
        <w:pStyle w:val="7"/>
        <w:spacing w:before="0" w:beforeAutospacing="0" w:after="0" w:afterAutospacing="0" w:line="360" w:lineRule="auto"/>
        <w:ind w:firstLine="420"/>
        <w:rPr>
          <w:sz w:val="21"/>
          <w:szCs w:val="21"/>
        </w:rPr>
      </w:pPr>
      <w:r>
        <w:rPr>
          <w:rFonts w:hint="eastAsia"/>
          <w:b/>
          <w:bCs/>
          <w:sz w:val="21"/>
          <w:szCs w:val="21"/>
        </w:rPr>
        <w:t>(47)一路财富（北京）基金销售股份有限公司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北京市西城区车公庄大街9号院5号楼702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北京市西城区阜成门外大街2号万通新世界A座2208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吴雪秀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段京璐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010-88312877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010-88312099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400-001-1566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http://www.yilucaifu.com </w:t>
            </w:r>
          </w:p>
        </w:tc>
      </w:tr>
    </w:tbl>
    <w:p>
      <w:pPr>
        <w:pStyle w:val="7"/>
        <w:spacing w:before="0" w:beforeAutospacing="0" w:after="0" w:afterAutospacing="0" w:line="360" w:lineRule="auto"/>
        <w:ind w:firstLine="420"/>
        <w:rPr>
          <w:sz w:val="21"/>
          <w:szCs w:val="21"/>
        </w:rPr>
      </w:pPr>
      <w:r>
        <w:rPr>
          <w:rFonts w:hint="eastAsia"/>
          <w:b/>
          <w:bCs/>
          <w:sz w:val="21"/>
          <w:szCs w:val="21"/>
        </w:rPr>
        <w:t>(48)海银基金销售有限公司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中国（上海）自由贸易试验区银城中路8号402室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上海市浦东新区银城中路8号4楼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巩巧丽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毛林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021-80133597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021-80133413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400-808-1016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www.fundhaiyin.com </w:t>
            </w:r>
          </w:p>
        </w:tc>
      </w:tr>
    </w:tbl>
    <w:p>
      <w:pPr>
        <w:pStyle w:val="7"/>
        <w:spacing w:before="0" w:beforeAutospacing="0" w:after="0" w:afterAutospacing="0" w:line="360" w:lineRule="auto"/>
        <w:ind w:firstLine="420"/>
        <w:rPr>
          <w:sz w:val="21"/>
          <w:szCs w:val="21"/>
        </w:rPr>
      </w:pPr>
      <w:r>
        <w:rPr>
          <w:rFonts w:hint="eastAsia"/>
          <w:b/>
          <w:bCs/>
          <w:sz w:val="21"/>
          <w:szCs w:val="21"/>
        </w:rPr>
        <w:t>(49)北京新浪仓石基金销售有限公司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北京市海淀区东北旺西路中关村软件园二期（西扩）N-1、N-2地块新浪总部科研楼5层518室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北京市海淀区西北旺东路10号院东区3号楼为明大厦C座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010-62675768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010-62676582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010-62675369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www.xincai.com </w:t>
            </w:r>
          </w:p>
        </w:tc>
      </w:tr>
    </w:tbl>
    <w:p>
      <w:pPr>
        <w:pStyle w:val="7"/>
        <w:spacing w:before="0" w:beforeAutospacing="0" w:after="0" w:afterAutospacing="0" w:line="360" w:lineRule="auto"/>
        <w:ind w:firstLine="420"/>
        <w:rPr>
          <w:sz w:val="21"/>
          <w:szCs w:val="21"/>
        </w:rPr>
      </w:pPr>
      <w:r>
        <w:rPr>
          <w:rFonts w:hint="eastAsia"/>
          <w:b/>
          <w:bCs/>
          <w:sz w:val="21"/>
          <w:szCs w:val="21"/>
        </w:rPr>
        <w:t>(50)上海万得基金销售有限公司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中国（上海）自由贸易试验区福山路33号11楼B座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上海市浦东新区浦明路1500号万得大厦11楼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王廷富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姜吉灵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021-5132 7185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021-6888 2281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400-821-0203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www.520fund.com.cn </w:t>
            </w:r>
          </w:p>
        </w:tc>
      </w:tr>
    </w:tbl>
    <w:p>
      <w:pPr>
        <w:pStyle w:val="7"/>
        <w:spacing w:before="0" w:beforeAutospacing="0" w:after="0" w:afterAutospacing="0" w:line="360" w:lineRule="auto"/>
        <w:ind w:firstLine="420"/>
        <w:rPr>
          <w:sz w:val="21"/>
          <w:szCs w:val="21"/>
        </w:rPr>
      </w:pPr>
      <w:r>
        <w:rPr>
          <w:rFonts w:hint="eastAsia"/>
          <w:b/>
          <w:bCs/>
          <w:sz w:val="21"/>
          <w:szCs w:val="21"/>
        </w:rPr>
        <w:t>(51)凤凰金信（海口）基金销售有限公司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宁夏回族自治区银川市金凤区阅海湾中央商务区万寿路142号14层1402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北京市朝阳区紫月路18号院 朝来高科技产业园18号楼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010-58160168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010-58160173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400-810-5919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www.fengfd.com </w:t>
            </w:r>
          </w:p>
        </w:tc>
      </w:tr>
    </w:tbl>
    <w:p>
      <w:pPr>
        <w:pStyle w:val="7"/>
        <w:spacing w:before="0" w:beforeAutospacing="0" w:after="0" w:afterAutospacing="0" w:line="360" w:lineRule="auto"/>
        <w:ind w:firstLine="420"/>
        <w:rPr>
          <w:sz w:val="21"/>
          <w:szCs w:val="21"/>
        </w:rPr>
      </w:pPr>
      <w:r>
        <w:rPr>
          <w:rFonts w:hint="eastAsia"/>
          <w:b/>
          <w:bCs/>
          <w:sz w:val="21"/>
          <w:szCs w:val="21"/>
        </w:rPr>
        <w:t>(52)上海联泰基金销售有限公司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中国（上海）自由贸易试验区富特北路277号3层310室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上海市长宁区福泉北路 518 号 8 座 3 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燕斌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兰敏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021-52822063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021-52975270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400-166-6788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www.66zichan.com </w:t>
            </w:r>
          </w:p>
        </w:tc>
      </w:tr>
    </w:tbl>
    <w:p>
      <w:pPr>
        <w:pStyle w:val="7"/>
        <w:spacing w:before="0" w:beforeAutospacing="0" w:after="0" w:afterAutospacing="0" w:line="360" w:lineRule="auto"/>
        <w:ind w:firstLine="420"/>
        <w:rPr>
          <w:sz w:val="21"/>
          <w:szCs w:val="21"/>
        </w:rPr>
      </w:pPr>
      <w:r>
        <w:rPr>
          <w:rFonts w:hint="eastAsia"/>
          <w:b/>
          <w:bCs/>
          <w:sz w:val="21"/>
          <w:szCs w:val="21"/>
        </w:rPr>
        <w:t>(53)上海基煜基金销售有限公司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上海市崇明县长兴镇路潘园公路1800号2号楼6153室（上海泰和经济发展区）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上海市浦东新区银城中路488号太平金融大厦1503室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蓝杰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021-65370077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021-55085991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400-820-5369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www.jiyufund.com.cn </w:t>
            </w:r>
          </w:p>
        </w:tc>
      </w:tr>
    </w:tbl>
    <w:p>
      <w:pPr>
        <w:pStyle w:val="7"/>
        <w:spacing w:before="0" w:beforeAutospacing="0" w:after="0" w:afterAutospacing="0" w:line="360" w:lineRule="auto"/>
        <w:ind w:firstLine="420"/>
        <w:rPr>
          <w:sz w:val="21"/>
          <w:szCs w:val="21"/>
        </w:rPr>
      </w:pPr>
      <w:r>
        <w:rPr>
          <w:rFonts w:hint="eastAsia"/>
          <w:b/>
          <w:bCs/>
          <w:sz w:val="21"/>
          <w:szCs w:val="21"/>
        </w:rPr>
        <w:t>(54)上海中正达广基金销售有限公司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黄欣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何源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13817792090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021-33768132-802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021-33635338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www.zhongzhengfund.com </w:t>
            </w:r>
          </w:p>
        </w:tc>
      </w:tr>
    </w:tbl>
    <w:p>
      <w:pPr>
        <w:pStyle w:val="7"/>
        <w:spacing w:before="0" w:beforeAutospacing="0" w:after="0" w:afterAutospacing="0" w:line="360" w:lineRule="auto"/>
        <w:ind w:firstLine="420"/>
        <w:rPr>
          <w:sz w:val="21"/>
          <w:szCs w:val="21"/>
        </w:rPr>
      </w:pPr>
      <w:r>
        <w:rPr>
          <w:rFonts w:hint="eastAsia"/>
          <w:b/>
          <w:bCs/>
          <w:sz w:val="21"/>
          <w:szCs w:val="21"/>
        </w:rPr>
        <w:t>(55)深圳新华信通基金销售有限公司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深圳市福田区深南大道2003号华嵘大厦1806单元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戴媛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刘雪敏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13760218733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400-000-5767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www.xintongfund.com </w:t>
            </w:r>
          </w:p>
        </w:tc>
      </w:tr>
    </w:tbl>
    <w:p>
      <w:pPr>
        <w:pStyle w:val="7"/>
        <w:spacing w:before="0" w:beforeAutospacing="0" w:after="0" w:afterAutospacing="0" w:line="360" w:lineRule="auto"/>
        <w:ind w:firstLine="420"/>
        <w:rPr>
          <w:sz w:val="21"/>
          <w:szCs w:val="21"/>
        </w:rPr>
      </w:pPr>
      <w:r>
        <w:rPr>
          <w:rFonts w:hint="eastAsia"/>
          <w:b/>
          <w:bCs/>
          <w:sz w:val="21"/>
          <w:szCs w:val="21"/>
        </w:rPr>
        <w:t>(56)上海陆金所基金销售有限公司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上海市浦东新区陆家嘴环路1333号14楼09单元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上海市浦东新区陆家嘴环路1333号14楼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郭坚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宁博宇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021-20665952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021-22066653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400-821-9031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www.lufunds.com </w:t>
            </w:r>
          </w:p>
        </w:tc>
      </w:tr>
    </w:tbl>
    <w:p>
      <w:pPr>
        <w:pStyle w:val="7"/>
        <w:spacing w:before="0" w:beforeAutospacing="0" w:after="0" w:afterAutospacing="0" w:line="360" w:lineRule="auto"/>
        <w:ind w:firstLine="420"/>
        <w:rPr>
          <w:sz w:val="21"/>
          <w:szCs w:val="21"/>
        </w:rPr>
      </w:pPr>
      <w:r>
        <w:rPr>
          <w:rFonts w:hint="eastAsia"/>
          <w:b/>
          <w:bCs/>
          <w:sz w:val="21"/>
          <w:szCs w:val="21"/>
        </w:rPr>
        <w:t>(57)珠海盈米基金销售有限公司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珠海市横琴新区宝华路6号105室-3491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广州市海珠区琶洲大道东1号保利国际广场南塔12楼B1201-1203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肖雯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吴煜浩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020-89629099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020-89629011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020-89629066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www.yingmi.cn </w:t>
            </w:r>
          </w:p>
        </w:tc>
      </w:tr>
    </w:tbl>
    <w:p>
      <w:pPr>
        <w:pStyle w:val="7"/>
        <w:spacing w:before="0" w:beforeAutospacing="0" w:after="0" w:afterAutospacing="0" w:line="360" w:lineRule="auto"/>
        <w:ind w:firstLine="420"/>
        <w:rPr>
          <w:sz w:val="21"/>
          <w:szCs w:val="21"/>
        </w:rPr>
      </w:pPr>
      <w:r>
        <w:rPr>
          <w:rFonts w:hint="eastAsia"/>
          <w:b/>
          <w:bCs/>
          <w:sz w:val="21"/>
          <w:szCs w:val="21"/>
        </w:rPr>
        <w:t>(58)和耕传承基金销售有限公司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李淑慧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董亚芳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0371-85518391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0371-85518397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400-360-0000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www.nicaifu.com </w:t>
            </w:r>
          </w:p>
        </w:tc>
      </w:tr>
    </w:tbl>
    <w:p>
      <w:pPr>
        <w:pStyle w:val="7"/>
        <w:spacing w:before="0" w:beforeAutospacing="0" w:after="0" w:afterAutospacing="0" w:line="360" w:lineRule="auto"/>
        <w:ind w:firstLine="420"/>
        <w:rPr>
          <w:sz w:val="21"/>
          <w:szCs w:val="21"/>
        </w:rPr>
      </w:pPr>
      <w:r>
        <w:rPr>
          <w:rFonts w:hint="eastAsia"/>
          <w:b/>
          <w:bCs/>
          <w:sz w:val="21"/>
          <w:szCs w:val="21"/>
        </w:rPr>
        <w:t>(59)京东肯特瑞基金销售有限公司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北京市海淀区海淀东三街2号4层401-15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北京市经济开发区科创十一街18号院京东总部A座4层A428室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江卉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徐伯宇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400-098-8511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010-89188000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400-088-8816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http://jr.jd.com/ </w:t>
            </w:r>
          </w:p>
        </w:tc>
      </w:tr>
    </w:tbl>
    <w:p>
      <w:pPr>
        <w:pStyle w:val="7"/>
        <w:spacing w:before="0" w:beforeAutospacing="0" w:after="0" w:afterAutospacing="0" w:line="360" w:lineRule="auto"/>
        <w:ind w:firstLine="420"/>
        <w:rPr>
          <w:sz w:val="21"/>
          <w:szCs w:val="21"/>
        </w:rPr>
      </w:pPr>
      <w:r>
        <w:rPr>
          <w:rFonts w:hint="eastAsia"/>
          <w:b/>
          <w:bCs/>
          <w:sz w:val="21"/>
          <w:szCs w:val="21"/>
        </w:rPr>
        <w:t>(60)深圳市金斧子基金销售有限公司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赖任军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刘昕霞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0755-29330513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0755-26920530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400-930-0660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www.jfzinv.com </w:t>
            </w:r>
          </w:p>
        </w:tc>
      </w:tr>
    </w:tbl>
    <w:p>
      <w:pPr>
        <w:pStyle w:val="7"/>
        <w:spacing w:before="0" w:beforeAutospacing="0" w:after="0" w:afterAutospacing="0" w:line="360" w:lineRule="auto"/>
        <w:ind w:firstLine="420"/>
        <w:rPr>
          <w:sz w:val="21"/>
          <w:szCs w:val="21"/>
        </w:rPr>
      </w:pPr>
      <w:r>
        <w:rPr>
          <w:rFonts w:hint="eastAsia"/>
          <w:b/>
          <w:bCs/>
          <w:sz w:val="21"/>
          <w:szCs w:val="21"/>
        </w:rPr>
        <w:t>(61)北京雪球基金销售有限公司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戚晓强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15810005516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010-85659484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400-061-8518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danjuanapp.com </w:t>
            </w:r>
          </w:p>
        </w:tc>
      </w:tr>
    </w:tbl>
    <w:p>
      <w:pPr>
        <w:pStyle w:val="7"/>
        <w:spacing w:before="0" w:beforeAutospacing="0" w:after="0" w:afterAutospacing="0" w:line="360" w:lineRule="auto"/>
        <w:ind w:firstLine="420"/>
        <w:rPr>
          <w:sz w:val="21"/>
          <w:szCs w:val="21"/>
        </w:rPr>
      </w:pPr>
      <w:r>
        <w:rPr>
          <w:rFonts w:hint="eastAsia"/>
          <w:b/>
          <w:bCs/>
          <w:sz w:val="21"/>
          <w:szCs w:val="21"/>
        </w:rPr>
        <w:t>(62)深圳前海财厚基金销售有限公司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深圳市南山区深圳湾科技生态园三区11栋A座3608室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杨艳平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叶见云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0755-86575665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0755-26640652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4001286800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www.caiho.cn </w:t>
            </w:r>
          </w:p>
        </w:tc>
      </w:tr>
    </w:tbl>
    <w:p>
      <w:pPr>
        <w:pStyle w:val="7"/>
        <w:spacing w:before="0" w:beforeAutospacing="0" w:after="0" w:afterAutospacing="0" w:line="360" w:lineRule="auto"/>
        <w:ind w:firstLine="420"/>
        <w:rPr>
          <w:sz w:val="21"/>
          <w:szCs w:val="21"/>
        </w:rPr>
      </w:pPr>
      <w:r>
        <w:rPr>
          <w:rFonts w:hint="eastAsia"/>
          <w:b/>
          <w:bCs/>
          <w:sz w:val="21"/>
          <w:szCs w:val="21"/>
        </w:rPr>
        <w:t>(63)洪泰财富（青岛）基金销售有限责任公司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山东省青岛市崂山区香港东路195号9号楼701室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山东省青岛市崂山区海尔路188号浦发银行大厦706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400-670-6863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www.hongtaiwealth.com </w:t>
            </w:r>
          </w:p>
        </w:tc>
      </w:tr>
    </w:tbl>
    <w:p>
      <w:pPr>
        <w:pStyle w:val="7"/>
        <w:spacing w:before="0" w:beforeAutospacing="0" w:after="0" w:afterAutospacing="0" w:line="360" w:lineRule="auto"/>
        <w:ind w:firstLine="420"/>
        <w:rPr>
          <w:sz w:val="21"/>
          <w:szCs w:val="21"/>
        </w:rPr>
      </w:pPr>
      <w:r>
        <w:rPr>
          <w:rFonts w:hint="eastAsia"/>
          <w:b/>
          <w:bCs/>
          <w:sz w:val="21"/>
          <w:szCs w:val="21"/>
        </w:rPr>
        <w:t>(64)中信期货有限公司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梁美娜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021-80365243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021-60819988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400-990-8826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www.citicsf.com </w:t>
            </w:r>
          </w:p>
        </w:tc>
      </w:tr>
    </w:tbl>
    <w:p>
      <w:pPr>
        <w:pStyle w:val="7"/>
        <w:spacing w:before="0" w:beforeAutospacing="0" w:after="0" w:afterAutospacing="0" w:line="360" w:lineRule="auto"/>
        <w:ind w:firstLine="420"/>
        <w:rPr>
          <w:sz w:val="21"/>
          <w:szCs w:val="21"/>
        </w:rPr>
      </w:pPr>
      <w:r>
        <w:rPr>
          <w:rFonts w:hint="eastAsia"/>
          <w:b/>
          <w:bCs/>
          <w:sz w:val="21"/>
          <w:szCs w:val="21"/>
        </w:rPr>
        <w:t>(65)和合期货有限公司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刘晓洁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关晓婷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400-660-4882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http://www.hhqh.com.cn </w:t>
            </w:r>
          </w:p>
        </w:tc>
      </w:tr>
    </w:tbl>
    <w:p>
      <w:pPr>
        <w:pStyle w:val="7"/>
        <w:spacing w:before="0" w:beforeAutospacing="0" w:after="0" w:afterAutospacing="0" w:line="360" w:lineRule="auto"/>
        <w:ind w:firstLine="420"/>
        <w:rPr>
          <w:sz w:val="21"/>
          <w:szCs w:val="21"/>
        </w:rPr>
      </w:pPr>
      <w:r>
        <w:rPr>
          <w:rFonts w:hint="eastAsia"/>
          <w:b/>
          <w:bCs/>
          <w:sz w:val="21"/>
          <w:szCs w:val="21"/>
        </w:rPr>
        <w:t>(66)国泰君安证券股份有限公司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中国（上海）自由贸易试验区商城路618号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上海市静安区新闸路669号博华广场21层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贺青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钟伟镇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021-38676666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021-38670666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95521/4008888666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https://www.gtja.com  </w:t>
            </w:r>
          </w:p>
        </w:tc>
      </w:tr>
    </w:tbl>
    <w:p>
      <w:pPr>
        <w:pStyle w:val="7"/>
        <w:spacing w:before="0" w:beforeAutospacing="0" w:after="0" w:afterAutospacing="0" w:line="360" w:lineRule="auto"/>
        <w:ind w:firstLine="420"/>
        <w:rPr>
          <w:sz w:val="21"/>
          <w:szCs w:val="21"/>
        </w:rPr>
      </w:pPr>
      <w:r>
        <w:rPr>
          <w:rFonts w:hint="eastAsia"/>
          <w:b/>
          <w:bCs/>
          <w:sz w:val="21"/>
          <w:szCs w:val="21"/>
        </w:rPr>
        <w:t>(67)中信建投证券股份有限公司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北京市朝阳区安立路66号4号楼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北京市朝阳门内大街188号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王常青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陈海静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010-65608231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010－65182261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4008888108/95587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http://www.csc108.com/ </w:t>
            </w:r>
          </w:p>
        </w:tc>
      </w:tr>
    </w:tbl>
    <w:p>
      <w:pPr>
        <w:pStyle w:val="7"/>
        <w:spacing w:before="0" w:beforeAutospacing="0" w:after="0" w:afterAutospacing="0" w:line="360" w:lineRule="auto"/>
        <w:ind w:firstLine="420"/>
        <w:rPr>
          <w:sz w:val="21"/>
          <w:szCs w:val="21"/>
        </w:rPr>
      </w:pPr>
      <w:r>
        <w:rPr>
          <w:rFonts w:hint="eastAsia"/>
          <w:b/>
          <w:bCs/>
          <w:sz w:val="21"/>
          <w:szCs w:val="21"/>
        </w:rPr>
        <w:t>(68)国信证券股份有限公司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深圳市罗湖区红岭中路1012号国信证券大厦十六层至二十六层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深圳市福田区福华一路125号国信金融大厦37楼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张纳沙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0755-82130833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0755-82133952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http://www.guosen.com.cn/ </w:t>
            </w:r>
          </w:p>
        </w:tc>
      </w:tr>
    </w:tbl>
    <w:p>
      <w:pPr>
        <w:pStyle w:val="7"/>
        <w:spacing w:before="0" w:beforeAutospacing="0" w:after="0" w:afterAutospacing="0" w:line="360" w:lineRule="auto"/>
        <w:ind w:firstLine="420"/>
        <w:rPr>
          <w:sz w:val="21"/>
          <w:szCs w:val="21"/>
        </w:rPr>
      </w:pPr>
      <w:r>
        <w:rPr>
          <w:rFonts w:hint="eastAsia"/>
          <w:b/>
          <w:bCs/>
          <w:sz w:val="21"/>
          <w:szCs w:val="21"/>
        </w:rPr>
        <w:t>(69)招商证券股份有限公司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深圳市福田区福田街道福华一路111号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深圳市福田区福华一路111号招商证券大厦23楼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霍达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黄婵君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0755-82943666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0755-83734343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4008888111；95565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http://www.newone.com.cn/ </w:t>
            </w:r>
          </w:p>
        </w:tc>
      </w:tr>
    </w:tbl>
    <w:p>
      <w:pPr>
        <w:pStyle w:val="7"/>
        <w:spacing w:before="0" w:beforeAutospacing="0" w:after="0" w:afterAutospacing="0" w:line="360" w:lineRule="auto"/>
        <w:ind w:firstLine="420"/>
        <w:rPr>
          <w:sz w:val="21"/>
          <w:szCs w:val="21"/>
        </w:rPr>
      </w:pPr>
      <w:r>
        <w:rPr>
          <w:rFonts w:hint="eastAsia"/>
          <w:b/>
          <w:bCs/>
          <w:sz w:val="21"/>
          <w:szCs w:val="21"/>
        </w:rPr>
        <w:t>(70)广发证券股份有限公司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广州市黄埔区中新广州知识城腾飞一街2号618室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广州市天河区马场路26号广发证券大厦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林传辉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黄岚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020－87555888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020－87555305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95575、020-95575或致电各地营业网点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http://www.gf.com.cn/ </w:t>
            </w:r>
          </w:p>
        </w:tc>
      </w:tr>
    </w:tbl>
    <w:p>
      <w:pPr>
        <w:pStyle w:val="7"/>
        <w:spacing w:before="0" w:beforeAutospacing="0" w:after="0" w:afterAutospacing="0" w:line="360" w:lineRule="auto"/>
        <w:ind w:firstLine="420"/>
        <w:rPr>
          <w:sz w:val="21"/>
          <w:szCs w:val="21"/>
        </w:rPr>
      </w:pPr>
      <w:r>
        <w:rPr>
          <w:rFonts w:hint="eastAsia"/>
          <w:b/>
          <w:bCs/>
          <w:sz w:val="21"/>
          <w:szCs w:val="21"/>
        </w:rPr>
        <w:t>(71)中信证券股份有限公司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广东省深圳市福田区中心三路8号卓越时代广场（二期）北座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北京朝阳区新源南路6号京城大厦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张佑君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杜杰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010-60833889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010－84865560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400-889-5548/95548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http://www.cs.ecitic.com/ </w:t>
            </w:r>
          </w:p>
        </w:tc>
      </w:tr>
    </w:tbl>
    <w:p>
      <w:pPr>
        <w:pStyle w:val="7"/>
        <w:spacing w:before="0" w:beforeAutospacing="0" w:after="0" w:afterAutospacing="0" w:line="360" w:lineRule="auto"/>
        <w:ind w:firstLine="420"/>
        <w:rPr>
          <w:sz w:val="21"/>
          <w:szCs w:val="21"/>
        </w:rPr>
      </w:pPr>
      <w:r>
        <w:rPr>
          <w:rFonts w:hint="eastAsia"/>
          <w:b/>
          <w:bCs/>
          <w:sz w:val="21"/>
          <w:szCs w:val="21"/>
        </w:rPr>
        <w:t>(72)中国银河证券股份有限公司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1"/>
        <w:gridCol w:w="6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北京市丰台区西营街8号院1号楼7至18层101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北京市丰台区西营街8号院1号楼青海金融大厦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陈亮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辛国政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010-80928123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4008-888-888或95551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 www.chinastock.com.cn/ </w:t>
            </w:r>
          </w:p>
        </w:tc>
      </w:tr>
    </w:tbl>
    <w:p>
      <w:pPr>
        <w:pStyle w:val="7"/>
        <w:spacing w:before="0" w:beforeAutospacing="0" w:after="0" w:afterAutospacing="0" w:line="360" w:lineRule="auto"/>
        <w:ind w:firstLine="420"/>
        <w:rPr>
          <w:sz w:val="21"/>
          <w:szCs w:val="21"/>
        </w:rPr>
      </w:pPr>
      <w:r>
        <w:rPr>
          <w:rFonts w:hint="eastAsia"/>
          <w:b/>
          <w:bCs/>
          <w:sz w:val="21"/>
          <w:szCs w:val="21"/>
        </w:rPr>
        <w:t>(73)申万宏源证券有限公司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上海市徐汇区长乐路989号45层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上海市徐汇区长乐路989号世纪商贸广场45层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杨玉成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021-33388999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021-33388224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(74)长江证券股份有限公司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李新华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奚博宇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027-65799999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027-85481900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95579;4008-888-999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http://www.95579.com/ </w:t>
            </w:r>
          </w:p>
        </w:tc>
      </w:tr>
    </w:tbl>
    <w:p>
      <w:pPr>
        <w:pStyle w:val="7"/>
        <w:spacing w:before="0" w:beforeAutospacing="0" w:after="0" w:afterAutospacing="0" w:line="360" w:lineRule="auto"/>
        <w:ind w:firstLine="420"/>
        <w:rPr>
          <w:sz w:val="21"/>
          <w:szCs w:val="21"/>
        </w:rPr>
      </w:pPr>
      <w:r>
        <w:rPr>
          <w:rFonts w:hint="eastAsia"/>
          <w:b/>
          <w:bCs/>
          <w:sz w:val="21"/>
          <w:szCs w:val="21"/>
        </w:rPr>
        <w:t>(75)安信证券股份有限公司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1"/>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黄炎勋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刘志斌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0755-82558266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http://www.essence.com.cn/ </w:t>
            </w:r>
          </w:p>
        </w:tc>
      </w:tr>
    </w:tbl>
    <w:p>
      <w:pPr>
        <w:pStyle w:val="7"/>
        <w:spacing w:before="0" w:beforeAutospacing="0" w:after="0" w:afterAutospacing="0" w:line="360" w:lineRule="auto"/>
        <w:ind w:firstLine="420"/>
        <w:rPr>
          <w:sz w:val="21"/>
          <w:szCs w:val="21"/>
        </w:rPr>
      </w:pPr>
      <w:r>
        <w:rPr>
          <w:rFonts w:hint="eastAsia"/>
          <w:b/>
          <w:bCs/>
          <w:sz w:val="21"/>
          <w:szCs w:val="21"/>
        </w:rPr>
        <w:t>(76)华泰证券股份有限公司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南京市江东中路228号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办公地址 南京市建邺区江东中路228号华泰证券广场、深圳市福田区深南大道4011号港中旅大厦18楼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张伟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0755-22660831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0755-82492962（深圳）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http://www.htsc.com.cn/ </w:t>
            </w:r>
          </w:p>
        </w:tc>
      </w:tr>
    </w:tbl>
    <w:p>
      <w:pPr>
        <w:pStyle w:val="7"/>
        <w:spacing w:before="0" w:beforeAutospacing="0" w:after="0" w:afterAutospacing="0" w:line="360" w:lineRule="auto"/>
        <w:ind w:firstLine="420"/>
        <w:rPr>
          <w:sz w:val="21"/>
          <w:szCs w:val="21"/>
        </w:rPr>
      </w:pPr>
      <w:r>
        <w:rPr>
          <w:rFonts w:hint="eastAsia"/>
          <w:b/>
          <w:bCs/>
          <w:sz w:val="21"/>
          <w:szCs w:val="21"/>
        </w:rPr>
        <w:t>(77)中信证券（山东）有限责任公司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4"/>
        <w:gridCol w:w="6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青岛市崂山区深圳路222号青岛国际金融广场1号楼20层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青岛市市南区东海西路28号龙翔广场东2、5层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冯恩新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赵如意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0532-85022026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0532-85022605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http://www.cs.ecitic.com/newsite/ </w:t>
            </w:r>
          </w:p>
        </w:tc>
      </w:tr>
    </w:tbl>
    <w:p>
      <w:pPr>
        <w:pStyle w:val="7"/>
        <w:spacing w:before="0" w:beforeAutospacing="0" w:after="0" w:afterAutospacing="0" w:line="360" w:lineRule="auto"/>
        <w:ind w:firstLine="420"/>
        <w:rPr>
          <w:sz w:val="21"/>
          <w:szCs w:val="21"/>
        </w:rPr>
      </w:pPr>
      <w:r>
        <w:rPr>
          <w:rFonts w:hint="eastAsia"/>
          <w:b/>
          <w:bCs/>
          <w:sz w:val="21"/>
          <w:szCs w:val="21"/>
        </w:rPr>
        <w:t>(78)长城证券股份有限公司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深圳市深南大道6008号特区报业大厦16、17层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深圳市深南大道6008号特区报业大厦14、16、17层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丁益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沈晓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0755-83464734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0755－83515567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4006666888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http://www.cgws.com </w:t>
            </w:r>
          </w:p>
        </w:tc>
      </w:tr>
    </w:tbl>
    <w:p>
      <w:pPr>
        <w:pStyle w:val="7"/>
        <w:spacing w:before="0" w:beforeAutospacing="0" w:after="0" w:afterAutospacing="0" w:line="360" w:lineRule="auto"/>
        <w:ind w:firstLine="420"/>
        <w:rPr>
          <w:sz w:val="21"/>
          <w:szCs w:val="21"/>
        </w:rPr>
      </w:pPr>
      <w:r>
        <w:rPr>
          <w:rFonts w:hint="eastAsia"/>
          <w:b/>
          <w:bCs/>
          <w:sz w:val="21"/>
          <w:szCs w:val="21"/>
        </w:rPr>
        <w:t>(79)光大证券股份有限公司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刘秋明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李芳芳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021-22169089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021－22169134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4008888788；95525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http://www.ebscn.com/ </w:t>
            </w:r>
          </w:p>
        </w:tc>
      </w:tr>
    </w:tbl>
    <w:p>
      <w:pPr>
        <w:pStyle w:val="7"/>
        <w:spacing w:before="0" w:beforeAutospacing="0" w:after="0" w:afterAutospacing="0" w:line="360" w:lineRule="auto"/>
        <w:ind w:firstLine="420"/>
        <w:rPr>
          <w:sz w:val="21"/>
          <w:szCs w:val="21"/>
        </w:rPr>
      </w:pPr>
      <w:r>
        <w:rPr>
          <w:rFonts w:hint="eastAsia"/>
          <w:b/>
          <w:bCs/>
          <w:sz w:val="21"/>
          <w:szCs w:val="21"/>
        </w:rPr>
        <w:t>(80)中信证券华南股份有限公司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胡伏云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郭杏燕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020-88836999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020-88836984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http://www.gzs.com.cn </w:t>
            </w:r>
          </w:p>
        </w:tc>
      </w:tr>
    </w:tbl>
    <w:p>
      <w:pPr>
        <w:pStyle w:val="7"/>
        <w:spacing w:before="0" w:beforeAutospacing="0" w:after="0" w:afterAutospacing="0" w:line="360" w:lineRule="auto"/>
        <w:ind w:firstLine="420"/>
        <w:rPr>
          <w:sz w:val="21"/>
          <w:szCs w:val="21"/>
        </w:rPr>
      </w:pPr>
      <w:r>
        <w:rPr>
          <w:rFonts w:hint="eastAsia"/>
          <w:b/>
          <w:bCs/>
          <w:sz w:val="21"/>
          <w:szCs w:val="21"/>
        </w:rPr>
        <w:t>(81)东北证券股份有限公司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李福春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安岩岩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0431-85096517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0431-85096795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http://www.nesc.cn </w:t>
            </w:r>
          </w:p>
        </w:tc>
      </w:tr>
    </w:tbl>
    <w:p>
      <w:pPr>
        <w:pStyle w:val="7"/>
        <w:spacing w:before="0" w:beforeAutospacing="0" w:after="0" w:afterAutospacing="0" w:line="360" w:lineRule="auto"/>
        <w:ind w:firstLine="420"/>
        <w:rPr>
          <w:sz w:val="21"/>
          <w:szCs w:val="21"/>
        </w:rPr>
      </w:pPr>
      <w:r>
        <w:rPr>
          <w:rFonts w:hint="eastAsia"/>
          <w:b/>
          <w:bCs/>
          <w:sz w:val="21"/>
          <w:szCs w:val="21"/>
        </w:rPr>
        <w:t>(82)南京证券股份有限公司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李剑锋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潘月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025－52310569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025－52310586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4008285888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http://www.njzq.com.cn </w:t>
            </w:r>
          </w:p>
        </w:tc>
      </w:tr>
    </w:tbl>
    <w:p>
      <w:pPr>
        <w:pStyle w:val="7"/>
        <w:spacing w:before="0" w:beforeAutospacing="0" w:after="0" w:afterAutospacing="0" w:line="360" w:lineRule="auto"/>
        <w:ind w:firstLine="420"/>
        <w:rPr>
          <w:sz w:val="21"/>
          <w:szCs w:val="21"/>
        </w:rPr>
      </w:pPr>
      <w:r>
        <w:rPr>
          <w:rFonts w:hint="eastAsia"/>
          <w:b/>
          <w:bCs/>
          <w:sz w:val="21"/>
          <w:szCs w:val="21"/>
        </w:rPr>
        <w:t>(83)平安证券股份有限公司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何之江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021-38632136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0755－82400862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0755-22628888/95511-8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http:www.stock.pingan.com </w:t>
            </w:r>
          </w:p>
        </w:tc>
      </w:tr>
    </w:tbl>
    <w:p>
      <w:pPr>
        <w:pStyle w:val="7"/>
        <w:spacing w:before="0" w:beforeAutospacing="0" w:after="0" w:afterAutospacing="0" w:line="360" w:lineRule="auto"/>
        <w:ind w:firstLine="420"/>
        <w:rPr>
          <w:sz w:val="21"/>
          <w:szCs w:val="21"/>
        </w:rPr>
      </w:pPr>
      <w:r>
        <w:rPr>
          <w:rFonts w:hint="eastAsia"/>
          <w:b/>
          <w:bCs/>
          <w:sz w:val="21"/>
          <w:szCs w:val="21"/>
        </w:rPr>
        <w:t>(84)申万宏源西部证券有限公司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王献军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梁丽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0991-2307105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010-88085195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www.swhysc.com </w:t>
            </w:r>
          </w:p>
        </w:tc>
      </w:tr>
    </w:tbl>
    <w:p>
      <w:pPr>
        <w:pStyle w:val="7"/>
        <w:spacing w:before="0" w:beforeAutospacing="0" w:after="0" w:afterAutospacing="0" w:line="360" w:lineRule="auto"/>
        <w:ind w:firstLine="420"/>
        <w:rPr>
          <w:sz w:val="21"/>
          <w:szCs w:val="21"/>
        </w:rPr>
      </w:pPr>
      <w:r>
        <w:rPr>
          <w:rFonts w:hint="eastAsia"/>
          <w:b/>
          <w:bCs/>
          <w:sz w:val="21"/>
          <w:szCs w:val="21"/>
        </w:rPr>
        <w:t>(85)世纪证券有限责任公司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深圳市前海深港合作区南山街道桂湾五路128号前海深港基金小镇对冲基金中心406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广东省深圳市福田区福田街道金田路2026号能源大厦北塔23-25楼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徐玲娟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0755-83199599-9135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0755－83199545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4008323000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http://www.csco.com.cn/ </w:t>
            </w:r>
          </w:p>
        </w:tc>
      </w:tr>
    </w:tbl>
    <w:p>
      <w:pPr>
        <w:pStyle w:val="7"/>
        <w:spacing w:before="0" w:beforeAutospacing="0" w:after="0" w:afterAutospacing="0" w:line="360" w:lineRule="auto"/>
        <w:ind w:firstLine="420"/>
        <w:rPr>
          <w:sz w:val="21"/>
          <w:szCs w:val="21"/>
        </w:rPr>
      </w:pPr>
      <w:r>
        <w:rPr>
          <w:rFonts w:hint="eastAsia"/>
          <w:b/>
          <w:bCs/>
          <w:sz w:val="21"/>
          <w:szCs w:val="21"/>
        </w:rPr>
        <w:t>(86)第一创业证券股份有限公司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1"/>
        <w:gridCol w:w="6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深圳市福田区福华一路115号投行大厦20楼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深圳市福田区福华一路115号投行大厦18楼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刘学民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单晶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0755-23838750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0755-25838701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http://www.firstcapital.com.cn/ </w:t>
            </w:r>
          </w:p>
        </w:tc>
      </w:tr>
    </w:tbl>
    <w:p>
      <w:pPr>
        <w:pStyle w:val="7"/>
        <w:spacing w:before="0" w:beforeAutospacing="0" w:after="0" w:afterAutospacing="0" w:line="360" w:lineRule="auto"/>
        <w:ind w:firstLine="420"/>
        <w:rPr>
          <w:sz w:val="21"/>
          <w:szCs w:val="21"/>
        </w:rPr>
      </w:pPr>
      <w:r>
        <w:rPr>
          <w:rFonts w:hint="eastAsia"/>
          <w:b/>
          <w:bCs/>
          <w:sz w:val="21"/>
          <w:szCs w:val="21"/>
        </w:rPr>
        <w:t>(87)中国中金财富证券有限公司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深圳市福田区益田路与福中路交界处荣超商务中心A栋第18层-21层及第04层01、02、03、05、11、12、13、15、16、18、19、20、21、22、23单元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深圳市福田区益田路6003号荣超商务中心A栋第04、18层至21层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高涛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万玉琳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0755-82026907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0755-82026539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4006008008/95532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http://www.china-invs.cn/ </w:t>
            </w:r>
          </w:p>
        </w:tc>
      </w:tr>
    </w:tbl>
    <w:p>
      <w:pPr>
        <w:pStyle w:val="7"/>
        <w:spacing w:before="0" w:beforeAutospacing="0" w:after="0" w:afterAutospacing="0" w:line="360" w:lineRule="auto"/>
        <w:ind w:firstLine="420"/>
        <w:rPr>
          <w:sz w:val="21"/>
          <w:szCs w:val="21"/>
        </w:rPr>
      </w:pPr>
      <w:r>
        <w:rPr>
          <w:rFonts w:hint="eastAsia"/>
          <w:b/>
          <w:bCs/>
          <w:sz w:val="21"/>
          <w:szCs w:val="21"/>
        </w:rPr>
        <w:t>(88)中山证券有限责任公司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吴小静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罗艺琳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0755-82943755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0755-82960582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http://www.zszq.com </w:t>
            </w:r>
          </w:p>
        </w:tc>
      </w:tr>
    </w:tbl>
    <w:p>
      <w:pPr>
        <w:pStyle w:val="7"/>
        <w:spacing w:before="0" w:beforeAutospacing="0" w:after="0" w:afterAutospacing="0" w:line="360" w:lineRule="auto"/>
        <w:ind w:firstLine="420"/>
        <w:rPr>
          <w:sz w:val="21"/>
          <w:szCs w:val="21"/>
        </w:rPr>
      </w:pPr>
      <w:r>
        <w:rPr>
          <w:rFonts w:hint="eastAsia"/>
          <w:b/>
          <w:bCs/>
          <w:sz w:val="21"/>
          <w:szCs w:val="21"/>
        </w:rPr>
        <w:t>(89)东方财富证券股份有限公司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西藏自治区拉萨市柳梧新区国际总部城10栋楼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上海市徐汇区宛平南路88号金座东方财富大厦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戴彦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付佳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021-23586603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021-23586860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http://www.18.cn </w:t>
            </w:r>
          </w:p>
        </w:tc>
      </w:tr>
    </w:tbl>
    <w:p>
      <w:pPr>
        <w:pStyle w:val="7"/>
        <w:spacing w:before="0" w:beforeAutospacing="0" w:after="0" w:afterAutospacing="0" w:line="360" w:lineRule="auto"/>
        <w:ind w:firstLine="420"/>
        <w:rPr>
          <w:sz w:val="21"/>
          <w:szCs w:val="21"/>
        </w:rPr>
      </w:pPr>
      <w:r>
        <w:rPr>
          <w:rFonts w:hint="eastAsia"/>
          <w:b/>
          <w:bCs/>
          <w:sz w:val="21"/>
          <w:szCs w:val="21"/>
        </w:rPr>
        <w:t>(90)粤开证券股份有限公司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广州经济技术开发区科学大道60号开发区控股中心21、22、23层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深圳市福田区深南中路2002号中广核大厦北楼10层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严亦斌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彭莲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0755-83331195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http://www.ykzq.com </w:t>
            </w:r>
          </w:p>
        </w:tc>
      </w:tr>
    </w:tbl>
    <w:p>
      <w:pPr>
        <w:pStyle w:val="7"/>
        <w:spacing w:before="0" w:beforeAutospacing="0" w:after="0" w:afterAutospacing="0" w:line="360" w:lineRule="auto"/>
        <w:ind w:firstLine="420"/>
        <w:rPr>
          <w:sz w:val="21"/>
          <w:szCs w:val="21"/>
        </w:rPr>
      </w:pPr>
      <w:r>
        <w:rPr>
          <w:rFonts w:hint="eastAsia"/>
          <w:b/>
          <w:bCs/>
          <w:sz w:val="21"/>
          <w:szCs w:val="21"/>
        </w:rPr>
        <w:t>(91)国金证券股份有限公司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冉云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贾鹏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028-86690057、028-86690058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028-86690126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4006-600109/95310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http://www.gjzq.com.cn </w:t>
            </w:r>
          </w:p>
        </w:tc>
      </w:tr>
    </w:tbl>
    <w:p>
      <w:pPr>
        <w:pStyle w:val="7"/>
        <w:spacing w:before="0" w:beforeAutospacing="0" w:after="0" w:afterAutospacing="0" w:line="360" w:lineRule="auto"/>
        <w:ind w:firstLine="420"/>
        <w:rPr>
          <w:sz w:val="21"/>
          <w:szCs w:val="21"/>
        </w:rPr>
      </w:pPr>
      <w:r>
        <w:rPr>
          <w:rFonts w:hint="eastAsia"/>
          <w:b/>
          <w:bCs/>
          <w:sz w:val="21"/>
          <w:szCs w:val="21"/>
        </w:rPr>
        <w:t>(92)华瑞保险销售有限公司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上海市嘉定区南翔镇众仁路399号运通星财富广场1号楼B座13、14层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上海市浦东区向城路288号国华金融大厦8楼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路昊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张爽爽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021-68595976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021-68595766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4001115818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www.huaruisales.com </w:t>
            </w:r>
          </w:p>
        </w:tc>
      </w:tr>
    </w:tbl>
    <w:p>
      <w:pPr>
        <w:pStyle w:val="7"/>
        <w:spacing w:before="0" w:beforeAutospacing="0" w:after="0" w:afterAutospacing="0" w:line="360" w:lineRule="auto"/>
        <w:ind w:firstLine="420"/>
        <w:rPr>
          <w:sz w:val="21"/>
          <w:szCs w:val="21"/>
        </w:rPr>
      </w:pPr>
      <w:r>
        <w:rPr>
          <w:rFonts w:hint="eastAsia"/>
          <w:b/>
          <w:bCs/>
          <w:sz w:val="21"/>
          <w:szCs w:val="21"/>
        </w:rPr>
        <w:t>(93)玄元保险代理有限公司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马永谙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卢亚博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4000808208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www.licaimofang.com </w:t>
            </w:r>
          </w:p>
        </w:tc>
      </w:tr>
    </w:tbl>
    <w:p>
      <w:pPr>
        <w:pStyle w:val="7"/>
        <w:spacing w:before="0" w:beforeAutospacing="0" w:after="0" w:afterAutospacing="0" w:line="360" w:lineRule="auto"/>
        <w:ind w:firstLine="420"/>
        <w:rPr>
          <w:sz w:val="21"/>
          <w:szCs w:val="21"/>
        </w:rPr>
      </w:pPr>
      <w:r>
        <w:rPr>
          <w:rFonts w:hint="eastAsia"/>
          <w:b/>
          <w:bCs/>
          <w:sz w:val="21"/>
          <w:szCs w:val="21"/>
        </w:rPr>
        <w:t>(94)阳光人寿保险股份有限公司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海南省三亚市迎宾路360-1号三亚阳光金融广场16层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北京市朝阳区朝外大街20号联合大厦701A室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王超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010-59053660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010-85632773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http://fund.sinosig.com/ </w:t>
            </w:r>
          </w:p>
        </w:tc>
      </w:tr>
    </w:tbl>
    <w:p>
      <w:pPr>
        <w:pStyle w:val="7"/>
        <w:spacing w:before="0" w:beforeAutospacing="0" w:after="0" w:afterAutospacing="0" w:line="360" w:lineRule="auto"/>
        <w:ind w:firstLine="420"/>
        <w:rPr>
          <w:sz w:val="21"/>
          <w:szCs w:val="21"/>
        </w:rPr>
      </w:pPr>
      <w:r>
        <w:rPr>
          <w:rFonts w:hint="eastAsia"/>
          <w:b/>
          <w:bCs/>
          <w:sz w:val="21"/>
          <w:szCs w:val="21"/>
        </w:rPr>
        <w:t>(95)中国人寿保险股份有限公司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秦泽伟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010-63631539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010-66222276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95519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www.e-chinalife.com </w:t>
            </w:r>
          </w:p>
        </w:tc>
      </w:tr>
    </w:tbl>
    <w:p>
      <w:pPr>
        <w:pStyle w:val="7"/>
        <w:spacing w:before="0" w:beforeAutospacing="0" w:after="0" w:afterAutospacing="0" w:line="360" w:lineRule="auto"/>
        <w:ind w:firstLine="420"/>
        <w:rPr>
          <w:sz w:val="21"/>
          <w:szCs w:val="21"/>
        </w:rPr>
      </w:pPr>
      <w:r>
        <w:rPr>
          <w:rFonts w:hint="eastAsia"/>
          <w:b/>
          <w:bCs/>
          <w:sz w:val="21"/>
          <w:szCs w:val="21"/>
        </w:rPr>
        <w:t>(96)兰州银行股份有限公司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许建平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鱼倩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0931-96799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www.lzbank.com </w:t>
            </w:r>
          </w:p>
        </w:tc>
      </w:tr>
    </w:tbl>
    <w:p>
      <w:pPr>
        <w:pStyle w:val="7"/>
        <w:spacing w:before="0" w:beforeAutospacing="0" w:after="0" w:afterAutospacing="0" w:line="360" w:lineRule="auto"/>
        <w:ind w:firstLine="420"/>
        <w:rPr>
          <w:sz w:val="21"/>
          <w:szCs w:val="21"/>
        </w:rPr>
      </w:pPr>
      <w:r>
        <w:rPr>
          <w:rFonts w:hint="eastAsia"/>
          <w:b/>
          <w:bCs/>
          <w:sz w:val="21"/>
          <w:szCs w:val="21"/>
        </w:rPr>
        <w:t>(97)中信百信银行股份有限公司</w:t>
      </w:r>
    </w:p>
    <w:tbl>
      <w:tblPr>
        <w:tblStyle w:val="9"/>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注册地址： </w:t>
            </w:r>
          </w:p>
        </w:tc>
        <w:tc>
          <w:tcPr>
            <w:tcW w:w="7440" w:type="dxa"/>
            <w:shd w:val="clear" w:color="auto" w:fill="auto"/>
          </w:tcPr>
          <w:p>
            <w:pPr>
              <w:pStyle w:val="7"/>
              <w:rPr>
                <w:sz w:val="21"/>
                <w:szCs w:val="21"/>
              </w:rPr>
            </w:pPr>
            <w:r>
              <w:rPr>
                <w:rFonts w:hint="eastAsia"/>
                <w:sz w:val="21"/>
                <w:szCs w:val="21"/>
              </w:rPr>
              <w:t xml:space="preserve">北京市朝阳区安定路5号院3号楼8层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办公地址： </w:t>
            </w:r>
          </w:p>
        </w:tc>
        <w:tc>
          <w:tcPr>
            <w:tcW w:w="7440" w:type="dxa"/>
            <w:shd w:val="clear" w:color="auto" w:fill="auto"/>
          </w:tcPr>
          <w:p>
            <w:pPr>
              <w:pStyle w:val="7"/>
              <w:rPr>
                <w:sz w:val="21"/>
                <w:szCs w:val="21"/>
              </w:rPr>
            </w:pPr>
            <w:r>
              <w:rPr>
                <w:rFonts w:hint="eastAsia"/>
                <w:sz w:val="21"/>
                <w:szCs w:val="21"/>
              </w:rPr>
              <w:t xml:space="preserve">北京市朝阳区安定路5号院3号楼6-11层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法定代表人： </w:t>
            </w:r>
          </w:p>
        </w:tc>
        <w:tc>
          <w:tcPr>
            <w:tcW w:w="7440" w:type="dxa"/>
            <w:shd w:val="clear" w:color="auto" w:fill="auto"/>
          </w:tcPr>
          <w:p>
            <w:pPr>
              <w:pStyle w:val="7"/>
              <w:rPr>
                <w:sz w:val="21"/>
                <w:szCs w:val="21"/>
              </w:rPr>
            </w:pPr>
            <w:r>
              <w:rPr>
                <w:rFonts w:hint="eastAsia"/>
                <w:sz w:val="21"/>
                <w:szCs w:val="21"/>
              </w:rPr>
              <w:t xml:space="preserve">李如东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联系人： </w:t>
            </w:r>
          </w:p>
        </w:tc>
        <w:tc>
          <w:tcPr>
            <w:tcW w:w="7440" w:type="dxa"/>
            <w:shd w:val="clear" w:color="auto" w:fill="auto"/>
          </w:tcPr>
          <w:p>
            <w:pPr>
              <w:pStyle w:val="7"/>
              <w:rPr>
                <w:sz w:val="21"/>
                <w:szCs w:val="21"/>
              </w:rPr>
            </w:pPr>
            <w:r>
              <w:rPr>
                <w:rFonts w:hint="eastAsia"/>
                <w:sz w:val="21"/>
                <w:szCs w:val="21"/>
              </w:rPr>
              <w:t xml:space="preserve">陈冰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电话： </w:t>
            </w:r>
          </w:p>
        </w:tc>
        <w:tc>
          <w:tcPr>
            <w:tcW w:w="7440" w:type="dxa"/>
            <w:shd w:val="clear" w:color="auto" w:fill="auto"/>
          </w:tcPr>
          <w:p>
            <w:pPr>
              <w:pStyle w:val="7"/>
              <w:rPr>
                <w:sz w:val="21"/>
                <w:szCs w:val="21"/>
              </w:rPr>
            </w:pPr>
            <w:r>
              <w:rPr>
                <w:rFonts w:hint="eastAsia"/>
                <w:sz w:val="21"/>
                <w:szCs w:val="21"/>
              </w:rPr>
              <w:t xml:space="preserve">010-50925699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传真： </w:t>
            </w:r>
          </w:p>
        </w:tc>
        <w:tc>
          <w:tcPr>
            <w:tcW w:w="7440" w:type="dxa"/>
            <w:shd w:val="clear" w:color="auto" w:fill="auto"/>
          </w:tcPr>
          <w:p>
            <w:pPr>
              <w:pStyle w:val="7"/>
              <w:rPr>
                <w:sz w:val="21"/>
                <w:szCs w:val="21"/>
              </w:rPr>
            </w:pPr>
            <w:r>
              <w:rPr>
                <w:rFonts w:hint="eastAsia"/>
                <w:sz w:val="21"/>
                <w:szCs w:val="21"/>
              </w:rPr>
              <w:t xml:space="preserve">010-50925690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7"/>
              <w:rPr>
                <w:sz w:val="21"/>
                <w:szCs w:val="21"/>
              </w:rPr>
            </w:pPr>
            <w:r>
              <w:rPr>
                <w:rFonts w:hint="eastAsia"/>
                <w:sz w:val="21"/>
                <w:szCs w:val="21"/>
              </w:rPr>
              <w:t xml:space="preserve">客户服务电话： </w:t>
            </w:r>
          </w:p>
        </w:tc>
        <w:tc>
          <w:tcPr>
            <w:tcW w:w="7440" w:type="dxa"/>
            <w:shd w:val="clear" w:color="auto" w:fill="auto"/>
          </w:tcPr>
          <w:p>
            <w:pPr>
              <w:pStyle w:val="7"/>
              <w:rPr>
                <w:sz w:val="21"/>
                <w:szCs w:val="21"/>
              </w:rPr>
            </w:pPr>
            <w:r>
              <w:rPr>
                <w:rFonts w:hint="eastAsia"/>
                <w:sz w:val="21"/>
                <w:szCs w:val="21"/>
              </w:rPr>
              <w:t xml:space="preserve">4008180100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7"/>
              <w:rPr>
                <w:sz w:val="21"/>
                <w:szCs w:val="21"/>
              </w:rPr>
            </w:pPr>
            <w:r>
              <w:rPr>
                <w:rFonts w:hint="eastAsia"/>
                <w:sz w:val="21"/>
                <w:szCs w:val="21"/>
              </w:rPr>
              <w:t xml:space="preserve">网址： </w:t>
            </w:r>
          </w:p>
        </w:tc>
        <w:tc>
          <w:tcPr>
            <w:tcW w:w="7440" w:type="dxa"/>
            <w:shd w:val="clear" w:color="auto" w:fill="auto"/>
          </w:tcPr>
          <w:p>
            <w:pPr>
              <w:pStyle w:val="7"/>
              <w:rPr>
                <w:sz w:val="21"/>
                <w:szCs w:val="21"/>
              </w:rPr>
            </w:pPr>
            <w:r>
              <w:rPr>
                <w:rFonts w:hint="eastAsia"/>
                <w:sz w:val="21"/>
                <w:szCs w:val="21"/>
              </w:rPr>
              <w:t xml:space="preserve">www.aibank.com </w:t>
            </w:r>
          </w:p>
        </w:tc>
      </w:tr>
    </w:tbl>
    <w:p>
      <w:pPr>
        <w:rPr>
          <w:szCs w:val="21"/>
        </w:rPr>
      </w:pPr>
      <w:bookmarkStart w:id="64" w:name="field_0_allproxysaletables_1_end"/>
      <w:bookmarkEnd w:id="64"/>
      <w:r>
        <w:rPr>
          <w:rFonts w:ascii="宋体" w:hAnsi="宋体" w:eastAsia="宋体"/>
        </w:rPr>
        <w:t xml:space="preserve">  </w:t>
      </w:r>
      <w:bookmarkStart w:id="65" w:name="chapter_level1_7_56_section_2_end"/>
      <w:bookmarkEnd w:id="65"/>
      <w:bookmarkStart w:id="66" w:name="chapter_level1_7_56_section_3"/>
      <w:bookmarkEnd w:id="66"/>
      <w:r>
        <w:rPr>
          <w:rFonts w:ascii="宋体" w:hAnsi="宋体" w:eastAsia="宋体"/>
        </w:rPr>
        <w:t xml:space="preserve"> </w:t>
      </w:r>
      <w:r>
        <w:rPr>
          <w:rStyle w:val="11"/>
          <w:rFonts w:hint="eastAsia"/>
          <w:szCs w:val="21"/>
        </w:rPr>
        <w:t>二、登记机构</w:t>
      </w:r>
    </w:p>
    <w:p>
      <w:pPr>
        <w:pStyle w:val="7"/>
        <w:spacing w:before="0" w:beforeAutospacing="0" w:after="0" w:afterAutospacing="0" w:line="360" w:lineRule="auto"/>
        <w:ind w:firstLine="420"/>
        <w:rPr>
          <w:sz w:val="21"/>
          <w:szCs w:val="21"/>
        </w:rPr>
      </w:pPr>
      <w:bookmarkStart w:id="67" w:name="field_0_registercompanyinfo_1_start"/>
      <w:bookmarkEnd w:id="67"/>
      <w:r>
        <w:rPr>
          <w:rFonts w:hint="eastAsia"/>
          <w:sz w:val="21"/>
          <w:szCs w:val="21"/>
        </w:rPr>
        <w:t xml:space="preserve">名称：博时基金管理有限公司 </w:t>
      </w:r>
    </w:p>
    <w:p>
      <w:pPr>
        <w:pStyle w:val="7"/>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办公地址：北京市东城区建国门内大街8号中粮广场C座6层609 </w:t>
      </w:r>
    </w:p>
    <w:p>
      <w:pPr>
        <w:pStyle w:val="7"/>
        <w:spacing w:before="0" w:beforeAutospacing="0" w:after="0" w:afterAutospacing="0" w:line="360" w:lineRule="auto"/>
        <w:ind w:firstLine="420"/>
        <w:rPr>
          <w:sz w:val="21"/>
          <w:szCs w:val="21"/>
        </w:rPr>
      </w:pPr>
      <w:r>
        <w:rPr>
          <w:rFonts w:hint="eastAsia"/>
          <w:sz w:val="21"/>
          <w:szCs w:val="21"/>
        </w:rPr>
        <w:t xml:space="preserve">法定代表人：江向阳 </w:t>
      </w:r>
    </w:p>
    <w:p>
      <w:pPr>
        <w:pStyle w:val="7"/>
        <w:spacing w:before="0" w:beforeAutospacing="0" w:after="0" w:afterAutospacing="0" w:line="360" w:lineRule="auto"/>
        <w:ind w:firstLine="420"/>
        <w:rPr>
          <w:sz w:val="21"/>
          <w:szCs w:val="21"/>
        </w:rPr>
      </w:pPr>
      <w:r>
        <w:rPr>
          <w:rFonts w:hint="eastAsia"/>
          <w:sz w:val="21"/>
          <w:szCs w:val="21"/>
        </w:rPr>
        <w:t xml:space="preserve">电话： 010-65171166 </w:t>
      </w:r>
    </w:p>
    <w:p>
      <w:pPr>
        <w:pStyle w:val="7"/>
        <w:spacing w:before="0" w:beforeAutospacing="0" w:after="0" w:afterAutospacing="0" w:line="360" w:lineRule="auto"/>
        <w:ind w:firstLine="420"/>
        <w:rPr>
          <w:sz w:val="21"/>
          <w:szCs w:val="21"/>
        </w:rPr>
      </w:pPr>
      <w:r>
        <w:rPr>
          <w:rFonts w:hint="eastAsia"/>
          <w:sz w:val="21"/>
          <w:szCs w:val="21"/>
        </w:rPr>
        <w:t xml:space="preserve">传真： 010-65187068 </w:t>
      </w:r>
    </w:p>
    <w:p>
      <w:pPr>
        <w:pStyle w:val="7"/>
        <w:spacing w:before="0" w:beforeAutospacing="0" w:after="0" w:afterAutospacing="0" w:line="360" w:lineRule="auto"/>
        <w:ind w:firstLine="420"/>
        <w:rPr>
          <w:sz w:val="21"/>
          <w:szCs w:val="21"/>
        </w:rPr>
      </w:pPr>
      <w:r>
        <w:rPr>
          <w:rFonts w:hint="eastAsia"/>
          <w:sz w:val="21"/>
          <w:szCs w:val="21"/>
        </w:rPr>
        <w:t xml:space="preserve">联系人：何京京 </w:t>
      </w:r>
      <w:bookmarkStart w:id="68" w:name="field_0_registercompanyinfo_1_end"/>
      <w:bookmarkEnd w:id="68"/>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三、出具法律意见书的律师事务所</w:t>
      </w:r>
    </w:p>
    <w:p>
      <w:pPr>
        <w:pStyle w:val="7"/>
        <w:spacing w:before="0" w:beforeAutospacing="0" w:after="0" w:afterAutospacing="0" w:line="360" w:lineRule="auto"/>
        <w:ind w:firstLine="420"/>
        <w:rPr>
          <w:sz w:val="21"/>
          <w:szCs w:val="21"/>
        </w:rPr>
      </w:pPr>
      <w:r>
        <w:rPr>
          <w:rFonts w:hint="eastAsia"/>
          <w:sz w:val="21"/>
          <w:szCs w:val="21"/>
        </w:rPr>
        <w:t xml:space="preserve">名称：上海源泰律师事务所 </w:t>
      </w:r>
    </w:p>
    <w:p>
      <w:pPr>
        <w:pStyle w:val="7"/>
        <w:spacing w:before="0" w:beforeAutospacing="0" w:after="0" w:afterAutospacing="0" w:line="360" w:lineRule="auto"/>
        <w:ind w:firstLine="420"/>
        <w:rPr>
          <w:sz w:val="21"/>
          <w:szCs w:val="21"/>
        </w:rPr>
      </w:pPr>
      <w:r>
        <w:rPr>
          <w:rFonts w:hint="eastAsia"/>
          <w:sz w:val="21"/>
          <w:szCs w:val="21"/>
        </w:rPr>
        <w:t xml:space="preserve">注册地址：上海市浦东新区浦东南路256号华夏银行大厦14楼 </w:t>
      </w:r>
    </w:p>
    <w:p>
      <w:pPr>
        <w:pStyle w:val="7"/>
        <w:spacing w:before="0" w:beforeAutospacing="0" w:after="0" w:afterAutospacing="0" w:line="360" w:lineRule="auto"/>
        <w:ind w:firstLine="420"/>
        <w:rPr>
          <w:sz w:val="21"/>
          <w:szCs w:val="21"/>
        </w:rPr>
      </w:pPr>
      <w:r>
        <w:rPr>
          <w:rFonts w:hint="eastAsia"/>
          <w:sz w:val="21"/>
          <w:szCs w:val="21"/>
        </w:rPr>
        <w:t xml:space="preserve">办公地址：上海市浦东新区浦东南路256号华夏银行大厦14楼 </w:t>
      </w:r>
    </w:p>
    <w:p>
      <w:pPr>
        <w:pStyle w:val="7"/>
        <w:spacing w:before="0" w:beforeAutospacing="0" w:after="0" w:afterAutospacing="0" w:line="360" w:lineRule="auto"/>
        <w:ind w:firstLine="420"/>
        <w:rPr>
          <w:sz w:val="21"/>
          <w:szCs w:val="21"/>
        </w:rPr>
      </w:pPr>
      <w:r>
        <w:rPr>
          <w:rFonts w:hint="eastAsia"/>
          <w:sz w:val="21"/>
          <w:szCs w:val="21"/>
        </w:rPr>
        <w:t xml:space="preserve">负责人：廖海 </w:t>
      </w:r>
    </w:p>
    <w:p>
      <w:pPr>
        <w:pStyle w:val="7"/>
        <w:spacing w:before="0" w:beforeAutospacing="0" w:after="0" w:afterAutospacing="0" w:line="360" w:lineRule="auto"/>
        <w:ind w:firstLine="420"/>
        <w:rPr>
          <w:sz w:val="21"/>
          <w:szCs w:val="21"/>
        </w:rPr>
      </w:pPr>
      <w:r>
        <w:rPr>
          <w:rFonts w:hint="eastAsia"/>
          <w:sz w:val="21"/>
          <w:szCs w:val="21"/>
        </w:rPr>
        <w:t xml:space="preserve">电话： 021- 51150298 </w:t>
      </w:r>
    </w:p>
    <w:p>
      <w:pPr>
        <w:pStyle w:val="7"/>
        <w:spacing w:before="0" w:beforeAutospacing="0" w:after="0" w:afterAutospacing="0" w:line="360" w:lineRule="auto"/>
        <w:ind w:firstLine="420"/>
        <w:rPr>
          <w:sz w:val="21"/>
          <w:szCs w:val="21"/>
        </w:rPr>
      </w:pPr>
      <w:r>
        <w:rPr>
          <w:rFonts w:hint="eastAsia"/>
          <w:sz w:val="21"/>
          <w:szCs w:val="21"/>
        </w:rPr>
        <w:t xml:space="preserve">传真： 021- 51150398 </w:t>
      </w:r>
    </w:p>
    <w:p>
      <w:pPr>
        <w:pStyle w:val="7"/>
        <w:spacing w:before="0" w:beforeAutospacing="0" w:after="0" w:afterAutospacing="0" w:line="360" w:lineRule="auto"/>
        <w:ind w:firstLine="420"/>
        <w:rPr>
          <w:sz w:val="21"/>
          <w:szCs w:val="21"/>
        </w:rPr>
      </w:pPr>
      <w:r>
        <w:rPr>
          <w:rFonts w:hint="eastAsia"/>
          <w:sz w:val="21"/>
          <w:szCs w:val="21"/>
        </w:rPr>
        <w:t xml:space="preserve">联系人：刘佳 </w:t>
      </w:r>
    </w:p>
    <w:p>
      <w:pPr>
        <w:pStyle w:val="7"/>
        <w:spacing w:before="0" w:beforeAutospacing="0" w:after="0" w:afterAutospacing="0" w:line="360" w:lineRule="auto"/>
        <w:ind w:firstLine="420"/>
        <w:rPr>
          <w:sz w:val="21"/>
          <w:szCs w:val="21"/>
        </w:rPr>
      </w:pPr>
      <w:r>
        <w:rPr>
          <w:rFonts w:hint="eastAsia"/>
          <w:sz w:val="21"/>
          <w:szCs w:val="21"/>
        </w:rPr>
        <w:t xml:space="preserve">经办律师：廖海、刘佳 </w:t>
      </w:r>
    </w:p>
    <w:p>
      <w:pPr>
        <w:pStyle w:val="7"/>
        <w:spacing w:before="0" w:beforeAutospacing="0" w:after="0" w:afterAutospacing="0" w:line="360" w:lineRule="auto"/>
        <w:ind w:firstLine="420"/>
        <w:rPr>
          <w:sz w:val="21"/>
          <w:szCs w:val="21"/>
        </w:rPr>
      </w:pPr>
      <w:r>
        <w:rPr>
          <w:rStyle w:val="11"/>
          <w:rFonts w:hint="eastAsia"/>
          <w:sz w:val="21"/>
          <w:szCs w:val="21"/>
        </w:rPr>
        <w:t>四、审计基金财产的会计师事务所</w:t>
      </w:r>
    </w:p>
    <w:p>
      <w:pPr>
        <w:pStyle w:val="7"/>
        <w:spacing w:before="0" w:beforeAutospacing="0" w:after="0" w:afterAutospacing="0" w:line="360" w:lineRule="auto"/>
        <w:ind w:firstLine="420"/>
        <w:rPr>
          <w:sz w:val="21"/>
          <w:szCs w:val="21"/>
        </w:rPr>
      </w:pPr>
      <w:bookmarkStart w:id="69" w:name="field_0_accountingcompanyinfo_1_start"/>
      <w:bookmarkEnd w:id="69"/>
      <w:r>
        <w:rPr>
          <w:rFonts w:hint="eastAsia"/>
          <w:sz w:val="21"/>
          <w:szCs w:val="21"/>
        </w:rPr>
        <w:t xml:space="preserve">名称：安永华明会计师事务所（特殊普通合伙）  </w:t>
      </w:r>
    </w:p>
    <w:p>
      <w:pPr>
        <w:pStyle w:val="7"/>
        <w:spacing w:before="0" w:beforeAutospacing="0" w:after="0" w:afterAutospacing="0" w:line="360" w:lineRule="auto"/>
        <w:ind w:firstLine="420"/>
        <w:rPr>
          <w:sz w:val="21"/>
          <w:szCs w:val="21"/>
        </w:rPr>
      </w:pPr>
      <w:r>
        <w:rPr>
          <w:rFonts w:hint="eastAsia"/>
          <w:sz w:val="21"/>
          <w:szCs w:val="21"/>
        </w:rPr>
        <w:t xml:space="preserve">住所： 北京市东城区东长安街1号东方广场安永大楼17层01-12室  </w:t>
      </w:r>
    </w:p>
    <w:p>
      <w:pPr>
        <w:pStyle w:val="7"/>
        <w:spacing w:before="0" w:beforeAutospacing="0" w:after="0" w:afterAutospacing="0" w:line="360" w:lineRule="auto"/>
        <w:ind w:firstLine="420"/>
        <w:rPr>
          <w:sz w:val="21"/>
          <w:szCs w:val="21"/>
        </w:rPr>
      </w:pPr>
      <w:r>
        <w:rPr>
          <w:rFonts w:hint="eastAsia"/>
          <w:sz w:val="21"/>
          <w:szCs w:val="21"/>
        </w:rPr>
        <w:t xml:space="preserve">办公地址：北京市东城区东长安街1号东方广场安永大楼17层01-12室  </w:t>
      </w:r>
    </w:p>
    <w:p>
      <w:pPr>
        <w:pStyle w:val="7"/>
        <w:spacing w:before="0" w:beforeAutospacing="0" w:after="0" w:afterAutospacing="0" w:line="360" w:lineRule="auto"/>
        <w:ind w:firstLine="420"/>
        <w:rPr>
          <w:sz w:val="21"/>
          <w:szCs w:val="21"/>
        </w:rPr>
      </w:pPr>
      <w:r>
        <w:rPr>
          <w:rFonts w:hint="eastAsia"/>
          <w:sz w:val="21"/>
          <w:szCs w:val="21"/>
        </w:rPr>
        <w:t xml:space="preserve">执行事务合伙人：毛鞍宁  </w:t>
      </w:r>
    </w:p>
    <w:p>
      <w:pPr>
        <w:pStyle w:val="7"/>
        <w:spacing w:before="0" w:beforeAutospacing="0" w:after="0" w:afterAutospacing="0" w:line="360" w:lineRule="auto"/>
        <w:ind w:firstLine="420"/>
        <w:rPr>
          <w:sz w:val="21"/>
          <w:szCs w:val="21"/>
        </w:rPr>
      </w:pPr>
      <w:r>
        <w:rPr>
          <w:rFonts w:hint="eastAsia"/>
          <w:sz w:val="21"/>
          <w:szCs w:val="21"/>
        </w:rPr>
        <w:t xml:space="preserve">联系电话：（010）58153000  </w:t>
      </w:r>
    </w:p>
    <w:p>
      <w:pPr>
        <w:pStyle w:val="7"/>
        <w:spacing w:before="0" w:beforeAutospacing="0" w:after="0" w:afterAutospacing="0" w:line="360" w:lineRule="auto"/>
        <w:ind w:firstLine="420"/>
        <w:rPr>
          <w:sz w:val="21"/>
          <w:szCs w:val="21"/>
        </w:rPr>
      </w:pPr>
      <w:r>
        <w:rPr>
          <w:rFonts w:hint="eastAsia"/>
          <w:sz w:val="21"/>
          <w:szCs w:val="21"/>
        </w:rPr>
        <w:t xml:space="preserve">传真电话：（010）85188298  </w:t>
      </w:r>
    </w:p>
    <w:p>
      <w:pPr>
        <w:pStyle w:val="7"/>
        <w:spacing w:before="0" w:beforeAutospacing="0" w:after="0" w:afterAutospacing="0" w:line="360" w:lineRule="auto"/>
        <w:ind w:firstLine="420"/>
        <w:rPr>
          <w:sz w:val="21"/>
          <w:szCs w:val="21"/>
        </w:rPr>
      </w:pPr>
      <w:r>
        <w:rPr>
          <w:rFonts w:hint="eastAsia"/>
          <w:sz w:val="21"/>
          <w:szCs w:val="21"/>
        </w:rPr>
        <w:t xml:space="preserve">经办注册会计师： 王珊珊、朱燕 </w:t>
      </w:r>
    </w:p>
    <w:p>
      <w:pPr>
        <w:pStyle w:val="7"/>
        <w:spacing w:before="0" w:beforeAutospacing="0" w:after="0" w:afterAutospacing="0" w:line="360" w:lineRule="auto"/>
        <w:ind w:firstLine="420"/>
        <w:rPr>
          <w:sz w:val="21"/>
          <w:szCs w:val="21"/>
        </w:rPr>
      </w:pPr>
      <w:bookmarkStart w:id="70" w:name="chapter_level1_7_56_section_3_end"/>
      <w:bookmarkEnd w:id="70"/>
      <w:r>
        <w:rPr>
          <w:rFonts w:hint="eastAsia"/>
          <w:sz w:val="21"/>
          <w:szCs w:val="21"/>
        </w:rPr>
        <w:t xml:space="preserve">联系人：朱燕 </w:t>
      </w:r>
      <w:bookmarkStart w:id="71" w:name="field_0_accountingcompanyinfo_1_end"/>
      <w:bookmarkEnd w:id="71"/>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72" w:name="_Toc113633888"/>
      <w:bookmarkStart w:id="73" w:name="chapter_level1_9_58"/>
      <w:r>
        <w:rPr>
          <w:rFonts w:hint="eastAsia" w:ascii="宋体" w:hAnsi="宋体" w:eastAsia="宋体"/>
          <w:sz w:val="30"/>
        </w:rPr>
        <w:t>第六部分 基金的募集与基金合同的生效</w:t>
      </w:r>
      <w:bookmarkEnd w:id="72"/>
      <w:bookmarkEnd w:id="73"/>
    </w:p>
    <w:p>
      <w:pPr>
        <w:pStyle w:val="7"/>
        <w:spacing w:before="0" w:beforeAutospacing="0" w:after="0" w:afterAutospacing="0" w:line="360" w:lineRule="auto"/>
        <w:ind w:firstLine="420"/>
        <w:rPr>
          <w:sz w:val="21"/>
          <w:szCs w:val="21"/>
        </w:rPr>
      </w:pPr>
      <w:bookmarkStart w:id="74" w:name="chapter_level1_9_58_section_1"/>
      <w:bookmarkEnd w:id="74"/>
      <w:r>
        <w:rPr>
          <w:rFonts w:hint="eastAsia"/>
          <w:b/>
          <w:bCs/>
          <w:sz w:val="21"/>
          <w:szCs w:val="21"/>
        </w:rPr>
        <w:t>一．基金的募集</w:t>
      </w:r>
    </w:p>
    <w:p>
      <w:pPr>
        <w:pStyle w:val="7"/>
        <w:spacing w:before="0" w:beforeAutospacing="0" w:after="0" w:afterAutospacing="0" w:line="360" w:lineRule="auto"/>
        <w:ind w:firstLine="420"/>
        <w:rPr>
          <w:sz w:val="21"/>
          <w:szCs w:val="21"/>
        </w:rPr>
      </w:pPr>
      <w:r>
        <w:rPr>
          <w:rFonts w:hint="eastAsia"/>
          <w:sz w:val="21"/>
          <w:szCs w:val="21"/>
        </w:rPr>
        <w:t>基金管理人按照《基金法》、《运作办法》、《销售办法》、基金合同及其他有关规定募集本基金，并经中国证监会</w:t>
      </w:r>
      <w:bookmarkStart w:id="75" w:name="field_2343_approveddate_2"/>
      <w:r>
        <w:rPr>
          <w:sz w:val="21"/>
          <w:szCs w:val="21"/>
        </w:rPr>
        <w:t>2018年9月28日</w:t>
      </w:r>
      <w:bookmarkEnd w:id="75"/>
      <w:r>
        <w:rPr>
          <w:rFonts w:hint="eastAsia"/>
          <w:sz w:val="21"/>
          <w:szCs w:val="21"/>
        </w:rPr>
        <w:t>证监许可</w:t>
      </w:r>
      <w:bookmarkStart w:id="76" w:name="field_2343_lotnumber_2"/>
      <w:r>
        <w:rPr>
          <w:sz w:val="21"/>
          <w:szCs w:val="21"/>
        </w:rPr>
        <w:t>[2018]1561</w:t>
      </w:r>
      <w:bookmarkEnd w:id="76"/>
      <w:r>
        <w:rPr>
          <w:rFonts w:hint="eastAsia"/>
          <w:sz w:val="21"/>
          <w:szCs w:val="21"/>
        </w:rPr>
        <w:t xml:space="preserve">号文准予募集注册。 </w:t>
      </w:r>
    </w:p>
    <w:p>
      <w:pPr>
        <w:pStyle w:val="7"/>
        <w:spacing w:before="0" w:beforeAutospacing="0" w:after="0" w:afterAutospacing="0" w:line="360" w:lineRule="auto"/>
        <w:ind w:firstLine="420"/>
        <w:rPr>
          <w:sz w:val="21"/>
          <w:szCs w:val="21"/>
        </w:rPr>
      </w:pPr>
      <w:r>
        <w:rPr>
          <w:rFonts w:hint="eastAsia"/>
          <w:sz w:val="21"/>
          <w:szCs w:val="21"/>
        </w:rPr>
        <w:t>本基金募集期自</w:t>
      </w:r>
      <w:bookmarkStart w:id="77" w:name="field_58_raisebegindate_1"/>
      <w:r>
        <w:rPr>
          <w:sz w:val="21"/>
          <w:szCs w:val="21"/>
        </w:rPr>
        <w:t>2019年1月2日</w:t>
      </w:r>
      <w:bookmarkEnd w:id="77"/>
      <w:r>
        <w:rPr>
          <w:rFonts w:hint="eastAsia"/>
          <w:sz w:val="21"/>
          <w:szCs w:val="21"/>
        </w:rPr>
        <w:t>至</w:t>
      </w:r>
      <w:bookmarkStart w:id="78" w:name="field_58_raiseenddate_1"/>
      <w:r>
        <w:rPr>
          <w:sz w:val="21"/>
          <w:szCs w:val="21"/>
        </w:rPr>
        <w:t>2019年1月25日</w:t>
      </w:r>
      <w:bookmarkEnd w:id="78"/>
      <w:r>
        <w:rPr>
          <w:rFonts w:hint="eastAsia"/>
          <w:sz w:val="21"/>
          <w:szCs w:val="21"/>
        </w:rPr>
        <w:t>期间，基金份额共募集</w:t>
      </w:r>
      <w:bookmarkStart w:id="79" w:name="field_58_raisetotal_1"/>
      <w:r>
        <w:rPr>
          <w:sz w:val="21"/>
          <w:szCs w:val="21"/>
        </w:rPr>
        <w:t>345,857,413.94</w:t>
      </w:r>
      <w:bookmarkEnd w:id="79"/>
      <w:r>
        <w:rPr>
          <w:rFonts w:hint="eastAsia"/>
          <w:sz w:val="21"/>
          <w:szCs w:val="21"/>
        </w:rPr>
        <w:t>份（含利息结转的份额），募集有效认购总户数为</w:t>
      </w:r>
      <w:bookmarkStart w:id="80" w:name="field_58_effectivetotal_1"/>
      <w:r>
        <w:rPr>
          <w:sz w:val="21"/>
          <w:szCs w:val="21"/>
        </w:rPr>
        <w:t>2,367</w:t>
      </w:r>
      <w:bookmarkEnd w:id="80"/>
      <w:r>
        <w:rPr>
          <w:rFonts w:hint="eastAsia"/>
          <w:sz w:val="21"/>
          <w:szCs w:val="21"/>
        </w:rPr>
        <w:t xml:space="preserve">户。 </w:t>
      </w:r>
    </w:p>
    <w:p>
      <w:pPr>
        <w:pStyle w:val="7"/>
        <w:spacing w:before="0" w:beforeAutospacing="0" w:after="0" w:afterAutospacing="0" w:line="360" w:lineRule="auto"/>
        <w:ind w:firstLine="420"/>
        <w:rPr>
          <w:sz w:val="21"/>
          <w:szCs w:val="21"/>
        </w:rPr>
      </w:pPr>
      <w:r>
        <w:rPr>
          <w:rFonts w:hint="eastAsia"/>
          <w:sz w:val="21"/>
          <w:szCs w:val="21"/>
        </w:rPr>
        <w:t>本基金的运作方式为</w:t>
      </w:r>
      <w:bookmarkStart w:id="81" w:name="field_58_operation_1"/>
      <w:r>
        <w:rPr>
          <w:rFonts w:hint="eastAsia"/>
          <w:sz w:val="21"/>
          <w:szCs w:val="21"/>
        </w:rPr>
        <w:t>契约型开放式</w:t>
      </w:r>
      <w:bookmarkEnd w:id="81"/>
      <w:r>
        <w:rPr>
          <w:rFonts w:hint="eastAsia"/>
          <w:sz w:val="21"/>
          <w:szCs w:val="21"/>
        </w:rPr>
        <w:t>，存续期间为</w:t>
      </w:r>
      <w:bookmarkStart w:id="82" w:name="field_58_duration_1"/>
      <w:r>
        <w:rPr>
          <w:rFonts w:hint="eastAsia"/>
          <w:sz w:val="21"/>
          <w:szCs w:val="21"/>
        </w:rPr>
        <w:t>不定期</w:t>
      </w:r>
      <w:bookmarkEnd w:id="82"/>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b/>
          <w:bCs/>
          <w:sz w:val="21"/>
          <w:szCs w:val="21"/>
        </w:rPr>
        <w:t>二、基金合同的生效</w:t>
      </w:r>
    </w:p>
    <w:p>
      <w:pPr>
        <w:pStyle w:val="7"/>
        <w:spacing w:before="0" w:beforeAutospacing="0" w:after="0" w:afterAutospacing="0" w:line="360" w:lineRule="auto"/>
        <w:ind w:firstLine="420"/>
        <w:rPr>
          <w:sz w:val="21"/>
          <w:szCs w:val="21"/>
        </w:rPr>
      </w:pPr>
      <w:bookmarkStart w:id="83" w:name="chapter_level1_9_58_section_1_end"/>
      <w:bookmarkEnd w:id="83"/>
      <w:r>
        <w:rPr>
          <w:rFonts w:hint="eastAsia"/>
          <w:sz w:val="21"/>
          <w:szCs w:val="21"/>
        </w:rPr>
        <w:t>本基金的基金合同已于</w:t>
      </w:r>
      <w:bookmarkStart w:id="84" w:name="field_0_foundday_1"/>
      <w:r>
        <w:rPr>
          <w:sz w:val="21"/>
          <w:szCs w:val="21"/>
        </w:rPr>
        <w:t>2019年1月29日</w:t>
      </w:r>
      <w:bookmarkEnd w:id="84"/>
      <w:r>
        <w:rPr>
          <w:rFonts w:hint="eastAsia"/>
          <w:sz w:val="21"/>
          <w:szCs w:val="21"/>
        </w:rPr>
        <w:t xml:space="preserve">正式生效。 </w:t>
      </w:r>
    </w:p>
    <w:p>
      <w:pPr>
        <w:pStyle w:val="7"/>
        <w:spacing w:before="0" w:beforeAutospacing="0" w:after="0" w:afterAutospacing="0" w:line="360" w:lineRule="auto"/>
        <w:ind w:firstLine="420"/>
        <w:rPr>
          <w:sz w:val="21"/>
          <w:szCs w:val="21"/>
        </w:rPr>
      </w:pPr>
      <w:bookmarkStart w:id="85" w:name="chapter_level1_9_58_section_2"/>
      <w:bookmarkEnd w:id="85"/>
      <w:r>
        <w:rPr>
          <w:rStyle w:val="11"/>
          <w:rFonts w:hint="eastAsia"/>
          <w:sz w:val="21"/>
          <w:szCs w:val="21"/>
        </w:rPr>
        <w:t>三、基金存续期内的基金份额持有人数量和资产规模</w:t>
      </w:r>
    </w:p>
    <w:p>
      <w:pPr>
        <w:pStyle w:val="7"/>
        <w:spacing w:before="0" w:beforeAutospacing="0" w:after="0" w:afterAutospacing="0" w:line="360" w:lineRule="auto"/>
        <w:ind w:firstLine="420"/>
        <w:rPr>
          <w:sz w:val="21"/>
          <w:szCs w:val="21"/>
        </w:rPr>
      </w:pPr>
      <w:r>
        <w:rPr>
          <w:rFonts w:hint="eastAsia"/>
          <w:sz w:val="21"/>
          <w:szCs w:val="21"/>
        </w:rPr>
        <w:t xml:space="preserve">基金合同生效后，连续二十个工作日出现基金份额持有人数量不满二百人或者基金资产净值低于五千万元情形的，基金管理人应当在定期报告中予以披露；连续六十个工作日出现前述情形的，本基金将根据基金合同的约定进行基金财产清算并终止，而无需召开基金份额持有人大会。 </w:t>
      </w:r>
    </w:p>
    <w:p>
      <w:pPr>
        <w:pStyle w:val="7"/>
        <w:spacing w:before="0" w:beforeAutospacing="0" w:after="0" w:afterAutospacing="0" w:line="360" w:lineRule="auto"/>
        <w:ind w:firstLine="420"/>
        <w:rPr>
          <w:sz w:val="21"/>
          <w:szCs w:val="21"/>
        </w:rPr>
      </w:pPr>
      <w:bookmarkStart w:id="86" w:name="chapter_level1_9_58_section_2_end"/>
      <w:bookmarkEnd w:id="86"/>
      <w:r>
        <w:rPr>
          <w:rFonts w:hint="eastAsia"/>
          <w:sz w:val="21"/>
          <w:szCs w:val="21"/>
        </w:rPr>
        <w:t xml:space="preserve">法律法规或监管机构另有规定时，从其规定。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87" w:name="chapter_level1_10_59"/>
      <w:bookmarkStart w:id="88" w:name="_Toc113633889"/>
      <w:r>
        <w:rPr>
          <w:rFonts w:hint="eastAsia" w:ascii="宋体" w:hAnsi="宋体" w:eastAsia="宋体"/>
          <w:sz w:val="30"/>
        </w:rPr>
        <w:t>第七部分  基金份额的申购与赎回</w:t>
      </w:r>
      <w:bookmarkEnd w:id="87"/>
      <w:bookmarkEnd w:id="88"/>
    </w:p>
    <w:p>
      <w:pPr>
        <w:pStyle w:val="7"/>
        <w:spacing w:before="0" w:beforeAutospacing="0" w:after="0" w:afterAutospacing="0" w:line="360" w:lineRule="auto"/>
        <w:ind w:firstLine="420"/>
        <w:rPr>
          <w:sz w:val="21"/>
          <w:szCs w:val="21"/>
        </w:rPr>
      </w:pPr>
      <w:bookmarkStart w:id="89" w:name="chapter_level1_10_59_section_1"/>
      <w:bookmarkEnd w:id="89"/>
      <w:r>
        <w:rPr>
          <w:rStyle w:val="11"/>
          <w:rFonts w:hint="eastAsia"/>
          <w:sz w:val="21"/>
          <w:szCs w:val="21"/>
        </w:rPr>
        <w:t>一、申购与赎回的场所</w:t>
      </w:r>
    </w:p>
    <w:p>
      <w:pPr>
        <w:pStyle w:val="7"/>
        <w:spacing w:before="0" w:beforeAutospacing="0" w:after="0" w:afterAutospacing="0" w:line="360" w:lineRule="auto"/>
        <w:ind w:firstLine="420"/>
        <w:rPr>
          <w:sz w:val="21"/>
          <w:szCs w:val="21"/>
        </w:rPr>
      </w:pPr>
      <w:r>
        <w:rPr>
          <w:rFonts w:hint="eastAsia"/>
          <w:sz w:val="21"/>
          <w:szCs w:val="21"/>
        </w:rPr>
        <w:t>本基金的申购与赎回将通过销售机构进行。具体的销售网点将由基金管理人在招募说明书或其他相关公告中列明。基金管理人可根据情况变更或增减销售机构，并在基金管理人网站公示。基金投资者应当在销售机构办理基金销售业务的营业场所或按销售机构提供的其他</w:t>
      </w:r>
      <w:bookmarkStart w:id="90" w:name="chapter_level1_10_59_section_1_end"/>
      <w:bookmarkEnd w:id="90"/>
      <w:r>
        <w:rPr>
          <w:rFonts w:hint="eastAsia"/>
          <w:sz w:val="21"/>
          <w:szCs w:val="21"/>
        </w:rPr>
        <w:t xml:space="preserve">方式办理基金份额的申购与赎回。 </w:t>
      </w:r>
    </w:p>
    <w:p>
      <w:pPr>
        <w:pStyle w:val="7"/>
        <w:spacing w:before="0" w:beforeAutospacing="0" w:after="0" w:afterAutospacing="0" w:line="360" w:lineRule="auto"/>
        <w:ind w:firstLine="420"/>
        <w:rPr>
          <w:sz w:val="21"/>
          <w:szCs w:val="21"/>
        </w:rPr>
      </w:pPr>
      <w:bookmarkStart w:id="91" w:name="chapter_level1_10_59_section_2"/>
      <w:bookmarkEnd w:id="91"/>
      <w:r>
        <w:rPr>
          <w:rStyle w:val="11"/>
          <w:rFonts w:hint="eastAsia"/>
          <w:sz w:val="21"/>
          <w:szCs w:val="21"/>
        </w:rPr>
        <w:t>二、申购与赎回办理的开放日及时间</w:t>
      </w:r>
    </w:p>
    <w:p>
      <w:pPr>
        <w:pStyle w:val="7"/>
        <w:spacing w:before="0" w:beforeAutospacing="0" w:after="0" w:afterAutospacing="0" w:line="360" w:lineRule="auto"/>
        <w:ind w:firstLine="420"/>
        <w:rPr>
          <w:sz w:val="21"/>
          <w:szCs w:val="21"/>
        </w:rPr>
      </w:pPr>
      <w:r>
        <w:rPr>
          <w:rFonts w:hint="eastAsia"/>
          <w:sz w:val="21"/>
          <w:szCs w:val="21"/>
        </w:rPr>
        <w:t xml:space="preserve">1、开放日及开放时间 </w:t>
      </w:r>
    </w:p>
    <w:p>
      <w:pPr>
        <w:pStyle w:val="7"/>
        <w:spacing w:before="0" w:beforeAutospacing="0" w:after="0" w:afterAutospacing="0" w:line="360" w:lineRule="auto"/>
        <w:ind w:firstLine="420"/>
        <w:rPr>
          <w:sz w:val="21"/>
          <w:szCs w:val="21"/>
        </w:rPr>
      </w:pPr>
      <w:r>
        <w:rPr>
          <w:rFonts w:hint="eastAsia"/>
          <w:sz w:val="21"/>
          <w:szCs w:val="21"/>
        </w:rPr>
        <w:t xml:space="preserve">投资人在开放日办理基金份额的申购和赎回，具体办理时间为上海证券交易所、深圳证券交易所的正常交易日的交易时间（若本基金参与港股通交易且该工作日为非港股通交易日时，则基金管理人可根据实际情况决定本基金是否开放申购、赎回及转换业务，具体以届时提前发布的公告为准），但基金管理人根据法律法规、中国证监会的要求或基金合同的规定公告暂停申购、赎回时除外。  </w:t>
      </w:r>
    </w:p>
    <w:p>
      <w:pPr>
        <w:pStyle w:val="7"/>
        <w:spacing w:before="0" w:beforeAutospacing="0" w:after="0" w:afterAutospacing="0" w:line="360" w:lineRule="auto"/>
        <w:ind w:firstLine="420"/>
        <w:rPr>
          <w:sz w:val="21"/>
          <w:szCs w:val="21"/>
        </w:rPr>
      </w:pPr>
      <w:r>
        <w:rPr>
          <w:rFonts w:hint="eastAsia"/>
          <w:sz w:val="21"/>
          <w:szCs w:val="21"/>
        </w:rPr>
        <w:t xml:space="preserve">基金合同生效后，若出现新的证券、期货交易市场、证券交易所交易时间变更或其他特殊情况，基金管理人将视情况对前述开放日及开放时间进行相应的调整，但应在实施日前依照《信息披露办法》的有关规定在指定媒介上公告。 </w:t>
      </w:r>
    </w:p>
    <w:p>
      <w:pPr>
        <w:pStyle w:val="7"/>
        <w:spacing w:before="0" w:beforeAutospacing="0" w:after="0" w:afterAutospacing="0" w:line="360" w:lineRule="auto"/>
        <w:ind w:firstLine="420"/>
        <w:rPr>
          <w:sz w:val="21"/>
          <w:szCs w:val="21"/>
        </w:rPr>
      </w:pPr>
      <w:r>
        <w:rPr>
          <w:rFonts w:hint="eastAsia"/>
          <w:sz w:val="21"/>
          <w:szCs w:val="21"/>
        </w:rPr>
        <w:t xml:space="preserve">2、申购、赎回开始日及业务办理时间 </w:t>
      </w:r>
    </w:p>
    <w:p>
      <w:pPr>
        <w:pStyle w:val="7"/>
        <w:spacing w:before="0" w:beforeAutospacing="0" w:after="0" w:afterAutospacing="0" w:line="360" w:lineRule="auto"/>
        <w:ind w:firstLine="420"/>
        <w:rPr>
          <w:sz w:val="21"/>
          <w:szCs w:val="21"/>
        </w:rPr>
      </w:pPr>
      <w:r>
        <w:rPr>
          <w:rFonts w:hint="eastAsia"/>
          <w:sz w:val="21"/>
          <w:szCs w:val="21"/>
        </w:rPr>
        <w:t>本基金于2019年3月25日开放申赎业务。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w:t>
      </w:r>
      <w:bookmarkStart w:id="92" w:name="chapter_level1_10_59_section_2_end"/>
      <w:bookmarkEnd w:id="92"/>
      <w:r>
        <w:rPr>
          <w:rFonts w:hint="eastAsia"/>
          <w:sz w:val="21"/>
          <w:szCs w:val="21"/>
        </w:rPr>
        <w:t xml:space="preserve">基金份额申购、赎回的价格。  </w:t>
      </w:r>
    </w:p>
    <w:p>
      <w:pPr>
        <w:pStyle w:val="7"/>
        <w:spacing w:before="0" w:beforeAutospacing="0" w:after="0" w:afterAutospacing="0" w:line="360" w:lineRule="auto"/>
        <w:ind w:firstLine="420"/>
        <w:rPr>
          <w:sz w:val="21"/>
          <w:szCs w:val="21"/>
        </w:rPr>
      </w:pPr>
      <w:bookmarkStart w:id="93" w:name="chapter_level1_10_59_section_3"/>
      <w:bookmarkEnd w:id="93"/>
      <w:r>
        <w:rPr>
          <w:rStyle w:val="11"/>
          <w:rFonts w:hint="eastAsia"/>
          <w:sz w:val="21"/>
          <w:szCs w:val="21"/>
        </w:rPr>
        <w:t>三、申购与赎回的原则</w:t>
      </w:r>
    </w:p>
    <w:p>
      <w:pPr>
        <w:pStyle w:val="7"/>
        <w:spacing w:before="0" w:beforeAutospacing="0" w:after="0" w:afterAutospacing="0" w:line="360" w:lineRule="auto"/>
        <w:ind w:firstLine="420"/>
        <w:rPr>
          <w:sz w:val="21"/>
          <w:szCs w:val="21"/>
        </w:rPr>
      </w:pPr>
      <w:r>
        <w:rPr>
          <w:rFonts w:hint="eastAsia"/>
          <w:sz w:val="21"/>
          <w:szCs w:val="21"/>
        </w:rPr>
        <w:t xml:space="preserve">1、“未知价”原则，即申购、赎回价格以申请当日收市后计算的基金份额净值为基准进行计算； </w:t>
      </w:r>
    </w:p>
    <w:p>
      <w:pPr>
        <w:pStyle w:val="7"/>
        <w:spacing w:before="0" w:beforeAutospacing="0" w:after="0" w:afterAutospacing="0" w:line="360" w:lineRule="auto"/>
        <w:ind w:firstLine="420"/>
        <w:rPr>
          <w:sz w:val="21"/>
          <w:szCs w:val="21"/>
        </w:rPr>
      </w:pPr>
      <w:r>
        <w:rPr>
          <w:rFonts w:hint="eastAsia"/>
          <w:sz w:val="21"/>
          <w:szCs w:val="21"/>
        </w:rPr>
        <w:t xml:space="preserve">2、“金额申购、份额赎回”原则，即申购以金额申请，赎回以份额申请； </w:t>
      </w:r>
    </w:p>
    <w:p>
      <w:pPr>
        <w:pStyle w:val="7"/>
        <w:spacing w:before="0" w:beforeAutospacing="0" w:after="0" w:afterAutospacing="0" w:line="360" w:lineRule="auto"/>
        <w:ind w:firstLine="420"/>
        <w:rPr>
          <w:sz w:val="21"/>
          <w:szCs w:val="21"/>
        </w:rPr>
      </w:pPr>
      <w:r>
        <w:rPr>
          <w:rFonts w:hint="eastAsia"/>
          <w:sz w:val="21"/>
          <w:szCs w:val="21"/>
        </w:rPr>
        <w:t xml:space="preserve">3、当日的申购与赎回申请可以在基金管理人规定的时间以内撤销； </w:t>
      </w:r>
    </w:p>
    <w:p>
      <w:pPr>
        <w:pStyle w:val="7"/>
        <w:spacing w:before="0" w:beforeAutospacing="0" w:after="0" w:afterAutospacing="0" w:line="360" w:lineRule="auto"/>
        <w:ind w:firstLine="420"/>
        <w:rPr>
          <w:sz w:val="21"/>
          <w:szCs w:val="21"/>
        </w:rPr>
      </w:pPr>
      <w:r>
        <w:rPr>
          <w:rFonts w:hint="eastAsia"/>
          <w:sz w:val="21"/>
          <w:szCs w:val="21"/>
        </w:rPr>
        <w:t xml:space="preserve">4、赎回遵循“先进先出”原则，即按照投资人认购、申购的先后次序进行顺序赎回； </w:t>
      </w:r>
    </w:p>
    <w:p>
      <w:pPr>
        <w:pStyle w:val="7"/>
        <w:spacing w:before="0" w:beforeAutospacing="0" w:after="0" w:afterAutospacing="0" w:line="360" w:lineRule="auto"/>
        <w:ind w:firstLine="420"/>
        <w:rPr>
          <w:sz w:val="21"/>
          <w:szCs w:val="21"/>
        </w:rPr>
      </w:pPr>
      <w:r>
        <w:rPr>
          <w:rFonts w:hint="eastAsia"/>
          <w:sz w:val="21"/>
          <w:szCs w:val="21"/>
        </w:rPr>
        <w:t xml:space="preserve">5、办理申购、赎回业务时，应当遵循基金份额持有人利益优先原则。 </w:t>
      </w:r>
    </w:p>
    <w:p>
      <w:pPr>
        <w:pStyle w:val="7"/>
        <w:spacing w:before="0" w:beforeAutospacing="0" w:after="0" w:afterAutospacing="0" w:line="360" w:lineRule="auto"/>
        <w:ind w:firstLine="420"/>
        <w:rPr>
          <w:sz w:val="21"/>
          <w:szCs w:val="21"/>
        </w:rPr>
      </w:pPr>
      <w:r>
        <w:rPr>
          <w:rFonts w:hint="eastAsia"/>
          <w:sz w:val="21"/>
          <w:szCs w:val="21"/>
        </w:rPr>
        <w:t xml:space="preserve">基金管理人可在法律法规允许的情况下，对上述原则进行调整。基金管理人必须在新规则开始实施前依照《信息披露办法》的有关规定在指定媒介上公告。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四、申购与赎回的数额限制</w:t>
      </w:r>
    </w:p>
    <w:p>
      <w:pPr>
        <w:pStyle w:val="7"/>
        <w:spacing w:before="0" w:beforeAutospacing="0" w:after="0" w:afterAutospacing="0" w:line="360" w:lineRule="auto"/>
        <w:ind w:firstLine="420"/>
        <w:rPr>
          <w:sz w:val="21"/>
          <w:szCs w:val="21"/>
        </w:rPr>
      </w:pPr>
      <w:r>
        <w:rPr>
          <w:rFonts w:hint="eastAsia"/>
          <w:sz w:val="21"/>
          <w:szCs w:val="21"/>
        </w:rPr>
        <w:t>1、首次申购基金份额的单笔最低金额为</w:t>
      </w:r>
      <w:bookmarkStart w:id="94" w:name="field_59_dealerfirstpurminamount_1"/>
      <w:r>
        <w:rPr>
          <w:sz w:val="21"/>
          <w:szCs w:val="21"/>
        </w:rPr>
        <w:t>1</w:t>
      </w:r>
      <w:bookmarkEnd w:id="94"/>
      <w:r>
        <w:rPr>
          <w:rFonts w:hint="eastAsia"/>
          <w:sz w:val="21"/>
          <w:szCs w:val="21"/>
        </w:rPr>
        <w:t>元（含申购费），追加申购的单笔最低金额为</w:t>
      </w:r>
      <w:bookmarkStart w:id="95" w:name="field_59_dealerlaterpurminamount_1"/>
      <w:r>
        <w:rPr>
          <w:sz w:val="21"/>
          <w:szCs w:val="21"/>
        </w:rPr>
        <w:t>1</w:t>
      </w:r>
      <w:bookmarkEnd w:id="95"/>
      <w:r>
        <w:rPr>
          <w:rFonts w:hint="eastAsia"/>
          <w:sz w:val="21"/>
          <w:szCs w:val="21"/>
        </w:rPr>
        <w:t xml:space="preserve">元（含申购费）；详情请见当地销售机构公告。 </w:t>
      </w:r>
    </w:p>
    <w:p>
      <w:pPr>
        <w:pStyle w:val="7"/>
        <w:spacing w:before="0" w:beforeAutospacing="0" w:after="0" w:afterAutospacing="0" w:line="360" w:lineRule="auto"/>
        <w:ind w:firstLine="420"/>
        <w:rPr>
          <w:sz w:val="21"/>
          <w:szCs w:val="21"/>
        </w:rPr>
      </w:pPr>
      <w:r>
        <w:rPr>
          <w:rFonts w:hint="eastAsia"/>
          <w:sz w:val="21"/>
          <w:szCs w:val="21"/>
        </w:rPr>
        <w:t>2、每个交易账户最低持有基金份额余额为</w:t>
      </w:r>
      <w:bookmarkStart w:id="96" w:name="field_59_minholdshare_1"/>
      <w:r>
        <w:rPr>
          <w:sz w:val="21"/>
          <w:szCs w:val="21"/>
        </w:rPr>
        <w:t>1</w:t>
      </w:r>
      <w:bookmarkEnd w:id="96"/>
      <w:r>
        <w:rPr>
          <w:rFonts w:hint="eastAsia"/>
          <w:sz w:val="21"/>
          <w:szCs w:val="21"/>
        </w:rPr>
        <w:t>份，若某笔赎回导致单个交易账户的基金份额余额少于</w:t>
      </w:r>
      <w:bookmarkStart w:id="97" w:name="field_59_minholdshare_2"/>
      <w:r>
        <w:rPr>
          <w:sz w:val="21"/>
          <w:szCs w:val="21"/>
        </w:rPr>
        <w:t>1</w:t>
      </w:r>
      <w:bookmarkEnd w:id="97"/>
      <w:r>
        <w:rPr>
          <w:rFonts w:hint="eastAsia"/>
          <w:sz w:val="21"/>
          <w:szCs w:val="21"/>
        </w:rPr>
        <w:t xml:space="preserve">份时，余额部分基金份额必须一同赎回； </w:t>
      </w:r>
    </w:p>
    <w:p>
      <w:pPr>
        <w:pStyle w:val="7"/>
        <w:spacing w:before="0" w:beforeAutospacing="0" w:after="0" w:afterAutospacing="0" w:line="360" w:lineRule="auto"/>
        <w:ind w:firstLine="420"/>
        <w:rPr>
          <w:sz w:val="21"/>
          <w:szCs w:val="21"/>
        </w:rPr>
      </w:pPr>
      <w:r>
        <w:rPr>
          <w:rFonts w:hint="eastAsia"/>
          <w:sz w:val="21"/>
          <w:szCs w:val="21"/>
        </w:rPr>
        <w:t xml:space="preserve">3、本基金目前对单个投资人累计持有份额不设上限限制，但法律法规另有规定的除外。将来，基金管理人可以规定单个投资者累计持有的基金份额数量限制，具体规定见更新的招募说明书或相关公告； </w:t>
      </w:r>
    </w:p>
    <w:p>
      <w:pPr>
        <w:pStyle w:val="7"/>
        <w:spacing w:before="0" w:beforeAutospacing="0" w:after="0" w:afterAutospacing="0" w:line="360" w:lineRule="auto"/>
        <w:ind w:firstLine="420"/>
        <w:rPr>
          <w:sz w:val="21"/>
          <w:szCs w:val="21"/>
        </w:rPr>
      </w:pPr>
      <w:r>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pPr>
        <w:pStyle w:val="7"/>
        <w:spacing w:before="0" w:beforeAutospacing="0" w:after="0" w:afterAutospacing="0" w:line="360" w:lineRule="auto"/>
        <w:ind w:firstLine="420"/>
        <w:rPr>
          <w:sz w:val="21"/>
          <w:szCs w:val="21"/>
        </w:rPr>
      </w:pPr>
      <w:r>
        <w:rPr>
          <w:rFonts w:hint="eastAsia"/>
          <w:sz w:val="21"/>
          <w:szCs w:val="21"/>
        </w:rPr>
        <w:t xml:space="preserve">5、基金管理人可在法律法规允许的情况下，调整上述规定申购金额和赎回份额等数量限制。基金管理人必须在调整实施前依照《信息披露办法》的有关规定在指定媒介上公告。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五、申购与赎回的程序</w:t>
      </w:r>
    </w:p>
    <w:p>
      <w:pPr>
        <w:pStyle w:val="7"/>
        <w:spacing w:before="0" w:beforeAutospacing="0" w:after="0" w:afterAutospacing="0" w:line="360" w:lineRule="auto"/>
        <w:ind w:firstLine="420"/>
        <w:rPr>
          <w:sz w:val="21"/>
          <w:szCs w:val="21"/>
        </w:rPr>
      </w:pPr>
      <w:r>
        <w:rPr>
          <w:rFonts w:hint="eastAsia"/>
          <w:sz w:val="21"/>
          <w:szCs w:val="21"/>
        </w:rPr>
        <w:t xml:space="preserve">1、申购和赎回的申请方式 </w:t>
      </w:r>
    </w:p>
    <w:p>
      <w:pPr>
        <w:pStyle w:val="7"/>
        <w:spacing w:before="0" w:beforeAutospacing="0" w:after="0" w:afterAutospacing="0" w:line="360" w:lineRule="auto"/>
        <w:ind w:firstLine="420"/>
        <w:rPr>
          <w:sz w:val="21"/>
          <w:szCs w:val="21"/>
        </w:rPr>
      </w:pPr>
      <w:r>
        <w:rPr>
          <w:rFonts w:hint="eastAsia"/>
          <w:sz w:val="21"/>
          <w:szCs w:val="21"/>
        </w:rPr>
        <w:t xml:space="preserve">投资人必须根据销售机构规定的程序，在开放日的具体业务办理时间内提出申购或赎回的申请。 </w:t>
      </w:r>
    </w:p>
    <w:p>
      <w:pPr>
        <w:pStyle w:val="7"/>
        <w:spacing w:before="0" w:beforeAutospacing="0" w:after="0" w:afterAutospacing="0" w:line="360" w:lineRule="auto"/>
        <w:ind w:firstLine="420"/>
        <w:rPr>
          <w:sz w:val="21"/>
          <w:szCs w:val="21"/>
        </w:rPr>
      </w:pPr>
      <w:r>
        <w:rPr>
          <w:rFonts w:hint="eastAsia"/>
          <w:sz w:val="21"/>
          <w:szCs w:val="21"/>
        </w:rPr>
        <w:t xml:space="preserve">2、申购和赎回的款项支付 </w:t>
      </w:r>
    </w:p>
    <w:p>
      <w:pPr>
        <w:pStyle w:val="7"/>
        <w:spacing w:before="0" w:beforeAutospacing="0" w:after="0" w:afterAutospacing="0" w:line="360" w:lineRule="auto"/>
        <w:ind w:firstLine="420"/>
        <w:rPr>
          <w:sz w:val="21"/>
          <w:szCs w:val="21"/>
        </w:rPr>
      </w:pPr>
      <w:r>
        <w:rPr>
          <w:rFonts w:hint="eastAsia"/>
          <w:sz w:val="21"/>
          <w:szCs w:val="21"/>
        </w:rPr>
        <w:t xml:space="preserve">投资人申购基金份额时，必须全额交付申购款项，投资人全额交付申购款项，申购申请成立；基金份额登记机构确认基金份额时，申购生效。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递交赎回申请，赎回成立；基金份额登记机构确认赎回时，赎回生效。投资人赎回申请生效后，基金管理人将在T＋7日(包括该日)内支付赎回款项。在发生巨额赎回或基金合同约定的其他暂停赎回或延缓支付赎回款项的情形时，款项的支付办法参照基金合同有关条款处理。 </w:t>
      </w:r>
    </w:p>
    <w:p>
      <w:pPr>
        <w:pStyle w:val="7"/>
        <w:spacing w:before="0" w:beforeAutospacing="0" w:after="0" w:afterAutospacing="0" w:line="360" w:lineRule="auto"/>
        <w:ind w:firstLine="420"/>
        <w:rPr>
          <w:sz w:val="21"/>
          <w:szCs w:val="21"/>
        </w:rPr>
      </w:pPr>
      <w:r>
        <w:rPr>
          <w:rFonts w:hint="eastAsia"/>
          <w:sz w:val="21"/>
          <w:szCs w:val="21"/>
        </w:rPr>
        <w:t xml:space="preserve">遇交易所或交易市场数据传输延迟、通讯系统故障、银行数据交换系统故障或其他非基金管理人及基金托管人所能控制的因素影响业务处理流程，则赎回款项划付时间相应顺延至该因素消除的最近一个工作日。 </w:t>
      </w:r>
    </w:p>
    <w:p>
      <w:pPr>
        <w:pStyle w:val="7"/>
        <w:spacing w:before="0" w:beforeAutospacing="0" w:after="0" w:afterAutospacing="0" w:line="360" w:lineRule="auto"/>
        <w:ind w:firstLine="420"/>
        <w:rPr>
          <w:sz w:val="21"/>
          <w:szCs w:val="21"/>
        </w:rPr>
      </w:pPr>
      <w:r>
        <w:rPr>
          <w:rFonts w:hint="eastAsia"/>
          <w:sz w:val="21"/>
          <w:szCs w:val="21"/>
        </w:rPr>
        <w:t xml:space="preserve">3、申购和赎回申请的确认 </w:t>
      </w:r>
    </w:p>
    <w:p>
      <w:pPr>
        <w:pStyle w:val="7"/>
        <w:spacing w:before="0" w:beforeAutospacing="0" w:after="0" w:afterAutospacing="0" w:line="360" w:lineRule="auto"/>
        <w:ind w:firstLine="420"/>
        <w:rPr>
          <w:sz w:val="21"/>
          <w:szCs w:val="21"/>
        </w:rPr>
      </w:pPr>
      <w:r>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立或无效，则申购款项本金退还给投资人。 </w:t>
      </w:r>
    </w:p>
    <w:p>
      <w:pPr>
        <w:pStyle w:val="7"/>
        <w:spacing w:before="0" w:beforeAutospacing="0" w:after="0" w:afterAutospacing="0" w:line="360" w:lineRule="auto"/>
        <w:ind w:firstLine="420"/>
        <w:rPr>
          <w:sz w:val="21"/>
          <w:szCs w:val="21"/>
        </w:rPr>
      </w:pPr>
      <w:r>
        <w:rPr>
          <w:rFonts w:hint="eastAsia"/>
          <w:sz w:val="21"/>
          <w:szCs w:val="21"/>
        </w:rPr>
        <w:t xml:space="preserve">基金销售机构对申购、赎回申请的受理并不代表申请一定生效，而仅代表销售机构确实接收到申请。申购、赎回申请的确认以登记机构的确认结果为准。对于申请的确认情况，投资者应及时查询。 </w:t>
      </w:r>
    </w:p>
    <w:p>
      <w:pPr>
        <w:pStyle w:val="7"/>
        <w:spacing w:before="0" w:beforeAutospacing="0" w:after="0" w:afterAutospacing="0" w:line="360" w:lineRule="auto"/>
        <w:ind w:firstLine="420"/>
        <w:rPr>
          <w:sz w:val="21"/>
          <w:szCs w:val="21"/>
        </w:rPr>
      </w:pPr>
      <w:r>
        <w:rPr>
          <w:rFonts w:hint="eastAsia"/>
          <w:sz w:val="21"/>
          <w:szCs w:val="21"/>
        </w:rPr>
        <w:t xml:space="preserve">基金管理人可以在法律法规和基金合同允许的范围内，对上述业务办理时间进行调整，并在调整实施前依照《信息披露办法》的有关规定在指定媒介上公告。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六、申购费率、赎回费率</w:t>
      </w:r>
    </w:p>
    <w:p>
      <w:pPr>
        <w:pStyle w:val="7"/>
        <w:spacing w:before="0" w:beforeAutospacing="0" w:after="0" w:afterAutospacing="0" w:line="360" w:lineRule="auto"/>
        <w:ind w:firstLine="420"/>
        <w:rPr>
          <w:sz w:val="21"/>
          <w:szCs w:val="21"/>
        </w:rPr>
      </w:pPr>
      <w:r>
        <w:rPr>
          <w:rFonts w:hint="eastAsia"/>
          <w:sz w:val="21"/>
          <w:szCs w:val="21"/>
        </w:rPr>
        <w:t xml:space="preserve">1、投资者可以多次申购本基金，申购费率按每笔申购申请单独计算。 </w:t>
      </w:r>
    </w:p>
    <w:p>
      <w:pPr>
        <w:pStyle w:val="7"/>
        <w:spacing w:before="0" w:beforeAutospacing="0" w:after="0" w:afterAutospacing="0" w:line="360" w:lineRule="auto"/>
        <w:ind w:firstLine="420"/>
        <w:rPr>
          <w:sz w:val="21"/>
          <w:szCs w:val="21"/>
        </w:rPr>
      </w:pPr>
      <w:r>
        <w:rPr>
          <w:rFonts w:hint="eastAsia"/>
          <w:sz w:val="21"/>
          <w:szCs w:val="21"/>
        </w:rPr>
        <w:t xml:space="preserve">本基金基金份额采用前端收费模式收取基金申购费用。投资者的申购费用如下： </w:t>
      </w:r>
    </w:p>
    <w:p>
      <w:pPr>
        <w:pStyle w:val="7"/>
        <w:spacing w:before="0" w:beforeAutospacing="0" w:after="0" w:afterAutospacing="0" w:line="360" w:lineRule="auto"/>
        <w:ind w:firstLine="420"/>
        <w:rPr>
          <w:sz w:val="21"/>
          <w:szCs w:val="21"/>
        </w:rPr>
      </w:pPr>
      <w:r>
        <w:rPr>
          <w:rFonts w:hint="eastAsia"/>
          <w:sz w:val="21"/>
          <w:szCs w:val="21"/>
        </w:rPr>
        <w:t xml:space="preserve">表2：本基金的申购费率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5"/>
        <w:gridCol w:w="2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4" w:type="pct"/>
            <w:shd w:val="clear" w:color="auto" w:fill="auto"/>
          </w:tcPr>
          <w:p>
            <w:pPr>
              <w:pStyle w:val="7"/>
            </w:pPr>
            <w:r>
              <w:rPr>
                <w:rFonts w:hint="eastAsia"/>
              </w:rPr>
              <w:t xml:space="preserve">金额（M）  </w:t>
            </w:r>
          </w:p>
        </w:tc>
        <w:tc>
          <w:tcPr>
            <w:tcW w:w="1756" w:type="pct"/>
            <w:shd w:val="clear" w:color="auto" w:fill="auto"/>
          </w:tcPr>
          <w:p>
            <w:pPr>
              <w:pStyle w:val="7"/>
            </w:pPr>
            <w:r>
              <w:rPr>
                <w:rFonts w:hint="eastAsia"/>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4" w:type="pct"/>
            <w:shd w:val="clear" w:color="auto" w:fill="auto"/>
          </w:tcPr>
          <w:p>
            <w:pPr>
              <w:pStyle w:val="7"/>
            </w:pPr>
            <w:r>
              <w:rPr>
                <w:rFonts w:hint="eastAsia"/>
              </w:rPr>
              <w:t xml:space="preserve">M＜100万元  </w:t>
            </w:r>
          </w:p>
        </w:tc>
        <w:tc>
          <w:tcPr>
            <w:tcW w:w="1756" w:type="pct"/>
            <w:shd w:val="clear" w:color="auto" w:fill="auto"/>
          </w:tcPr>
          <w:p>
            <w:pPr>
              <w:pStyle w:val="7"/>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4" w:type="pct"/>
            <w:shd w:val="clear" w:color="auto" w:fill="auto"/>
          </w:tcPr>
          <w:p>
            <w:pPr>
              <w:pStyle w:val="7"/>
            </w:pPr>
            <w:r>
              <w:rPr>
                <w:rFonts w:hint="eastAsia"/>
              </w:rPr>
              <w:t xml:space="preserve">100万元≤M＜500万元 </w:t>
            </w:r>
          </w:p>
        </w:tc>
        <w:tc>
          <w:tcPr>
            <w:tcW w:w="1756" w:type="pct"/>
            <w:shd w:val="clear" w:color="auto" w:fill="auto"/>
          </w:tcPr>
          <w:p>
            <w:pPr>
              <w:pStyle w:val="7"/>
            </w:pPr>
            <w:r>
              <w:rPr>
                <w:rFonts w:hint="eastAsia"/>
              </w:rPr>
              <w:t xml:space="preserve">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44" w:type="pct"/>
            <w:shd w:val="clear" w:color="auto" w:fill="auto"/>
          </w:tcPr>
          <w:p>
            <w:pPr>
              <w:pStyle w:val="7"/>
            </w:pPr>
            <w:r>
              <w:rPr>
                <w:rFonts w:hint="eastAsia"/>
              </w:rPr>
              <w:t xml:space="preserve">M≥500万元  </w:t>
            </w:r>
          </w:p>
        </w:tc>
        <w:tc>
          <w:tcPr>
            <w:tcW w:w="1756" w:type="pct"/>
            <w:shd w:val="clear" w:color="auto" w:fill="auto"/>
          </w:tcPr>
          <w:p>
            <w:pPr>
              <w:pStyle w:val="7"/>
            </w:pPr>
            <w:r>
              <w:rPr>
                <w:rFonts w:hint="eastAsia"/>
              </w:rPr>
              <w:t xml:space="preserve">1000元/笔 </w:t>
            </w:r>
          </w:p>
        </w:tc>
      </w:tr>
    </w:tbl>
    <w:p>
      <w:pPr>
        <w:pStyle w:val="7"/>
        <w:spacing w:before="0" w:beforeAutospacing="0" w:after="0" w:afterAutospacing="0" w:line="360" w:lineRule="auto"/>
        <w:ind w:firstLine="420"/>
        <w:rPr>
          <w:sz w:val="21"/>
          <w:szCs w:val="21"/>
        </w:rPr>
      </w:pPr>
      <w:r>
        <w:rPr>
          <w:rFonts w:hint="eastAsia"/>
          <w:sz w:val="21"/>
          <w:szCs w:val="21"/>
        </w:rPr>
        <w:t xml:space="preserve">本基金的申购费用由投资人承担，主要用于本基金的市场推广、销售、登记等各项费用，不列入基金财产。 </w:t>
      </w:r>
    </w:p>
    <w:p>
      <w:pPr>
        <w:pStyle w:val="7"/>
        <w:spacing w:before="0" w:beforeAutospacing="0" w:after="0" w:afterAutospacing="0" w:line="360" w:lineRule="auto"/>
        <w:ind w:firstLine="420"/>
        <w:rPr>
          <w:sz w:val="21"/>
          <w:szCs w:val="21"/>
        </w:rPr>
      </w:pPr>
      <w:r>
        <w:rPr>
          <w:rFonts w:hint="eastAsia"/>
          <w:sz w:val="21"/>
          <w:szCs w:val="21"/>
        </w:rPr>
        <w:t xml:space="preserve">2、赎回费率见下表： </w:t>
      </w:r>
    </w:p>
    <w:p>
      <w:pPr>
        <w:pStyle w:val="7"/>
        <w:spacing w:before="0" w:beforeAutospacing="0" w:after="0" w:afterAutospacing="0" w:line="360" w:lineRule="auto"/>
        <w:ind w:firstLine="420"/>
        <w:rPr>
          <w:sz w:val="21"/>
          <w:szCs w:val="21"/>
        </w:rPr>
      </w:pPr>
      <w:r>
        <w:rPr>
          <w:rFonts w:hint="eastAsia"/>
          <w:sz w:val="21"/>
          <w:szCs w:val="21"/>
        </w:rPr>
        <w:t xml:space="preserve">表3：本基金的赎回费率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97"/>
        <w:gridCol w:w="2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pct"/>
            <w:shd w:val="clear" w:color="auto" w:fill="auto"/>
          </w:tcPr>
          <w:p>
            <w:pPr>
              <w:pStyle w:val="7"/>
            </w:pPr>
            <w:r>
              <w:rPr>
                <w:rFonts w:hint="eastAsia"/>
              </w:rPr>
              <w:t xml:space="preserve">基金份额期限（Y） </w:t>
            </w:r>
          </w:p>
        </w:tc>
        <w:tc>
          <w:tcPr>
            <w:tcW w:w="1655" w:type="pct"/>
            <w:shd w:val="clear" w:color="auto" w:fill="auto"/>
          </w:tcPr>
          <w:p>
            <w:pPr>
              <w:pStyle w:val="7"/>
            </w:pPr>
            <w:r>
              <w:rPr>
                <w:rFonts w:hint="eastAsia"/>
              </w:rPr>
              <w:t xml:space="preserve">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pct"/>
            <w:shd w:val="clear" w:color="auto" w:fill="auto"/>
          </w:tcPr>
          <w:p>
            <w:pPr>
              <w:pStyle w:val="7"/>
            </w:pPr>
            <w:r>
              <w:rPr>
                <w:rFonts w:hint="eastAsia"/>
              </w:rPr>
              <w:t xml:space="preserve">Y &lt; 7日 </w:t>
            </w:r>
          </w:p>
        </w:tc>
        <w:tc>
          <w:tcPr>
            <w:tcW w:w="1655" w:type="pct"/>
            <w:shd w:val="clear" w:color="auto" w:fill="auto"/>
          </w:tcPr>
          <w:p>
            <w:pPr>
              <w:pStyle w:val="7"/>
            </w:pPr>
            <w:r>
              <w:rPr>
                <w:rFonts w:hint="eastAsia"/>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pct"/>
            <w:shd w:val="clear" w:color="auto" w:fill="auto"/>
          </w:tcPr>
          <w:p>
            <w:pPr>
              <w:pStyle w:val="7"/>
            </w:pPr>
            <w:r>
              <w:rPr>
                <w:rFonts w:hint="eastAsia"/>
              </w:rPr>
              <w:t xml:space="preserve">7日≤Y &lt; 30日 </w:t>
            </w:r>
          </w:p>
        </w:tc>
        <w:tc>
          <w:tcPr>
            <w:tcW w:w="1655" w:type="pct"/>
            <w:shd w:val="clear" w:color="auto" w:fill="auto"/>
          </w:tcPr>
          <w:p>
            <w:pPr>
              <w:pStyle w:val="7"/>
            </w:pPr>
            <w:r>
              <w:rPr>
                <w:rFonts w:hint="eastAsia"/>
              </w:rPr>
              <w:t xml:space="preserve">0.75%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pct"/>
            <w:shd w:val="clear" w:color="auto" w:fill="auto"/>
          </w:tcPr>
          <w:p>
            <w:pPr>
              <w:pStyle w:val="7"/>
            </w:pPr>
            <w:r>
              <w:rPr>
                <w:rFonts w:hint="eastAsia"/>
              </w:rPr>
              <w:t xml:space="preserve">30日≤Y &lt; 6个月 </w:t>
            </w:r>
          </w:p>
        </w:tc>
        <w:tc>
          <w:tcPr>
            <w:tcW w:w="1655" w:type="pct"/>
            <w:shd w:val="clear" w:color="auto" w:fill="auto"/>
          </w:tcPr>
          <w:p>
            <w:pPr>
              <w:pStyle w:val="7"/>
            </w:pPr>
            <w:r>
              <w:rPr>
                <w:rFonts w:hint="eastAsia"/>
              </w:rPr>
              <w:t xml:space="preserve">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5" w:type="pct"/>
            <w:shd w:val="clear" w:color="auto" w:fill="auto"/>
          </w:tcPr>
          <w:p>
            <w:pPr>
              <w:pStyle w:val="7"/>
            </w:pPr>
            <w:r>
              <w:rPr>
                <w:rFonts w:hint="eastAsia"/>
              </w:rPr>
              <w:t xml:space="preserve">Y ≥6个月 </w:t>
            </w:r>
          </w:p>
        </w:tc>
        <w:tc>
          <w:tcPr>
            <w:tcW w:w="1655" w:type="pct"/>
            <w:shd w:val="clear" w:color="auto" w:fill="auto"/>
          </w:tcPr>
          <w:p>
            <w:pPr>
              <w:pStyle w:val="7"/>
            </w:pPr>
            <w:r>
              <w:rPr>
                <w:rFonts w:hint="eastAsia"/>
              </w:rPr>
              <w:t xml:space="preserve">0% </w:t>
            </w:r>
          </w:p>
        </w:tc>
      </w:tr>
    </w:tbl>
    <w:p>
      <w:pPr>
        <w:pStyle w:val="7"/>
        <w:spacing w:before="0" w:beforeAutospacing="0" w:after="0" w:afterAutospacing="0" w:line="360" w:lineRule="auto"/>
        <w:ind w:firstLine="420"/>
        <w:rPr>
          <w:sz w:val="21"/>
          <w:szCs w:val="21"/>
        </w:rPr>
      </w:pPr>
      <w:r>
        <w:rPr>
          <w:rFonts w:hint="eastAsia"/>
          <w:sz w:val="21"/>
          <w:szCs w:val="21"/>
        </w:rPr>
        <w:t xml:space="preserve">注：1年指365日，1个月指30日 </w:t>
      </w:r>
    </w:p>
    <w:p>
      <w:pPr>
        <w:pStyle w:val="7"/>
        <w:spacing w:before="0" w:beforeAutospacing="0" w:after="0" w:afterAutospacing="0" w:line="360" w:lineRule="auto"/>
        <w:ind w:firstLine="420"/>
        <w:rPr>
          <w:sz w:val="21"/>
          <w:szCs w:val="21"/>
        </w:rPr>
      </w:pPr>
      <w:r>
        <w:rPr>
          <w:rFonts w:hint="eastAsia"/>
          <w:sz w:val="21"/>
          <w:szCs w:val="21"/>
        </w:rPr>
        <w:t xml:space="preserve">本基金的赎回费用由基金份额持有人承担。对持续持有期少于30日的基金份额投资人收取的赎回费全额计入基金财产；对持续持有期30 日（含）且少于90日（不含）的基金份额持有人所收取赎回费用总额的75%计入基金财产；对持有期在90日以上（含）且少于180日（不含）的基金份额持有人所收取赎回费用总额的50%计入基金财产。 </w:t>
      </w:r>
    </w:p>
    <w:p>
      <w:pPr>
        <w:pStyle w:val="7"/>
        <w:spacing w:before="0" w:beforeAutospacing="0" w:after="0" w:afterAutospacing="0" w:line="360" w:lineRule="auto"/>
        <w:ind w:firstLine="420"/>
        <w:rPr>
          <w:sz w:val="21"/>
          <w:szCs w:val="21"/>
        </w:rPr>
      </w:pPr>
      <w:r>
        <w:rPr>
          <w:rFonts w:hint="eastAsia"/>
          <w:sz w:val="21"/>
          <w:szCs w:val="21"/>
        </w:rPr>
        <w:t xml:space="preserve">3、基金管理人可以在基金合同约定的范围内调整费率或收费方式，并最迟应于新的费率或收费方式实施日前依照《信息披露办法》的有关规定在指定媒介上公告。 </w:t>
      </w:r>
    </w:p>
    <w:p>
      <w:pPr>
        <w:pStyle w:val="7"/>
        <w:spacing w:before="0" w:beforeAutospacing="0" w:after="0" w:afterAutospacing="0" w:line="360" w:lineRule="auto"/>
        <w:ind w:firstLine="420"/>
        <w:rPr>
          <w:sz w:val="21"/>
          <w:szCs w:val="21"/>
        </w:rPr>
      </w:pPr>
      <w:r>
        <w:rPr>
          <w:rStyle w:val="11"/>
          <w:rFonts w:hint="eastAsia"/>
          <w:sz w:val="21"/>
          <w:szCs w:val="21"/>
        </w:rPr>
        <w:t>七、申购份额与赎回金额的计算方式</w:t>
      </w:r>
    </w:p>
    <w:p>
      <w:pPr>
        <w:pStyle w:val="7"/>
        <w:spacing w:before="0" w:beforeAutospacing="0" w:after="0" w:afterAutospacing="0" w:line="360" w:lineRule="auto"/>
        <w:ind w:firstLine="420"/>
        <w:rPr>
          <w:sz w:val="21"/>
          <w:szCs w:val="21"/>
        </w:rPr>
      </w:pPr>
      <w:r>
        <w:rPr>
          <w:rFonts w:hint="eastAsia"/>
          <w:sz w:val="21"/>
          <w:szCs w:val="21"/>
        </w:rPr>
        <w:t xml:space="preserve">1.申购金额的计算方式： </w:t>
      </w:r>
    </w:p>
    <w:p>
      <w:pPr>
        <w:pStyle w:val="7"/>
        <w:spacing w:before="0" w:beforeAutospacing="0" w:after="0" w:afterAutospacing="0" w:line="360" w:lineRule="auto"/>
        <w:ind w:firstLine="420"/>
        <w:rPr>
          <w:sz w:val="21"/>
          <w:szCs w:val="21"/>
        </w:rPr>
      </w:pPr>
      <w:r>
        <w:rPr>
          <w:rFonts w:hint="eastAsia"/>
          <w:sz w:val="21"/>
          <w:szCs w:val="21"/>
        </w:rPr>
        <w:t xml:space="preserve">1）申购费用适用比例费率的情形下： </w:t>
      </w:r>
    </w:p>
    <w:p>
      <w:pPr>
        <w:pStyle w:val="7"/>
        <w:spacing w:before="0" w:beforeAutospacing="0" w:after="0" w:afterAutospacing="0" w:line="360" w:lineRule="auto"/>
        <w:ind w:firstLine="420"/>
        <w:rPr>
          <w:sz w:val="21"/>
          <w:szCs w:val="21"/>
        </w:rPr>
      </w:pPr>
      <w:r>
        <w:rPr>
          <w:rFonts w:hint="eastAsia"/>
          <w:sz w:val="21"/>
          <w:szCs w:val="21"/>
        </w:rPr>
        <w:t xml:space="preserve">净申购金额=申购金额/（1+申购费率） </w:t>
      </w:r>
    </w:p>
    <w:p>
      <w:pPr>
        <w:pStyle w:val="7"/>
        <w:spacing w:before="0" w:beforeAutospacing="0" w:after="0" w:afterAutospacing="0" w:line="360" w:lineRule="auto"/>
        <w:ind w:firstLine="420"/>
        <w:rPr>
          <w:sz w:val="21"/>
          <w:szCs w:val="21"/>
        </w:rPr>
      </w:pPr>
      <w:r>
        <w:rPr>
          <w:rFonts w:hint="eastAsia"/>
          <w:sz w:val="21"/>
          <w:szCs w:val="21"/>
        </w:rPr>
        <w:t xml:space="preserve">申购费用=申购金额-净申购金额 </w:t>
      </w:r>
    </w:p>
    <w:p>
      <w:pPr>
        <w:pStyle w:val="7"/>
        <w:spacing w:before="0" w:beforeAutospacing="0" w:after="0" w:afterAutospacing="0" w:line="360" w:lineRule="auto"/>
        <w:ind w:firstLine="420"/>
        <w:rPr>
          <w:sz w:val="21"/>
          <w:szCs w:val="21"/>
        </w:rPr>
      </w:pPr>
      <w:r>
        <w:rPr>
          <w:rFonts w:hint="eastAsia"/>
          <w:sz w:val="21"/>
          <w:szCs w:val="21"/>
        </w:rPr>
        <w:t xml:space="preserve">申购份额=净申购金额/T日基金份额净值 </w:t>
      </w:r>
    </w:p>
    <w:p>
      <w:pPr>
        <w:pStyle w:val="7"/>
        <w:spacing w:before="0" w:beforeAutospacing="0" w:after="0" w:afterAutospacing="0" w:line="360" w:lineRule="auto"/>
        <w:ind w:firstLine="420"/>
        <w:rPr>
          <w:sz w:val="21"/>
          <w:szCs w:val="21"/>
        </w:rPr>
      </w:pPr>
      <w:r>
        <w:rPr>
          <w:rFonts w:hint="eastAsia"/>
          <w:sz w:val="21"/>
          <w:szCs w:val="21"/>
        </w:rPr>
        <w:t xml:space="preserve">2）申购费用适用固定金额的情形下： </w:t>
      </w:r>
    </w:p>
    <w:p>
      <w:pPr>
        <w:pStyle w:val="7"/>
        <w:spacing w:before="0" w:beforeAutospacing="0" w:after="0" w:afterAutospacing="0" w:line="360" w:lineRule="auto"/>
        <w:ind w:firstLine="420"/>
        <w:rPr>
          <w:sz w:val="21"/>
          <w:szCs w:val="21"/>
        </w:rPr>
      </w:pPr>
      <w:r>
        <w:rPr>
          <w:rFonts w:hint="eastAsia"/>
          <w:sz w:val="21"/>
          <w:szCs w:val="21"/>
        </w:rPr>
        <w:t xml:space="preserve">申购费用=固定金额 </w:t>
      </w:r>
    </w:p>
    <w:p>
      <w:pPr>
        <w:pStyle w:val="7"/>
        <w:spacing w:before="0" w:beforeAutospacing="0" w:after="0" w:afterAutospacing="0" w:line="360" w:lineRule="auto"/>
        <w:ind w:firstLine="420"/>
        <w:rPr>
          <w:sz w:val="21"/>
          <w:szCs w:val="21"/>
        </w:rPr>
      </w:pPr>
      <w:r>
        <w:rPr>
          <w:rFonts w:hint="eastAsia"/>
          <w:sz w:val="21"/>
          <w:szCs w:val="21"/>
        </w:rPr>
        <w:t xml:space="preserve">净申购金额=申购金额-固定金额 </w:t>
      </w:r>
    </w:p>
    <w:p>
      <w:pPr>
        <w:pStyle w:val="7"/>
        <w:spacing w:before="0" w:beforeAutospacing="0" w:after="0" w:afterAutospacing="0" w:line="360" w:lineRule="auto"/>
        <w:ind w:firstLine="420"/>
        <w:rPr>
          <w:sz w:val="21"/>
          <w:szCs w:val="21"/>
        </w:rPr>
      </w:pPr>
      <w:r>
        <w:rPr>
          <w:rFonts w:hint="eastAsia"/>
          <w:sz w:val="21"/>
          <w:szCs w:val="21"/>
        </w:rPr>
        <w:t xml:space="preserve">申购份额=净申购金额/T日基金份额净值 </w:t>
      </w:r>
    </w:p>
    <w:p>
      <w:pPr>
        <w:pStyle w:val="7"/>
        <w:spacing w:before="0" w:beforeAutospacing="0" w:after="0" w:afterAutospacing="0" w:line="360" w:lineRule="auto"/>
        <w:ind w:firstLine="420"/>
        <w:rPr>
          <w:sz w:val="21"/>
          <w:szCs w:val="21"/>
        </w:rPr>
      </w:pPr>
      <w:r>
        <w:rPr>
          <w:rFonts w:hint="eastAsia"/>
          <w:sz w:val="21"/>
          <w:szCs w:val="21"/>
        </w:rPr>
        <w:t xml:space="preserve">例3：假定T日基金份额净值为1.0560元，某投资人申购本基金40万元，对应的申购费率为1.50%，该投资人可得到的基金份额为： </w:t>
      </w:r>
    </w:p>
    <w:p>
      <w:pPr>
        <w:pStyle w:val="7"/>
        <w:spacing w:before="0" w:beforeAutospacing="0" w:after="0" w:afterAutospacing="0" w:line="360" w:lineRule="auto"/>
        <w:ind w:firstLine="420"/>
        <w:rPr>
          <w:sz w:val="21"/>
          <w:szCs w:val="21"/>
        </w:rPr>
      </w:pPr>
      <w:r>
        <w:rPr>
          <w:rFonts w:hint="eastAsia"/>
          <w:sz w:val="21"/>
          <w:szCs w:val="21"/>
        </w:rPr>
        <w:t xml:space="preserve">净申购金额=400,000/（1+1.50%）＝394,088.67元 </w:t>
      </w:r>
    </w:p>
    <w:p>
      <w:pPr>
        <w:pStyle w:val="7"/>
        <w:spacing w:before="0" w:beforeAutospacing="0" w:after="0" w:afterAutospacing="0" w:line="360" w:lineRule="auto"/>
        <w:ind w:firstLine="420"/>
        <w:rPr>
          <w:sz w:val="21"/>
          <w:szCs w:val="21"/>
        </w:rPr>
      </w:pPr>
      <w:r>
        <w:rPr>
          <w:rFonts w:hint="eastAsia"/>
          <w:sz w:val="21"/>
          <w:szCs w:val="21"/>
        </w:rPr>
        <w:t xml:space="preserve">申购费用=400,000-394,088.67＝5,911.33元 </w:t>
      </w:r>
    </w:p>
    <w:p>
      <w:pPr>
        <w:pStyle w:val="7"/>
        <w:spacing w:before="0" w:beforeAutospacing="0" w:after="0" w:afterAutospacing="0" w:line="360" w:lineRule="auto"/>
        <w:ind w:firstLine="420"/>
        <w:rPr>
          <w:sz w:val="21"/>
          <w:szCs w:val="21"/>
        </w:rPr>
      </w:pPr>
      <w:r>
        <w:rPr>
          <w:rFonts w:hint="eastAsia"/>
          <w:sz w:val="21"/>
          <w:szCs w:val="21"/>
        </w:rPr>
        <w:t xml:space="preserve">申购份额=394,088.67/1.0560＝373,190.03份 </w:t>
      </w:r>
    </w:p>
    <w:p>
      <w:pPr>
        <w:pStyle w:val="7"/>
        <w:spacing w:before="0" w:beforeAutospacing="0" w:after="0" w:afterAutospacing="0" w:line="360" w:lineRule="auto"/>
        <w:ind w:firstLine="420"/>
        <w:rPr>
          <w:sz w:val="21"/>
          <w:szCs w:val="21"/>
        </w:rPr>
      </w:pPr>
      <w:r>
        <w:rPr>
          <w:rFonts w:hint="eastAsia"/>
          <w:sz w:val="21"/>
          <w:szCs w:val="21"/>
        </w:rPr>
        <w:t xml:space="preserve">即：该投资人投资40万元申购本基金，假定申购当日基金份额净值为1.0560元，可得到373,190.03份基金份额。 </w:t>
      </w:r>
    </w:p>
    <w:p>
      <w:pPr>
        <w:pStyle w:val="7"/>
        <w:spacing w:before="0" w:beforeAutospacing="0" w:after="0" w:afterAutospacing="0" w:line="360" w:lineRule="auto"/>
        <w:ind w:firstLine="420"/>
        <w:rPr>
          <w:sz w:val="21"/>
          <w:szCs w:val="21"/>
        </w:rPr>
      </w:pPr>
      <w:r>
        <w:rPr>
          <w:rFonts w:hint="eastAsia"/>
          <w:sz w:val="21"/>
          <w:szCs w:val="21"/>
        </w:rPr>
        <w:t xml:space="preserve">例4：假定T日基金份额净值为1.0560元，某投资人投资600万元申购本基金，其对应的申购费用为1000元，则其可得到的申购份额为： </w:t>
      </w:r>
    </w:p>
    <w:p>
      <w:pPr>
        <w:pStyle w:val="7"/>
        <w:spacing w:before="0" w:beforeAutospacing="0" w:after="0" w:afterAutospacing="0" w:line="360" w:lineRule="auto"/>
        <w:ind w:firstLine="420"/>
        <w:rPr>
          <w:sz w:val="21"/>
          <w:szCs w:val="21"/>
        </w:rPr>
      </w:pPr>
      <w:r>
        <w:rPr>
          <w:rFonts w:hint="eastAsia"/>
          <w:sz w:val="21"/>
          <w:szCs w:val="21"/>
        </w:rPr>
        <w:t xml:space="preserve">申购费用＝1,000元 </w:t>
      </w:r>
    </w:p>
    <w:p>
      <w:pPr>
        <w:pStyle w:val="7"/>
        <w:spacing w:before="0" w:beforeAutospacing="0" w:after="0" w:afterAutospacing="0" w:line="360" w:lineRule="auto"/>
        <w:ind w:firstLine="420"/>
        <w:rPr>
          <w:sz w:val="21"/>
          <w:szCs w:val="21"/>
        </w:rPr>
      </w:pPr>
      <w:r>
        <w:rPr>
          <w:rFonts w:hint="eastAsia"/>
          <w:sz w:val="21"/>
          <w:szCs w:val="21"/>
        </w:rPr>
        <w:t xml:space="preserve">净申购金额＝6,000,000－1,000＝5,999,000.00元 </w:t>
      </w:r>
    </w:p>
    <w:p>
      <w:pPr>
        <w:pStyle w:val="7"/>
        <w:spacing w:before="0" w:beforeAutospacing="0" w:after="0" w:afterAutospacing="0" w:line="360" w:lineRule="auto"/>
        <w:ind w:firstLine="420"/>
        <w:rPr>
          <w:sz w:val="21"/>
          <w:szCs w:val="21"/>
        </w:rPr>
      </w:pPr>
      <w:r>
        <w:rPr>
          <w:rFonts w:hint="eastAsia"/>
          <w:sz w:val="21"/>
          <w:szCs w:val="21"/>
        </w:rPr>
        <w:t xml:space="preserve">申购份额＝5,999,000/1.0560＝5,680,871.21份 </w:t>
      </w:r>
    </w:p>
    <w:p>
      <w:pPr>
        <w:pStyle w:val="7"/>
        <w:spacing w:before="0" w:beforeAutospacing="0" w:after="0" w:afterAutospacing="0" w:line="360" w:lineRule="auto"/>
        <w:ind w:firstLine="420"/>
        <w:rPr>
          <w:sz w:val="21"/>
          <w:szCs w:val="21"/>
        </w:rPr>
      </w:pPr>
      <w:r>
        <w:rPr>
          <w:rFonts w:hint="eastAsia"/>
          <w:sz w:val="21"/>
          <w:szCs w:val="21"/>
        </w:rPr>
        <w:t xml:space="preserve">即，该投资人投资600万元申购本基金，假定申购当日基金份额净值为1.0560元，可得到5,680,871.21份基金份额。 </w:t>
      </w:r>
    </w:p>
    <w:p>
      <w:pPr>
        <w:pStyle w:val="7"/>
        <w:spacing w:before="0" w:beforeAutospacing="0" w:after="0" w:afterAutospacing="0" w:line="360" w:lineRule="auto"/>
        <w:ind w:firstLine="420"/>
        <w:rPr>
          <w:sz w:val="21"/>
          <w:szCs w:val="21"/>
        </w:rPr>
      </w:pPr>
      <w:r>
        <w:rPr>
          <w:rFonts w:hint="eastAsia"/>
          <w:sz w:val="21"/>
          <w:szCs w:val="21"/>
        </w:rPr>
        <w:t xml:space="preserve">2、赎回金额的计算方式： </w:t>
      </w:r>
    </w:p>
    <w:p>
      <w:pPr>
        <w:pStyle w:val="7"/>
        <w:spacing w:before="0" w:beforeAutospacing="0" w:after="0" w:afterAutospacing="0" w:line="360" w:lineRule="auto"/>
        <w:ind w:firstLine="420"/>
        <w:rPr>
          <w:sz w:val="21"/>
          <w:szCs w:val="21"/>
        </w:rPr>
      </w:pPr>
      <w:r>
        <w:rPr>
          <w:rFonts w:hint="eastAsia"/>
          <w:sz w:val="21"/>
          <w:szCs w:val="21"/>
        </w:rPr>
        <w:t xml:space="preserve">赎回总金额=赎回份额×T日基金份额净值 </w:t>
      </w:r>
    </w:p>
    <w:p>
      <w:pPr>
        <w:pStyle w:val="7"/>
        <w:spacing w:before="0" w:beforeAutospacing="0" w:after="0" w:afterAutospacing="0" w:line="360" w:lineRule="auto"/>
        <w:ind w:firstLine="420"/>
        <w:rPr>
          <w:sz w:val="21"/>
          <w:szCs w:val="21"/>
        </w:rPr>
      </w:pPr>
      <w:r>
        <w:rPr>
          <w:rFonts w:hint="eastAsia"/>
          <w:sz w:val="21"/>
          <w:szCs w:val="21"/>
        </w:rPr>
        <w:t xml:space="preserve">赎回费用=赎回总金额×赎回费率 </w:t>
      </w:r>
    </w:p>
    <w:p>
      <w:pPr>
        <w:pStyle w:val="7"/>
        <w:spacing w:before="0" w:beforeAutospacing="0" w:after="0" w:afterAutospacing="0" w:line="360" w:lineRule="auto"/>
        <w:ind w:firstLine="420"/>
        <w:rPr>
          <w:sz w:val="21"/>
          <w:szCs w:val="21"/>
        </w:rPr>
      </w:pPr>
      <w:r>
        <w:rPr>
          <w:rFonts w:hint="eastAsia"/>
          <w:sz w:val="21"/>
          <w:szCs w:val="21"/>
        </w:rPr>
        <w:t xml:space="preserve">净赎回金额=赎回总金额—赎回费用 </w:t>
      </w:r>
    </w:p>
    <w:p>
      <w:pPr>
        <w:pStyle w:val="7"/>
        <w:spacing w:before="0" w:beforeAutospacing="0" w:after="0" w:afterAutospacing="0" w:line="360" w:lineRule="auto"/>
        <w:ind w:firstLine="420"/>
        <w:rPr>
          <w:sz w:val="21"/>
          <w:szCs w:val="21"/>
        </w:rPr>
      </w:pPr>
      <w:r>
        <w:rPr>
          <w:rFonts w:hint="eastAsia"/>
          <w:sz w:val="21"/>
          <w:szCs w:val="21"/>
        </w:rPr>
        <w:t xml:space="preserve">例5：某投资者赎回本基金1万份基金份额，持有时间为三年，对应的赎回费率为0%，假设赎回当日基金份额净值是1.2500 元，则其可得到的赎回金额为： </w:t>
      </w:r>
    </w:p>
    <w:p>
      <w:pPr>
        <w:pStyle w:val="7"/>
        <w:spacing w:before="0" w:beforeAutospacing="0" w:after="0" w:afterAutospacing="0" w:line="360" w:lineRule="auto"/>
        <w:ind w:firstLine="420"/>
        <w:rPr>
          <w:sz w:val="21"/>
          <w:szCs w:val="21"/>
        </w:rPr>
      </w:pPr>
      <w:r>
        <w:rPr>
          <w:rFonts w:hint="eastAsia"/>
          <w:sz w:val="21"/>
          <w:szCs w:val="21"/>
        </w:rPr>
        <w:t xml:space="preserve">赎回总金额=10,000×1.2500=12,500.00 元 </w:t>
      </w:r>
    </w:p>
    <w:p>
      <w:pPr>
        <w:pStyle w:val="7"/>
        <w:spacing w:before="0" w:beforeAutospacing="0" w:after="0" w:afterAutospacing="0" w:line="360" w:lineRule="auto"/>
        <w:ind w:firstLine="420"/>
        <w:rPr>
          <w:sz w:val="21"/>
          <w:szCs w:val="21"/>
        </w:rPr>
      </w:pPr>
      <w:r>
        <w:rPr>
          <w:rFonts w:hint="eastAsia"/>
          <w:sz w:val="21"/>
          <w:szCs w:val="21"/>
        </w:rPr>
        <w:t xml:space="preserve">赎回费用=12,500×0%=0.00 元 </w:t>
      </w:r>
    </w:p>
    <w:p>
      <w:pPr>
        <w:pStyle w:val="7"/>
        <w:spacing w:before="0" w:beforeAutospacing="0" w:after="0" w:afterAutospacing="0" w:line="360" w:lineRule="auto"/>
        <w:ind w:firstLine="420"/>
        <w:rPr>
          <w:sz w:val="21"/>
          <w:szCs w:val="21"/>
        </w:rPr>
      </w:pPr>
      <w:r>
        <w:rPr>
          <w:rFonts w:hint="eastAsia"/>
          <w:sz w:val="21"/>
          <w:szCs w:val="21"/>
        </w:rPr>
        <w:t xml:space="preserve">净赎回金额=12,500-0=12,500.00 元 </w:t>
      </w:r>
    </w:p>
    <w:p>
      <w:pPr>
        <w:pStyle w:val="7"/>
        <w:spacing w:before="0" w:beforeAutospacing="0" w:after="0" w:afterAutospacing="0" w:line="360" w:lineRule="auto"/>
        <w:ind w:firstLine="420"/>
        <w:rPr>
          <w:sz w:val="21"/>
          <w:szCs w:val="21"/>
        </w:rPr>
      </w:pPr>
      <w:r>
        <w:rPr>
          <w:rFonts w:hint="eastAsia"/>
          <w:sz w:val="21"/>
          <w:szCs w:val="21"/>
        </w:rPr>
        <w:t xml:space="preserve">即：投资者赎回本基金1万份基金份额，持有时间为三年，假设赎回当日基金份额净值是1.2500元，则其可得到的赎回金额为12,500.00元。 </w:t>
      </w:r>
    </w:p>
    <w:p>
      <w:pPr>
        <w:pStyle w:val="7"/>
        <w:spacing w:before="0" w:beforeAutospacing="0" w:after="0" w:afterAutospacing="0" w:line="360" w:lineRule="auto"/>
        <w:ind w:firstLine="420"/>
        <w:rPr>
          <w:sz w:val="21"/>
          <w:szCs w:val="21"/>
        </w:rPr>
      </w:pPr>
      <w:r>
        <w:rPr>
          <w:rFonts w:hint="eastAsia"/>
          <w:sz w:val="21"/>
          <w:szCs w:val="21"/>
        </w:rPr>
        <w:t xml:space="preserve">3、本基金份额净值的计算，保留到小数点后4位，小数点后第5位四舍五入，由此产生的收益或损失由基金财产承担。T日的基金份额净值在当天收市后计算，并按照基金合同约定进行公告。遇特殊情况，经中国证监会同意，可以适当延迟计算或公告。 </w:t>
      </w:r>
    </w:p>
    <w:p>
      <w:pPr>
        <w:pStyle w:val="7"/>
        <w:spacing w:before="0" w:beforeAutospacing="0" w:after="0" w:afterAutospacing="0" w:line="360" w:lineRule="auto"/>
        <w:ind w:firstLine="420"/>
        <w:rPr>
          <w:sz w:val="21"/>
          <w:szCs w:val="21"/>
        </w:rPr>
      </w:pPr>
      <w:r>
        <w:rPr>
          <w:rFonts w:hint="eastAsia"/>
          <w:sz w:val="21"/>
          <w:szCs w:val="21"/>
        </w:rPr>
        <w:t xml:space="preserve">4、申购份额余额的处理方式：申购的有效份额为净申购金额除以当日的基金份额净值，有效份额单位为份，上述计算结果均按四舍五入方法，保留到小数点后2位，由此产生的收益或损失由基金财产承担。 </w:t>
      </w:r>
    </w:p>
    <w:p>
      <w:pPr>
        <w:pStyle w:val="7"/>
        <w:spacing w:before="0" w:beforeAutospacing="0" w:after="0" w:afterAutospacing="0" w:line="360" w:lineRule="auto"/>
        <w:ind w:firstLine="420"/>
        <w:rPr>
          <w:sz w:val="21"/>
          <w:szCs w:val="21"/>
        </w:rPr>
      </w:pPr>
      <w:r>
        <w:rPr>
          <w:rFonts w:hint="eastAsia"/>
          <w:sz w:val="21"/>
          <w:szCs w:val="21"/>
        </w:rPr>
        <w:t xml:space="preserve">5、赎回金额的处理方式：赎回金额为按实际确认的有效赎回份额乘以当日基金份额净值并扣除相应的费用，赎回金额单位为元。上述计算结果均按四舍五入，保留到小数点后2位，由此产生的收益或损失由基金财产承担。 </w:t>
      </w:r>
    </w:p>
    <w:p>
      <w:pPr>
        <w:pStyle w:val="7"/>
        <w:spacing w:before="0" w:beforeAutospacing="0" w:after="0" w:afterAutospacing="0" w:line="360" w:lineRule="auto"/>
        <w:ind w:firstLine="420"/>
        <w:rPr>
          <w:sz w:val="21"/>
          <w:szCs w:val="21"/>
        </w:rPr>
      </w:pPr>
      <w:r>
        <w:rPr>
          <w:rFonts w:hint="eastAsia"/>
          <w:sz w:val="21"/>
          <w:szCs w:val="21"/>
        </w:rPr>
        <w:t xml:space="preserve">6、基金管理人可以在不违背法律法规规定及《基金合同》约定的情形下，且对份额持有人利益无实质性不利影响的前提下，根据市场情况制定基金促销计划，定期或不定期地开展基金促销活动。在基金促销活动期间，按相关监管部门要求履行必要手续后，基金管理人可以适当调低基金申购费率和基金赎回费率。 </w:t>
      </w:r>
    </w:p>
    <w:p>
      <w:pPr>
        <w:pStyle w:val="7"/>
        <w:spacing w:before="0" w:beforeAutospacing="0" w:after="0" w:afterAutospacing="0" w:line="360" w:lineRule="auto"/>
        <w:ind w:firstLine="420"/>
        <w:rPr>
          <w:sz w:val="21"/>
          <w:szCs w:val="21"/>
        </w:rPr>
      </w:pPr>
      <w:r>
        <w:rPr>
          <w:rFonts w:hint="eastAsia"/>
          <w:sz w:val="21"/>
          <w:szCs w:val="21"/>
        </w:rPr>
        <w:t xml:space="preserve">7、当本基金发生大额申购或赎回情形时，基金管理人可以采用摆动定价机制以确保基金估值的公平性。具体处理原则与操作规范遵循相关法律法规以及监管部门、自律规则的规定。 </w:t>
      </w:r>
    </w:p>
    <w:p>
      <w:pPr>
        <w:pStyle w:val="7"/>
        <w:spacing w:before="0" w:beforeAutospacing="0" w:after="0" w:afterAutospacing="0" w:line="360" w:lineRule="auto"/>
        <w:ind w:firstLine="420"/>
        <w:rPr>
          <w:sz w:val="21"/>
          <w:szCs w:val="21"/>
        </w:rPr>
      </w:pPr>
      <w:r>
        <w:rPr>
          <w:rStyle w:val="11"/>
          <w:rFonts w:hint="eastAsia"/>
          <w:sz w:val="21"/>
          <w:szCs w:val="21"/>
        </w:rPr>
        <w:t>八、申购与赎回的登记</w:t>
      </w:r>
    </w:p>
    <w:p>
      <w:pPr>
        <w:pStyle w:val="7"/>
        <w:spacing w:before="0" w:beforeAutospacing="0" w:after="0" w:afterAutospacing="0" w:line="360" w:lineRule="auto"/>
        <w:ind w:firstLine="420"/>
        <w:rPr>
          <w:sz w:val="21"/>
          <w:szCs w:val="21"/>
        </w:rPr>
      </w:pPr>
      <w:r>
        <w:rPr>
          <w:rFonts w:hint="eastAsia"/>
          <w:sz w:val="21"/>
          <w:szCs w:val="21"/>
        </w:rPr>
        <w:t xml:space="preserve">1、经基金销售机构同意，基金投资者提出的申购和赎回申请，在基金管理人规定的时间之前可以撤销。 </w:t>
      </w:r>
    </w:p>
    <w:p>
      <w:pPr>
        <w:pStyle w:val="7"/>
        <w:spacing w:before="0" w:beforeAutospacing="0" w:after="0" w:afterAutospacing="0" w:line="360" w:lineRule="auto"/>
        <w:ind w:firstLine="420"/>
        <w:rPr>
          <w:sz w:val="21"/>
          <w:szCs w:val="21"/>
        </w:rPr>
      </w:pPr>
      <w:r>
        <w:rPr>
          <w:rFonts w:hint="eastAsia"/>
          <w:sz w:val="21"/>
          <w:szCs w:val="21"/>
        </w:rPr>
        <w:t xml:space="preserve">2、投资者申购基金成功后，登记机构在T+1日为投资者登记权益并办理登记手续，投资人自T+2日（含该日）后有权赎回该部分基金份额。 </w:t>
      </w:r>
    </w:p>
    <w:p>
      <w:pPr>
        <w:pStyle w:val="7"/>
        <w:spacing w:before="0" w:beforeAutospacing="0" w:after="0" w:afterAutospacing="0" w:line="360" w:lineRule="auto"/>
        <w:ind w:firstLine="420"/>
        <w:rPr>
          <w:sz w:val="21"/>
          <w:szCs w:val="21"/>
        </w:rPr>
      </w:pPr>
      <w:r>
        <w:rPr>
          <w:rFonts w:hint="eastAsia"/>
          <w:sz w:val="21"/>
          <w:szCs w:val="21"/>
        </w:rPr>
        <w:t xml:space="preserve">3、投资人赎回基金成功后，登记机构在T+1日为投资者办理扣除权益的登记手续。 </w:t>
      </w:r>
    </w:p>
    <w:p>
      <w:pPr>
        <w:pStyle w:val="7"/>
        <w:spacing w:before="0" w:beforeAutospacing="0" w:after="0" w:afterAutospacing="0" w:line="360" w:lineRule="auto"/>
        <w:ind w:firstLine="420"/>
        <w:rPr>
          <w:sz w:val="21"/>
          <w:szCs w:val="21"/>
        </w:rPr>
      </w:pPr>
      <w:r>
        <w:rPr>
          <w:rFonts w:hint="eastAsia"/>
          <w:sz w:val="21"/>
          <w:szCs w:val="21"/>
        </w:rPr>
        <w:t xml:space="preserve">4、基金管理人可以在法律法规允许的范围内，对上述登记办理时间进行调整，但不得实质影响投资者的合法权益，并最迟于开始实施前依照《信息披露办法》的有关规定进行公告。 </w:t>
      </w:r>
    </w:p>
    <w:p>
      <w:pPr>
        <w:pStyle w:val="7"/>
        <w:spacing w:before="0" w:beforeAutospacing="0" w:after="0" w:afterAutospacing="0" w:line="360" w:lineRule="auto"/>
        <w:ind w:firstLine="420"/>
        <w:rPr>
          <w:sz w:val="21"/>
          <w:szCs w:val="21"/>
        </w:rPr>
      </w:pPr>
      <w:r>
        <w:rPr>
          <w:rStyle w:val="11"/>
          <w:rFonts w:hint="eastAsia"/>
          <w:sz w:val="21"/>
          <w:szCs w:val="21"/>
        </w:rPr>
        <w:t>九、拒绝或暂停申购的情形及处理</w:t>
      </w:r>
    </w:p>
    <w:p>
      <w:pPr>
        <w:pStyle w:val="7"/>
        <w:spacing w:before="0" w:beforeAutospacing="0" w:after="0" w:afterAutospacing="0" w:line="360" w:lineRule="auto"/>
        <w:ind w:firstLine="420"/>
        <w:rPr>
          <w:sz w:val="21"/>
          <w:szCs w:val="21"/>
        </w:rPr>
      </w:pPr>
      <w:r>
        <w:rPr>
          <w:rFonts w:hint="eastAsia"/>
          <w:sz w:val="21"/>
          <w:szCs w:val="21"/>
        </w:rPr>
        <w:t xml:space="preserve">发生下列情况时，基金管理人可拒绝或暂停接受投资人的申购申请：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1、因不可抗力导致基金无法正常运作。 </w:t>
      </w:r>
    </w:p>
    <w:p>
      <w:pPr>
        <w:pStyle w:val="7"/>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 </w:t>
      </w:r>
    </w:p>
    <w:p>
      <w:pPr>
        <w:pStyle w:val="7"/>
        <w:spacing w:before="0" w:beforeAutospacing="0" w:after="0" w:afterAutospacing="0" w:line="360" w:lineRule="auto"/>
        <w:ind w:firstLine="420"/>
        <w:rPr>
          <w:sz w:val="21"/>
          <w:szCs w:val="21"/>
        </w:rPr>
      </w:pPr>
      <w:r>
        <w:rPr>
          <w:rFonts w:hint="eastAsia"/>
          <w:sz w:val="21"/>
          <w:szCs w:val="21"/>
        </w:rPr>
        <w:t xml:space="preserve">3、证券、期货交易所或外汇市场交易时间非正常停市，导致基金管理人无法计算当日基金资产净值。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4、基金管理人接受某笔或某些申购申请会损害现有基金份额持有人利益或对存量基金份额持有人利益构成潜在重大不利影响时。 </w:t>
      </w:r>
    </w:p>
    <w:p>
      <w:pPr>
        <w:pStyle w:val="7"/>
        <w:spacing w:before="0" w:beforeAutospacing="0" w:after="0" w:afterAutospacing="0" w:line="360" w:lineRule="auto"/>
        <w:ind w:firstLine="420"/>
        <w:rPr>
          <w:sz w:val="21"/>
          <w:szCs w:val="21"/>
        </w:rPr>
      </w:pPr>
      <w:r>
        <w:rPr>
          <w:rFonts w:hint="eastAsia"/>
          <w:sz w:val="21"/>
          <w:szCs w:val="21"/>
        </w:rPr>
        <w:t xml:space="preserve">5、基金资产规模过大，使基金管理人无法找到合适的投资品种，或其他可能对基金业绩产生负面影响，或发生其他损害现有基金份额持有人利益的情形。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6、基金管理人、基金托管人、销售机构或登记机构的技术故障等异常情况导致基金销售系统、基金登记系统或基金会计系统无法正常运行。 </w:t>
      </w:r>
    </w:p>
    <w:p>
      <w:pPr>
        <w:pStyle w:val="7"/>
        <w:spacing w:before="0" w:beforeAutospacing="0" w:after="0" w:afterAutospacing="0" w:line="360" w:lineRule="auto"/>
        <w:ind w:firstLine="420"/>
        <w:rPr>
          <w:sz w:val="21"/>
          <w:szCs w:val="21"/>
        </w:rPr>
      </w:pPr>
      <w:r>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pPr>
        <w:pStyle w:val="7"/>
        <w:spacing w:before="0" w:beforeAutospacing="0" w:after="0" w:afterAutospacing="0" w:line="360" w:lineRule="auto"/>
        <w:ind w:firstLine="420"/>
        <w:rPr>
          <w:sz w:val="21"/>
          <w:szCs w:val="21"/>
        </w:rPr>
      </w:pPr>
      <w:r>
        <w:rPr>
          <w:rFonts w:hint="eastAsia"/>
          <w:sz w:val="21"/>
          <w:szCs w:val="21"/>
        </w:rPr>
        <w:t xml:space="preserve">8、基金管理人接受某笔或者某些申购申请有可能导致单一投资者持有基金份额的比例达到或者超过50%，或者变相规避50%集中度的情形时。 </w:t>
      </w:r>
    </w:p>
    <w:p>
      <w:pPr>
        <w:pStyle w:val="7"/>
        <w:spacing w:before="0" w:beforeAutospacing="0" w:after="0" w:afterAutospacing="0" w:line="360" w:lineRule="auto"/>
        <w:ind w:firstLine="420"/>
        <w:rPr>
          <w:sz w:val="21"/>
          <w:szCs w:val="21"/>
        </w:rPr>
      </w:pPr>
      <w:r>
        <w:rPr>
          <w:rFonts w:hint="eastAsia"/>
          <w:sz w:val="21"/>
          <w:szCs w:val="21"/>
        </w:rPr>
        <w:t xml:space="preserve">9、法律法规规定或中国证监会认定的其他情形。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第1、2、3、5、6、7、9项暂停申购情形之一且基金管理人决定暂停接受投资人的申购申请时，基金管理人应当根据有关规定在指定媒介上刊登暂停申购公告。如果投资人的申购申请被拒绝，被拒绝的申购款项本金将退还给投资人。在暂停申购的情况消除时，基金管理人应及时恢复申购业务的办理。 </w:t>
      </w:r>
    </w:p>
    <w:p>
      <w:pPr>
        <w:pStyle w:val="7"/>
        <w:spacing w:before="0" w:beforeAutospacing="0" w:after="0" w:afterAutospacing="0" w:line="360" w:lineRule="auto"/>
        <w:ind w:firstLine="420"/>
        <w:rPr>
          <w:sz w:val="21"/>
          <w:szCs w:val="21"/>
        </w:rPr>
      </w:pPr>
      <w:r>
        <w:rPr>
          <w:rStyle w:val="11"/>
          <w:rFonts w:hint="eastAsia"/>
          <w:sz w:val="21"/>
          <w:szCs w:val="21"/>
        </w:rPr>
        <w:t>十、暂停赎回或延缓支付赎回款项的情形 </w:t>
      </w:r>
    </w:p>
    <w:p>
      <w:pPr>
        <w:pStyle w:val="7"/>
        <w:spacing w:before="0" w:beforeAutospacing="0" w:after="0" w:afterAutospacing="0" w:line="360" w:lineRule="auto"/>
        <w:ind w:firstLine="420"/>
        <w:rPr>
          <w:sz w:val="21"/>
          <w:szCs w:val="21"/>
        </w:rPr>
      </w:pPr>
      <w:r>
        <w:rPr>
          <w:rFonts w:hint="eastAsia"/>
          <w:sz w:val="21"/>
          <w:szCs w:val="21"/>
        </w:rPr>
        <w:t xml:space="preserve">发生下列情形时，基金管理人可暂停接受投资人的赎回申请或延缓支付赎回款项：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1、因不可抗力导致基金管理人不能支付赎回款项。 </w:t>
      </w:r>
    </w:p>
    <w:p>
      <w:pPr>
        <w:pStyle w:val="7"/>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 </w:t>
      </w:r>
    </w:p>
    <w:p>
      <w:pPr>
        <w:pStyle w:val="7"/>
        <w:spacing w:before="0" w:beforeAutospacing="0" w:after="0" w:afterAutospacing="0" w:line="360" w:lineRule="auto"/>
        <w:ind w:firstLine="420"/>
        <w:rPr>
          <w:sz w:val="21"/>
          <w:szCs w:val="21"/>
        </w:rPr>
      </w:pPr>
      <w:r>
        <w:rPr>
          <w:rFonts w:hint="eastAsia"/>
          <w:sz w:val="21"/>
          <w:szCs w:val="21"/>
        </w:rPr>
        <w:t xml:space="preserve">3、证券、期货交易所或外汇市场交易时间非正常停市，导致基金管理人无法计算当日基金资产净值。 </w:t>
      </w:r>
    </w:p>
    <w:p>
      <w:pPr>
        <w:pStyle w:val="7"/>
        <w:spacing w:before="0" w:beforeAutospacing="0" w:after="0" w:afterAutospacing="0" w:line="360" w:lineRule="auto"/>
        <w:ind w:firstLine="420"/>
        <w:rPr>
          <w:sz w:val="21"/>
          <w:szCs w:val="21"/>
        </w:rPr>
      </w:pPr>
      <w:r>
        <w:rPr>
          <w:rFonts w:hint="eastAsia"/>
          <w:sz w:val="21"/>
          <w:szCs w:val="21"/>
        </w:rPr>
        <w:t xml:space="preserve">4、连续两个或两个以上开放日发生巨额赎回。 </w:t>
      </w:r>
    </w:p>
    <w:p>
      <w:pPr>
        <w:pStyle w:val="7"/>
        <w:spacing w:before="0" w:beforeAutospacing="0" w:after="0" w:afterAutospacing="0" w:line="360" w:lineRule="auto"/>
        <w:ind w:firstLine="420"/>
        <w:rPr>
          <w:sz w:val="21"/>
          <w:szCs w:val="21"/>
        </w:rPr>
      </w:pPr>
      <w:r>
        <w:rPr>
          <w:rFonts w:hint="eastAsia"/>
          <w:sz w:val="21"/>
          <w:szCs w:val="21"/>
        </w:rPr>
        <w:t xml:space="preserve">5、继续接受赎回申请将损害现有基金份额持有人利益的情形。 </w:t>
      </w:r>
    </w:p>
    <w:p>
      <w:pPr>
        <w:pStyle w:val="7"/>
        <w:spacing w:before="0" w:beforeAutospacing="0" w:after="0" w:afterAutospacing="0" w:line="360" w:lineRule="auto"/>
        <w:ind w:firstLine="420"/>
        <w:rPr>
          <w:sz w:val="21"/>
          <w:szCs w:val="21"/>
        </w:rPr>
      </w:pPr>
      <w:r>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pPr>
        <w:pStyle w:val="7"/>
        <w:spacing w:before="0" w:beforeAutospacing="0" w:after="0" w:afterAutospacing="0" w:line="360" w:lineRule="auto"/>
        <w:ind w:firstLine="420"/>
        <w:rPr>
          <w:sz w:val="21"/>
          <w:szCs w:val="21"/>
        </w:rPr>
      </w:pPr>
      <w:r>
        <w:rPr>
          <w:rFonts w:hint="eastAsia"/>
          <w:sz w:val="21"/>
          <w:szCs w:val="21"/>
        </w:rPr>
        <w:t xml:space="preserve">7、法律法规规定或中国证监会认定的其他情形。 </w:t>
      </w:r>
    </w:p>
    <w:p>
      <w:pPr>
        <w:pStyle w:val="7"/>
        <w:spacing w:before="0" w:beforeAutospacing="0" w:after="0" w:afterAutospacing="0" w:line="360" w:lineRule="auto"/>
        <w:ind w:firstLine="420"/>
        <w:rPr>
          <w:sz w:val="21"/>
          <w:szCs w:val="21"/>
        </w:rPr>
      </w:pPr>
      <w:r>
        <w:rPr>
          <w:rFonts w:hint="eastAsia"/>
          <w:sz w:val="21"/>
          <w:szCs w:val="21"/>
        </w:rPr>
        <w:t xml:space="preserve">发生上述情形（第4项除外）之一且基金管理人决定拒绝接受或暂停接受基金份额持有人的赎回申请或延缓支付赎回款项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pPr>
        <w:pStyle w:val="7"/>
        <w:spacing w:before="0" w:beforeAutospacing="0" w:after="0" w:afterAutospacing="0" w:line="360" w:lineRule="auto"/>
        <w:ind w:firstLine="420"/>
        <w:rPr>
          <w:sz w:val="21"/>
          <w:szCs w:val="21"/>
        </w:rPr>
      </w:pPr>
      <w:r>
        <w:rPr>
          <w:rStyle w:val="11"/>
          <w:rFonts w:hint="eastAsia"/>
          <w:sz w:val="21"/>
          <w:szCs w:val="21"/>
        </w:rPr>
        <w:t>十一、巨额赎回的情形及处理方式</w:t>
      </w:r>
    </w:p>
    <w:p>
      <w:pPr>
        <w:pStyle w:val="7"/>
        <w:spacing w:before="0" w:beforeAutospacing="0" w:after="0" w:afterAutospacing="0" w:line="360" w:lineRule="auto"/>
        <w:ind w:firstLine="420"/>
        <w:rPr>
          <w:sz w:val="21"/>
          <w:szCs w:val="21"/>
        </w:rPr>
      </w:pPr>
      <w:r>
        <w:rPr>
          <w:rFonts w:hint="eastAsia"/>
          <w:sz w:val="21"/>
          <w:szCs w:val="21"/>
        </w:rPr>
        <w:t xml:space="preserve">1、巨额赎回的认定 </w:t>
      </w:r>
    </w:p>
    <w:p>
      <w:pPr>
        <w:pStyle w:val="7"/>
        <w:spacing w:before="0" w:beforeAutospacing="0" w:after="0" w:afterAutospacing="0" w:line="360" w:lineRule="auto"/>
        <w:ind w:firstLine="420"/>
        <w:rPr>
          <w:sz w:val="21"/>
          <w:szCs w:val="21"/>
        </w:rPr>
      </w:pPr>
      <w:r>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98" w:name="field_49_mintredeemscale_1"/>
      <w:r>
        <w:rPr>
          <w:sz w:val="21"/>
          <w:szCs w:val="21"/>
        </w:rPr>
        <w:t>10</w:t>
      </w:r>
      <w:bookmarkEnd w:id="98"/>
      <w:r>
        <w:rPr>
          <w:rFonts w:hint="eastAsia"/>
          <w:sz w:val="21"/>
          <w:szCs w:val="21"/>
        </w:rPr>
        <w:t xml:space="preserve">%，即认为是发生了巨额赎回。 </w:t>
      </w:r>
    </w:p>
    <w:p>
      <w:pPr>
        <w:pStyle w:val="7"/>
        <w:spacing w:before="0" w:beforeAutospacing="0" w:after="0" w:afterAutospacing="0" w:line="360" w:lineRule="auto"/>
        <w:ind w:firstLine="420"/>
        <w:rPr>
          <w:sz w:val="21"/>
          <w:szCs w:val="21"/>
        </w:rPr>
      </w:pPr>
      <w:r>
        <w:rPr>
          <w:rFonts w:hint="eastAsia"/>
          <w:sz w:val="21"/>
          <w:szCs w:val="21"/>
        </w:rPr>
        <w:t xml:space="preserve">2、巨额赎回的处理方式 </w:t>
      </w:r>
    </w:p>
    <w:p>
      <w:pPr>
        <w:pStyle w:val="7"/>
        <w:spacing w:before="0" w:beforeAutospacing="0" w:after="0" w:afterAutospacing="0" w:line="360" w:lineRule="auto"/>
        <w:ind w:firstLine="420"/>
        <w:rPr>
          <w:sz w:val="21"/>
          <w:szCs w:val="21"/>
        </w:rPr>
      </w:pPr>
      <w:r>
        <w:rPr>
          <w:rFonts w:hint="eastAsia"/>
          <w:sz w:val="21"/>
          <w:szCs w:val="21"/>
        </w:rPr>
        <w:t xml:space="preserve">当基金出现巨额赎回时，基金管理人可以根据基金当时的资产组合状况决定全额赎回或部分延期赎回。 </w:t>
      </w:r>
    </w:p>
    <w:p>
      <w:pPr>
        <w:pStyle w:val="7"/>
        <w:spacing w:before="0" w:beforeAutospacing="0" w:after="0" w:afterAutospacing="0" w:line="360" w:lineRule="auto"/>
        <w:ind w:firstLine="420"/>
        <w:rPr>
          <w:sz w:val="21"/>
          <w:szCs w:val="21"/>
        </w:rPr>
      </w:pPr>
      <w:r>
        <w:rPr>
          <w:rFonts w:hint="eastAsia"/>
          <w:sz w:val="21"/>
          <w:szCs w:val="21"/>
        </w:rPr>
        <w:t xml:space="preserve">（1）全额赎回：当基金管理人认为有能力支付投资人的全部赎回申请时，按正常赎回程序执行。 </w:t>
      </w:r>
    </w:p>
    <w:p>
      <w:pPr>
        <w:pStyle w:val="7"/>
        <w:spacing w:before="0" w:beforeAutospacing="0" w:after="0" w:afterAutospacing="0" w:line="360" w:lineRule="auto"/>
        <w:ind w:firstLine="420"/>
        <w:rPr>
          <w:sz w:val="21"/>
          <w:szCs w:val="21"/>
        </w:rPr>
      </w:pPr>
      <w:r>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bookmarkStart w:id="99" w:name="field_49_mintredeemscale_2"/>
      <w:r>
        <w:rPr>
          <w:sz w:val="21"/>
          <w:szCs w:val="21"/>
        </w:rPr>
        <w:t>10</w:t>
      </w:r>
      <w:bookmarkEnd w:id="99"/>
      <w:r>
        <w:rPr>
          <w:rFonts w:hint="eastAsia"/>
          <w:sz w:val="21"/>
          <w:szCs w:val="21"/>
        </w:rPr>
        <w:t xml:space="preserve">%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延期赎回不受单笔赎回最低份额的限制。 </w:t>
      </w:r>
    </w:p>
    <w:p>
      <w:pPr>
        <w:pStyle w:val="7"/>
        <w:spacing w:before="0" w:beforeAutospacing="0" w:after="0" w:afterAutospacing="0" w:line="360" w:lineRule="auto"/>
        <w:ind w:firstLine="420"/>
        <w:rPr>
          <w:sz w:val="21"/>
          <w:szCs w:val="21"/>
        </w:rPr>
      </w:pPr>
      <w:r>
        <w:rPr>
          <w:rFonts w:hint="eastAsia"/>
          <w:sz w:val="21"/>
          <w:szCs w:val="21"/>
        </w:rPr>
        <w:t>（3）本基金发生巨额赎回时，对于单个基金份额持有人当日赎回申请超过上一开放日基金总份额</w:t>
      </w:r>
      <w:bookmarkStart w:id="100" w:name="field_49_mintredeemscale_3"/>
      <w:r>
        <w:rPr>
          <w:sz w:val="21"/>
          <w:szCs w:val="21"/>
        </w:rPr>
        <w:t>10</w:t>
      </w:r>
      <w:bookmarkEnd w:id="100"/>
      <w:r>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w:t>
      </w:r>
      <w:bookmarkStart w:id="101" w:name="field_49_mintredeemscale_4"/>
      <w:r>
        <w:rPr>
          <w:sz w:val="21"/>
          <w:szCs w:val="21"/>
        </w:rPr>
        <w:t>10</w:t>
      </w:r>
      <w:bookmarkEnd w:id="101"/>
      <w:r>
        <w:rPr>
          <w:rFonts w:hint="eastAsia"/>
          <w:sz w:val="21"/>
          <w:szCs w:val="21"/>
        </w:rPr>
        <w:t xml:space="preserve">％的部分，基金管理人根据前段“（1）全额赎回”或“（2）部分延期赎回”的约定方式与其他基金份额持有人的赎回申请一并办理。但是，如该持有人在提交赎回申请时选择取消赎回，则其当日未获受理的部分赎回申请将被撤销。 </w:t>
      </w:r>
    </w:p>
    <w:p>
      <w:pPr>
        <w:pStyle w:val="7"/>
        <w:spacing w:before="0" w:beforeAutospacing="0" w:after="0" w:afterAutospacing="0" w:line="360" w:lineRule="auto"/>
        <w:ind w:firstLine="420"/>
        <w:rPr>
          <w:sz w:val="21"/>
          <w:szCs w:val="21"/>
        </w:rPr>
      </w:pPr>
      <w:r>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在指定媒介上进行公告。 </w:t>
      </w:r>
    </w:p>
    <w:p>
      <w:pPr>
        <w:pStyle w:val="7"/>
        <w:spacing w:before="0" w:beforeAutospacing="0" w:after="0" w:afterAutospacing="0" w:line="360" w:lineRule="auto"/>
        <w:ind w:firstLine="420"/>
        <w:rPr>
          <w:sz w:val="21"/>
          <w:szCs w:val="21"/>
        </w:rPr>
      </w:pPr>
      <w:r>
        <w:rPr>
          <w:rFonts w:hint="eastAsia"/>
          <w:sz w:val="21"/>
          <w:szCs w:val="21"/>
        </w:rPr>
        <w:t xml:space="preserve">3、巨额赎回的公告 </w:t>
      </w:r>
    </w:p>
    <w:p>
      <w:pPr>
        <w:pStyle w:val="7"/>
        <w:spacing w:before="0" w:beforeAutospacing="0" w:after="0" w:afterAutospacing="0" w:line="360" w:lineRule="auto"/>
        <w:ind w:firstLine="420"/>
        <w:rPr>
          <w:sz w:val="21"/>
          <w:szCs w:val="21"/>
        </w:rPr>
      </w:pPr>
      <w:r>
        <w:rPr>
          <w:rFonts w:hint="eastAsia"/>
          <w:sz w:val="21"/>
          <w:szCs w:val="21"/>
        </w:rPr>
        <w:t xml:space="preserve">当发生上述巨额赎回并延期办理时，基金管理人应当通过邮寄、传真或者招募说明书规定的其他方式在3个交易日内通知基金份额持有人，说明有关处理方法，并在2日内在指定媒介上刊登公告。 </w:t>
      </w:r>
    </w:p>
    <w:p>
      <w:pPr>
        <w:pStyle w:val="7"/>
        <w:spacing w:before="0" w:beforeAutospacing="0" w:after="0" w:afterAutospacing="0" w:line="360" w:lineRule="auto"/>
        <w:ind w:firstLine="420"/>
        <w:rPr>
          <w:sz w:val="21"/>
          <w:szCs w:val="21"/>
        </w:rPr>
      </w:pPr>
      <w:r>
        <w:rPr>
          <w:rStyle w:val="11"/>
          <w:rFonts w:hint="eastAsia"/>
          <w:sz w:val="21"/>
          <w:szCs w:val="21"/>
        </w:rPr>
        <w:t>十二、暂停申购或赎回的公告和重新开放申购或赎回的公告</w:t>
      </w:r>
    </w:p>
    <w:p>
      <w:pPr>
        <w:pStyle w:val="7"/>
        <w:spacing w:before="0" w:beforeAutospacing="0" w:after="0" w:afterAutospacing="0" w:line="360" w:lineRule="auto"/>
        <w:ind w:firstLine="420"/>
        <w:rPr>
          <w:sz w:val="21"/>
          <w:szCs w:val="21"/>
        </w:rPr>
      </w:pPr>
      <w:r>
        <w:rPr>
          <w:rFonts w:hint="eastAsia"/>
          <w:sz w:val="21"/>
          <w:szCs w:val="21"/>
        </w:rPr>
        <w:t xml:space="preserve">1、发生上述暂停申购或赎回情况的，基金管理人应在规定期限内在指定媒介上刊登暂停公告。 </w:t>
      </w:r>
    </w:p>
    <w:p>
      <w:pPr>
        <w:pStyle w:val="7"/>
        <w:spacing w:before="0" w:beforeAutospacing="0" w:after="0" w:afterAutospacing="0" w:line="360" w:lineRule="auto"/>
        <w:ind w:firstLine="420"/>
        <w:rPr>
          <w:sz w:val="21"/>
          <w:szCs w:val="21"/>
        </w:rPr>
      </w:pPr>
      <w:r>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pPr>
        <w:pStyle w:val="7"/>
        <w:spacing w:before="0" w:beforeAutospacing="0" w:after="0" w:afterAutospacing="0" w:line="360" w:lineRule="auto"/>
        <w:ind w:firstLine="420"/>
        <w:rPr>
          <w:sz w:val="21"/>
          <w:szCs w:val="21"/>
        </w:rPr>
      </w:pPr>
      <w:r>
        <w:rPr>
          <w:rFonts w:hint="eastAsia"/>
          <w:sz w:val="21"/>
          <w:szCs w:val="21"/>
        </w:rPr>
        <w:t>3、上述暂停申购或赎回情况消除的，基金管理人应于重新开放日公布最近1个工作日</w:t>
      </w:r>
      <w:bookmarkStart w:id="102" w:name="chapter_level1_10_59_section_3_end"/>
      <w:bookmarkEnd w:id="102"/>
      <w:r>
        <w:rPr>
          <w:rFonts w:hint="eastAsia"/>
          <w:sz w:val="21"/>
          <w:szCs w:val="21"/>
        </w:rPr>
        <w:t xml:space="preserve">基金份额净值。 </w:t>
      </w:r>
    </w:p>
    <w:p>
      <w:pPr>
        <w:pStyle w:val="7"/>
        <w:spacing w:before="0" w:beforeAutospacing="0" w:after="0" w:afterAutospacing="0" w:line="360" w:lineRule="auto"/>
        <w:ind w:firstLine="420"/>
        <w:rPr>
          <w:sz w:val="21"/>
          <w:szCs w:val="21"/>
        </w:rPr>
      </w:pPr>
      <w:bookmarkStart w:id="103" w:name="chapter_level1_10_59_section_4"/>
      <w:bookmarkEnd w:id="103"/>
      <w:r>
        <w:rPr>
          <w:rStyle w:val="11"/>
          <w:rFonts w:hint="eastAsia"/>
          <w:sz w:val="21"/>
          <w:szCs w:val="21"/>
        </w:rPr>
        <w:t>十三、基金转换</w:t>
      </w:r>
    </w:p>
    <w:p>
      <w:pPr>
        <w:pStyle w:val="7"/>
        <w:spacing w:before="0" w:beforeAutospacing="0" w:after="0" w:afterAutospacing="0" w:line="360" w:lineRule="auto"/>
        <w:ind w:firstLine="420"/>
        <w:rPr>
          <w:sz w:val="21"/>
          <w:szCs w:val="21"/>
        </w:rPr>
      </w:pPr>
      <w:r>
        <w:rPr>
          <w:rFonts w:hint="eastAsia"/>
          <w:sz w:val="21"/>
          <w:szCs w:val="21"/>
        </w:rPr>
        <w:t>本基金于2019年3月25日开放转换业务。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w:t>
      </w:r>
      <w:bookmarkStart w:id="104" w:name="chapter_level1_10_59_section_4_end"/>
      <w:bookmarkEnd w:id="104"/>
      <w:r>
        <w:rPr>
          <w:rFonts w:hint="eastAsia"/>
          <w:sz w:val="21"/>
          <w:szCs w:val="21"/>
        </w:rPr>
        <w:t xml:space="preserve">告，并提前告知基金托管人与相关机构。 </w:t>
      </w:r>
    </w:p>
    <w:p>
      <w:pPr>
        <w:pStyle w:val="7"/>
        <w:spacing w:before="0" w:beforeAutospacing="0" w:after="0" w:afterAutospacing="0" w:line="360" w:lineRule="auto"/>
        <w:ind w:firstLine="420"/>
        <w:rPr>
          <w:sz w:val="21"/>
          <w:szCs w:val="21"/>
        </w:rPr>
      </w:pPr>
      <w:bookmarkStart w:id="105" w:name="chapter_level1_10_59_section_5"/>
      <w:bookmarkEnd w:id="105"/>
      <w:r>
        <w:rPr>
          <w:rStyle w:val="11"/>
          <w:rFonts w:hint="eastAsia"/>
          <w:sz w:val="21"/>
          <w:szCs w:val="21"/>
        </w:rPr>
        <w:t>十四、基金份额的转让</w:t>
      </w:r>
    </w:p>
    <w:p>
      <w:pPr>
        <w:pStyle w:val="7"/>
        <w:spacing w:before="0" w:beforeAutospacing="0" w:after="0" w:afterAutospacing="0" w:line="360" w:lineRule="auto"/>
        <w:ind w:firstLine="420"/>
        <w:rPr>
          <w:sz w:val="21"/>
          <w:szCs w:val="21"/>
        </w:rPr>
      </w:pPr>
      <w:r>
        <w:rPr>
          <w:rFonts w:hint="eastAsia"/>
          <w:sz w:val="21"/>
          <w:szCs w:val="21"/>
        </w:rPr>
        <w:t xml:space="preserve">在法律法规允许且条件具备的情况下，基金管理人履行相关程序后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pPr>
        <w:pStyle w:val="7"/>
        <w:spacing w:before="0" w:beforeAutospacing="0" w:after="0" w:afterAutospacing="0" w:line="360" w:lineRule="auto"/>
        <w:ind w:firstLine="420"/>
        <w:rPr>
          <w:sz w:val="21"/>
          <w:szCs w:val="21"/>
        </w:rPr>
      </w:pPr>
      <w:r>
        <w:rPr>
          <w:rStyle w:val="11"/>
          <w:rFonts w:hint="eastAsia"/>
          <w:sz w:val="21"/>
          <w:szCs w:val="21"/>
        </w:rPr>
        <w:t>十五、基金的非交易过户</w:t>
      </w:r>
    </w:p>
    <w:p>
      <w:pPr>
        <w:pStyle w:val="7"/>
        <w:spacing w:before="0" w:beforeAutospacing="0" w:after="0" w:afterAutospacing="0" w:line="360" w:lineRule="auto"/>
        <w:ind w:firstLine="420"/>
        <w:rPr>
          <w:sz w:val="21"/>
          <w:szCs w:val="21"/>
        </w:rPr>
      </w:pPr>
      <w:r>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pPr>
        <w:pStyle w:val="7"/>
        <w:spacing w:before="0" w:beforeAutospacing="0" w:after="0" w:afterAutospacing="0" w:line="360" w:lineRule="auto"/>
        <w:ind w:firstLine="420"/>
        <w:rPr>
          <w:sz w:val="21"/>
          <w:szCs w:val="21"/>
        </w:rPr>
      </w:pPr>
      <w:r>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pPr>
        <w:pStyle w:val="7"/>
        <w:spacing w:before="0" w:beforeAutospacing="0" w:after="0" w:afterAutospacing="0" w:line="360" w:lineRule="auto"/>
        <w:ind w:firstLine="420"/>
        <w:rPr>
          <w:sz w:val="21"/>
          <w:szCs w:val="21"/>
        </w:rPr>
      </w:pPr>
      <w:r>
        <w:rPr>
          <w:rStyle w:val="11"/>
          <w:rFonts w:hint="eastAsia"/>
          <w:sz w:val="21"/>
          <w:szCs w:val="21"/>
        </w:rPr>
        <w:t>十六、基金的转托管</w:t>
      </w:r>
    </w:p>
    <w:p>
      <w:pPr>
        <w:pStyle w:val="7"/>
        <w:spacing w:before="0" w:beforeAutospacing="0" w:after="0" w:afterAutospacing="0" w:line="360" w:lineRule="auto"/>
        <w:ind w:firstLine="420"/>
        <w:rPr>
          <w:sz w:val="21"/>
          <w:szCs w:val="21"/>
        </w:rPr>
      </w:pPr>
      <w:r>
        <w:rPr>
          <w:rFonts w:hint="eastAsia"/>
          <w:sz w:val="21"/>
          <w:szCs w:val="21"/>
        </w:rPr>
        <w:t>基金份额持有人可办理已持有基金份额在不同销售机构之间的转托管，基金销售机构可</w:t>
      </w:r>
      <w:bookmarkStart w:id="106" w:name="chapter_level1_10_59_section_5_end"/>
      <w:bookmarkEnd w:id="106"/>
      <w:r>
        <w:rPr>
          <w:rFonts w:hint="eastAsia"/>
          <w:sz w:val="21"/>
          <w:szCs w:val="21"/>
        </w:rPr>
        <w:t xml:space="preserve">以按照规定的标准收取转托管费。 </w:t>
      </w:r>
    </w:p>
    <w:p>
      <w:pPr>
        <w:pStyle w:val="7"/>
        <w:spacing w:before="0" w:beforeAutospacing="0" w:after="0" w:afterAutospacing="0" w:line="360" w:lineRule="auto"/>
        <w:ind w:firstLine="420"/>
        <w:rPr>
          <w:sz w:val="21"/>
          <w:szCs w:val="21"/>
        </w:rPr>
      </w:pPr>
      <w:bookmarkStart w:id="107" w:name="chapter_level1_10_59_section_6"/>
      <w:bookmarkEnd w:id="107"/>
      <w:r>
        <w:rPr>
          <w:rStyle w:val="11"/>
          <w:rFonts w:hint="eastAsia"/>
          <w:sz w:val="21"/>
          <w:szCs w:val="21"/>
        </w:rPr>
        <w:t>十七、定期定额投资计划</w:t>
      </w:r>
    </w:p>
    <w:p>
      <w:pPr>
        <w:pStyle w:val="7"/>
        <w:spacing w:before="0" w:beforeAutospacing="0" w:after="0" w:afterAutospacing="0" w:line="360" w:lineRule="auto"/>
        <w:ind w:firstLine="420"/>
        <w:rPr>
          <w:sz w:val="21"/>
          <w:szCs w:val="21"/>
        </w:rPr>
      </w:pPr>
      <w:r>
        <w:rPr>
          <w:rFonts w:hint="eastAsia"/>
          <w:sz w:val="21"/>
          <w:szCs w:val="21"/>
        </w:rPr>
        <w:t>本基金于2019年3月25日开放定期定额投资业务。基金管理人可以为投资人办理定期定额投资计划，具体规则由基金管理人另行规定。投资人在办理定期定额投资计划时可自行约定每期扣款金额，每期扣款金额必须不低于基金管理人在相关公告或更新的招募说明书中</w:t>
      </w:r>
      <w:bookmarkStart w:id="108" w:name="chapter_level1_10_59_section_6_end"/>
      <w:bookmarkEnd w:id="108"/>
      <w:r>
        <w:rPr>
          <w:rFonts w:hint="eastAsia"/>
          <w:sz w:val="21"/>
          <w:szCs w:val="21"/>
        </w:rPr>
        <w:t xml:space="preserve">所规定的定期定额投资计划最低申购金额。 </w:t>
      </w:r>
    </w:p>
    <w:p>
      <w:pPr>
        <w:pStyle w:val="7"/>
        <w:spacing w:before="0" w:beforeAutospacing="0" w:after="0" w:afterAutospacing="0" w:line="360" w:lineRule="auto"/>
        <w:ind w:firstLine="420"/>
        <w:rPr>
          <w:sz w:val="21"/>
          <w:szCs w:val="21"/>
        </w:rPr>
      </w:pPr>
      <w:bookmarkStart w:id="109" w:name="chapter_level1_10_59_section_7"/>
      <w:bookmarkEnd w:id="109"/>
      <w:r>
        <w:rPr>
          <w:rStyle w:val="11"/>
          <w:rFonts w:hint="eastAsia"/>
          <w:sz w:val="21"/>
          <w:szCs w:val="21"/>
        </w:rPr>
        <w:t>十八、基金份额的冻结、解冻与质押</w:t>
      </w:r>
    </w:p>
    <w:p>
      <w:pPr>
        <w:pStyle w:val="7"/>
        <w:spacing w:before="0" w:beforeAutospacing="0" w:after="0" w:afterAutospacing="0" w:line="360" w:lineRule="auto"/>
        <w:ind w:firstLine="420"/>
        <w:rPr>
          <w:sz w:val="21"/>
          <w:szCs w:val="21"/>
        </w:rPr>
      </w:pPr>
      <w:r>
        <w:rPr>
          <w:rFonts w:hint="eastAsia"/>
          <w:sz w:val="21"/>
          <w:szCs w:val="21"/>
        </w:rPr>
        <w:t xml:space="preserve">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 </w:t>
      </w:r>
    </w:p>
    <w:p>
      <w:pPr>
        <w:pStyle w:val="7"/>
        <w:spacing w:before="0" w:beforeAutospacing="0" w:after="0" w:afterAutospacing="0" w:line="360" w:lineRule="auto"/>
        <w:ind w:firstLine="420"/>
        <w:rPr>
          <w:sz w:val="21"/>
          <w:szCs w:val="21"/>
        </w:rPr>
      </w:pPr>
      <w:r>
        <w:rPr>
          <w:rFonts w:hint="eastAsia"/>
          <w:sz w:val="21"/>
          <w:szCs w:val="21"/>
        </w:rPr>
        <w:t>如相关法律法规允许基金管理人履行相关程序后可办理基金份额的质押业务或其他基</w:t>
      </w:r>
      <w:bookmarkStart w:id="110" w:name="chapter_level1_10_59_section_7_end"/>
      <w:bookmarkEnd w:id="110"/>
      <w:r>
        <w:rPr>
          <w:rFonts w:hint="eastAsia"/>
          <w:sz w:val="21"/>
          <w:szCs w:val="21"/>
        </w:rPr>
        <w:t xml:space="preserve">金业务，基金管理人将制定和实施相应的业务规则。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11" w:name="_Toc113633890"/>
      <w:bookmarkStart w:id="112" w:name="chapter_level1_11_60"/>
      <w:r>
        <w:rPr>
          <w:rFonts w:hint="eastAsia" w:ascii="宋体" w:hAnsi="宋体" w:eastAsia="宋体"/>
          <w:sz w:val="30"/>
        </w:rPr>
        <w:t>第八部分  基金的投资</w:t>
      </w:r>
      <w:bookmarkEnd w:id="111"/>
      <w:bookmarkEnd w:id="112"/>
    </w:p>
    <w:p>
      <w:pPr>
        <w:pStyle w:val="7"/>
        <w:spacing w:before="0" w:beforeAutospacing="0" w:after="0" w:afterAutospacing="0" w:line="360" w:lineRule="auto"/>
        <w:ind w:firstLine="420"/>
        <w:rPr>
          <w:sz w:val="21"/>
          <w:szCs w:val="21"/>
        </w:rPr>
      </w:pPr>
      <w:bookmarkStart w:id="113" w:name="chapter_level1_11_60_section_1"/>
      <w:bookmarkEnd w:id="113"/>
      <w:r>
        <w:rPr>
          <w:rStyle w:val="11"/>
          <w:rFonts w:hint="eastAsia"/>
          <w:sz w:val="21"/>
          <w:szCs w:val="21"/>
        </w:rPr>
        <w:t>一、投资目标</w:t>
      </w:r>
    </w:p>
    <w:p>
      <w:pPr>
        <w:pStyle w:val="7"/>
        <w:spacing w:before="0" w:beforeAutospacing="0" w:after="0" w:afterAutospacing="0" w:line="360" w:lineRule="auto"/>
        <w:ind w:firstLine="420"/>
        <w:rPr>
          <w:sz w:val="21"/>
          <w:szCs w:val="21"/>
        </w:rPr>
      </w:pPr>
      <w:bookmarkStart w:id="114" w:name="field_60_investmenttarget_1_start"/>
      <w:bookmarkEnd w:id="114"/>
      <w:r>
        <w:rPr>
          <w:rFonts w:hint="eastAsia"/>
          <w:sz w:val="21"/>
          <w:szCs w:val="21"/>
        </w:rPr>
        <w:t xml:space="preserve">本基金在严格控制风险的前提下，力争获得超越业绩比较基准的投资回报。 </w:t>
      </w:r>
      <w:bookmarkStart w:id="115" w:name="field_60_investmenttarget_1_end"/>
      <w:bookmarkEnd w:id="115"/>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二、投资范围</w:t>
      </w:r>
    </w:p>
    <w:p>
      <w:pPr>
        <w:pStyle w:val="7"/>
        <w:spacing w:before="0" w:beforeAutospacing="0" w:after="0" w:afterAutospacing="0" w:line="360" w:lineRule="auto"/>
        <w:ind w:firstLine="420"/>
        <w:rPr>
          <w:sz w:val="21"/>
          <w:szCs w:val="21"/>
        </w:rPr>
      </w:pPr>
      <w:bookmarkStart w:id="116" w:name="field_60_investmentrange_1_start"/>
      <w:bookmarkEnd w:id="116"/>
      <w:r>
        <w:rPr>
          <w:rFonts w:hint="eastAsia"/>
          <w:sz w:val="21"/>
          <w:szCs w:val="21"/>
        </w:rPr>
        <w:t xml:space="preserve"> 本基金投资于国内依法发行上市的股票（包括中小板、创业板及其他经中国证监会核准上市的股票、存托凭证）、沪/深港股票市场交易互联互通机制下允许投资的香港联合交易所上市的股票（以下简称“港股通标的股票”）、债券（国债、金融债、企业债、公司债、央行票据、中期票据、短期融资券、超短期融资券、可转换债券（含可分离交易可转换债券）、可交换债、次级债、中小企业私募债等）、货币市场工具、同业存单、资产支持证券、债券回购、银行存款、权证、股指期货、国债期货，以及法律法规或中国证监会允许基金投资的其他金融工具(但须符合中国证监会的相关规定)。   </w:t>
      </w:r>
    </w:p>
    <w:p>
      <w:pPr>
        <w:pStyle w:val="7"/>
        <w:spacing w:before="0" w:beforeAutospacing="0" w:after="0" w:afterAutospacing="0" w:line="360" w:lineRule="auto"/>
        <w:ind w:firstLine="420"/>
        <w:rPr>
          <w:sz w:val="21"/>
          <w:szCs w:val="21"/>
        </w:rPr>
      </w:pPr>
      <w:r>
        <w:rPr>
          <w:rFonts w:hint="eastAsia"/>
          <w:sz w:val="21"/>
          <w:szCs w:val="21"/>
        </w:rPr>
        <w:t xml:space="preserve"> 本基金的投资组合比例为：股票（含存托凭证）投资比例为基金资产的45％-90％；港股通标的股票的投资比例为股票资产的0%-50%；权证投资比例为基金资产净值的0-3%；每个交易日日终，在扣除股指期货、国债期货合约需缴纳的交易保证金后，应当保持不低于基金资产净值5%的现金或到期日在一年以内的政府债券，其中现金不包括结算备付金、存出保证金、应收申购款等。如法律法规或监管机构以后允许基金投资其他品种，基金管理人在履行适当程序后，可以将其纳入投资范围。  </w:t>
      </w:r>
      <w:bookmarkStart w:id="117" w:name="field_60_investmentrange_1_end"/>
      <w:bookmarkEnd w:id="117"/>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三、投资策略</w:t>
      </w:r>
    </w:p>
    <w:p>
      <w:pPr>
        <w:pStyle w:val="7"/>
        <w:spacing w:before="0" w:beforeAutospacing="0" w:after="0" w:afterAutospacing="0" w:line="360" w:lineRule="auto"/>
        <w:ind w:firstLine="420"/>
        <w:rPr>
          <w:sz w:val="21"/>
          <w:szCs w:val="21"/>
        </w:rPr>
      </w:pPr>
      <w:bookmarkStart w:id="118" w:name="field_60_investmentstrategy_1_start"/>
      <w:bookmarkEnd w:id="118"/>
      <w:r>
        <w:rPr>
          <w:rFonts w:hint="eastAsia"/>
          <w:sz w:val="21"/>
          <w:szCs w:val="21"/>
        </w:rPr>
        <w:t xml:space="preserve">（一）大类资产配置策略 </w:t>
      </w:r>
    </w:p>
    <w:p>
      <w:pPr>
        <w:pStyle w:val="7"/>
        <w:spacing w:before="0" w:beforeAutospacing="0" w:after="0" w:afterAutospacing="0" w:line="360" w:lineRule="auto"/>
        <w:ind w:firstLine="420"/>
        <w:rPr>
          <w:sz w:val="21"/>
          <w:szCs w:val="21"/>
        </w:rPr>
      </w:pPr>
      <w:r>
        <w:rPr>
          <w:rFonts w:hint="eastAsia"/>
          <w:sz w:val="21"/>
          <w:szCs w:val="21"/>
        </w:rPr>
        <w:t xml:space="preserve">本基金通过跟踪考量宏观经济变量（包括GDP增长率、CPI走势、M2的绝对水平和增长率、利率水平与走势、外汇占款等）及国家财政、税收、货币、汇率各项政策，判断经济周期当前所处的位置及未来发展方向，并通过监测重要行业的产能利用与经济景气轮动研究，调整股票资产和固定收益资产的配置比例。 </w:t>
      </w:r>
    </w:p>
    <w:p>
      <w:pPr>
        <w:pStyle w:val="7"/>
        <w:spacing w:before="0" w:beforeAutospacing="0" w:after="0" w:afterAutospacing="0" w:line="360" w:lineRule="auto"/>
        <w:ind w:firstLine="420"/>
        <w:rPr>
          <w:sz w:val="21"/>
          <w:szCs w:val="21"/>
        </w:rPr>
      </w:pPr>
      <w:r>
        <w:rPr>
          <w:rFonts w:hint="eastAsia"/>
          <w:sz w:val="21"/>
          <w:szCs w:val="21"/>
        </w:rPr>
        <w:t xml:space="preserve">（二）股票投资策略 </w:t>
      </w:r>
    </w:p>
    <w:p>
      <w:pPr>
        <w:pStyle w:val="7"/>
        <w:spacing w:before="0" w:beforeAutospacing="0" w:after="0" w:afterAutospacing="0" w:line="360" w:lineRule="auto"/>
        <w:ind w:firstLine="420"/>
        <w:rPr>
          <w:sz w:val="21"/>
          <w:szCs w:val="21"/>
        </w:rPr>
      </w:pPr>
      <w:r>
        <w:rPr>
          <w:rFonts w:hint="eastAsia"/>
          <w:sz w:val="21"/>
          <w:szCs w:val="21"/>
        </w:rPr>
        <w:t xml:space="preserve">本基金股票投资以定性和定量分析为基础，从基本面分析入手，主要遵循以下步骤： </w:t>
      </w:r>
    </w:p>
    <w:p>
      <w:pPr>
        <w:pStyle w:val="7"/>
        <w:spacing w:before="0" w:beforeAutospacing="0" w:after="0" w:afterAutospacing="0" w:line="360" w:lineRule="auto"/>
        <w:ind w:firstLine="420"/>
        <w:rPr>
          <w:sz w:val="21"/>
          <w:szCs w:val="21"/>
        </w:rPr>
      </w:pPr>
      <w:r>
        <w:rPr>
          <w:rFonts w:hint="eastAsia"/>
          <w:sz w:val="21"/>
          <w:szCs w:val="21"/>
        </w:rPr>
        <w:t xml:space="preserve">（1）本基金将对股票的风格特征进行评估，从股票池中选择成长与价值特性突出的股票。 </w:t>
      </w:r>
    </w:p>
    <w:p>
      <w:pPr>
        <w:pStyle w:val="7"/>
        <w:spacing w:before="0" w:beforeAutospacing="0" w:after="0" w:afterAutospacing="0" w:line="360" w:lineRule="auto"/>
        <w:ind w:firstLine="420"/>
        <w:rPr>
          <w:sz w:val="21"/>
          <w:szCs w:val="21"/>
        </w:rPr>
      </w:pPr>
      <w:r>
        <w:rPr>
          <w:rFonts w:hint="eastAsia"/>
          <w:sz w:val="21"/>
          <w:szCs w:val="21"/>
        </w:rPr>
        <w:t xml:space="preserve">根据一系列指标对市场上所有股票的风格特征进行评估。成长股的重要评估指标是考察公司的成长性。价值投资的核心思想是寻找市场上被低估的股票。通过以上评估，初步筛选出成长与价值股票池。 </w:t>
      </w:r>
    </w:p>
    <w:p>
      <w:pPr>
        <w:pStyle w:val="7"/>
        <w:spacing w:before="0" w:beforeAutospacing="0" w:after="0" w:afterAutospacing="0" w:line="360" w:lineRule="auto"/>
        <w:ind w:firstLine="420"/>
        <w:rPr>
          <w:sz w:val="21"/>
          <w:szCs w:val="21"/>
        </w:rPr>
      </w:pPr>
      <w:r>
        <w:rPr>
          <w:rFonts w:hint="eastAsia"/>
          <w:sz w:val="21"/>
          <w:szCs w:val="21"/>
        </w:rPr>
        <w:t xml:space="preserve">（2）对股票的基本面素质进行筛选。 </w:t>
      </w:r>
    </w:p>
    <w:p>
      <w:pPr>
        <w:pStyle w:val="7"/>
        <w:spacing w:before="0" w:beforeAutospacing="0" w:after="0" w:afterAutospacing="0" w:line="360" w:lineRule="auto"/>
        <w:ind w:firstLine="420"/>
        <w:rPr>
          <w:sz w:val="21"/>
          <w:szCs w:val="21"/>
        </w:rPr>
      </w:pPr>
      <w:r>
        <w:rPr>
          <w:rFonts w:hint="eastAsia"/>
          <w:sz w:val="21"/>
          <w:szCs w:val="21"/>
        </w:rPr>
        <w:t xml:space="preserve">应用基本面分析方法，确定优质成长股与优质价值股的评价标准，在第一步选择出的具有鲜明风格的股票名单中，进一步分析，选出基本面较好的股票。 </w:t>
      </w:r>
    </w:p>
    <w:p>
      <w:pPr>
        <w:pStyle w:val="7"/>
        <w:spacing w:before="0" w:beforeAutospacing="0" w:after="0" w:afterAutospacing="0" w:line="360" w:lineRule="auto"/>
        <w:ind w:firstLine="420"/>
        <w:rPr>
          <w:sz w:val="21"/>
          <w:szCs w:val="21"/>
        </w:rPr>
      </w:pPr>
      <w:r>
        <w:rPr>
          <w:rFonts w:hint="eastAsia"/>
          <w:sz w:val="21"/>
          <w:szCs w:val="21"/>
        </w:rPr>
        <w:t xml:space="preserve">（3）进行成长与价值的风格配置。 </w:t>
      </w:r>
    </w:p>
    <w:p>
      <w:pPr>
        <w:pStyle w:val="7"/>
        <w:spacing w:before="0" w:beforeAutospacing="0" w:after="0" w:afterAutospacing="0" w:line="360" w:lineRule="auto"/>
        <w:ind w:firstLine="420"/>
        <w:rPr>
          <w:sz w:val="21"/>
          <w:szCs w:val="21"/>
        </w:rPr>
      </w:pPr>
      <w:r>
        <w:rPr>
          <w:rFonts w:hint="eastAsia"/>
          <w:sz w:val="21"/>
          <w:szCs w:val="21"/>
        </w:rPr>
        <w:t xml:space="preserve">本基金将根据对市场的判断，动态地调整成长股与价值股的投资比重，追求在可控风险前提下的稳健回报。 </w:t>
      </w:r>
    </w:p>
    <w:p>
      <w:pPr>
        <w:pStyle w:val="7"/>
        <w:spacing w:before="0" w:beforeAutospacing="0" w:after="0" w:afterAutospacing="0" w:line="360" w:lineRule="auto"/>
        <w:ind w:firstLine="420"/>
        <w:rPr>
          <w:sz w:val="21"/>
          <w:szCs w:val="21"/>
        </w:rPr>
      </w:pPr>
      <w:r>
        <w:rPr>
          <w:rFonts w:hint="eastAsia"/>
          <w:sz w:val="21"/>
          <w:szCs w:val="21"/>
        </w:rPr>
        <w:t xml:space="preserve">在以上形成的价值股、成长股股票池中，本基金根据对市场趋势的判断、宏观经济环境等因素，对成长与价值股的投资比例进行配置。总体而言，成长股与价值股在股票资产中进行相对均衡的配置，适度调整。以控制因风格带来的投资风险，降低组合波动的风险，提高整体收益率。 </w:t>
      </w:r>
    </w:p>
    <w:p>
      <w:pPr>
        <w:pStyle w:val="7"/>
        <w:spacing w:before="0" w:beforeAutospacing="0" w:after="0" w:afterAutospacing="0" w:line="360" w:lineRule="auto"/>
        <w:ind w:firstLine="420"/>
        <w:rPr>
          <w:sz w:val="21"/>
          <w:szCs w:val="21"/>
        </w:rPr>
      </w:pPr>
      <w:r>
        <w:rPr>
          <w:rFonts w:hint="eastAsia"/>
          <w:sz w:val="21"/>
          <w:szCs w:val="21"/>
        </w:rPr>
        <w:t xml:space="preserve">（4）港股通标的股票投资策略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本基金将充分挖掘内地与香港股票市场交易互联互通、资金双向流动机制下港股市场的投资机会。本基金“港股通标的股票”投资策略如下： </w:t>
      </w:r>
    </w:p>
    <w:p>
      <w:pPr>
        <w:pStyle w:val="7"/>
        <w:spacing w:before="0" w:beforeAutospacing="0" w:after="0" w:afterAutospacing="0" w:line="360" w:lineRule="auto"/>
        <w:ind w:firstLine="420"/>
        <w:rPr>
          <w:sz w:val="21"/>
          <w:szCs w:val="21"/>
        </w:rPr>
      </w:pPr>
      <w:r>
        <w:rPr>
          <w:rFonts w:hint="eastAsia"/>
          <w:sz w:val="21"/>
          <w:szCs w:val="21"/>
        </w:rPr>
        <w:t xml:space="preserve">第一，通过自主开发的针对港股的以基本面因子为主导的多因子量化模型，以港股通标的股票为选股池，根据市场流动性和产品规模等实际需求选择因子打分高的标的构建港股通量化优选组合。 </w:t>
      </w:r>
    </w:p>
    <w:p>
      <w:pPr>
        <w:pStyle w:val="7"/>
        <w:spacing w:before="0" w:beforeAutospacing="0" w:after="0" w:afterAutospacing="0" w:line="360" w:lineRule="auto"/>
        <w:ind w:firstLine="420"/>
        <w:rPr>
          <w:sz w:val="21"/>
          <w:szCs w:val="21"/>
        </w:rPr>
      </w:pPr>
      <w:r>
        <w:rPr>
          <w:rFonts w:hint="eastAsia"/>
          <w:sz w:val="21"/>
          <w:szCs w:val="21"/>
        </w:rPr>
        <w:t xml:space="preserve">第二，对于两地同时上市的公司，考察其折溢价水平，寻找相对于A股有折价或估值和波动性相当于A股更加稳定的H股标的。 </w:t>
      </w:r>
    </w:p>
    <w:p>
      <w:pPr>
        <w:pStyle w:val="7"/>
        <w:spacing w:before="0" w:beforeAutospacing="0" w:after="0" w:afterAutospacing="0" w:line="360" w:lineRule="auto"/>
        <w:ind w:firstLine="420"/>
        <w:rPr>
          <w:sz w:val="21"/>
          <w:szCs w:val="21"/>
        </w:rPr>
      </w:pPr>
      <w:r>
        <w:rPr>
          <w:rFonts w:hint="eastAsia"/>
          <w:sz w:val="21"/>
          <w:szCs w:val="21"/>
        </w:rPr>
        <w:t xml:space="preserve">第三，考察港股通标的股票的行业属性和商业模式，在A股暂时无相应标的的行业中寻找估值低且具有成长性的标的。 </w:t>
      </w:r>
    </w:p>
    <w:p>
      <w:pPr>
        <w:pStyle w:val="7"/>
        <w:spacing w:before="0" w:beforeAutospacing="0" w:after="0" w:afterAutospacing="0" w:line="360" w:lineRule="auto"/>
        <w:ind w:firstLine="420"/>
        <w:rPr>
          <w:sz w:val="21"/>
          <w:szCs w:val="21"/>
        </w:rPr>
      </w:pPr>
      <w:r>
        <w:rPr>
          <w:rFonts w:hint="eastAsia"/>
          <w:sz w:val="21"/>
          <w:szCs w:val="21"/>
        </w:rPr>
        <w:t xml:space="preserve">本基金将持续追踪A股市场和港股市场的相对估值和市场情况，适时调整组合中港股通标的股票的投资比例。 </w:t>
      </w:r>
    </w:p>
    <w:p>
      <w:pPr>
        <w:pStyle w:val="7"/>
        <w:spacing w:before="0" w:beforeAutospacing="0" w:after="0" w:afterAutospacing="0" w:line="360" w:lineRule="auto"/>
        <w:ind w:firstLine="420"/>
        <w:rPr>
          <w:sz w:val="21"/>
          <w:szCs w:val="21"/>
        </w:rPr>
      </w:pPr>
      <w:r>
        <w:rPr>
          <w:rFonts w:hint="eastAsia"/>
          <w:sz w:val="21"/>
          <w:szCs w:val="21"/>
        </w:rPr>
        <w:t xml:space="preserve">（5）存托凭证投资策略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本基金将根据本基金的投资目标和股票投资策略，基于对基础证券投资价值的深入研究判断，进行存托凭证的投资。  </w:t>
      </w:r>
    </w:p>
    <w:p>
      <w:pPr>
        <w:pStyle w:val="7"/>
        <w:spacing w:before="0" w:beforeAutospacing="0" w:after="0" w:afterAutospacing="0" w:line="360" w:lineRule="auto"/>
        <w:ind w:firstLine="420"/>
        <w:rPr>
          <w:sz w:val="21"/>
          <w:szCs w:val="21"/>
        </w:rPr>
      </w:pPr>
      <w:r>
        <w:rPr>
          <w:rFonts w:hint="eastAsia"/>
          <w:sz w:val="21"/>
          <w:szCs w:val="21"/>
        </w:rPr>
        <w:t xml:space="preserve">（三）债券投资策略 </w:t>
      </w:r>
    </w:p>
    <w:p>
      <w:pPr>
        <w:pStyle w:val="7"/>
        <w:spacing w:before="0" w:beforeAutospacing="0" w:after="0" w:afterAutospacing="0" w:line="360" w:lineRule="auto"/>
        <w:ind w:firstLine="420"/>
        <w:rPr>
          <w:sz w:val="21"/>
          <w:szCs w:val="21"/>
        </w:rPr>
      </w:pPr>
      <w:r>
        <w:rPr>
          <w:rFonts w:hint="eastAsia"/>
          <w:sz w:val="21"/>
          <w:szCs w:val="21"/>
        </w:rPr>
        <w:t xml:space="preserve">本基金采用的债券投资策略包括：期限结构策略、信用策略、互换策略、息差策略、可转换债券投资策略等。 </w:t>
      </w:r>
    </w:p>
    <w:p>
      <w:pPr>
        <w:pStyle w:val="7"/>
        <w:spacing w:before="0" w:beforeAutospacing="0" w:after="0" w:afterAutospacing="0" w:line="360" w:lineRule="auto"/>
        <w:ind w:firstLine="420"/>
        <w:rPr>
          <w:sz w:val="21"/>
          <w:szCs w:val="21"/>
        </w:rPr>
      </w:pPr>
      <w:r>
        <w:rPr>
          <w:rFonts w:hint="eastAsia"/>
          <w:sz w:val="21"/>
          <w:szCs w:val="21"/>
        </w:rPr>
        <w:t xml:space="preserve">1、期限结构策略 </w:t>
      </w:r>
    </w:p>
    <w:p>
      <w:pPr>
        <w:pStyle w:val="7"/>
        <w:spacing w:before="0" w:beforeAutospacing="0" w:after="0" w:afterAutospacing="0" w:line="360" w:lineRule="auto"/>
        <w:ind w:firstLine="420"/>
        <w:rPr>
          <w:sz w:val="21"/>
          <w:szCs w:val="21"/>
        </w:rPr>
      </w:pPr>
      <w:r>
        <w:rPr>
          <w:rFonts w:hint="eastAsia"/>
          <w:sz w:val="21"/>
          <w:szCs w:val="21"/>
        </w:rPr>
        <w:t xml:space="preserve">通过预测收益率曲线的形状和变化趋势，对各类型债券进行久期配置。具体策略又分为跟踪收益率曲线的骑乘策略和基于收益率曲线变化的子弹策略、杠铃策略及梯式策略。 </w:t>
      </w:r>
    </w:p>
    <w:p>
      <w:pPr>
        <w:pStyle w:val="7"/>
        <w:spacing w:before="0" w:beforeAutospacing="0" w:after="0" w:afterAutospacing="0" w:line="360" w:lineRule="auto"/>
        <w:ind w:firstLine="420"/>
        <w:rPr>
          <w:sz w:val="21"/>
          <w:szCs w:val="21"/>
        </w:rPr>
      </w:pPr>
      <w:r>
        <w:rPr>
          <w:rFonts w:hint="eastAsia"/>
          <w:sz w:val="21"/>
          <w:szCs w:val="21"/>
        </w:rPr>
        <w:t xml:space="preserve">2、信用策略 </w:t>
      </w:r>
    </w:p>
    <w:p>
      <w:pPr>
        <w:pStyle w:val="7"/>
        <w:spacing w:before="0" w:beforeAutospacing="0" w:after="0" w:afterAutospacing="0" w:line="360" w:lineRule="auto"/>
        <w:ind w:firstLine="420"/>
        <w:rPr>
          <w:sz w:val="21"/>
          <w:szCs w:val="21"/>
        </w:rPr>
      </w:pPr>
      <w:r>
        <w:rPr>
          <w:rFonts w:hint="eastAsia"/>
          <w:sz w:val="21"/>
          <w:szCs w:val="21"/>
        </w:rPr>
        <w:t xml:space="preserve">信用债收益率等于基准收益率加信用利差，信用利差收益主要受两个方面的影响，一是该信用债对应信用水平的市场平均信用利差曲线走势；二是该信用债本身的信用变化。基于这两方面的因素，本基金管理人分别采用（1）基于信用利差曲线变化策略和（2）基于信用债信用变化策略。 </w:t>
      </w:r>
    </w:p>
    <w:p>
      <w:pPr>
        <w:pStyle w:val="7"/>
        <w:spacing w:before="0" w:beforeAutospacing="0" w:after="0" w:afterAutospacing="0" w:line="360" w:lineRule="auto"/>
        <w:ind w:firstLine="420"/>
        <w:rPr>
          <w:sz w:val="21"/>
          <w:szCs w:val="21"/>
        </w:rPr>
      </w:pPr>
      <w:r>
        <w:rPr>
          <w:rFonts w:hint="eastAsia"/>
          <w:sz w:val="21"/>
          <w:szCs w:val="21"/>
        </w:rPr>
        <w:t xml:space="preserve">3、互换策略 </w:t>
      </w:r>
    </w:p>
    <w:p>
      <w:pPr>
        <w:pStyle w:val="7"/>
        <w:spacing w:before="0" w:beforeAutospacing="0" w:after="0" w:afterAutospacing="0" w:line="360" w:lineRule="auto"/>
        <w:ind w:firstLine="420"/>
        <w:rPr>
          <w:sz w:val="21"/>
          <w:szCs w:val="21"/>
        </w:rPr>
      </w:pPr>
      <w:r>
        <w:rPr>
          <w:rFonts w:hint="eastAsia"/>
          <w:sz w:val="21"/>
          <w:szCs w:val="21"/>
        </w:rPr>
        <w:t xml:space="preserve">不同券种在利息、违约风险、久期、流动性、税收和衍生条款等方面存在差别，投资管理人可以同时买入和卖出具有相近特性的两个或两个以上券种，赚取收益级差。 </w:t>
      </w:r>
    </w:p>
    <w:p>
      <w:pPr>
        <w:pStyle w:val="7"/>
        <w:spacing w:before="0" w:beforeAutospacing="0" w:after="0" w:afterAutospacing="0" w:line="360" w:lineRule="auto"/>
        <w:ind w:firstLine="420"/>
        <w:rPr>
          <w:sz w:val="21"/>
          <w:szCs w:val="21"/>
        </w:rPr>
      </w:pPr>
      <w:r>
        <w:rPr>
          <w:rFonts w:hint="eastAsia"/>
          <w:sz w:val="21"/>
          <w:szCs w:val="21"/>
        </w:rPr>
        <w:t xml:space="preserve">4、息差策略 </w:t>
      </w:r>
    </w:p>
    <w:p>
      <w:pPr>
        <w:pStyle w:val="7"/>
        <w:spacing w:before="0" w:beforeAutospacing="0" w:after="0" w:afterAutospacing="0" w:line="360" w:lineRule="auto"/>
        <w:ind w:firstLine="420"/>
        <w:rPr>
          <w:sz w:val="21"/>
          <w:szCs w:val="21"/>
        </w:rPr>
      </w:pPr>
      <w:r>
        <w:rPr>
          <w:rFonts w:hint="eastAsia"/>
          <w:sz w:val="21"/>
          <w:szCs w:val="21"/>
        </w:rPr>
        <w:t xml:space="preserve">通过正回购，融资买入收益率高于回购成本的债券，从而获得杠杆放大收益。 </w:t>
      </w:r>
    </w:p>
    <w:p>
      <w:pPr>
        <w:pStyle w:val="7"/>
        <w:spacing w:before="0" w:beforeAutospacing="0" w:after="0" w:afterAutospacing="0" w:line="360" w:lineRule="auto"/>
        <w:ind w:firstLine="420"/>
        <w:rPr>
          <w:sz w:val="21"/>
          <w:szCs w:val="21"/>
        </w:rPr>
      </w:pPr>
      <w:r>
        <w:rPr>
          <w:rFonts w:hint="eastAsia"/>
          <w:sz w:val="21"/>
          <w:szCs w:val="21"/>
        </w:rPr>
        <w:t xml:space="preserve">5、可转换债券投资策略 </w:t>
      </w:r>
    </w:p>
    <w:p>
      <w:pPr>
        <w:pStyle w:val="7"/>
        <w:spacing w:before="0" w:beforeAutospacing="0" w:after="0" w:afterAutospacing="0" w:line="360" w:lineRule="auto"/>
        <w:ind w:firstLine="420"/>
        <w:rPr>
          <w:sz w:val="21"/>
          <w:szCs w:val="21"/>
        </w:rPr>
      </w:pPr>
      <w:r>
        <w:rPr>
          <w:rFonts w:hint="eastAsia"/>
          <w:sz w:val="21"/>
          <w:szCs w:val="21"/>
        </w:rPr>
        <w:t xml:space="preserve">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选择股性强的品种，获取超额收益。 </w:t>
      </w:r>
    </w:p>
    <w:p>
      <w:pPr>
        <w:pStyle w:val="7"/>
        <w:spacing w:before="0" w:beforeAutospacing="0" w:after="0" w:afterAutospacing="0" w:line="360" w:lineRule="auto"/>
        <w:ind w:firstLine="420"/>
        <w:rPr>
          <w:sz w:val="21"/>
          <w:szCs w:val="21"/>
        </w:rPr>
      </w:pPr>
      <w:r>
        <w:rPr>
          <w:rFonts w:hint="eastAsia"/>
          <w:sz w:val="21"/>
          <w:szCs w:val="21"/>
        </w:rPr>
        <w:t xml:space="preserve">6、中小企业私募债券投资策略 </w:t>
      </w:r>
    </w:p>
    <w:p>
      <w:pPr>
        <w:pStyle w:val="7"/>
        <w:spacing w:before="0" w:beforeAutospacing="0" w:after="0" w:afterAutospacing="0" w:line="360" w:lineRule="auto"/>
        <w:ind w:firstLine="420"/>
        <w:rPr>
          <w:sz w:val="21"/>
          <w:szCs w:val="21"/>
        </w:rPr>
      </w:pPr>
      <w:r>
        <w:rPr>
          <w:rFonts w:hint="eastAsia"/>
          <w:sz w:val="21"/>
          <w:szCs w:val="21"/>
        </w:rPr>
        <w:t xml:space="preserve">针对中小企业私募债券，本基金以持有到期、获得本金和票息收入为主要投资策略，同时，密切关注债券的信用风险变化，力争在控制风险的前提下，获得较高收益。 </w:t>
      </w:r>
    </w:p>
    <w:p>
      <w:pPr>
        <w:pStyle w:val="7"/>
        <w:spacing w:before="0" w:beforeAutospacing="0" w:after="0" w:afterAutospacing="0" w:line="360" w:lineRule="auto"/>
        <w:ind w:firstLine="420"/>
        <w:rPr>
          <w:sz w:val="21"/>
          <w:szCs w:val="21"/>
        </w:rPr>
      </w:pPr>
      <w:r>
        <w:rPr>
          <w:rFonts w:hint="eastAsia"/>
          <w:sz w:val="21"/>
          <w:szCs w:val="21"/>
        </w:rPr>
        <w:t xml:space="preserve">（四）金融衍生品投资策略 </w:t>
      </w:r>
    </w:p>
    <w:p>
      <w:pPr>
        <w:pStyle w:val="7"/>
        <w:spacing w:before="0" w:beforeAutospacing="0" w:after="0" w:afterAutospacing="0" w:line="360" w:lineRule="auto"/>
        <w:ind w:firstLine="420"/>
        <w:rPr>
          <w:sz w:val="21"/>
          <w:szCs w:val="21"/>
        </w:rPr>
      </w:pPr>
      <w:r>
        <w:rPr>
          <w:rFonts w:hint="eastAsia"/>
          <w:sz w:val="21"/>
          <w:szCs w:val="21"/>
        </w:rPr>
        <w:t xml:space="preserve">1、权证投资策略 </w:t>
      </w:r>
    </w:p>
    <w:p>
      <w:pPr>
        <w:pStyle w:val="7"/>
        <w:spacing w:before="0" w:beforeAutospacing="0" w:after="0" w:afterAutospacing="0" w:line="360" w:lineRule="auto"/>
        <w:ind w:firstLine="420"/>
        <w:rPr>
          <w:sz w:val="21"/>
          <w:szCs w:val="21"/>
        </w:rPr>
      </w:pPr>
      <w:r>
        <w:rPr>
          <w:rFonts w:hint="eastAsia"/>
          <w:sz w:val="21"/>
          <w:szCs w:val="21"/>
        </w:rPr>
        <w:t xml:space="preserve">权证为本基金辅助性投资工具，投资原则为有利于基金资产增值、控制下跌风险。本基金在权证投资方面将以价值分析为基础，在采用数量化模型分析其合理定价的基础上，立足于无风险套利，力求稳健的投资收益。 </w:t>
      </w:r>
    </w:p>
    <w:p>
      <w:pPr>
        <w:pStyle w:val="7"/>
        <w:spacing w:before="0" w:beforeAutospacing="0" w:after="0" w:afterAutospacing="0" w:line="360" w:lineRule="auto"/>
        <w:ind w:firstLine="420"/>
        <w:rPr>
          <w:sz w:val="21"/>
          <w:szCs w:val="21"/>
        </w:rPr>
      </w:pPr>
      <w:r>
        <w:rPr>
          <w:rFonts w:hint="eastAsia"/>
          <w:sz w:val="21"/>
          <w:szCs w:val="21"/>
        </w:rPr>
        <w:t xml:space="preserve">2、股指期货、国债期货投资策略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本基金将根据风险管理的原则，以套期保值为目的，在风险可控的前提下，本着谨慎原则，参与股指期货、国债期货的投资，以管理投资组合的系统性风险，改善组合的风险收益特性。 </w:t>
      </w:r>
    </w:p>
    <w:p>
      <w:pPr>
        <w:pStyle w:val="7"/>
        <w:spacing w:before="0" w:beforeAutospacing="0" w:after="0" w:afterAutospacing="0" w:line="360" w:lineRule="auto"/>
        <w:ind w:firstLine="420"/>
        <w:rPr>
          <w:sz w:val="21"/>
          <w:szCs w:val="21"/>
        </w:rPr>
      </w:pPr>
      <w:r>
        <w:rPr>
          <w:rFonts w:hint="eastAsia"/>
          <w:sz w:val="21"/>
          <w:szCs w:val="21"/>
        </w:rPr>
        <w:t xml:space="preserve">（五）资产支持证券投资策略 </w:t>
      </w:r>
    </w:p>
    <w:p>
      <w:pPr>
        <w:pStyle w:val="7"/>
        <w:spacing w:before="0" w:beforeAutospacing="0" w:after="0" w:afterAutospacing="0" w:line="360" w:lineRule="auto"/>
        <w:ind w:firstLine="420"/>
        <w:rPr>
          <w:sz w:val="21"/>
          <w:szCs w:val="21"/>
        </w:rPr>
      </w:pPr>
      <w:r>
        <w:rPr>
          <w:rFonts w:hint="eastAsia"/>
          <w:sz w:val="21"/>
          <w:szCs w:val="21"/>
        </w:rPr>
        <w:t xml:space="preserve">本基金将通过对资产支持证券基础资产及结构设计的研究，结合多种定价模型，根据基金资产组合情况适度进行资产支持证券的投资。 </w:t>
      </w:r>
    </w:p>
    <w:p>
      <w:pPr>
        <w:pStyle w:val="7"/>
        <w:spacing w:before="0" w:beforeAutospacing="0" w:after="0" w:afterAutospacing="0" w:line="360" w:lineRule="auto"/>
        <w:ind w:firstLine="420"/>
        <w:rPr>
          <w:sz w:val="21"/>
          <w:szCs w:val="21"/>
        </w:rPr>
      </w:pPr>
      <w:r>
        <w:rPr>
          <w:rFonts w:hint="eastAsia"/>
          <w:sz w:val="21"/>
          <w:szCs w:val="21"/>
        </w:rPr>
        <w:t>未来随着证券市场投资工具的发展和丰富，在符合有关法律法规规定的前提下，本基金</w:t>
      </w:r>
      <w:bookmarkStart w:id="119" w:name="chapter_level1_11_60_section_1_end"/>
      <w:bookmarkEnd w:id="119"/>
      <w:r>
        <w:rPr>
          <w:rFonts w:hint="eastAsia"/>
          <w:sz w:val="21"/>
          <w:szCs w:val="21"/>
        </w:rPr>
        <w:t xml:space="preserve">可相应调整和更新相关投资策略。 </w:t>
      </w:r>
      <w:bookmarkStart w:id="120" w:name="field_60_investmentstrategy_1_end"/>
      <w:bookmarkEnd w:id="120"/>
      <w:r>
        <w:rPr>
          <w:rFonts w:hint="eastAsia"/>
          <w:sz w:val="21"/>
          <w:szCs w:val="21"/>
        </w:rPr>
        <w:t xml:space="preserve">  </w:t>
      </w:r>
    </w:p>
    <w:p>
      <w:pPr>
        <w:pStyle w:val="7"/>
        <w:spacing w:before="0" w:beforeAutospacing="0" w:after="0" w:afterAutospacing="0" w:line="360" w:lineRule="auto"/>
        <w:ind w:firstLine="420"/>
        <w:rPr>
          <w:sz w:val="21"/>
          <w:szCs w:val="21"/>
        </w:rPr>
      </w:pPr>
      <w:bookmarkStart w:id="121" w:name="chapter_level1_11_60_section_2"/>
      <w:bookmarkEnd w:id="121"/>
      <w:r>
        <w:rPr>
          <w:rStyle w:val="11"/>
          <w:rFonts w:hint="eastAsia"/>
          <w:sz w:val="21"/>
          <w:szCs w:val="21"/>
        </w:rPr>
        <w:t>四、投资限制</w:t>
      </w:r>
    </w:p>
    <w:p>
      <w:pPr>
        <w:pStyle w:val="7"/>
        <w:spacing w:before="0" w:beforeAutospacing="0" w:after="0" w:afterAutospacing="0" w:line="360" w:lineRule="auto"/>
        <w:ind w:firstLine="420"/>
        <w:rPr>
          <w:sz w:val="21"/>
          <w:szCs w:val="21"/>
        </w:rPr>
      </w:pPr>
      <w:r>
        <w:rPr>
          <w:rFonts w:hint="eastAsia"/>
          <w:sz w:val="21"/>
          <w:szCs w:val="21"/>
        </w:rPr>
        <w:t xml:space="preserve">1、组合限制 </w:t>
      </w:r>
    </w:p>
    <w:p>
      <w:pPr>
        <w:pStyle w:val="7"/>
        <w:spacing w:before="0" w:beforeAutospacing="0" w:after="0" w:afterAutospacing="0" w:line="360" w:lineRule="auto"/>
        <w:ind w:firstLine="420"/>
        <w:rPr>
          <w:sz w:val="21"/>
          <w:szCs w:val="21"/>
        </w:rPr>
      </w:pPr>
      <w:r>
        <w:rPr>
          <w:rFonts w:hint="eastAsia"/>
          <w:sz w:val="21"/>
          <w:szCs w:val="21"/>
        </w:rPr>
        <w:t xml:space="preserve">基金的投资组合应遵循以下限制： </w:t>
      </w:r>
    </w:p>
    <w:p>
      <w:pPr>
        <w:pStyle w:val="7"/>
        <w:spacing w:before="0" w:beforeAutospacing="0" w:after="0" w:afterAutospacing="0" w:line="360" w:lineRule="auto"/>
        <w:ind w:firstLine="420"/>
        <w:rPr>
          <w:sz w:val="21"/>
          <w:szCs w:val="21"/>
        </w:rPr>
      </w:pPr>
      <w:r>
        <w:rPr>
          <w:rFonts w:hint="eastAsia"/>
          <w:sz w:val="21"/>
          <w:szCs w:val="21"/>
        </w:rPr>
        <w:t xml:space="preserve">（1）本基金股票（含存托凭证）投资比例为基金资产的45％-90％，投资于港股通标的股票占股票资产的比例为0-50%； </w:t>
      </w:r>
    </w:p>
    <w:p>
      <w:pPr>
        <w:pStyle w:val="7"/>
        <w:spacing w:before="0" w:beforeAutospacing="0" w:after="0" w:afterAutospacing="0" w:line="360" w:lineRule="auto"/>
        <w:ind w:firstLine="420"/>
        <w:rPr>
          <w:sz w:val="21"/>
          <w:szCs w:val="21"/>
        </w:rPr>
      </w:pPr>
      <w:r>
        <w:rPr>
          <w:rFonts w:hint="eastAsia"/>
          <w:sz w:val="21"/>
          <w:szCs w:val="21"/>
        </w:rPr>
        <w:t xml:space="preserve">（2）每个交易日日终，在扣除股指期货、国债期货合约需缴纳的交易保证金后，应当保持不低于基金资产净值5%的现金或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（3）本基金持有一家公司发行的证券（含存托凭证），其市值（若同时持有一家公司发行的A股和H股，则为A股与H股合计市值）不超过基金资产净值的10％；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（4）本基金管理人管理的全部基金持有一家公司发行的证券（含存托凭证），不超过该证券（若同时持有一家公司发行的A股和H股，则为A股与H股合计）的10％； </w:t>
      </w:r>
    </w:p>
    <w:p>
      <w:pPr>
        <w:pStyle w:val="7"/>
        <w:spacing w:before="0" w:beforeAutospacing="0" w:after="0" w:afterAutospacing="0" w:line="360" w:lineRule="auto"/>
        <w:ind w:firstLine="420"/>
        <w:rPr>
          <w:sz w:val="21"/>
          <w:szCs w:val="21"/>
        </w:rPr>
      </w:pPr>
      <w:r>
        <w:rPr>
          <w:rFonts w:hint="eastAsia"/>
          <w:sz w:val="21"/>
          <w:szCs w:val="21"/>
        </w:rPr>
        <w:t xml:space="preserve">（5）本基金持有的全部权证，其市值不得超过基金资产净值的3％；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（6）本基金管理人管理的全部基金持有的同一权证，不得超过该权证的10％； </w:t>
      </w:r>
    </w:p>
    <w:p>
      <w:pPr>
        <w:pStyle w:val="7"/>
        <w:spacing w:before="0" w:beforeAutospacing="0" w:after="0" w:afterAutospacing="0" w:line="360" w:lineRule="auto"/>
        <w:ind w:firstLine="420"/>
        <w:rPr>
          <w:sz w:val="21"/>
          <w:szCs w:val="21"/>
        </w:rPr>
      </w:pPr>
      <w:r>
        <w:rPr>
          <w:rFonts w:hint="eastAsia"/>
          <w:sz w:val="21"/>
          <w:szCs w:val="21"/>
        </w:rPr>
        <w:t xml:space="preserve">（7）本基金在任何交易日买入权证的总金额，不得超过上一交易日基金资产净值的0.5％；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（8）本基金投资于同一原始权益人的各类资产支持证券的比例，不得超过基金资产净值的10％；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（9）本基金持有的全部资产支持证券，其市值不得超过基金资产净值的 20％； </w:t>
      </w:r>
    </w:p>
    <w:p>
      <w:pPr>
        <w:pStyle w:val="7"/>
        <w:spacing w:before="0" w:beforeAutospacing="0" w:after="0" w:afterAutospacing="0" w:line="360" w:lineRule="auto"/>
        <w:ind w:firstLine="420"/>
        <w:rPr>
          <w:sz w:val="21"/>
          <w:szCs w:val="21"/>
        </w:rPr>
      </w:pPr>
      <w:r>
        <w:rPr>
          <w:rFonts w:hint="eastAsia"/>
          <w:sz w:val="21"/>
          <w:szCs w:val="21"/>
        </w:rPr>
        <w:t xml:space="preserve">（10）本基金持有的同一(指同一信用级别)资产支持证券的比例，不得超过该资产支持证券规模的10％；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（11）本基金管理人管理的全部基金投资于同一原始权益人的各类资产支持证券，不得超过其各类资产支持证券合计规模的10％； </w:t>
      </w:r>
    </w:p>
    <w:p>
      <w:pPr>
        <w:pStyle w:val="7"/>
        <w:spacing w:before="0" w:beforeAutospacing="0" w:after="0" w:afterAutospacing="0" w:line="360" w:lineRule="auto"/>
        <w:ind w:firstLine="420"/>
        <w:rPr>
          <w:sz w:val="21"/>
          <w:szCs w:val="21"/>
        </w:rPr>
      </w:pPr>
      <w:r>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pPr>
        <w:pStyle w:val="7"/>
        <w:spacing w:before="0" w:beforeAutospacing="0" w:after="0" w:afterAutospacing="0" w:line="360" w:lineRule="auto"/>
        <w:ind w:firstLine="420"/>
        <w:rPr>
          <w:sz w:val="21"/>
          <w:szCs w:val="21"/>
        </w:rPr>
      </w:pPr>
      <w:r>
        <w:rPr>
          <w:rFonts w:hint="eastAsia"/>
          <w:sz w:val="21"/>
          <w:szCs w:val="21"/>
        </w:rPr>
        <w:t xml:space="preserve">（13）基金财产参与股票发行申购，本基金所申报的金额不超过本基金的总资产，本基金所申报的股票数量不超过拟发行股票公司本次发行股票的总量；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（14）本基金进入全国银行间同业市场进行债券回购的资金余额不得超过基金资产净值的40%，在全国银行间同业市场中的债券回购最长期限为1年，债券回购到期后不展期； </w:t>
      </w:r>
    </w:p>
    <w:p>
      <w:pPr>
        <w:pStyle w:val="7"/>
        <w:spacing w:before="0" w:beforeAutospacing="0" w:after="0" w:afterAutospacing="0" w:line="360" w:lineRule="auto"/>
        <w:ind w:firstLine="420"/>
        <w:rPr>
          <w:sz w:val="21"/>
          <w:szCs w:val="21"/>
        </w:rPr>
      </w:pPr>
      <w:r>
        <w:rPr>
          <w:rFonts w:hint="eastAsia"/>
          <w:sz w:val="21"/>
          <w:szCs w:val="21"/>
        </w:rPr>
        <w:t xml:space="preserve">（15）本基金参与股指期货、国债期货投资的，应遵循下列限制： </w:t>
      </w:r>
    </w:p>
    <w:p>
      <w:pPr>
        <w:pStyle w:val="7"/>
        <w:spacing w:before="0" w:beforeAutospacing="0" w:after="0" w:afterAutospacing="0" w:line="360" w:lineRule="auto"/>
        <w:ind w:firstLine="420"/>
        <w:rPr>
          <w:sz w:val="21"/>
          <w:szCs w:val="21"/>
        </w:rPr>
      </w:pPr>
      <w:r>
        <w:rPr>
          <w:rFonts w:hint="eastAsia"/>
          <w:sz w:val="21"/>
          <w:szCs w:val="21"/>
        </w:rPr>
        <w:t xml:space="preserve">1）本基金在任何交易日日终，持有的买入股指期货合约价值，不得超过基金资产净值的10%；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在任何交易日日终，本基金持有的买入股指期货和国债期货合约价值和有价证券市值之和，不得超过基金资产净值的95%；其中，有价证券指股票、债券（不含到期日在一年以内的政府债券）、权证、资产支持证券、买入返售金融资产（不含质押式回购）等； </w:t>
      </w:r>
    </w:p>
    <w:p>
      <w:pPr>
        <w:pStyle w:val="7"/>
        <w:spacing w:before="0" w:beforeAutospacing="0" w:after="0" w:afterAutospacing="0" w:line="360" w:lineRule="auto"/>
        <w:ind w:firstLine="420"/>
        <w:rPr>
          <w:sz w:val="21"/>
          <w:szCs w:val="21"/>
        </w:rPr>
      </w:pPr>
      <w:r>
        <w:rPr>
          <w:rFonts w:hint="eastAsia"/>
          <w:sz w:val="21"/>
          <w:szCs w:val="21"/>
        </w:rPr>
        <w:t xml:space="preserve">3）本基金在任何交易日日终，持有的卖出股指期货合约价值不得超过基金持有的股票总市值的20%； </w:t>
      </w:r>
    </w:p>
    <w:p>
      <w:pPr>
        <w:pStyle w:val="7"/>
        <w:spacing w:before="0" w:beforeAutospacing="0" w:after="0" w:afterAutospacing="0" w:line="360" w:lineRule="auto"/>
        <w:ind w:firstLine="420"/>
        <w:rPr>
          <w:sz w:val="21"/>
          <w:szCs w:val="21"/>
        </w:rPr>
      </w:pPr>
      <w:r>
        <w:rPr>
          <w:rFonts w:hint="eastAsia"/>
          <w:sz w:val="21"/>
          <w:szCs w:val="21"/>
        </w:rPr>
        <w:t xml:space="preserve">4）本基金在任何交易日内交易（不包括平仓）的股指期货合约的成交金额不得超过上一交易日基金资产净值的20%； </w:t>
      </w:r>
    </w:p>
    <w:p>
      <w:pPr>
        <w:pStyle w:val="7"/>
        <w:spacing w:before="0" w:beforeAutospacing="0" w:after="0" w:afterAutospacing="0" w:line="360" w:lineRule="auto"/>
        <w:ind w:firstLine="420"/>
        <w:rPr>
          <w:sz w:val="21"/>
          <w:szCs w:val="21"/>
        </w:rPr>
      </w:pPr>
      <w:r>
        <w:rPr>
          <w:rFonts w:hint="eastAsia"/>
          <w:sz w:val="21"/>
          <w:szCs w:val="21"/>
        </w:rPr>
        <w:t xml:space="preserve">5）本基金所持有的股票市值和买入、卖出股指期货合约价值，合计（轧差计算）应当符合基金合同关于股票投资比例的有关规定； </w:t>
      </w:r>
    </w:p>
    <w:p>
      <w:pPr>
        <w:pStyle w:val="7"/>
        <w:spacing w:before="0" w:beforeAutospacing="0" w:after="0" w:afterAutospacing="0" w:line="360" w:lineRule="auto"/>
        <w:ind w:firstLine="420"/>
        <w:rPr>
          <w:sz w:val="21"/>
          <w:szCs w:val="21"/>
        </w:rPr>
      </w:pPr>
      <w:r>
        <w:rPr>
          <w:rFonts w:hint="eastAsia"/>
          <w:sz w:val="21"/>
          <w:szCs w:val="21"/>
        </w:rPr>
        <w:t xml:space="preserve">6）本基金在任何交易日日终，持有的买入国债期货合约价值，不得超过基金资产净值的15%； </w:t>
      </w:r>
    </w:p>
    <w:p>
      <w:pPr>
        <w:pStyle w:val="7"/>
        <w:spacing w:before="0" w:beforeAutospacing="0" w:after="0" w:afterAutospacing="0" w:line="360" w:lineRule="auto"/>
        <w:ind w:firstLine="420"/>
        <w:rPr>
          <w:sz w:val="21"/>
          <w:szCs w:val="21"/>
        </w:rPr>
      </w:pPr>
      <w:r>
        <w:rPr>
          <w:rFonts w:hint="eastAsia"/>
          <w:sz w:val="21"/>
          <w:szCs w:val="21"/>
        </w:rPr>
        <w:t xml:space="preserve">7）本基金在任何交易日日终，持有的卖出国债期货合约价值不得超过基金持有的债券总市值的30%； </w:t>
      </w:r>
    </w:p>
    <w:p>
      <w:pPr>
        <w:pStyle w:val="7"/>
        <w:spacing w:before="0" w:beforeAutospacing="0" w:after="0" w:afterAutospacing="0" w:line="360" w:lineRule="auto"/>
        <w:ind w:firstLine="420"/>
        <w:rPr>
          <w:sz w:val="21"/>
          <w:szCs w:val="21"/>
        </w:rPr>
      </w:pPr>
      <w:r>
        <w:rPr>
          <w:rFonts w:hint="eastAsia"/>
          <w:sz w:val="21"/>
          <w:szCs w:val="21"/>
        </w:rPr>
        <w:t xml:space="preserve">8）本基金在任何交易日内交易（不包括平仓）的国债期货合约的成交金额不得超过上一交易日基金资产净值的30%； </w:t>
      </w:r>
    </w:p>
    <w:p>
      <w:pPr>
        <w:pStyle w:val="7"/>
        <w:spacing w:before="0" w:beforeAutospacing="0" w:after="0" w:afterAutospacing="0" w:line="360" w:lineRule="auto"/>
        <w:ind w:firstLine="420"/>
        <w:rPr>
          <w:sz w:val="21"/>
          <w:szCs w:val="21"/>
        </w:rPr>
      </w:pPr>
      <w:r>
        <w:rPr>
          <w:rFonts w:hint="eastAsia"/>
          <w:sz w:val="21"/>
          <w:szCs w:val="21"/>
        </w:rPr>
        <w:t xml:space="preserve">9）本基金所持有的债券（不含到期日在一年以内的政府债券）市值和买入、卖出国债期货合约价值，合计（轧差计算）应当符合基金合同关于债券投资比例的有关约定； </w:t>
      </w:r>
    </w:p>
    <w:p>
      <w:pPr>
        <w:pStyle w:val="7"/>
        <w:spacing w:before="0" w:beforeAutospacing="0" w:after="0" w:afterAutospacing="0" w:line="360" w:lineRule="auto"/>
        <w:ind w:firstLine="420"/>
        <w:rPr>
          <w:sz w:val="21"/>
          <w:szCs w:val="21"/>
        </w:rPr>
      </w:pPr>
      <w:r>
        <w:rPr>
          <w:rFonts w:hint="eastAsia"/>
          <w:sz w:val="21"/>
          <w:szCs w:val="21"/>
        </w:rPr>
        <w:t xml:space="preserve">（16）本基金的基金资产总值不得超过基金资产净值的140%； </w:t>
      </w:r>
    </w:p>
    <w:p>
      <w:pPr>
        <w:pStyle w:val="7"/>
        <w:spacing w:before="0" w:beforeAutospacing="0" w:after="0" w:afterAutospacing="0" w:line="360" w:lineRule="auto"/>
        <w:ind w:firstLine="420"/>
        <w:rPr>
          <w:sz w:val="21"/>
          <w:szCs w:val="21"/>
        </w:rPr>
      </w:pPr>
      <w:r>
        <w:rPr>
          <w:rFonts w:hint="eastAsia"/>
          <w:sz w:val="21"/>
          <w:szCs w:val="21"/>
        </w:rPr>
        <w:t xml:space="preserve">（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pPr>
        <w:pStyle w:val="7"/>
        <w:spacing w:before="0" w:beforeAutospacing="0" w:after="0" w:afterAutospacing="0" w:line="360" w:lineRule="auto"/>
        <w:ind w:firstLine="420"/>
        <w:rPr>
          <w:sz w:val="21"/>
          <w:szCs w:val="21"/>
        </w:rPr>
      </w:pPr>
      <w:r>
        <w:rPr>
          <w:rFonts w:hint="eastAsia"/>
          <w:sz w:val="21"/>
          <w:szCs w:val="21"/>
        </w:rPr>
        <w:t xml:space="preserve">（18）本基金主动投资于流动性受限资产的市值合计不得超过本基金资产净值的15%；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（19）本基金与私募类证券资管产品及中国证监会认定的其他主体为交易对手开展逆回购交易的，可接受质押品的资质要求应当与基金合同约定的投资范围保持一致； </w:t>
      </w:r>
    </w:p>
    <w:p>
      <w:pPr>
        <w:pStyle w:val="7"/>
        <w:spacing w:before="0" w:beforeAutospacing="0" w:after="0" w:afterAutospacing="0" w:line="360" w:lineRule="auto"/>
        <w:ind w:firstLine="420"/>
        <w:rPr>
          <w:sz w:val="21"/>
          <w:szCs w:val="21"/>
        </w:rPr>
      </w:pPr>
      <w:r>
        <w:rPr>
          <w:rFonts w:hint="eastAsia"/>
          <w:sz w:val="21"/>
          <w:szCs w:val="21"/>
        </w:rPr>
        <w:t xml:space="preserve">（20）本基金投资于中小企业私募债券比例合计不高于基金资产净值的10%；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（21）法律法规及中国证监会规定的其他投资比例限制。 </w:t>
      </w:r>
    </w:p>
    <w:p>
      <w:pPr>
        <w:pStyle w:val="7"/>
        <w:spacing w:before="0" w:beforeAutospacing="0" w:after="0" w:afterAutospacing="0" w:line="360" w:lineRule="auto"/>
        <w:ind w:firstLine="420"/>
        <w:rPr>
          <w:sz w:val="21"/>
          <w:szCs w:val="21"/>
        </w:rPr>
      </w:pPr>
      <w:r>
        <w:rPr>
          <w:rFonts w:hint="eastAsia"/>
          <w:sz w:val="21"/>
          <w:szCs w:val="21"/>
        </w:rPr>
        <w:t xml:space="preserve">除上述（2）、（12）、（18）、（19）的约定外，因证券市场及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应当符合基金合同的约定。基金托管人对基金的投资的监督与检查自基金合同生效之日起开始。 </w:t>
      </w:r>
    </w:p>
    <w:p>
      <w:pPr>
        <w:pStyle w:val="7"/>
        <w:spacing w:before="0" w:beforeAutospacing="0" w:after="0" w:afterAutospacing="0" w:line="360" w:lineRule="auto"/>
        <w:ind w:firstLine="420"/>
        <w:rPr>
          <w:sz w:val="21"/>
          <w:szCs w:val="21"/>
        </w:rPr>
      </w:pPr>
      <w:r>
        <w:rPr>
          <w:rFonts w:hint="eastAsia"/>
          <w:sz w:val="21"/>
          <w:szCs w:val="21"/>
        </w:rPr>
        <w:t xml:space="preserve">如果法律法规或监管部门对上述投资组合比例限制进行变更的，以变更后的规定为准。法律法规或监管部门取消上述限制，如适用于本基金，基金管理人在履行适当程序后，则本基金投资不再受相关限制，自动遵守届时有效的法律法规或监管规定，不需另行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2、禁止行为 </w:t>
      </w:r>
    </w:p>
    <w:p>
      <w:pPr>
        <w:pStyle w:val="7"/>
        <w:spacing w:before="0" w:beforeAutospacing="0" w:after="0" w:afterAutospacing="0" w:line="360" w:lineRule="auto"/>
        <w:ind w:firstLine="420"/>
        <w:rPr>
          <w:sz w:val="21"/>
          <w:szCs w:val="21"/>
        </w:rPr>
      </w:pPr>
      <w:r>
        <w:rPr>
          <w:rFonts w:hint="eastAsia"/>
          <w:sz w:val="21"/>
          <w:szCs w:val="21"/>
        </w:rPr>
        <w:t xml:space="preserve">为维护基金份额持有人的合法权益，基金财产不得用于下列投资或者活动： </w:t>
      </w:r>
    </w:p>
    <w:p>
      <w:pPr>
        <w:pStyle w:val="7"/>
        <w:spacing w:before="0" w:beforeAutospacing="0" w:after="0" w:afterAutospacing="0" w:line="360" w:lineRule="auto"/>
        <w:ind w:firstLine="420"/>
        <w:rPr>
          <w:sz w:val="21"/>
          <w:szCs w:val="21"/>
        </w:rPr>
      </w:pPr>
      <w:r>
        <w:rPr>
          <w:rFonts w:hint="eastAsia"/>
          <w:sz w:val="21"/>
          <w:szCs w:val="21"/>
        </w:rPr>
        <w:t xml:space="preserve">（1）承销证券； </w:t>
      </w:r>
    </w:p>
    <w:p>
      <w:pPr>
        <w:pStyle w:val="7"/>
        <w:spacing w:before="0" w:beforeAutospacing="0" w:after="0" w:afterAutospacing="0" w:line="360" w:lineRule="auto"/>
        <w:ind w:firstLine="420"/>
        <w:rPr>
          <w:sz w:val="21"/>
          <w:szCs w:val="21"/>
        </w:rPr>
      </w:pPr>
      <w:r>
        <w:rPr>
          <w:rFonts w:hint="eastAsia"/>
          <w:sz w:val="21"/>
          <w:szCs w:val="21"/>
        </w:rPr>
        <w:t xml:space="preserve">（2）违反规定向他人贷款或者提供担保； </w:t>
      </w:r>
    </w:p>
    <w:p>
      <w:pPr>
        <w:pStyle w:val="7"/>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7"/>
        <w:spacing w:before="0" w:beforeAutospacing="0" w:after="0" w:afterAutospacing="0" w:line="360" w:lineRule="auto"/>
        <w:ind w:firstLine="420"/>
        <w:rPr>
          <w:sz w:val="21"/>
          <w:szCs w:val="21"/>
        </w:rPr>
      </w:pPr>
      <w:r>
        <w:rPr>
          <w:rFonts w:hint="eastAsia"/>
          <w:sz w:val="21"/>
          <w:szCs w:val="21"/>
        </w:rPr>
        <w:t xml:space="preserve">（4）买卖其他基金份额，但是中国证监会另有规定的除外；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（5）向其基金管理人、基金托管人出资； </w:t>
      </w:r>
    </w:p>
    <w:p>
      <w:pPr>
        <w:pStyle w:val="7"/>
        <w:spacing w:before="0" w:beforeAutospacing="0" w:after="0" w:afterAutospacing="0" w:line="360" w:lineRule="auto"/>
        <w:ind w:firstLine="420"/>
        <w:rPr>
          <w:sz w:val="21"/>
          <w:szCs w:val="21"/>
        </w:rPr>
      </w:pPr>
      <w:r>
        <w:rPr>
          <w:rFonts w:hint="eastAsia"/>
          <w:sz w:val="21"/>
          <w:szCs w:val="21"/>
        </w:rPr>
        <w:t xml:space="preserve">（6）从事内幕交易、操纵证券交易价格及其他不正当的证券交易活动； </w:t>
      </w:r>
    </w:p>
    <w:p>
      <w:pPr>
        <w:pStyle w:val="7"/>
        <w:spacing w:before="0" w:beforeAutospacing="0" w:after="0" w:afterAutospacing="0" w:line="360" w:lineRule="auto"/>
        <w:ind w:firstLine="420"/>
        <w:rPr>
          <w:sz w:val="21"/>
          <w:szCs w:val="21"/>
        </w:rPr>
      </w:pPr>
      <w:r>
        <w:rPr>
          <w:rFonts w:hint="eastAsia"/>
          <w:sz w:val="21"/>
          <w:szCs w:val="21"/>
        </w:rPr>
        <w:t xml:space="preserve">（7）法律、行政法规和中国证监会规定禁止的其他活动。 </w:t>
      </w:r>
    </w:p>
    <w:p>
      <w:pPr>
        <w:pStyle w:val="7"/>
        <w:spacing w:before="0" w:beforeAutospacing="0" w:after="0" w:afterAutospacing="0" w:line="360" w:lineRule="auto"/>
        <w:ind w:firstLine="420"/>
        <w:rPr>
          <w:sz w:val="21"/>
          <w:szCs w:val="21"/>
        </w:rPr>
      </w:pPr>
      <w:r>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pPr>
        <w:pStyle w:val="7"/>
        <w:spacing w:before="0" w:beforeAutospacing="0" w:after="0" w:afterAutospacing="0" w:line="360" w:lineRule="auto"/>
        <w:ind w:firstLine="420"/>
        <w:rPr>
          <w:sz w:val="21"/>
          <w:szCs w:val="21"/>
        </w:rPr>
      </w:pPr>
      <w:r>
        <w:rPr>
          <w:rFonts w:hint="eastAsia"/>
          <w:sz w:val="21"/>
          <w:szCs w:val="21"/>
        </w:rPr>
        <w:t xml:space="preserve">法律、行政法规或监管部门取消或变更上述禁止性规定，如适用于本基金，基金管理人在履行适当程序后，则本基金投资不再受相关限制或以变更后的规定为准。 </w:t>
      </w:r>
    </w:p>
    <w:p>
      <w:pPr>
        <w:pStyle w:val="7"/>
        <w:spacing w:before="0" w:beforeAutospacing="0" w:after="0" w:afterAutospacing="0" w:line="360" w:lineRule="auto"/>
        <w:ind w:firstLine="420"/>
        <w:rPr>
          <w:sz w:val="21"/>
          <w:szCs w:val="21"/>
        </w:rPr>
      </w:pPr>
      <w:bookmarkStart w:id="122" w:name="chapter_level1_11_60_section_2_end"/>
      <w:bookmarkEnd w:id="122"/>
      <w:r>
        <w:rPr>
          <w:rStyle w:val="11"/>
          <w:rFonts w:hint="eastAsia"/>
          <w:sz w:val="21"/>
          <w:szCs w:val="21"/>
        </w:rPr>
        <w:t>五、业绩比较基准</w:t>
      </w:r>
    </w:p>
    <w:p>
      <w:pPr>
        <w:pStyle w:val="7"/>
        <w:spacing w:before="0" w:beforeAutospacing="0" w:after="0" w:afterAutospacing="0" w:line="360" w:lineRule="auto"/>
        <w:ind w:firstLine="420"/>
        <w:rPr>
          <w:sz w:val="21"/>
          <w:szCs w:val="21"/>
        </w:rPr>
      </w:pPr>
      <w:bookmarkStart w:id="123" w:name="chapter_level1_11_60_section_3"/>
      <w:bookmarkEnd w:id="123"/>
      <w:r>
        <w:rPr>
          <w:rFonts w:hint="eastAsia"/>
          <w:sz w:val="21"/>
          <w:szCs w:val="21"/>
        </w:rPr>
        <w:t>本基金的业绩比较基准为：</w:t>
      </w:r>
      <w:bookmarkStart w:id="124" w:name="field_60_benchmark_1_start"/>
      <w:bookmarkEnd w:id="124"/>
      <w:r>
        <w:rPr>
          <w:rFonts w:hint="eastAsia"/>
          <w:sz w:val="21"/>
          <w:szCs w:val="21"/>
        </w:rPr>
        <w:t xml:space="preserve">沪深300指数收益率×55%＋恒生综合指数收益率×10%＋中债综合财富（总值）指数收益率×35%。  </w:t>
      </w:r>
      <w:bookmarkStart w:id="125" w:name="field_60_benchmark_1_end"/>
      <w:bookmarkEnd w:id="125"/>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沪深300指数是上海证券交易所和深圳证券交易所共同推出的沪深两个市场第一个统一指数；该指数编制合理、透明，有一定市场覆盖率，不易被操纵，并且有较高的知名度和市场影响力。恒生综合指数可以较好地代表港股市场业绩表现，适合作为本基金港股股票组合的业绩比较基准。中债综合财富（总值）指数由中央国债登记结算有限责任公司编制，样本债券涵盖的范围全面，具有广泛的市场代表性，涵盖主要交易市场（银行间市场、交易所市场等）、不同发行主体（政府、企业等）和期限（长期、中期、短期等），能够很好地反映中国债券市场总体价格水平和变动趋势。 </w:t>
      </w:r>
    </w:p>
    <w:p>
      <w:pPr>
        <w:pStyle w:val="7"/>
        <w:spacing w:before="0" w:beforeAutospacing="0" w:after="0" w:afterAutospacing="0" w:line="360" w:lineRule="auto"/>
        <w:ind w:firstLine="420"/>
        <w:rPr>
          <w:sz w:val="21"/>
          <w:szCs w:val="21"/>
        </w:rPr>
      </w:pPr>
      <w:r>
        <w:rPr>
          <w:rFonts w:hint="eastAsia"/>
          <w:sz w:val="21"/>
          <w:szCs w:val="21"/>
        </w:rPr>
        <w:t>如果相关法律法规发生变化，或者有更权威的、更能为市场普遍接受的业绩比较基准推出，或者市场发生变化导致本业绩比较基准不再适用或本业绩比较基准采用的指数停止发布，经基金管理人与基金托管人协商，本基金可以在报中国证监会备案后变更业绩比较基准并及</w:t>
      </w:r>
      <w:bookmarkStart w:id="126" w:name="chapter_level1_11_60_section_3_end"/>
      <w:bookmarkEnd w:id="126"/>
      <w:r>
        <w:rPr>
          <w:rFonts w:hint="eastAsia"/>
          <w:sz w:val="21"/>
          <w:szCs w:val="21"/>
        </w:rPr>
        <w:t xml:space="preserve">时公告，而无须召开基金份额持有人大会。 </w:t>
      </w:r>
    </w:p>
    <w:p>
      <w:pPr>
        <w:pStyle w:val="7"/>
        <w:spacing w:before="0" w:beforeAutospacing="0" w:after="0" w:afterAutospacing="0" w:line="360" w:lineRule="auto"/>
        <w:ind w:firstLine="420"/>
        <w:rPr>
          <w:sz w:val="21"/>
          <w:szCs w:val="21"/>
        </w:rPr>
      </w:pPr>
      <w:bookmarkStart w:id="127" w:name="chapter_level1_11_60_section_4"/>
      <w:bookmarkEnd w:id="127"/>
      <w:r>
        <w:rPr>
          <w:rStyle w:val="11"/>
          <w:rFonts w:hint="eastAsia"/>
          <w:sz w:val="21"/>
          <w:szCs w:val="21"/>
        </w:rPr>
        <w:t>六、风险收益特征</w:t>
      </w:r>
    </w:p>
    <w:p>
      <w:pPr>
        <w:pStyle w:val="7"/>
        <w:spacing w:before="0" w:beforeAutospacing="0" w:after="0" w:afterAutospacing="0" w:line="360" w:lineRule="auto"/>
        <w:ind w:firstLine="420"/>
        <w:rPr>
          <w:sz w:val="21"/>
          <w:szCs w:val="21"/>
        </w:rPr>
      </w:pPr>
      <w:bookmarkStart w:id="128" w:name="field_60_riskyield_1_start"/>
      <w:bookmarkEnd w:id="128"/>
      <w:r>
        <w:rPr>
          <w:rFonts w:hint="eastAsia"/>
          <w:sz w:val="21"/>
          <w:szCs w:val="21"/>
        </w:rPr>
        <w:t xml:space="preserve">本基金是混合型证券投资基金，其预期收益和预期风险水平高于债券型基金产品和货币市场基金，低于股票型基金，属于中高预期风险、中高预期收益的基金产品。  </w:t>
      </w:r>
      <w:bookmarkStart w:id="129" w:name="field_60_riskyield_1_end"/>
      <w:bookmarkEnd w:id="129"/>
      <w:r>
        <w:rPr>
          <w:rFonts w:hint="eastAsia"/>
          <w:sz w:val="21"/>
          <w:szCs w:val="21"/>
        </w:rPr>
        <w:t xml:space="preserve">  </w:t>
      </w:r>
    </w:p>
    <w:p>
      <w:pPr>
        <w:pStyle w:val="7"/>
        <w:spacing w:before="0" w:beforeAutospacing="0" w:after="0" w:afterAutospacing="0" w:line="360" w:lineRule="auto"/>
        <w:ind w:firstLine="420"/>
        <w:rPr>
          <w:sz w:val="21"/>
          <w:szCs w:val="21"/>
        </w:rPr>
      </w:pPr>
      <w:r>
        <w:rPr>
          <w:rStyle w:val="11"/>
          <w:rFonts w:hint="eastAsia"/>
          <w:sz w:val="21"/>
          <w:szCs w:val="21"/>
        </w:rPr>
        <w:t>七、基金管理人代表基金行使相关权利的处理原则及方法</w:t>
      </w:r>
    </w:p>
    <w:p>
      <w:pPr>
        <w:pStyle w:val="7"/>
        <w:spacing w:before="0" w:beforeAutospacing="0" w:after="0" w:afterAutospacing="0" w:line="360" w:lineRule="auto"/>
        <w:ind w:firstLine="420"/>
        <w:rPr>
          <w:sz w:val="21"/>
          <w:szCs w:val="21"/>
        </w:rPr>
      </w:pPr>
      <w:r>
        <w:rPr>
          <w:rFonts w:hint="eastAsia"/>
          <w:sz w:val="21"/>
          <w:szCs w:val="21"/>
        </w:rPr>
        <w:t xml:space="preserve">1、基金管理人按照国家有关规定代表基金独立行使相关权利，保护基金份额持有人的利益； </w:t>
      </w:r>
    </w:p>
    <w:p>
      <w:pPr>
        <w:pStyle w:val="7"/>
        <w:spacing w:before="0" w:beforeAutospacing="0" w:after="0" w:afterAutospacing="0" w:line="360" w:lineRule="auto"/>
        <w:ind w:firstLine="420"/>
        <w:rPr>
          <w:sz w:val="21"/>
          <w:szCs w:val="21"/>
        </w:rPr>
      </w:pPr>
      <w:r>
        <w:rPr>
          <w:rFonts w:hint="eastAsia"/>
          <w:sz w:val="21"/>
          <w:szCs w:val="21"/>
        </w:rPr>
        <w:t xml:space="preserve">2、不谋求对上市公司的控股，不参与所投资上市公司的经营管理； </w:t>
      </w:r>
    </w:p>
    <w:p>
      <w:pPr>
        <w:pStyle w:val="7"/>
        <w:spacing w:before="0" w:beforeAutospacing="0" w:after="0" w:afterAutospacing="0" w:line="360" w:lineRule="auto"/>
        <w:ind w:firstLine="420"/>
        <w:rPr>
          <w:sz w:val="21"/>
          <w:szCs w:val="21"/>
        </w:rPr>
      </w:pPr>
      <w:r>
        <w:rPr>
          <w:rFonts w:hint="eastAsia"/>
          <w:sz w:val="21"/>
          <w:szCs w:val="21"/>
        </w:rPr>
        <w:t xml:space="preserve">3、有利于基金财产的安全与增值； </w:t>
      </w:r>
    </w:p>
    <w:p>
      <w:pPr>
        <w:pStyle w:val="7"/>
        <w:spacing w:before="0" w:beforeAutospacing="0" w:after="0" w:afterAutospacing="0" w:line="360" w:lineRule="auto"/>
        <w:ind w:firstLine="420"/>
        <w:rPr>
          <w:sz w:val="21"/>
          <w:szCs w:val="21"/>
        </w:rPr>
      </w:pPr>
      <w:r>
        <w:rPr>
          <w:rFonts w:hint="eastAsia"/>
          <w:sz w:val="21"/>
          <w:szCs w:val="21"/>
        </w:rPr>
        <w:t>4、不通过关联交易为自身、雇员、授权代理人或任何存在利害关系的第三人牟取任何</w:t>
      </w:r>
      <w:bookmarkStart w:id="130" w:name="chapter_level1_11_60_section_4_end"/>
      <w:bookmarkEnd w:id="130"/>
      <w:r>
        <w:rPr>
          <w:rFonts w:hint="eastAsia"/>
          <w:sz w:val="21"/>
          <w:szCs w:val="21"/>
        </w:rPr>
        <w:t xml:space="preserve">不当利益。 </w:t>
      </w:r>
    </w:p>
    <w:p>
      <w:pPr>
        <w:pStyle w:val="7"/>
        <w:spacing w:before="0" w:beforeAutospacing="0" w:after="0" w:afterAutospacing="0" w:line="360" w:lineRule="auto"/>
        <w:ind w:firstLine="420"/>
        <w:rPr>
          <w:sz w:val="21"/>
          <w:szCs w:val="21"/>
        </w:rPr>
      </w:pPr>
      <w:bookmarkStart w:id="131" w:name="chapter_level1_11_60_section_5"/>
      <w:bookmarkEnd w:id="131"/>
      <w:bookmarkStart w:id="132" w:name="chapter_level1_11_60_section_5_end"/>
      <w:bookmarkEnd w:id="132"/>
      <w:r>
        <w:rPr>
          <w:rStyle w:val="11"/>
          <w:rFonts w:hint="eastAsia"/>
          <w:sz w:val="21"/>
          <w:szCs w:val="21"/>
        </w:rPr>
        <w:t>九、基金投资组合报告</w:t>
      </w:r>
    </w:p>
    <w:p>
      <w:pPr>
        <w:pStyle w:val="7"/>
        <w:spacing w:before="0" w:beforeAutospacing="0" w:after="0" w:afterAutospacing="0" w:line="360" w:lineRule="auto"/>
        <w:ind w:firstLine="420"/>
        <w:rPr>
          <w:sz w:val="21"/>
          <w:szCs w:val="21"/>
        </w:rPr>
      </w:pPr>
      <w:bookmarkStart w:id="133" w:name="chapter_level1_11_60_section_6"/>
      <w:bookmarkEnd w:id="133"/>
      <w:r>
        <w:rPr>
          <w:rFonts w:hint="eastAsia"/>
          <w:sz w:val="21"/>
          <w:szCs w:val="21"/>
        </w:rPr>
        <w:t xml:space="preserve">基金管理人的董事会及董事保证本报告所载资料不存在虚假记载、误导性陈述或重大遗漏，并对其内容的真实性、准确性和完整性承担个别及连带责任。 </w:t>
      </w:r>
    </w:p>
    <w:p>
      <w:pPr>
        <w:pStyle w:val="7"/>
        <w:spacing w:before="0" w:beforeAutospacing="0" w:after="0" w:afterAutospacing="0" w:line="360" w:lineRule="auto"/>
        <w:ind w:firstLine="420"/>
        <w:rPr>
          <w:sz w:val="21"/>
          <w:szCs w:val="21"/>
        </w:rPr>
      </w:pPr>
      <w:r>
        <w:rPr>
          <w:rFonts w:hint="eastAsia"/>
          <w:sz w:val="21"/>
          <w:szCs w:val="21"/>
        </w:rPr>
        <w:t xml:space="preserve">基金托管人根据基金合同规定，复核了本报告中的净值表现和投资组合报告等内容，保证复核内容不存在虚假记载、误导性陈述或者重大遗漏。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本投资组合报告所载数据截至</w:t>
      </w:r>
      <w:bookmarkStart w:id="134" w:name="field_2343_financeendday_2"/>
      <w:r>
        <w:rPr>
          <w:sz w:val="21"/>
          <w:szCs w:val="21"/>
        </w:rPr>
        <w:t>2022年6月30日</w:t>
      </w:r>
      <w:bookmarkEnd w:id="134"/>
      <w:r>
        <w:rPr>
          <w:rFonts w:hint="eastAsia"/>
          <w:sz w:val="21"/>
          <w:szCs w:val="21"/>
        </w:rPr>
        <w:t xml:space="preserve">，本报告中所列财务数据未经审计。 </w:t>
      </w:r>
    </w:p>
    <w:p>
      <w:pPr>
        <w:pStyle w:val="7"/>
        <w:spacing w:before="0" w:beforeAutospacing="0" w:after="0" w:afterAutospacing="0" w:line="360" w:lineRule="auto"/>
        <w:ind w:firstLine="420"/>
        <w:rPr>
          <w:sz w:val="21"/>
          <w:szCs w:val="21"/>
        </w:rPr>
      </w:pPr>
      <w:r>
        <w:rPr>
          <w:rFonts w:hint="eastAsia"/>
          <w:sz w:val="21"/>
          <w:szCs w:val="21"/>
        </w:rPr>
        <w:t xml:space="preserve">1 报告期末基金资产组合情况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3357"/>
        <w:gridCol w:w="2266"/>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rPr>
                <w:sz w:val="21"/>
                <w:szCs w:val="21"/>
              </w:rPr>
            </w:pPr>
            <w:r>
              <w:rPr>
                <w:rFonts w:hint="eastAsia"/>
                <w:sz w:val="21"/>
                <w:szCs w:val="21"/>
              </w:rPr>
              <w:t xml:space="preserve">序号 </w:t>
            </w:r>
          </w:p>
        </w:tc>
        <w:tc>
          <w:tcPr>
            <w:tcW w:w="4425" w:type="dxa"/>
            <w:shd w:val="clear" w:color="auto" w:fill="auto"/>
          </w:tcPr>
          <w:p>
            <w:pPr>
              <w:pStyle w:val="7"/>
              <w:jc w:val="center"/>
              <w:rPr>
                <w:sz w:val="21"/>
                <w:szCs w:val="21"/>
              </w:rPr>
            </w:pPr>
            <w:r>
              <w:rPr>
                <w:rFonts w:hint="eastAsia"/>
                <w:sz w:val="21"/>
                <w:szCs w:val="21"/>
              </w:rPr>
              <w:t xml:space="preserve">项目 </w:t>
            </w:r>
          </w:p>
        </w:tc>
        <w:tc>
          <w:tcPr>
            <w:tcW w:w="2535" w:type="dxa"/>
            <w:shd w:val="clear" w:color="auto" w:fill="auto"/>
          </w:tcPr>
          <w:p>
            <w:pPr>
              <w:pStyle w:val="7"/>
              <w:jc w:val="center"/>
              <w:rPr>
                <w:sz w:val="21"/>
                <w:szCs w:val="21"/>
              </w:rPr>
            </w:pPr>
            <w:r>
              <w:rPr>
                <w:rFonts w:hint="eastAsia"/>
                <w:sz w:val="21"/>
                <w:szCs w:val="21"/>
              </w:rPr>
              <w:t xml:space="preserve">金额(元) </w:t>
            </w:r>
          </w:p>
        </w:tc>
        <w:tc>
          <w:tcPr>
            <w:tcW w:w="2790" w:type="dxa"/>
            <w:shd w:val="clear" w:color="auto" w:fill="auto"/>
          </w:tcPr>
          <w:p>
            <w:pPr>
              <w:pStyle w:val="7"/>
              <w:jc w:val="center"/>
              <w:rPr>
                <w:sz w:val="21"/>
                <w:szCs w:val="21"/>
              </w:rPr>
            </w:pPr>
            <w:r>
              <w:rPr>
                <w:rFonts w:hint="eastAsia"/>
                <w:sz w:val="21"/>
                <w:szCs w:val="21"/>
              </w:rPr>
              <w:t xml:space="preserve">占基金总资产的比例(%)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rPr>
                <w:sz w:val="21"/>
                <w:szCs w:val="21"/>
              </w:rPr>
            </w:pPr>
            <w:r>
              <w:rPr>
                <w:rFonts w:hint="eastAsia"/>
                <w:sz w:val="21"/>
                <w:szCs w:val="21"/>
              </w:rPr>
              <w:t xml:space="preserve">1 </w:t>
            </w:r>
          </w:p>
        </w:tc>
        <w:tc>
          <w:tcPr>
            <w:tcW w:w="4425" w:type="dxa"/>
            <w:shd w:val="clear" w:color="auto" w:fill="auto"/>
          </w:tcPr>
          <w:p>
            <w:pPr>
              <w:pStyle w:val="7"/>
              <w:rPr>
                <w:sz w:val="21"/>
                <w:szCs w:val="21"/>
              </w:rPr>
            </w:pPr>
            <w:r>
              <w:rPr>
                <w:rFonts w:hint="eastAsia"/>
                <w:sz w:val="21"/>
                <w:szCs w:val="21"/>
              </w:rPr>
              <w:t xml:space="preserve">权益投资 </w:t>
            </w:r>
          </w:p>
        </w:tc>
        <w:tc>
          <w:tcPr>
            <w:tcW w:w="2535" w:type="dxa"/>
            <w:shd w:val="clear" w:color="auto" w:fill="auto"/>
          </w:tcPr>
          <w:p>
            <w:pPr>
              <w:pStyle w:val="7"/>
              <w:jc w:val="right"/>
              <w:rPr>
                <w:sz w:val="21"/>
                <w:szCs w:val="21"/>
              </w:rPr>
            </w:pPr>
            <w:r>
              <w:rPr>
                <w:rFonts w:hint="eastAsia"/>
                <w:sz w:val="21"/>
                <w:szCs w:val="21"/>
              </w:rPr>
              <w:t xml:space="preserve">83,934,502.31 </w:t>
            </w:r>
          </w:p>
        </w:tc>
        <w:tc>
          <w:tcPr>
            <w:tcW w:w="2790" w:type="dxa"/>
            <w:shd w:val="clear" w:color="auto" w:fill="auto"/>
          </w:tcPr>
          <w:p>
            <w:pPr>
              <w:pStyle w:val="7"/>
              <w:jc w:val="right"/>
              <w:rPr>
                <w:sz w:val="21"/>
                <w:szCs w:val="21"/>
              </w:rPr>
            </w:pPr>
            <w:r>
              <w:rPr>
                <w:rFonts w:hint="eastAsia"/>
                <w:sz w:val="21"/>
                <w:szCs w:val="21"/>
              </w:rPr>
              <w:t xml:space="preserve">79.15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rPr>
                <w:rFonts w:ascii="宋体" w:hAnsi="宋体" w:eastAsia="宋体" w:cs="宋体"/>
                <w:szCs w:val="21"/>
              </w:rPr>
            </w:pPr>
          </w:p>
        </w:tc>
        <w:tc>
          <w:tcPr>
            <w:tcW w:w="4425" w:type="dxa"/>
            <w:shd w:val="clear" w:color="auto" w:fill="auto"/>
          </w:tcPr>
          <w:p>
            <w:pPr>
              <w:pStyle w:val="7"/>
              <w:rPr>
                <w:sz w:val="21"/>
                <w:szCs w:val="21"/>
              </w:rPr>
            </w:pPr>
            <w:r>
              <w:rPr>
                <w:rFonts w:hint="eastAsia"/>
                <w:sz w:val="21"/>
                <w:szCs w:val="21"/>
              </w:rPr>
              <w:t xml:space="preserve">其中：股票 </w:t>
            </w:r>
          </w:p>
        </w:tc>
        <w:tc>
          <w:tcPr>
            <w:tcW w:w="2535" w:type="dxa"/>
            <w:shd w:val="clear" w:color="auto" w:fill="auto"/>
          </w:tcPr>
          <w:p>
            <w:pPr>
              <w:pStyle w:val="7"/>
              <w:jc w:val="right"/>
              <w:rPr>
                <w:sz w:val="21"/>
                <w:szCs w:val="21"/>
              </w:rPr>
            </w:pPr>
            <w:r>
              <w:rPr>
                <w:rFonts w:hint="eastAsia"/>
                <w:sz w:val="21"/>
                <w:szCs w:val="21"/>
              </w:rPr>
              <w:t xml:space="preserve">83,934,502.31 </w:t>
            </w:r>
          </w:p>
        </w:tc>
        <w:tc>
          <w:tcPr>
            <w:tcW w:w="2790" w:type="dxa"/>
            <w:shd w:val="clear" w:color="auto" w:fill="auto"/>
          </w:tcPr>
          <w:p>
            <w:pPr>
              <w:pStyle w:val="7"/>
              <w:jc w:val="right"/>
              <w:rPr>
                <w:sz w:val="21"/>
                <w:szCs w:val="21"/>
              </w:rPr>
            </w:pPr>
            <w:r>
              <w:rPr>
                <w:rFonts w:hint="eastAsia"/>
                <w:sz w:val="21"/>
                <w:szCs w:val="21"/>
              </w:rPr>
              <w:t xml:space="preserve">79.15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rPr>
                <w:sz w:val="21"/>
                <w:szCs w:val="21"/>
              </w:rPr>
            </w:pPr>
            <w:r>
              <w:rPr>
                <w:rFonts w:hint="eastAsia"/>
                <w:sz w:val="21"/>
                <w:szCs w:val="21"/>
              </w:rPr>
              <w:t xml:space="preserve">2 </w:t>
            </w:r>
          </w:p>
        </w:tc>
        <w:tc>
          <w:tcPr>
            <w:tcW w:w="4425" w:type="dxa"/>
            <w:shd w:val="clear" w:color="auto" w:fill="auto"/>
          </w:tcPr>
          <w:p>
            <w:pPr>
              <w:pStyle w:val="7"/>
              <w:rPr>
                <w:sz w:val="21"/>
                <w:szCs w:val="21"/>
              </w:rPr>
            </w:pPr>
            <w:r>
              <w:rPr>
                <w:rFonts w:hint="eastAsia"/>
                <w:sz w:val="21"/>
                <w:szCs w:val="21"/>
              </w:rPr>
              <w:t xml:space="preserve">基金投资 </w:t>
            </w:r>
          </w:p>
        </w:tc>
        <w:tc>
          <w:tcPr>
            <w:tcW w:w="253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rPr>
                <w:sz w:val="21"/>
                <w:szCs w:val="21"/>
              </w:rPr>
            </w:pPr>
            <w:r>
              <w:rPr>
                <w:rFonts w:hint="eastAsia"/>
                <w:sz w:val="21"/>
                <w:szCs w:val="21"/>
              </w:rPr>
              <w:t xml:space="preserve">3 </w:t>
            </w:r>
          </w:p>
        </w:tc>
        <w:tc>
          <w:tcPr>
            <w:tcW w:w="4425" w:type="dxa"/>
            <w:shd w:val="clear" w:color="auto" w:fill="auto"/>
          </w:tcPr>
          <w:p>
            <w:pPr>
              <w:pStyle w:val="7"/>
              <w:rPr>
                <w:sz w:val="21"/>
                <w:szCs w:val="21"/>
              </w:rPr>
            </w:pPr>
            <w:r>
              <w:rPr>
                <w:rFonts w:hint="eastAsia"/>
                <w:sz w:val="21"/>
                <w:szCs w:val="21"/>
              </w:rPr>
              <w:t xml:space="preserve">固定收益投资 </w:t>
            </w:r>
          </w:p>
        </w:tc>
        <w:tc>
          <w:tcPr>
            <w:tcW w:w="253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rPr>
                <w:rFonts w:ascii="宋体" w:hAnsi="宋体" w:eastAsia="宋体" w:cs="宋体"/>
                <w:szCs w:val="21"/>
              </w:rPr>
            </w:pPr>
          </w:p>
        </w:tc>
        <w:tc>
          <w:tcPr>
            <w:tcW w:w="4425" w:type="dxa"/>
            <w:shd w:val="clear" w:color="auto" w:fill="auto"/>
          </w:tcPr>
          <w:p>
            <w:pPr>
              <w:pStyle w:val="7"/>
              <w:rPr>
                <w:sz w:val="21"/>
                <w:szCs w:val="21"/>
              </w:rPr>
            </w:pPr>
            <w:r>
              <w:rPr>
                <w:rFonts w:hint="eastAsia"/>
                <w:sz w:val="21"/>
                <w:szCs w:val="21"/>
              </w:rPr>
              <w:t xml:space="preserve">其中：债券 </w:t>
            </w:r>
          </w:p>
        </w:tc>
        <w:tc>
          <w:tcPr>
            <w:tcW w:w="253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rPr>
                <w:rFonts w:ascii="宋体" w:hAnsi="宋体" w:eastAsia="宋体" w:cs="宋体"/>
                <w:szCs w:val="21"/>
              </w:rPr>
            </w:pPr>
          </w:p>
        </w:tc>
        <w:tc>
          <w:tcPr>
            <w:tcW w:w="4425" w:type="dxa"/>
            <w:shd w:val="clear" w:color="auto" w:fill="auto"/>
          </w:tcPr>
          <w:p>
            <w:pPr>
              <w:pStyle w:val="7"/>
              <w:ind w:firstLine="626"/>
              <w:rPr>
                <w:sz w:val="21"/>
                <w:szCs w:val="21"/>
              </w:rPr>
            </w:pPr>
            <w:r>
              <w:rPr>
                <w:rFonts w:hint="eastAsia"/>
                <w:sz w:val="21"/>
                <w:szCs w:val="21"/>
              </w:rPr>
              <w:t xml:space="preserve">资产支持证券 </w:t>
            </w:r>
          </w:p>
        </w:tc>
        <w:tc>
          <w:tcPr>
            <w:tcW w:w="253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rPr>
                <w:sz w:val="21"/>
                <w:szCs w:val="21"/>
              </w:rPr>
            </w:pPr>
            <w:r>
              <w:rPr>
                <w:rFonts w:hint="eastAsia"/>
                <w:sz w:val="21"/>
                <w:szCs w:val="21"/>
              </w:rPr>
              <w:t xml:space="preserve">4 </w:t>
            </w:r>
          </w:p>
        </w:tc>
        <w:tc>
          <w:tcPr>
            <w:tcW w:w="4425" w:type="dxa"/>
            <w:shd w:val="clear" w:color="auto" w:fill="auto"/>
          </w:tcPr>
          <w:p>
            <w:pPr>
              <w:pStyle w:val="7"/>
              <w:rPr>
                <w:sz w:val="21"/>
                <w:szCs w:val="21"/>
              </w:rPr>
            </w:pPr>
            <w:r>
              <w:rPr>
                <w:rFonts w:hint="eastAsia"/>
                <w:sz w:val="21"/>
                <w:szCs w:val="21"/>
              </w:rPr>
              <w:t xml:space="preserve">贵金属投资 </w:t>
            </w:r>
          </w:p>
        </w:tc>
        <w:tc>
          <w:tcPr>
            <w:tcW w:w="253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rPr>
                <w:sz w:val="21"/>
                <w:szCs w:val="21"/>
              </w:rPr>
            </w:pPr>
            <w:r>
              <w:rPr>
                <w:rFonts w:hint="eastAsia"/>
                <w:sz w:val="21"/>
                <w:szCs w:val="21"/>
              </w:rPr>
              <w:t xml:space="preserve">5 </w:t>
            </w:r>
          </w:p>
        </w:tc>
        <w:tc>
          <w:tcPr>
            <w:tcW w:w="4425" w:type="dxa"/>
            <w:shd w:val="clear" w:color="auto" w:fill="auto"/>
          </w:tcPr>
          <w:p>
            <w:pPr>
              <w:pStyle w:val="7"/>
              <w:rPr>
                <w:sz w:val="21"/>
                <w:szCs w:val="21"/>
              </w:rPr>
            </w:pPr>
            <w:r>
              <w:rPr>
                <w:rFonts w:hint="eastAsia"/>
                <w:sz w:val="21"/>
                <w:szCs w:val="21"/>
              </w:rPr>
              <w:t xml:space="preserve">金融衍生品投资 </w:t>
            </w:r>
          </w:p>
        </w:tc>
        <w:tc>
          <w:tcPr>
            <w:tcW w:w="253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rPr>
                <w:sz w:val="21"/>
                <w:szCs w:val="21"/>
              </w:rPr>
            </w:pPr>
            <w:r>
              <w:rPr>
                <w:rFonts w:hint="eastAsia"/>
                <w:sz w:val="21"/>
                <w:szCs w:val="21"/>
              </w:rPr>
              <w:t xml:space="preserve">6 </w:t>
            </w:r>
          </w:p>
        </w:tc>
        <w:tc>
          <w:tcPr>
            <w:tcW w:w="4425" w:type="dxa"/>
            <w:shd w:val="clear" w:color="auto" w:fill="auto"/>
          </w:tcPr>
          <w:p>
            <w:pPr>
              <w:pStyle w:val="7"/>
              <w:rPr>
                <w:sz w:val="21"/>
                <w:szCs w:val="21"/>
              </w:rPr>
            </w:pPr>
            <w:r>
              <w:rPr>
                <w:rFonts w:hint="eastAsia"/>
                <w:sz w:val="21"/>
                <w:szCs w:val="21"/>
              </w:rPr>
              <w:t xml:space="preserve">买入返售金融资产 </w:t>
            </w:r>
          </w:p>
        </w:tc>
        <w:tc>
          <w:tcPr>
            <w:tcW w:w="253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rPr>
                <w:rFonts w:ascii="宋体" w:hAnsi="宋体" w:eastAsia="宋体" w:cs="宋体"/>
                <w:szCs w:val="21"/>
              </w:rPr>
            </w:pPr>
          </w:p>
        </w:tc>
        <w:tc>
          <w:tcPr>
            <w:tcW w:w="4425" w:type="dxa"/>
            <w:shd w:val="clear" w:color="auto" w:fill="auto"/>
          </w:tcPr>
          <w:p>
            <w:pPr>
              <w:pStyle w:val="7"/>
              <w:rPr>
                <w:sz w:val="21"/>
                <w:szCs w:val="21"/>
              </w:rPr>
            </w:pPr>
            <w:r>
              <w:rPr>
                <w:rFonts w:hint="eastAsia"/>
                <w:sz w:val="21"/>
                <w:szCs w:val="21"/>
              </w:rPr>
              <w:t xml:space="preserve">其中：买断式回购的买入返售金融资产 </w:t>
            </w:r>
          </w:p>
        </w:tc>
        <w:tc>
          <w:tcPr>
            <w:tcW w:w="2535" w:type="dxa"/>
            <w:shd w:val="clear" w:color="auto" w:fill="auto"/>
          </w:tcPr>
          <w:p>
            <w:pPr>
              <w:pStyle w:val="7"/>
              <w:jc w:val="right"/>
              <w:rPr>
                <w:sz w:val="21"/>
                <w:szCs w:val="21"/>
              </w:rPr>
            </w:pPr>
            <w:r>
              <w:rPr>
                <w:rFonts w:hint="eastAsia"/>
                <w:sz w:val="21"/>
                <w:szCs w:val="21"/>
              </w:rPr>
              <w:t xml:space="preserve">- </w:t>
            </w:r>
          </w:p>
        </w:tc>
        <w:tc>
          <w:tcPr>
            <w:tcW w:w="279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rPr>
                <w:sz w:val="21"/>
                <w:szCs w:val="21"/>
              </w:rPr>
            </w:pPr>
            <w:r>
              <w:rPr>
                <w:rFonts w:hint="eastAsia"/>
                <w:sz w:val="21"/>
                <w:szCs w:val="21"/>
              </w:rPr>
              <w:t xml:space="preserve">7 </w:t>
            </w:r>
          </w:p>
        </w:tc>
        <w:tc>
          <w:tcPr>
            <w:tcW w:w="4425" w:type="dxa"/>
            <w:shd w:val="clear" w:color="auto" w:fill="auto"/>
          </w:tcPr>
          <w:p>
            <w:pPr>
              <w:pStyle w:val="7"/>
              <w:rPr>
                <w:sz w:val="21"/>
                <w:szCs w:val="21"/>
              </w:rPr>
            </w:pPr>
            <w:r>
              <w:rPr>
                <w:rFonts w:hint="eastAsia"/>
                <w:sz w:val="21"/>
                <w:szCs w:val="21"/>
              </w:rPr>
              <w:t xml:space="preserve">银行存款和结算备付金合计 </w:t>
            </w:r>
          </w:p>
        </w:tc>
        <w:tc>
          <w:tcPr>
            <w:tcW w:w="2535" w:type="dxa"/>
            <w:shd w:val="clear" w:color="auto" w:fill="auto"/>
          </w:tcPr>
          <w:p>
            <w:pPr>
              <w:pStyle w:val="7"/>
              <w:jc w:val="right"/>
              <w:rPr>
                <w:sz w:val="21"/>
                <w:szCs w:val="21"/>
              </w:rPr>
            </w:pPr>
            <w:r>
              <w:rPr>
                <w:rFonts w:hint="eastAsia"/>
                <w:sz w:val="21"/>
                <w:szCs w:val="21"/>
              </w:rPr>
              <w:t xml:space="preserve">21,164,542.26 </w:t>
            </w:r>
          </w:p>
        </w:tc>
        <w:tc>
          <w:tcPr>
            <w:tcW w:w="2790" w:type="dxa"/>
            <w:shd w:val="clear" w:color="auto" w:fill="auto"/>
          </w:tcPr>
          <w:p>
            <w:pPr>
              <w:pStyle w:val="7"/>
              <w:jc w:val="right"/>
              <w:rPr>
                <w:sz w:val="21"/>
                <w:szCs w:val="21"/>
              </w:rPr>
            </w:pPr>
            <w:r>
              <w:rPr>
                <w:rFonts w:hint="eastAsia"/>
                <w:sz w:val="21"/>
                <w:szCs w:val="21"/>
              </w:rPr>
              <w:t xml:space="preserve">19.96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rPr>
                <w:sz w:val="21"/>
                <w:szCs w:val="21"/>
              </w:rPr>
            </w:pPr>
            <w:r>
              <w:rPr>
                <w:rFonts w:hint="eastAsia"/>
                <w:sz w:val="21"/>
                <w:szCs w:val="21"/>
              </w:rPr>
              <w:t xml:space="preserve">8 </w:t>
            </w:r>
          </w:p>
        </w:tc>
        <w:tc>
          <w:tcPr>
            <w:tcW w:w="4425" w:type="dxa"/>
            <w:shd w:val="clear" w:color="auto" w:fill="auto"/>
          </w:tcPr>
          <w:p>
            <w:pPr>
              <w:pStyle w:val="7"/>
              <w:rPr>
                <w:sz w:val="21"/>
                <w:szCs w:val="21"/>
              </w:rPr>
            </w:pPr>
            <w:r>
              <w:rPr>
                <w:rFonts w:hint="eastAsia"/>
                <w:sz w:val="21"/>
                <w:szCs w:val="21"/>
              </w:rPr>
              <w:t xml:space="preserve">其他各项资产 </w:t>
            </w:r>
          </w:p>
        </w:tc>
        <w:tc>
          <w:tcPr>
            <w:tcW w:w="2535" w:type="dxa"/>
            <w:shd w:val="clear" w:color="auto" w:fill="auto"/>
          </w:tcPr>
          <w:p>
            <w:pPr>
              <w:pStyle w:val="7"/>
              <w:jc w:val="right"/>
              <w:rPr>
                <w:sz w:val="21"/>
                <w:szCs w:val="21"/>
              </w:rPr>
            </w:pPr>
            <w:r>
              <w:rPr>
                <w:rFonts w:hint="eastAsia"/>
                <w:sz w:val="21"/>
                <w:szCs w:val="21"/>
              </w:rPr>
              <w:t xml:space="preserve">939,806.95 </w:t>
            </w:r>
          </w:p>
        </w:tc>
        <w:tc>
          <w:tcPr>
            <w:tcW w:w="2790" w:type="dxa"/>
            <w:shd w:val="clear" w:color="auto" w:fill="auto"/>
          </w:tcPr>
          <w:p>
            <w:pPr>
              <w:pStyle w:val="7"/>
              <w:jc w:val="right"/>
              <w:rPr>
                <w:sz w:val="21"/>
                <w:szCs w:val="21"/>
              </w:rPr>
            </w:pPr>
            <w:r>
              <w:rPr>
                <w:rFonts w:hint="eastAsia"/>
                <w:sz w:val="21"/>
                <w:szCs w:val="21"/>
              </w:rPr>
              <w:t xml:space="preserve">0.89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7"/>
              <w:jc w:val="center"/>
              <w:rPr>
                <w:sz w:val="21"/>
                <w:szCs w:val="21"/>
              </w:rPr>
            </w:pPr>
            <w:r>
              <w:rPr>
                <w:rFonts w:hint="eastAsia"/>
                <w:sz w:val="21"/>
                <w:szCs w:val="21"/>
              </w:rPr>
              <w:t xml:space="preserve">9 </w:t>
            </w:r>
          </w:p>
        </w:tc>
        <w:tc>
          <w:tcPr>
            <w:tcW w:w="4425" w:type="dxa"/>
            <w:shd w:val="clear" w:color="auto" w:fill="auto"/>
          </w:tcPr>
          <w:p>
            <w:pPr>
              <w:pStyle w:val="7"/>
              <w:rPr>
                <w:sz w:val="21"/>
                <w:szCs w:val="21"/>
              </w:rPr>
            </w:pPr>
            <w:r>
              <w:rPr>
                <w:rFonts w:hint="eastAsia"/>
                <w:sz w:val="21"/>
                <w:szCs w:val="21"/>
              </w:rPr>
              <w:t xml:space="preserve">合计 </w:t>
            </w:r>
          </w:p>
        </w:tc>
        <w:tc>
          <w:tcPr>
            <w:tcW w:w="2535" w:type="dxa"/>
            <w:shd w:val="clear" w:color="auto" w:fill="auto"/>
          </w:tcPr>
          <w:p>
            <w:pPr>
              <w:pStyle w:val="7"/>
              <w:jc w:val="right"/>
              <w:rPr>
                <w:sz w:val="21"/>
                <w:szCs w:val="21"/>
              </w:rPr>
            </w:pPr>
            <w:r>
              <w:rPr>
                <w:rFonts w:hint="eastAsia"/>
                <w:sz w:val="21"/>
                <w:szCs w:val="21"/>
              </w:rPr>
              <w:t xml:space="preserve">106,038,851.52 </w:t>
            </w:r>
          </w:p>
        </w:tc>
        <w:tc>
          <w:tcPr>
            <w:tcW w:w="2790" w:type="dxa"/>
            <w:shd w:val="clear" w:color="auto" w:fill="auto"/>
          </w:tcPr>
          <w:p>
            <w:pPr>
              <w:pStyle w:val="7"/>
              <w:jc w:val="right"/>
              <w:rPr>
                <w:sz w:val="21"/>
                <w:szCs w:val="21"/>
              </w:rPr>
            </w:pPr>
            <w:r>
              <w:rPr>
                <w:rFonts w:hint="eastAsia"/>
                <w:sz w:val="21"/>
                <w:szCs w:val="21"/>
              </w:rPr>
              <w:t xml:space="preserve">100.00 </w:t>
            </w:r>
          </w:p>
        </w:tc>
      </w:tr>
    </w:tbl>
    <w:p>
      <w:pPr>
        <w:pStyle w:val="7"/>
        <w:spacing w:before="0" w:beforeAutospacing="0" w:after="0" w:afterAutospacing="0" w:line="360" w:lineRule="auto"/>
        <w:ind w:firstLine="420"/>
        <w:rPr>
          <w:sz w:val="21"/>
          <w:szCs w:val="21"/>
        </w:rPr>
      </w:pPr>
      <w:r>
        <w:rPr>
          <w:rFonts w:hint="eastAsia"/>
          <w:sz w:val="21"/>
          <w:szCs w:val="21"/>
        </w:rPr>
        <w:t xml:space="preserve">注：权益投资中通过港股通机制投资香港股票金额9,136,789.75元，净值占比8.80%。 </w:t>
      </w:r>
    </w:p>
    <w:p>
      <w:pPr>
        <w:pStyle w:val="7"/>
        <w:spacing w:before="0" w:beforeAutospacing="0" w:after="0" w:afterAutospacing="0" w:line="360" w:lineRule="auto"/>
        <w:ind w:firstLine="420"/>
        <w:rPr>
          <w:sz w:val="21"/>
          <w:szCs w:val="21"/>
        </w:rPr>
      </w:pPr>
      <w:r>
        <w:rPr>
          <w:rFonts w:hint="eastAsia"/>
          <w:sz w:val="21"/>
          <w:szCs w:val="21"/>
        </w:rPr>
        <w:t xml:space="preserve">2 报告期末按行业分类的股票投资组合 </w:t>
      </w:r>
    </w:p>
    <w:p>
      <w:pPr>
        <w:pStyle w:val="7"/>
        <w:spacing w:before="0" w:beforeAutospacing="0" w:after="0" w:afterAutospacing="0" w:line="360" w:lineRule="auto"/>
        <w:ind w:firstLine="420"/>
        <w:rPr>
          <w:sz w:val="21"/>
          <w:szCs w:val="21"/>
        </w:rPr>
      </w:pPr>
      <w:r>
        <w:rPr>
          <w:rFonts w:hint="eastAsia"/>
          <w:sz w:val="21"/>
          <w:szCs w:val="21"/>
        </w:rPr>
        <w:t xml:space="preserve">2.1 报告期末按行业分类的境内股票投资组合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1"/>
        <w:gridCol w:w="3180"/>
        <w:gridCol w:w="2535"/>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代码 </w:t>
            </w:r>
          </w:p>
        </w:tc>
        <w:tc>
          <w:tcPr>
            <w:tcW w:w="4215" w:type="dxa"/>
            <w:shd w:val="clear" w:color="auto" w:fill="auto"/>
          </w:tcPr>
          <w:p>
            <w:pPr>
              <w:pStyle w:val="7"/>
              <w:jc w:val="center"/>
              <w:rPr>
                <w:sz w:val="21"/>
                <w:szCs w:val="21"/>
              </w:rPr>
            </w:pPr>
            <w:r>
              <w:rPr>
                <w:rFonts w:hint="eastAsia"/>
                <w:sz w:val="21"/>
                <w:szCs w:val="21"/>
              </w:rPr>
              <w:t xml:space="preserve">行业类别 </w:t>
            </w:r>
          </w:p>
        </w:tc>
        <w:tc>
          <w:tcPr>
            <w:tcW w:w="2940" w:type="dxa"/>
            <w:shd w:val="clear" w:color="auto" w:fill="auto"/>
          </w:tcPr>
          <w:p>
            <w:pPr>
              <w:pStyle w:val="7"/>
              <w:jc w:val="center"/>
              <w:rPr>
                <w:sz w:val="21"/>
                <w:szCs w:val="21"/>
              </w:rPr>
            </w:pPr>
            <w:r>
              <w:rPr>
                <w:rFonts w:hint="eastAsia"/>
                <w:sz w:val="21"/>
                <w:szCs w:val="21"/>
              </w:rPr>
              <w:t xml:space="preserve">公允价值（元） </w:t>
            </w:r>
          </w:p>
        </w:tc>
        <w:tc>
          <w:tcPr>
            <w:tcW w:w="2760" w:type="dxa"/>
            <w:shd w:val="clear" w:color="auto" w:fill="auto"/>
          </w:tcPr>
          <w:p>
            <w:pPr>
              <w:pStyle w:val="7"/>
              <w:jc w:val="center"/>
              <w:rPr>
                <w:sz w:val="21"/>
                <w:szCs w:val="21"/>
              </w:rPr>
            </w:pPr>
            <w:r>
              <w:rPr>
                <w:rFonts w:hint="eastAsia"/>
                <w:sz w:val="21"/>
                <w:szCs w:val="21"/>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A </w:t>
            </w:r>
          </w:p>
        </w:tc>
        <w:tc>
          <w:tcPr>
            <w:tcW w:w="4215" w:type="dxa"/>
            <w:shd w:val="clear" w:color="auto" w:fill="auto"/>
          </w:tcPr>
          <w:p>
            <w:pPr>
              <w:pStyle w:val="7"/>
              <w:ind w:left="105"/>
              <w:rPr>
                <w:sz w:val="21"/>
                <w:szCs w:val="21"/>
              </w:rPr>
            </w:pPr>
            <w:r>
              <w:rPr>
                <w:rFonts w:hint="eastAsia"/>
                <w:sz w:val="21"/>
                <w:szCs w:val="21"/>
              </w:rPr>
              <w:t xml:space="preserve">农、林、牧、渔业 </w:t>
            </w:r>
          </w:p>
        </w:tc>
        <w:tc>
          <w:tcPr>
            <w:tcW w:w="2940" w:type="dxa"/>
            <w:shd w:val="clear" w:color="auto" w:fill="auto"/>
          </w:tcPr>
          <w:p>
            <w:pPr>
              <w:pStyle w:val="7"/>
              <w:jc w:val="right"/>
              <w:rPr>
                <w:sz w:val="21"/>
                <w:szCs w:val="21"/>
              </w:rPr>
            </w:pPr>
            <w:r>
              <w:rPr>
                <w:rFonts w:hint="eastAsia"/>
                <w:sz w:val="21"/>
                <w:szCs w:val="21"/>
              </w:rPr>
              <w:t xml:space="preserve">- </w:t>
            </w:r>
          </w:p>
        </w:tc>
        <w:tc>
          <w:tcPr>
            <w:tcW w:w="276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B </w:t>
            </w:r>
          </w:p>
        </w:tc>
        <w:tc>
          <w:tcPr>
            <w:tcW w:w="4215" w:type="dxa"/>
            <w:shd w:val="clear" w:color="auto" w:fill="auto"/>
          </w:tcPr>
          <w:p>
            <w:pPr>
              <w:pStyle w:val="7"/>
              <w:ind w:left="105"/>
              <w:rPr>
                <w:sz w:val="21"/>
                <w:szCs w:val="21"/>
              </w:rPr>
            </w:pPr>
            <w:r>
              <w:rPr>
                <w:rFonts w:hint="eastAsia"/>
                <w:sz w:val="21"/>
                <w:szCs w:val="21"/>
              </w:rPr>
              <w:t xml:space="preserve">采矿业 </w:t>
            </w:r>
          </w:p>
        </w:tc>
        <w:tc>
          <w:tcPr>
            <w:tcW w:w="2940" w:type="dxa"/>
            <w:shd w:val="clear" w:color="auto" w:fill="auto"/>
          </w:tcPr>
          <w:p>
            <w:pPr>
              <w:pStyle w:val="7"/>
              <w:jc w:val="right"/>
              <w:rPr>
                <w:sz w:val="21"/>
                <w:szCs w:val="21"/>
              </w:rPr>
            </w:pPr>
            <w:r>
              <w:rPr>
                <w:rFonts w:hint="eastAsia"/>
                <w:sz w:val="21"/>
                <w:szCs w:val="21"/>
              </w:rPr>
              <w:t xml:space="preserve">16,124.59 </w:t>
            </w:r>
          </w:p>
        </w:tc>
        <w:tc>
          <w:tcPr>
            <w:tcW w:w="2760" w:type="dxa"/>
            <w:shd w:val="clear" w:color="auto" w:fill="auto"/>
          </w:tcPr>
          <w:p>
            <w:pPr>
              <w:pStyle w:val="7"/>
              <w:jc w:val="right"/>
              <w:rPr>
                <w:sz w:val="21"/>
                <w:szCs w:val="21"/>
              </w:rPr>
            </w:pPr>
            <w:r>
              <w:rPr>
                <w:rFonts w:hint="eastAsia"/>
                <w:sz w:val="21"/>
                <w:szCs w:val="21"/>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C </w:t>
            </w:r>
          </w:p>
        </w:tc>
        <w:tc>
          <w:tcPr>
            <w:tcW w:w="4215" w:type="dxa"/>
            <w:shd w:val="clear" w:color="auto" w:fill="auto"/>
          </w:tcPr>
          <w:p>
            <w:pPr>
              <w:pStyle w:val="7"/>
              <w:ind w:left="105"/>
              <w:rPr>
                <w:sz w:val="21"/>
                <w:szCs w:val="21"/>
              </w:rPr>
            </w:pPr>
            <w:r>
              <w:rPr>
                <w:rFonts w:hint="eastAsia"/>
                <w:sz w:val="21"/>
                <w:szCs w:val="21"/>
              </w:rPr>
              <w:t xml:space="preserve">制造业 </w:t>
            </w:r>
          </w:p>
        </w:tc>
        <w:tc>
          <w:tcPr>
            <w:tcW w:w="2940" w:type="dxa"/>
            <w:shd w:val="clear" w:color="auto" w:fill="auto"/>
          </w:tcPr>
          <w:p>
            <w:pPr>
              <w:pStyle w:val="7"/>
              <w:jc w:val="right"/>
              <w:rPr>
                <w:sz w:val="21"/>
                <w:szCs w:val="21"/>
              </w:rPr>
            </w:pPr>
            <w:r>
              <w:rPr>
                <w:rFonts w:hint="eastAsia"/>
                <w:sz w:val="21"/>
                <w:szCs w:val="21"/>
              </w:rPr>
              <w:t xml:space="preserve">71,464,998.01 </w:t>
            </w:r>
          </w:p>
        </w:tc>
        <w:tc>
          <w:tcPr>
            <w:tcW w:w="2760" w:type="dxa"/>
            <w:shd w:val="clear" w:color="auto" w:fill="auto"/>
          </w:tcPr>
          <w:p>
            <w:pPr>
              <w:pStyle w:val="7"/>
              <w:jc w:val="right"/>
              <w:rPr>
                <w:sz w:val="21"/>
                <w:szCs w:val="21"/>
              </w:rPr>
            </w:pPr>
            <w:r>
              <w:rPr>
                <w:rFonts w:hint="eastAsia"/>
                <w:sz w:val="21"/>
                <w:szCs w:val="21"/>
              </w:rPr>
              <w:t xml:space="preserve">68.80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D </w:t>
            </w:r>
          </w:p>
        </w:tc>
        <w:tc>
          <w:tcPr>
            <w:tcW w:w="4215" w:type="dxa"/>
            <w:shd w:val="clear" w:color="auto" w:fill="auto"/>
          </w:tcPr>
          <w:p>
            <w:pPr>
              <w:pStyle w:val="7"/>
              <w:ind w:left="105"/>
              <w:rPr>
                <w:sz w:val="21"/>
                <w:szCs w:val="21"/>
              </w:rPr>
            </w:pPr>
            <w:r>
              <w:rPr>
                <w:rFonts w:hint="eastAsia"/>
                <w:sz w:val="21"/>
                <w:szCs w:val="21"/>
              </w:rPr>
              <w:t xml:space="preserve">电力、热力、燃气及水生产和供应业 </w:t>
            </w:r>
          </w:p>
        </w:tc>
        <w:tc>
          <w:tcPr>
            <w:tcW w:w="2940" w:type="dxa"/>
            <w:shd w:val="clear" w:color="auto" w:fill="auto"/>
          </w:tcPr>
          <w:p>
            <w:pPr>
              <w:pStyle w:val="7"/>
              <w:jc w:val="right"/>
              <w:rPr>
                <w:sz w:val="21"/>
                <w:szCs w:val="21"/>
              </w:rPr>
            </w:pPr>
            <w:r>
              <w:rPr>
                <w:rFonts w:hint="eastAsia"/>
                <w:sz w:val="21"/>
                <w:szCs w:val="21"/>
              </w:rPr>
              <w:t xml:space="preserve">- </w:t>
            </w:r>
          </w:p>
        </w:tc>
        <w:tc>
          <w:tcPr>
            <w:tcW w:w="276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E </w:t>
            </w:r>
          </w:p>
        </w:tc>
        <w:tc>
          <w:tcPr>
            <w:tcW w:w="4215" w:type="dxa"/>
            <w:shd w:val="clear" w:color="auto" w:fill="auto"/>
          </w:tcPr>
          <w:p>
            <w:pPr>
              <w:pStyle w:val="7"/>
              <w:ind w:left="105"/>
              <w:rPr>
                <w:sz w:val="21"/>
                <w:szCs w:val="21"/>
              </w:rPr>
            </w:pPr>
            <w:r>
              <w:rPr>
                <w:rFonts w:hint="eastAsia"/>
                <w:sz w:val="21"/>
                <w:szCs w:val="21"/>
              </w:rPr>
              <w:t xml:space="preserve">建筑业 </w:t>
            </w:r>
          </w:p>
        </w:tc>
        <w:tc>
          <w:tcPr>
            <w:tcW w:w="2940" w:type="dxa"/>
            <w:shd w:val="clear" w:color="auto" w:fill="auto"/>
          </w:tcPr>
          <w:p>
            <w:pPr>
              <w:pStyle w:val="7"/>
              <w:jc w:val="right"/>
              <w:rPr>
                <w:sz w:val="21"/>
                <w:szCs w:val="21"/>
              </w:rPr>
            </w:pPr>
            <w:r>
              <w:rPr>
                <w:rFonts w:hint="eastAsia"/>
                <w:sz w:val="21"/>
                <w:szCs w:val="21"/>
              </w:rPr>
              <w:t xml:space="preserve">18,393.44 </w:t>
            </w:r>
          </w:p>
        </w:tc>
        <w:tc>
          <w:tcPr>
            <w:tcW w:w="2760" w:type="dxa"/>
            <w:shd w:val="clear" w:color="auto" w:fill="auto"/>
          </w:tcPr>
          <w:p>
            <w:pPr>
              <w:pStyle w:val="7"/>
              <w:jc w:val="right"/>
              <w:rPr>
                <w:sz w:val="21"/>
                <w:szCs w:val="21"/>
              </w:rPr>
            </w:pPr>
            <w:r>
              <w:rPr>
                <w:rFonts w:hint="eastAsia"/>
                <w:sz w:val="21"/>
                <w:szCs w:val="21"/>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F </w:t>
            </w:r>
          </w:p>
        </w:tc>
        <w:tc>
          <w:tcPr>
            <w:tcW w:w="4215" w:type="dxa"/>
            <w:shd w:val="clear" w:color="auto" w:fill="auto"/>
          </w:tcPr>
          <w:p>
            <w:pPr>
              <w:pStyle w:val="7"/>
              <w:ind w:left="105"/>
              <w:rPr>
                <w:sz w:val="21"/>
                <w:szCs w:val="21"/>
              </w:rPr>
            </w:pPr>
            <w:r>
              <w:rPr>
                <w:rFonts w:hint="eastAsia"/>
                <w:sz w:val="21"/>
                <w:szCs w:val="21"/>
              </w:rPr>
              <w:t xml:space="preserve">批发和零售业 </w:t>
            </w:r>
          </w:p>
        </w:tc>
        <w:tc>
          <w:tcPr>
            <w:tcW w:w="2940" w:type="dxa"/>
            <w:shd w:val="clear" w:color="auto" w:fill="auto"/>
          </w:tcPr>
          <w:p>
            <w:pPr>
              <w:pStyle w:val="7"/>
              <w:jc w:val="right"/>
              <w:rPr>
                <w:sz w:val="21"/>
                <w:szCs w:val="21"/>
              </w:rPr>
            </w:pPr>
            <w:r>
              <w:rPr>
                <w:rFonts w:hint="eastAsia"/>
                <w:sz w:val="21"/>
                <w:szCs w:val="21"/>
              </w:rPr>
              <w:t xml:space="preserve">42,940.76 </w:t>
            </w:r>
          </w:p>
        </w:tc>
        <w:tc>
          <w:tcPr>
            <w:tcW w:w="2760" w:type="dxa"/>
            <w:shd w:val="clear" w:color="auto" w:fill="auto"/>
          </w:tcPr>
          <w:p>
            <w:pPr>
              <w:pStyle w:val="7"/>
              <w:jc w:val="right"/>
              <w:rPr>
                <w:sz w:val="21"/>
                <w:szCs w:val="21"/>
              </w:rPr>
            </w:pPr>
            <w:r>
              <w:rPr>
                <w:rFonts w:hint="eastAsia"/>
                <w:sz w:val="21"/>
                <w:szCs w:val="21"/>
              </w:rPr>
              <w:t xml:space="preserve">0.04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G </w:t>
            </w:r>
          </w:p>
        </w:tc>
        <w:tc>
          <w:tcPr>
            <w:tcW w:w="4215" w:type="dxa"/>
            <w:shd w:val="clear" w:color="auto" w:fill="auto"/>
          </w:tcPr>
          <w:p>
            <w:pPr>
              <w:pStyle w:val="7"/>
              <w:ind w:left="105"/>
              <w:rPr>
                <w:sz w:val="21"/>
                <w:szCs w:val="21"/>
              </w:rPr>
            </w:pPr>
            <w:r>
              <w:rPr>
                <w:rFonts w:hint="eastAsia"/>
                <w:sz w:val="21"/>
                <w:szCs w:val="21"/>
              </w:rPr>
              <w:t xml:space="preserve">交通运输、仓储和邮政业 </w:t>
            </w:r>
          </w:p>
        </w:tc>
        <w:tc>
          <w:tcPr>
            <w:tcW w:w="2940" w:type="dxa"/>
            <w:shd w:val="clear" w:color="auto" w:fill="auto"/>
          </w:tcPr>
          <w:p>
            <w:pPr>
              <w:pStyle w:val="7"/>
              <w:jc w:val="right"/>
              <w:rPr>
                <w:sz w:val="21"/>
                <w:szCs w:val="21"/>
              </w:rPr>
            </w:pPr>
            <w:r>
              <w:rPr>
                <w:rFonts w:hint="eastAsia"/>
                <w:sz w:val="21"/>
                <w:szCs w:val="21"/>
              </w:rPr>
              <w:t xml:space="preserve">2,276,089.40 </w:t>
            </w:r>
          </w:p>
        </w:tc>
        <w:tc>
          <w:tcPr>
            <w:tcW w:w="2760" w:type="dxa"/>
            <w:shd w:val="clear" w:color="auto" w:fill="auto"/>
          </w:tcPr>
          <w:p>
            <w:pPr>
              <w:pStyle w:val="7"/>
              <w:jc w:val="right"/>
              <w:rPr>
                <w:sz w:val="21"/>
                <w:szCs w:val="21"/>
              </w:rPr>
            </w:pPr>
            <w:r>
              <w:rPr>
                <w:rFonts w:hint="eastAsia"/>
                <w:sz w:val="21"/>
                <w:szCs w:val="21"/>
              </w:rPr>
              <w:t xml:space="preserve">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H </w:t>
            </w:r>
          </w:p>
        </w:tc>
        <w:tc>
          <w:tcPr>
            <w:tcW w:w="4215" w:type="dxa"/>
            <w:shd w:val="clear" w:color="auto" w:fill="auto"/>
          </w:tcPr>
          <w:p>
            <w:pPr>
              <w:pStyle w:val="7"/>
              <w:ind w:left="105"/>
              <w:rPr>
                <w:sz w:val="21"/>
                <w:szCs w:val="21"/>
              </w:rPr>
            </w:pPr>
            <w:r>
              <w:rPr>
                <w:rFonts w:hint="eastAsia"/>
                <w:sz w:val="21"/>
                <w:szCs w:val="21"/>
              </w:rPr>
              <w:t xml:space="preserve">住宿和餐饮业 </w:t>
            </w:r>
          </w:p>
        </w:tc>
        <w:tc>
          <w:tcPr>
            <w:tcW w:w="2940" w:type="dxa"/>
            <w:shd w:val="clear" w:color="auto" w:fill="auto"/>
          </w:tcPr>
          <w:p>
            <w:pPr>
              <w:pStyle w:val="7"/>
              <w:jc w:val="right"/>
              <w:rPr>
                <w:sz w:val="21"/>
                <w:szCs w:val="21"/>
              </w:rPr>
            </w:pPr>
            <w:r>
              <w:rPr>
                <w:rFonts w:hint="eastAsia"/>
                <w:sz w:val="21"/>
                <w:szCs w:val="21"/>
              </w:rPr>
              <w:t xml:space="preserve">- </w:t>
            </w:r>
          </w:p>
        </w:tc>
        <w:tc>
          <w:tcPr>
            <w:tcW w:w="276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I </w:t>
            </w:r>
          </w:p>
        </w:tc>
        <w:tc>
          <w:tcPr>
            <w:tcW w:w="4215" w:type="dxa"/>
            <w:shd w:val="clear" w:color="auto" w:fill="auto"/>
          </w:tcPr>
          <w:p>
            <w:pPr>
              <w:pStyle w:val="7"/>
              <w:ind w:left="105"/>
              <w:rPr>
                <w:sz w:val="21"/>
                <w:szCs w:val="21"/>
              </w:rPr>
            </w:pPr>
            <w:r>
              <w:rPr>
                <w:rFonts w:hint="eastAsia"/>
                <w:sz w:val="21"/>
                <w:szCs w:val="21"/>
              </w:rPr>
              <w:t xml:space="preserve">信息传输、软件和信息技术服务业 </w:t>
            </w:r>
          </w:p>
        </w:tc>
        <w:tc>
          <w:tcPr>
            <w:tcW w:w="2940" w:type="dxa"/>
            <w:shd w:val="clear" w:color="auto" w:fill="auto"/>
          </w:tcPr>
          <w:p>
            <w:pPr>
              <w:pStyle w:val="7"/>
              <w:jc w:val="right"/>
              <w:rPr>
                <w:sz w:val="21"/>
                <w:szCs w:val="21"/>
              </w:rPr>
            </w:pPr>
            <w:r>
              <w:rPr>
                <w:rFonts w:hint="eastAsia"/>
                <w:sz w:val="21"/>
                <w:szCs w:val="21"/>
              </w:rPr>
              <w:t xml:space="preserve">770,748.36 </w:t>
            </w:r>
          </w:p>
        </w:tc>
        <w:tc>
          <w:tcPr>
            <w:tcW w:w="2760" w:type="dxa"/>
            <w:shd w:val="clear" w:color="auto" w:fill="auto"/>
          </w:tcPr>
          <w:p>
            <w:pPr>
              <w:pStyle w:val="7"/>
              <w:jc w:val="right"/>
              <w:rPr>
                <w:sz w:val="21"/>
                <w:szCs w:val="21"/>
              </w:rPr>
            </w:pPr>
            <w:r>
              <w:rPr>
                <w:rFonts w:hint="eastAsia"/>
                <w:sz w:val="21"/>
                <w:szCs w:val="21"/>
              </w:rPr>
              <w:t xml:space="preserve">0.74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J </w:t>
            </w:r>
          </w:p>
        </w:tc>
        <w:tc>
          <w:tcPr>
            <w:tcW w:w="4215" w:type="dxa"/>
            <w:shd w:val="clear" w:color="auto" w:fill="auto"/>
          </w:tcPr>
          <w:p>
            <w:pPr>
              <w:pStyle w:val="7"/>
              <w:ind w:left="105"/>
              <w:rPr>
                <w:sz w:val="21"/>
                <w:szCs w:val="21"/>
              </w:rPr>
            </w:pPr>
            <w:r>
              <w:rPr>
                <w:rFonts w:hint="eastAsia"/>
                <w:sz w:val="21"/>
                <w:szCs w:val="21"/>
              </w:rPr>
              <w:t xml:space="preserve">金融业 </w:t>
            </w:r>
          </w:p>
        </w:tc>
        <w:tc>
          <w:tcPr>
            <w:tcW w:w="2940" w:type="dxa"/>
            <w:shd w:val="clear" w:color="auto" w:fill="auto"/>
          </w:tcPr>
          <w:p>
            <w:pPr>
              <w:pStyle w:val="7"/>
              <w:jc w:val="right"/>
              <w:rPr>
                <w:sz w:val="21"/>
                <w:szCs w:val="21"/>
              </w:rPr>
            </w:pPr>
            <w:r>
              <w:rPr>
                <w:rFonts w:hint="eastAsia"/>
                <w:sz w:val="21"/>
                <w:szCs w:val="21"/>
              </w:rPr>
              <w:t xml:space="preserve">38,710.56 </w:t>
            </w:r>
          </w:p>
        </w:tc>
        <w:tc>
          <w:tcPr>
            <w:tcW w:w="2760" w:type="dxa"/>
            <w:shd w:val="clear" w:color="auto" w:fill="auto"/>
          </w:tcPr>
          <w:p>
            <w:pPr>
              <w:pStyle w:val="7"/>
              <w:jc w:val="right"/>
              <w:rPr>
                <w:sz w:val="21"/>
                <w:szCs w:val="21"/>
              </w:rPr>
            </w:pPr>
            <w:r>
              <w:rPr>
                <w:rFonts w:hint="eastAsia"/>
                <w:sz w:val="21"/>
                <w:szCs w:val="21"/>
              </w:rPr>
              <w:t xml:space="preserve">0.04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K </w:t>
            </w:r>
          </w:p>
        </w:tc>
        <w:tc>
          <w:tcPr>
            <w:tcW w:w="4215" w:type="dxa"/>
            <w:shd w:val="clear" w:color="auto" w:fill="auto"/>
          </w:tcPr>
          <w:p>
            <w:pPr>
              <w:pStyle w:val="7"/>
              <w:ind w:left="105"/>
              <w:rPr>
                <w:sz w:val="21"/>
                <w:szCs w:val="21"/>
              </w:rPr>
            </w:pPr>
            <w:r>
              <w:rPr>
                <w:rFonts w:hint="eastAsia"/>
                <w:sz w:val="21"/>
                <w:szCs w:val="21"/>
              </w:rPr>
              <w:t xml:space="preserve">房地产业 </w:t>
            </w:r>
          </w:p>
        </w:tc>
        <w:tc>
          <w:tcPr>
            <w:tcW w:w="2940" w:type="dxa"/>
            <w:shd w:val="clear" w:color="auto" w:fill="auto"/>
          </w:tcPr>
          <w:p>
            <w:pPr>
              <w:pStyle w:val="7"/>
              <w:jc w:val="right"/>
              <w:rPr>
                <w:sz w:val="21"/>
                <w:szCs w:val="21"/>
              </w:rPr>
            </w:pPr>
            <w:r>
              <w:rPr>
                <w:rFonts w:hint="eastAsia"/>
                <w:sz w:val="21"/>
                <w:szCs w:val="21"/>
              </w:rPr>
              <w:t xml:space="preserve">- </w:t>
            </w:r>
          </w:p>
        </w:tc>
        <w:tc>
          <w:tcPr>
            <w:tcW w:w="276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L </w:t>
            </w:r>
          </w:p>
        </w:tc>
        <w:tc>
          <w:tcPr>
            <w:tcW w:w="4215" w:type="dxa"/>
            <w:shd w:val="clear" w:color="auto" w:fill="auto"/>
          </w:tcPr>
          <w:p>
            <w:pPr>
              <w:pStyle w:val="7"/>
              <w:ind w:left="105"/>
              <w:rPr>
                <w:sz w:val="21"/>
                <w:szCs w:val="21"/>
              </w:rPr>
            </w:pPr>
            <w:r>
              <w:rPr>
                <w:rFonts w:hint="eastAsia"/>
                <w:sz w:val="21"/>
                <w:szCs w:val="21"/>
              </w:rPr>
              <w:t xml:space="preserve">租赁和商务服务业 </w:t>
            </w:r>
          </w:p>
        </w:tc>
        <w:tc>
          <w:tcPr>
            <w:tcW w:w="2940" w:type="dxa"/>
            <w:shd w:val="clear" w:color="auto" w:fill="auto"/>
          </w:tcPr>
          <w:p>
            <w:pPr>
              <w:pStyle w:val="7"/>
              <w:jc w:val="right"/>
              <w:rPr>
                <w:sz w:val="21"/>
                <w:szCs w:val="21"/>
              </w:rPr>
            </w:pPr>
            <w:r>
              <w:rPr>
                <w:rFonts w:hint="eastAsia"/>
                <w:sz w:val="21"/>
                <w:szCs w:val="21"/>
              </w:rPr>
              <w:t xml:space="preserve">20,739.45 </w:t>
            </w:r>
          </w:p>
        </w:tc>
        <w:tc>
          <w:tcPr>
            <w:tcW w:w="2760" w:type="dxa"/>
            <w:shd w:val="clear" w:color="auto" w:fill="auto"/>
          </w:tcPr>
          <w:p>
            <w:pPr>
              <w:pStyle w:val="7"/>
              <w:jc w:val="right"/>
              <w:rPr>
                <w:sz w:val="21"/>
                <w:szCs w:val="21"/>
              </w:rPr>
            </w:pPr>
            <w:r>
              <w:rPr>
                <w:rFonts w:hint="eastAsia"/>
                <w:sz w:val="21"/>
                <w:szCs w:val="21"/>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M </w:t>
            </w:r>
          </w:p>
        </w:tc>
        <w:tc>
          <w:tcPr>
            <w:tcW w:w="4215" w:type="dxa"/>
            <w:shd w:val="clear" w:color="auto" w:fill="auto"/>
          </w:tcPr>
          <w:p>
            <w:pPr>
              <w:pStyle w:val="7"/>
              <w:ind w:left="105"/>
              <w:rPr>
                <w:sz w:val="21"/>
                <w:szCs w:val="21"/>
              </w:rPr>
            </w:pPr>
            <w:r>
              <w:rPr>
                <w:rFonts w:hint="eastAsia"/>
                <w:sz w:val="21"/>
                <w:szCs w:val="21"/>
              </w:rPr>
              <w:t xml:space="preserve">科学研究和技术服务业 </w:t>
            </w:r>
          </w:p>
        </w:tc>
        <w:tc>
          <w:tcPr>
            <w:tcW w:w="2940" w:type="dxa"/>
            <w:shd w:val="clear" w:color="auto" w:fill="auto"/>
          </w:tcPr>
          <w:p>
            <w:pPr>
              <w:pStyle w:val="7"/>
              <w:jc w:val="right"/>
              <w:rPr>
                <w:sz w:val="21"/>
                <w:szCs w:val="21"/>
              </w:rPr>
            </w:pPr>
            <w:r>
              <w:rPr>
                <w:rFonts w:hint="eastAsia"/>
                <w:sz w:val="21"/>
                <w:szCs w:val="21"/>
              </w:rPr>
              <w:t xml:space="preserve">101,150.66 </w:t>
            </w:r>
          </w:p>
        </w:tc>
        <w:tc>
          <w:tcPr>
            <w:tcW w:w="2760" w:type="dxa"/>
            <w:shd w:val="clear" w:color="auto" w:fill="auto"/>
          </w:tcPr>
          <w:p>
            <w:pPr>
              <w:pStyle w:val="7"/>
              <w:jc w:val="right"/>
              <w:rPr>
                <w:sz w:val="21"/>
                <w:szCs w:val="21"/>
              </w:rPr>
            </w:pPr>
            <w:r>
              <w:rPr>
                <w:rFonts w:hint="eastAsia"/>
                <w:sz w:val="21"/>
                <w:szCs w:val="21"/>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N </w:t>
            </w:r>
          </w:p>
        </w:tc>
        <w:tc>
          <w:tcPr>
            <w:tcW w:w="4215" w:type="dxa"/>
            <w:shd w:val="clear" w:color="auto" w:fill="auto"/>
          </w:tcPr>
          <w:p>
            <w:pPr>
              <w:pStyle w:val="7"/>
              <w:ind w:left="105"/>
              <w:rPr>
                <w:sz w:val="21"/>
                <w:szCs w:val="21"/>
              </w:rPr>
            </w:pPr>
            <w:r>
              <w:rPr>
                <w:rFonts w:hint="eastAsia"/>
                <w:sz w:val="21"/>
                <w:szCs w:val="21"/>
              </w:rPr>
              <w:t xml:space="preserve">水利、环境和公共设施管理业 </w:t>
            </w:r>
          </w:p>
        </w:tc>
        <w:tc>
          <w:tcPr>
            <w:tcW w:w="2940" w:type="dxa"/>
            <w:shd w:val="clear" w:color="auto" w:fill="auto"/>
          </w:tcPr>
          <w:p>
            <w:pPr>
              <w:pStyle w:val="7"/>
              <w:jc w:val="right"/>
              <w:rPr>
                <w:sz w:val="21"/>
                <w:szCs w:val="21"/>
              </w:rPr>
            </w:pPr>
            <w:r>
              <w:rPr>
                <w:rFonts w:hint="eastAsia"/>
                <w:sz w:val="21"/>
                <w:szCs w:val="21"/>
              </w:rPr>
              <w:t xml:space="preserve">12,986.68 </w:t>
            </w:r>
          </w:p>
        </w:tc>
        <w:tc>
          <w:tcPr>
            <w:tcW w:w="2760" w:type="dxa"/>
            <w:shd w:val="clear" w:color="auto" w:fill="auto"/>
          </w:tcPr>
          <w:p>
            <w:pPr>
              <w:pStyle w:val="7"/>
              <w:jc w:val="right"/>
              <w:rPr>
                <w:sz w:val="21"/>
                <w:szCs w:val="21"/>
              </w:rPr>
            </w:pPr>
            <w:r>
              <w:rPr>
                <w:rFonts w:hint="eastAsia"/>
                <w:sz w:val="21"/>
                <w:szCs w:val="21"/>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O </w:t>
            </w:r>
          </w:p>
        </w:tc>
        <w:tc>
          <w:tcPr>
            <w:tcW w:w="4215" w:type="dxa"/>
            <w:shd w:val="clear" w:color="auto" w:fill="auto"/>
          </w:tcPr>
          <w:p>
            <w:pPr>
              <w:pStyle w:val="7"/>
              <w:ind w:left="105"/>
              <w:rPr>
                <w:sz w:val="21"/>
                <w:szCs w:val="21"/>
              </w:rPr>
            </w:pPr>
            <w:r>
              <w:rPr>
                <w:rFonts w:hint="eastAsia"/>
                <w:sz w:val="21"/>
                <w:szCs w:val="21"/>
              </w:rPr>
              <w:t xml:space="preserve">居民服务、修理和其他服务业 </w:t>
            </w:r>
          </w:p>
        </w:tc>
        <w:tc>
          <w:tcPr>
            <w:tcW w:w="2940" w:type="dxa"/>
            <w:shd w:val="clear" w:color="auto" w:fill="auto"/>
          </w:tcPr>
          <w:p>
            <w:pPr>
              <w:pStyle w:val="7"/>
              <w:jc w:val="right"/>
              <w:rPr>
                <w:sz w:val="21"/>
                <w:szCs w:val="21"/>
              </w:rPr>
            </w:pPr>
            <w:r>
              <w:rPr>
                <w:rFonts w:hint="eastAsia"/>
                <w:sz w:val="21"/>
                <w:szCs w:val="21"/>
              </w:rPr>
              <w:t xml:space="preserve">- </w:t>
            </w:r>
          </w:p>
        </w:tc>
        <w:tc>
          <w:tcPr>
            <w:tcW w:w="276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P </w:t>
            </w:r>
          </w:p>
        </w:tc>
        <w:tc>
          <w:tcPr>
            <w:tcW w:w="4215" w:type="dxa"/>
            <w:shd w:val="clear" w:color="auto" w:fill="auto"/>
          </w:tcPr>
          <w:p>
            <w:pPr>
              <w:pStyle w:val="7"/>
              <w:ind w:left="105"/>
              <w:rPr>
                <w:sz w:val="21"/>
                <w:szCs w:val="21"/>
              </w:rPr>
            </w:pPr>
            <w:r>
              <w:rPr>
                <w:rFonts w:hint="eastAsia"/>
                <w:sz w:val="21"/>
                <w:szCs w:val="21"/>
              </w:rPr>
              <w:t xml:space="preserve">教育 </w:t>
            </w:r>
          </w:p>
        </w:tc>
        <w:tc>
          <w:tcPr>
            <w:tcW w:w="2940" w:type="dxa"/>
            <w:shd w:val="clear" w:color="auto" w:fill="auto"/>
          </w:tcPr>
          <w:p>
            <w:pPr>
              <w:pStyle w:val="7"/>
              <w:jc w:val="right"/>
              <w:rPr>
                <w:sz w:val="21"/>
                <w:szCs w:val="21"/>
              </w:rPr>
            </w:pPr>
            <w:r>
              <w:rPr>
                <w:rFonts w:hint="eastAsia"/>
                <w:sz w:val="21"/>
                <w:szCs w:val="21"/>
              </w:rPr>
              <w:t xml:space="preserve">- </w:t>
            </w:r>
          </w:p>
        </w:tc>
        <w:tc>
          <w:tcPr>
            <w:tcW w:w="276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Q </w:t>
            </w:r>
          </w:p>
        </w:tc>
        <w:tc>
          <w:tcPr>
            <w:tcW w:w="4215" w:type="dxa"/>
            <w:shd w:val="clear" w:color="auto" w:fill="auto"/>
          </w:tcPr>
          <w:p>
            <w:pPr>
              <w:pStyle w:val="7"/>
              <w:ind w:left="105"/>
              <w:rPr>
                <w:sz w:val="21"/>
                <w:szCs w:val="21"/>
              </w:rPr>
            </w:pPr>
            <w:r>
              <w:rPr>
                <w:rFonts w:hint="eastAsia"/>
                <w:sz w:val="21"/>
                <w:szCs w:val="21"/>
              </w:rPr>
              <w:t xml:space="preserve">卫生和社会工作 </w:t>
            </w:r>
          </w:p>
        </w:tc>
        <w:tc>
          <w:tcPr>
            <w:tcW w:w="2940" w:type="dxa"/>
            <w:shd w:val="clear" w:color="auto" w:fill="auto"/>
          </w:tcPr>
          <w:p>
            <w:pPr>
              <w:pStyle w:val="7"/>
              <w:jc w:val="right"/>
              <w:rPr>
                <w:sz w:val="21"/>
                <w:szCs w:val="21"/>
              </w:rPr>
            </w:pPr>
            <w:r>
              <w:rPr>
                <w:rFonts w:hint="eastAsia"/>
                <w:sz w:val="21"/>
                <w:szCs w:val="21"/>
              </w:rPr>
              <w:t xml:space="preserve">20,556.74 </w:t>
            </w:r>
          </w:p>
        </w:tc>
        <w:tc>
          <w:tcPr>
            <w:tcW w:w="2760" w:type="dxa"/>
            <w:shd w:val="clear" w:color="auto" w:fill="auto"/>
          </w:tcPr>
          <w:p>
            <w:pPr>
              <w:pStyle w:val="7"/>
              <w:jc w:val="right"/>
              <w:rPr>
                <w:sz w:val="21"/>
                <w:szCs w:val="21"/>
              </w:rPr>
            </w:pPr>
            <w:r>
              <w:rPr>
                <w:rFonts w:hint="eastAsia"/>
                <w:sz w:val="21"/>
                <w:szCs w:val="21"/>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R </w:t>
            </w:r>
          </w:p>
        </w:tc>
        <w:tc>
          <w:tcPr>
            <w:tcW w:w="4215" w:type="dxa"/>
            <w:shd w:val="clear" w:color="auto" w:fill="auto"/>
          </w:tcPr>
          <w:p>
            <w:pPr>
              <w:pStyle w:val="7"/>
              <w:ind w:left="105"/>
              <w:rPr>
                <w:sz w:val="21"/>
                <w:szCs w:val="21"/>
              </w:rPr>
            </w:pPr>
            <w:r>
              <w:rPr>
                <w:rFonts w:hint="eastAsia"/>
                <w:sz w:val="21"/>
                <w:szCs w:val="21"/>
              </w:rPr>
              <w:t xml:space="preserve">文化、体育和娱乐业 </w:t>
            </w:r>
          </w:p>
        </w:tc>
        <w:tc>
          <w:tcPr>
            <w:tcW w:w="2940" w:type="dxa"/>
            <w:shd w:val="clear" w:color="auto" w:fill="auto"/>
          </w:tcPr>
          <w:p>
            <w:pPr>
              <w:pStyle w:val="7"/>
              <w:jc w:val="right"/>
              <w:rPr>
                <w:sz w:val="21"/>
                <w:szCs w:val="21"/>
              </w:rPr>
            </w:pPr>
            <w:r>
              <w:rPr>
                <w:rFonts w:hint="eastAsia"/>
                <w:sz w:val="21"/>
                <w:szCs w:val="21"/>
              </w:rPr>
              <w:t xml:space="preserve">14,273.91 </w:t>
            </w:r>
          </w:p>
        </w:tc>
        <w:tc>
          <w:tcPr>
            <w:tcW w:w="2760" w:type="dxa"/>
            <w:shd w:val="clear" w:color="auto" w:fill="auto"/>
          </w:tcPr>
          <w:p>
            <w:pPr>
              <w:pStyle w:val="7"/>
              <w:jc w:val="right"/>
              <w:rPr>
                <w:sz w:val="21"/>
                <w:szCs w:val="21"/>
              </w:rPr>
            </w:pPr>
            <w:r>
              <w:rPr>
                <w:rFonts w:hint="eastAsia"/>
                <w:sz w:val="21"/>
                <w:szCs w:val="21"/>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7"/>
              <w:jc w:val="center"/>
              <w:rPr>
                <w:sz w:val="21"/>
                <w:szCs w:val="21"/>
              </w:rPr>
            </w:pPr>
            <w:r>
              <w:rPr>
                <w:rFonts w:hint="eastAsia"/>
                <w:sz w:val="21"/>
                <w:szCs w:val="21"/>
              </w:rPr>
              <w:t xml:space="preserve">S </w:t>
            </w:r>
          </w:p>
        </w:tc>
        <w:tc>
          <w:tcPr>
            <w:tcW w:w="4215" w:type="dxa"/>
            <w:shd w:val="clear" w:color="auto" w:fill="auto"/>
          </w:tcPr>
          <w:p>
            <w:pPr>
              <w:pStyle w:val="7"/>
              <w:ind w:left="105"/>
              <w:rPr>
                <w:sz w:val="21"/>
                <w:szCs w:val="21"/>
              </w:rPr>
            </w:pPr>
            <w:r>
              <w:rPr>
                <w:rFonts w:hint="eastAsia"/>
                <w:sz w:val="21"/>
                <w:szCs w:val="21"/>
              </w:rPr>
              <w:t xml:space="preserve">综合 </w:t>
            </w:r>
          </w:p>
        </w:tc>
        <w:tc>
          <w:tcPr>
            <w:tcW w:w="2940" w:type="dxa"/>
            <w:shd w:val="clear" w:color="auto" w:fill="auto"/>
          </w:tcPr>
          <w:p>
            <w:pPr>
              <w:pStyle w:val="7"/>
              <w:jc w:val="right"/>
              <w:rPr>
                <w:sz w:val="21"/>
                <w:szCs w:val="21"/>
              </w:rPr>
            </w:pPr>
            <w:r>
              <w:rPr>
                <w:rFonts w:hint="eastAsia"/>
                <w:sz w:val="21"/>
                <w:szCs w:val="21"/>
              </w:rPr>
              <w:t xml:space="preserve">- </w:t>
            </w:r>
          </w:p>
        </w:tc>
        <w:tc>
          <w:tcPr>
            <w:tcW w:w="276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rPr>
                <w:rFonts w:ascii="宋体" w:hAnsi="宋体" w:eastAsia="宋体" w:cs="宋体"/>
                <w:szCs w:val="21"/>
              </w:rPr>
            </w:pPr>
          </w:p>
        </w:tc>
        <w:tc>
          <w:tcPr>
            <w:tcW w:w="4215" w:type="dxa"/>
            <w:shd w:val="clear" w:color="auto" w:fill="auto"/>
          </w:tcPr>
          <w:p>
            <w:pPr>
              <w:pStyle w:val="7"/>
              <w:ind w:left="105"/>
              <w:rPr>
                <w:sz w:val="21"/>
                <w:szCs w:val="21"/>
              </w:rPr>
            </w:pPr>
            <w:r>
              <w:rPr>
                <w:rFonts w:hint="eastAsia"/>
                <w:sz w:val="21"/>
                <w:szCs w:val="21"/>
              </w:rPr>
              <w:t xml:space="preserve">合计 </w:t>
            </w:r>
          </w:p>
        </w:tc>
        <w:tc>
          <w:tcPr>
            <w:tcW w:w="2940" w:type="dxa"/>
            <w:shd w:val="clear" w:color="auto" w:fill="auto"/>
          </w:tcPr>
          <w:p>
            <w:pPr>
              <w:pStyle w:val="7"/>
              <w:jc w:val="right"/>
              <w:rPr>
                <w:sz w:val="21"/>
                <w:szCs w:val="21"/>
              </w:rPr>
            </w:pPr>
            <w:r>
              <w:rPr>
                <w:rFonts w:hint="eastAsia"/>
                <w:sz w:val="21"/>
                <w:szCs w:val="21"/>
              </w:rPr>
              <w:t xml:space="preserve">74,797,712.56 </w:t>
            </w:r>
          </w:p>
        </w:tc>
        <w:tc>
          <w:tcPr>
            <w:tcW w:w="2760" w:type="dxa"/>
            <w:shd w:val="clear" w:color="auto" w:fill="auto"/>
          </w:tcPr>
          <w:p>
            <w:pPr>
              <w:pStyle w:val="7"/>
              <w:jc w:val="right"/>
              <w:rPr>
                <w:sz w:val="21"/>
                <w:szCs w:val="21"/>
              </w:rPr>
            </w:pPr>
            <w:r>
              <w:rPr>
                <w:rFonts w:hint="eastAsia"/>
                <w:sz w:val="21"/>
                <w:szCs w:val="21"/>
              </w:rPr>
              <w:t xml:space="preserve">72.01 </w:t>
            </w:r>
          </w:p>
        </w:tc>
      </w:tr>
    </w:tbl>
    <w:p>
      <w:pPr>
        <w:pStyle w:val="7"/>
        <w:spacing w:before="0" w:beforeAutospacing="0" w:after="0" w:afterAutospacing="0" w:line="360" w:lineRule="auto"/>
        <w:ind w:firstLine="420"/>
        <w:rPr>
          <w:sz w:val="21"/>
          <w:szCs w:val="21"/>
        </w:rPr>
      </w:pPr>
      <w:r>
        <w:rPr>
          <w:rFonts w:hint="eastAsia"/>
          <w:sz w:val="21"/>
          <w:szCs w:val="21"/>
        </w:rPr>
        <w:t xml:space="preserve">2.2 报告期末按行业分类的港股通投资股票投资组合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8"/>
        <w:gridCol w:w="2996"/>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0" w:type="dxa"/>
            <w:shd w:val="clear" w:color="auto" w:fill="auto"/>
          </w:tcPr>
          <w:p>
            <w:pPr>
              <w:pStyle w:val="7"/>
              <w:jc w:val="center"/>
              <w:rPr>
                <w:sz w:val="21"/>
                <w:szCs w:val="21"/>
              </w:rPr>
            </w:pPr>
            <w:r>
              <w:rPr>
                <w:rFonts w:hint="eastAsia"/>
                <w:sz w:val="21"/>
                <w:szCs w:val="21"/>
              </w:rPr>
              <w:t xml:space="preserve">行业类别 </w:t>
            </w:r>
          </w:p>
        </w:tc>
        <w:tc>
          <w:tcPr>
            <w:tcW w:w="3540" w:type="dxa"/>
            <w:shd w:val="clear" w:color="auto" w:fill="auto"/>
          </w:tcPr>
          <w:p>
            <w:pPr>
              <w:pStyle w:val="7"/>
              <w:jc w:val="center"/>
              <w:rPr>
                <w:sz w:val="21"/>
                <w:szCs w:val="21"/>
              </w:rPr>
            </w:pPr>
            <w:r>
              <w:rPr>
                <w:rFonts w:hint="eastAsia"/>
                <w:sz w:val="21"/>
                <w:szCs w:val="21"/>
              </w:rPr>
              <w:t xml:space="preserve">公允价值（人民币） </w:t>
            </w:r>
          </w:p>
        </w:tc>
        <w:tc>
          <w:tcPr>
            <w:tcW w:w="3540" w:type="dxa"/>
            <w:shd w:val="clear" w:color="auto" w:fill="auto"/>
          </w:tcPr>
          <w:p>
            <w:pPr>
              <w:pStyle w:val="7"/>
              <w:jc w:val="center"/>
              <w:rPr>
                <w:sz w:val="21"/>
                <w:szCs w:val="21"/>
              </w:rPr>
            </w:pPr>
            <w:r>
              <w:rPr>
                <w:rFonts w:hint="eastAsia"/>
                <w:sz w:val="21"/>
                <w:szCs w:val="21"/>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0" w:type="dxa"/>
            <w:shd w:val="clear" w:color="auto" w:fill="auto"/>
          </w:tcPr>
          <w:p>
            <w:pPr>
              <w:pStyle w:val="7"/>
              <w:rPr>
                <w:sz w:val="21"/>
                <w:szCs w:val="21"/>
              </w:rPr>
            </w:pPr>
            <w:r>
              <w:rPr>
                <w:rFonts w:hint="eastAsia"/>
                <w:sz w:val="21"/>
                <w:szCs w:val="21"/>
              </w:rPr>
              <w:t xml:space="preserve">电信业务 </w:t>
            </w:r>
          </w:p>
        </w:tc>
        <w:tc>
          <w:tcPr>
            <w:tcW w:w="3540" w:type="dxa"/>
            <w:shd w:val="clear" w:color="auto" w:fill="auto"/>
          </w:tcPr>
          <w:p>
            <w:pPr>
              <w:pStyle w:val="7"/>
              <w:jc w:val="right"/>
              <w:rPr>
                <w:sz w:val="21"/>
                <w:szCs w:val="21"/>
              </w:rPr>
            </w:pPr>
            <w:r>
              <w:rPr>
                <w:rFonts w:hint="eastAsia"/>
                <w:sz w:val="21"/>
                <w:szCs w:val="21"/>
              </w:rPr>
              <w:t xml:space="preserve">3,281,244.30 </w:t>
            </w:r>
          </w:p>
        </w:tc>
        <w:tc>
          <w:tcPr>
            <w:tcW w:w="3540" w:type="dxa"/>
            <w:shd w:val="clear" w:color="auto" w:fill="auto"/>
          </w:tcPr>
          <w:p>
            <w:pPr>
              <w:pStyle w:val="7"/>
              <w:jc w:val="right"/>
              <w:rPr>
                <w:sz w:val="21"/>
                <w:szCs w:val="21"/>
              </w:rPr>
            </w:pPr>
            <w:r>
              <w:rPr>
                <w:rFonts w:hint="eastAsia"/>
                <w:sz w:val="21"/>
                <w:szCs w:val="21"/>
              </w:rPr>
              <w:t xml:space="preserve">3.16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0" w:type="dxa"/>
            <w:shd w:val="clear" w:color="auto" w:fill="auto"/>
          </w:tcPr>
          <w:p>
            <w:pPr>
              <w:pStyle w:val="7"/>
              <w:rPr>
                <w:sz w:val="21"/>
                <w:szCs w:val="21"/>
              </w:rPr>
            </w:pPr>
            <w:r>
              <w:rPr>
                <w:rFonts w:hint="eastAsia"/>
                <w:sz w:val="21"/>
                <w:szCs w:val="21"/>
              </w:rPr>
              <w:t xml:space="preserve">非日常生活消费品 </w:t>
            </w:r>
          </w:p>
        </w:tc>
        <w:tc>
          <w:tcPr>
            <w:tcW w:w="3540" w:type="dxa"/>
            <w:shd w:val="clear" w:color="auto" w:fill="auto"/>
          </w:tcPr>
          <w:p>
            <w:pPr>
              <w:pStyle w:val="7"/>
              <w:jc w:val="right"/>
              <w:rPr>
                <w:sz w:val="21"/>
                <w:szCs w:val="21"/>
              </w:rPr>
            </w:pPr>
            <w:r>
              <w:rPr>
                <w:rFonts w:hint="eastAsia"/>
                <w:sz w:val="21"/>
                <w:szCs w:val="21"/>
              </w:rPr>
              <w:t xml:space="preserve">3,868,768.04 </w:t>
            </w:r>
          </w:p>
        </w:tc>
        <w:tc>
          <w:tcPr>
            <w:tcW w:w="3540" w:type="dxa"/>
            <w:shd w:val="clear" w:color="auto" w:fill="auto"/>
          </w:tcPr>
          <w:p>
            <w:pPr>
              <w:pStyle w:val="7"/>
              <w:jc w:val="right"/>
              <w:rPr>
                <w:sz w:val="21"/>
                <w:szCs w:val="21"/>
              </w:rPr>
            </w:pPr>
            <w:r>
              <w:rPr>
                <w:rFonts w:hint="eastAsia"/>
                <w:sz w:val="21"/>
                <w:szCs w:val="21"/>
              </w:rPr>
              <w:t xml:space="preserve">3.72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40" w:type="dxa"/>
            <w:shd w:val="clear" w:color="auto" w:fill="auto"/>
          </w:tcPr>
          <w:p>
            <w:pPr>
              <w:pStyle w:val="7"/>
              <w:rPr>
                <w:sz w:val="21"/>
                <w:szCs w:val="21"/>
              </w:rPr>
            </w:pPr>
            <w:r>
              <w:rPr>
                <w:rFonts w:hint="eastAsia"/>
                <w:sz w:val="21"/>
                <w:szCs w:val="21"/>
              </w:rPr>
              <w:t xml:space="preserve">日常消费品 </w:t>
            </w:r>
          </w:p>
        </w:tc>
        <w:tc>
          <w:tcPr>
            <w:tcW w:w="3540" w:type="dxa"/>
            <w:shd w:val="clear" w:color="auto" w:fill="auto"/>
          </w:tcPr>
          <w:p>
            <w:pPr>
              <w:pStyle w:val="7"/>
              <w:jc w:val="right"/>
              <w:rPr>
                <w:sz w:val="21"/>
                <w:szCs w:val="21"/>
              </w:rPr>
            </w:pPr>
            <w:r>
              <w:rPr>
                <w:rFonts w:hint="eastAsia"/>
                <w:sz w:val="21"/>
                <w:szCs w:val="21"/>
              </w:rPr>
              <w:t xml:space="preserve">1,986,777.41 </w:t>
            </w:r>
          </w:p>
        </w:tc>
        <w:tc>
          <w:tcPr>
            <w:tcW w:w="3540" w:type="dxa"/>
            <w:shd w:val="clear" w:color="auto" w:fill="auto"/>
          </w:tcPr>
          <w:p>
            <w:pPr>
              <w:pStyle w:val="7"/>
              <w:jc w:val="right"/>
              <w:rPr>
                <w:sz w:val="21"/>
                <w:szCs w:val="21"/>
              </w:rPr>
            </w:pPr>
            <w:r>
              <w:rPr>
                <w:rFonts w:hint="eastAsia"/>
                <w:sz w:val="21"/>
                <w:szCs w:val="21"/>
              </w:rPr>
              <w:t xml:space="preserve">1.91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0" w:type="dxa"/>
            <w:shd w:val="clear" w:color="auto" w:fill="auto"/>
          </w:tcPr>
          <w:p>
            <w:pPr>
              <w:pStyle w:val="7"/>
              <w:rPr>
                <w:sz w:val="21"/>
                <w:szCs w:val="21"/>
              </w:rPr>
            </w:pPr>
            <w:r>
              <w:rPr>
                <w:rFonts w:hint="eastAsia"/>
                <w:sz w:val="21"/>
                <w:szCs w:val="21"/>
              </w:rPr>
              <w:t xml:space="preserve">合计 </w:t>
            </w:r>
          </w:p>
        </w:tc>
        <w:tc>
          <w:tcPr>
            <w:tcW w:w="3540" w:type="dxa"/>
            <w:shd w:val="clear" w:color="auto" w:fill="auto"/>
          </w:tcPr>
          <w:p>
            <w:pPr>
              <w:pStyle w:val="7"/>
              <w:jc w:val="right"/>
              <w:rPr>
                <w:sz w:val="21"/>
                <w:szCs w:val="21"/>
              </w:rPr>
            </w:pPr>
            <w:r>
              <w:rPr>
                <w:rFonts w:hint="eastAsia"/>
                <w:sz w:val="21"/>
                <w:szCs w:val="21"/>
              </w:rPr>
              <w:t xml:space="preserve">9,136,789.75 </w:t>
            </w:r>
          </w:p>
        </w:tc>
        <w:tc>
          <w:tcPr>
            <w:tcW w:w="3540" w:type="dxa"/>
            <w:shd w:val="clear" w:color="auto" w:fill="auto"/>
          </w:tcPr>
          <w:p>
            <w:pPr>
              <w:pStyle w:val="7"/>
              <w:jc w:val="right"/>
              <w:rPr>
                <w:sz w:val="21"/>
                <w:szCs w:val="21"/>
              </w:rPr>
            </w:pPr>
            <w:r>
              <w:rPr>
                <w:rFonts w:hint="eastAsia"/>
                <w:sz w:val="21"/>
                <w:szCs w:val="21"/>
              </w:rPr>
              <w:t xml:space="preserve">8.80 </w:t>
            </w:r>
          </w:p>
        </w:tc>
      </w:tr>
    </w:tbl>
    <w:p>
      <w:pPr>
        <w:pStyle w:val="7"/>
        <w:spacing w:before="0" w:beforeAutospacing="0" w:after="0" w:afterAutospacing="0" w:line="360" w:lineRule="auto"/>
        <w:ind w:firstLine="420"/>
        <w:rPr>
          <w:sz w:val="21"/>
          <w:szCs w:val="21"/>
        </w:rPr>
      </w:pPr>
      <w:r>
        <w:rPr>
          <w:rFonts w:hint="eastAsia"/>
          <w:sz w:val="21"/>
          <w:szCs w:val="21"/>
        </w:rPr>
        <w:t xml:space="preserve">注：以上分类采用彭博提供的国际通用行业分类标准。 </w:t>
      </w:r>
    </w:p>
    <w:p>
      <w:pPr>
        <w:pStyle w:val="7"/>
        <w:spacing w:before="0" w:beforeAutospacing="0" w:after="0" w:afterAutospacing="0" w:line="360" w:lineRule="auto"/>
        <w:ind w:firstLine="420"/>
        <w:rPr>
          <w:sz w:val="21"/>
          <w:szCs w:val="21"/>
        </w:rPr>
      </w:pPr>
      <w:r>
        <w:rPr>
          <w:rFonts w:hint="eastAsia"/>
          <w:sz w:val="21"/>
          <w:szCs w:val="21"/>
        </w:rPr>
        <w:t xml:space="preserve">3 报告期末按公允价值占基金资产净值比例大小排序的前十名股票投资明细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1248"/>
        <w:gridCol w:w="1296"/>
        <w:gridCol w:w="1397"/>
        <w:gridCol w:w="1839"/>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shd w:val="clear" w:color="auto" w:fill="auto"/>
          </w:tcPr>
          <w:p>
            <w:pPr>
              <w:pStyle w:val="7"/>
              <w:jc w:val="center"/>
              <w:rPr>
                <w:sz w:val="21"/>
                <w:szCs w:val="21"/>
              </w:rPr>
            </w:pPr>
            <w:r>
              <w:rPr>
                <w:rFonts w:hint="eastAsia"/>
                <w:sz w:val="21"/>
                <w:szCs w:val="21"/>
              </w:rPr>
              <w:t xml:space="preserve">序号 </w:t>
            </w:r>
          </w:p>
        </w:tc>
        <w:tc>
          <w:tcPr>
            <w:tcW w:w="1248" w:type="dxa"/>
            <w:shd w:val="clear" w:color="auto" w:fill="auto"/>
          </w:tcPr>
          <w:p>
            <w:pPr>
              <w:pStyle w:val="7"/>
              <w:jc w:val="center"/>
              <w:rPr>
                <w:sz w:val="21"/>
                <w:szCs w:val="21"/>
              </w:rPr>
            </w:pPr>
            <w:r>
              <w:rPr>
                <w:rFonts w:hint="eastAsia"/>
                <w:sz w:val="21"/>
                <w:szCs w:val="21"/>
              </w:rPr>
              <w:t xml:space="preserve">股票代码 </w:t>
            </w:r>
          </w:p>
        </w:tc>
        <w:tc>
          <w:tcPr>
            <w:tcW w:w="1296" w:type="dxa"/>
            <w:shd w:val="clear" w:color="auto" w:fill="auto"/>
          </w:tcPr>
          <w:p>
            <w:pPr>
              <w:pStyle w:val="7"/>
              <w:jc w:val="center"/>
              <w:rPr>
                <w:sz w:val="21"/>
                <w:szCs w:val="21"/>
              </w:rPr>
            </w:pPr>
            <w:r>
              <w:rPr>
                <w:rFonts w:hint="eastAsia"/>
                <w:sz w:val="21"/>
                <w:szCs w:val="21"/>
              </w:rPr>
              <w:t xml:space="preserve">股票名称 </w:t>
            </w:r>
          </w:p>
        </w:tc>
        <w:tc>
          <w:tcPr>
            <w:tcW w:w="1397" w:type="dxa"/>
            <w:shd w:val="clear" w:color="auto" w:fill="auto"/>
          </w:tcPr>
          <w:p>
            <w:pPr>
              <w:pStyle w:val="7"/>
              <w:jc w:val="center"/>
              <w:rPr>
                <w:sz w:val="21"/>
                <w:szCs w:val="21"/>
              </w:rPr>
            </w:pPr>
            <w:r>
              <w:rPr>
                <w:rFonts w:hint="eastAsia"/>
                <w:sz w:val="21"/>
                <w:szCs w:val="21"/>
              </w:rPr>
              <w:t xml:space="preserve">数量(股) </w:t>
            </w:r>
          </w:p>
        </w:tc>
        <w:tc>
          <w:tcPr>
            <w:tcW w:w="1839" w:type="dxa"/>
            <w:shd w:val="clear" w:color="auto" w:fill="auto"/>
          </w:tcPr>
          <w:p>
            <w:pPr>
              <w:pStyle w:val="7"/>
              <w:jc w:val="center"/>
              <w:rPr>
                <w:sz w:val="21"/>
                <w:szCs w:val="21"/>
              </w:rPr>
            </w:pPr>
            <w:r>
              <w:rPr>
                <w:rFonts w:hint="eastAsia"/>
                <w:sz w:val="21"/>
                <w:szCs w:val="21"/>
              </w:rPr>
              <w:t xml:space="preserve">公允价值(元) </w:t>
            </w:r>
          </w:p>
        </w:tc>
        <w:tc>
          <w:tcPr>
            <w:tcW w:w="2053" w:type="dxa"/>
            <w:shd w:val="clear" w:color="auto" w:fill="auto"/>
          </w:tcPr>
          <w:p>
            <w:pPr>
              <w:pStyle w:val="7"/>
              <w:jc w:val="center"/>
              <w:rPr>
                <w:sz w:val="21"/>
                <w:szCs w:val="21"/>
              </w:rPr>
            </w:pPr>
            <w:r>
              <w:rPr>
                <w:rFonts w:hint="eastAsia"/>
                <w:sz w:val="21"/>
                <w:szCs w:val="21"/>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3" w:type="dxa"/>
            <w:shd w:val="clear" w:color="auto" w:fill="auto"/>
          </w:tcPr>
          <w:p>
            <w:pPr>
              <w:pStyle w:val="7"/>
              <w:jc w:val="center"/>
              <w:rPr>
                <w:sz w:val="21"/>
                <w:szCs w:val="21"/>
              </w:rPr>
            </w:pPr>
            <w:r>
              <w:rPr>
                <w:rFonts w:hint="eastAsia"/>
                <w:sz w:val="21"/>
                <w:szCs w:val="21"/>
              </w:rPr>
              <w:t xml:space="preserve">1 </w:t>
            </w:r>
          </w:p>
        </w:tc>
        <w:tc>
          <w:tcPr>
            <w:tcW w:w="1248" w:type="dxa"/>
            <w:shd w:val="clear" w:color="auto" w:fill="auto"/>
          </w:tcPr>
          <w:p>
            <w:pPr>
              <w:pStyle w:val="7"/>
              <w:jc w:val="center"/>
              <w:rPr>
                <w:sz w:val="21"/>
                <w:szCs w:val="21"/>
              </w:rPr>
            </w:pPr>
            <w:r>
              <w:rPr>
                <w:rFonts w:hint="eastAsia"/>
                <w:sz w:val="21"/>
                <w:szCs w:val="21"/>
              </w:rPr>
              <w:t xml:space="preserve">002475 </w:t>
            </w:r>
          </w:p>
        </w:tc>
        <w:tc>
          <w:tcPr>
            <w:tcW w:w="1296" w:type="dxa"/>
            <w:shd w:val="clear" w:color="auto" w:fill="auto"/>
          </w:tcPr>
          <w:p>
            <w:pPr>
              <w:pStyle w:val="7"/>
              <w:jc w:val="center"/>
              <w:rPr>
                <w:sz w:val="21"/>
                <w:szCs w:val="21"/>
              </w:rPr>
            </w:pPr>
            <w:r>
              <w:rPr>
                <w:rFonts w:hint="eastAsia"/>
                <w:sz w:val="21"/>
                <w:szCs w:val="21"/>
              </w:rPr>
              <w:t xml:space="preserve">立讯精密 </w:t>
            </w:r>
          </w:p>
        </w:tc>
        <w:tc>
          <w:tcPr>
            <w:tcW w:w="1397" w:type="dxa"/>
            <w:shd w:val="clear" w:color="auto" w:fill="auto"/>
          </w:tcPr>
          <w:p>
            <w:pPr>
              <w:pStyle w:val="7"/>
              <w:jc w:val="right"/>
              <w:rPr>
                <w:sz w:val="21"/>
                <w:szCs w:val="21"/>
              </w:rPr>
            </w:pPr>
            <w:r>
              <w:rPr>
                <w:rFonts w:hint="eastAsia"/>
                <w:sz w:val="21"/>
                <w:szCs w:val="21"/>
              </w:rPr>
              <w:t xml:space="preserve">213,758 </w:t>
            </w:r>
          </w:p>
        </w:tc>
        <w:tc>
          <w:tcPr>
            <w:tcW w:w="1839" w:type="dxa"/>
            <w:shd w:val="clear" w:color="auto" w:fill="auto"/>
          </w:tcPr>
          <w:p>
            <w:pPr>
              <w:pStyle w:val="7"/>
              <w:jc w:val="right"/>
              <w:rPr>
                <w:sz w:val="21"/>
                <w:szCs w:val="21"/>
              </w:rPr>
            </w:pPr>
            <w:r>
              <w:rPr>
                <w:rFonts w:hint="eastAsia"/>
                <w:sz w:val="21"/>
                <w:szCs w:val="21"/>
              </w:rPr>
              <w:t xml:space="preserve">7,222,882.82 </w:t>
            </w:r>
          </w:p>
        </w:tc>
        <w:tc>
          <w:tcPr>
            <w:tcW w:w="2053" w:type="dxa"/>
            <w:shd w:val="clear" w:color="auto" w:fill="auto"/>
          </w:tcPr>
          <w:p>
            <w:pPr>
              <w:pStyle w:val="7"/>
              <w:jc w:val="right"/>
              <w:rPr>
                <w:sz w:val="21"/>
                <w:szCs w:val="21"/>
              </w:rPr>
            </w:pPr>
            <w:r>
              <w:rPr>
                <w:rFonts w:hint="eastAsia"/>
                <w:sz w:val="21"/>
                <w:szCs w:val="21"/>
              </w:rPr>
              <w:t xml:space="preserve">6.95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3" w:type="dxa"/>
            <w:shd w:val="clear" w:color="auto" w:fill="auto"/>
          </w:tcPr>
          <w:p>
            <w:pPr>
              <w:pStyle w:val="7"/>
              <w:jc w:val="center"/>
              <w:rPr>
                <w:sz w:val="21"/>
                <w:szCs w:val="21"/>
              </w:rPr>
            </w:pPr>
            <w:r>
              <w:rPr>
                <w:rFonts w:hint="eastAsia"/>
                <w:sz w:val="21"/>
                <w:szCs w:val="21"/>
              </w:rPr>
              <w:t xml:space="preserve">2 </w:t>
            </w:r>
          </w:p>
        </w:tc>
        <w:tc>
          <w:tcPr>
            <w:tcW w:w="1248" w:type="dxa"/>
            <w:shd w:val="clear" w:color="auto" w:fill="auto"/>
          </w:tcPr>
          <w:p>
            <w:pPr>
              <w:pStyle w:val="7"/>
              <w:jc w:val="center"/>
              <w:rPr>
                <w:sz w:val="21"/>
                <w:szCs w:val="21"/>
              </w:rPr>
            </w:pPr>
            <w:r>
              <w:rPr>
                <w:rFonts w:hint="eastAsia"/>
                <w:sz w:val="21"/>
                <w:szCs w:val="21"/>
              </w:rPr>
              <w:t xml:space="preserve">603799 </w:t>
            </w:r>
          </w:p>
        </w:tc>
        <w:tc>
          <w:tcPr>
            <w:tcW w:w="1296" w:type="dxa"/>
            <w:shd w:val="clear" w:color="auto" w:fill="auto"/>
          </w:tcPr>
          <w:p>
            <w:pPr>
              <w:pStyle w:val="7"/>
              <w:jc w:val="center"/>
              <w:rPr>
                <w:sz w:val="21"/>
                <w:szCs w:val="21"/>
              </w:rPr>
            </w:pPr>
            <w:r>
              <w:rPr>
                <w:rFonts w:hint="eastAsia"/>
                <w:sz w:val="21"/>
                <w:szCs w:val="21"/>
              </w:rPr>
              <w:t xml:space="preserve">华友钴业 </w:t>
            </w:r>
          </w:p>
        </w:tc>
        <w:tc>
          <w:tcPr>
            <w:tcW w:w="1397" w:type="dxa"/>
            <w:shd w:val="clear" w:color="auto" w:fill="auto"/>
          </w:tcPr>
          <w:p>
            <w:pPr>
              <w:pStyle w:val="7"/>
              <w:jc w:val="right"/>
              <w:rPr>
                <w:sz w:val="21"/>
                <w:szCs w:val="21"/>
              </w:rPr>
            </w:pPr>
            <w:r>
              <w:rPr>
                <w:rFonts w:hint="eastAsia"/>
                <w:sz w:val="21"/>
                <w:szCs w:val="21"/>
              </w:rPr>
              <w:t xml:space="preserve">69,940 </w:t>
            </w:r>
          </w:p>
        </w:tc>
        <w:tc>
          <w:tcPr>
            <w:tcW w:w="1839" w:type="dxa"/>
            <w:shd w:val="clear" w:color="auto" w:fill="auto"/>
          </w:tcPr>
          <w:p>
            <w:pPr>
              <w:pStyle w:val="7"/>
              <w:jc w:val="right"/>
              <w:rPr>
                <w:sz w:val="21"/>
                <w:szCs w:val="21"/>
              </w:rPr>
            </w:pPr>
            <w:r>
              <w:rPr>
                <w:rFonts w:hint="eastAsia"/>
                <w:sz w:val="21"/>
                <w:szCs w:val="21"/>
              </w:rPr>
              <w:t xml:space="preserve">6,687,662.80 </w:t>
            </w:r>
          </w:p>
        </w:tc>
        <w:tc>
          <w:tcPr>
            <w:tcW w:w="2053" w:type="dxa"/>
            <w:shd w:val="clear" w:color="auto" w:fill="auto"/>
          </w:tcPr>
          <w:p>
            <w:pPr>
              <w:pStyle w:val="7"/>
              <w:jc w:val="right"/>
              <w:rPr>
                <w:sz w:val="21"/>
                <w:szCs w:val="21"/>
              </w:rPr>
            </w:pPr>
            <w:r>
              <w:rPr>
                <w:rFonts w:hint="eastAsia"/>
                <w:sz w:val="21"/>
                <w:szCs w:val="21"/>
              </w:rPr>
              <w:t xml:space="preserve">6.44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shd w:val="clear" w:color="auto" w:fill="auto"/>
          </w:tcPr>
          <w:p>
            <w:pPr>
              <w:pStyle w:val="7"/>
              <w:jc w:val="center"/>
              <w:rPr>
                <w:sz w:val="21"/>
                <w:szCs w:val="21"/>
              </w:rPr>
            </w:pPr>
            <w:r>
              <w:rPr>
                <w:rFonts w:hint="eastAsia"/>
                <w:sz w:val="21"/>
                <w:szCs w:val="21"/>
              </w:rPr>
              <w:t xml:space="preserve">3 </w:t>
            </w:r>
          </w:p>
        </w:tc>
        <w:tc>
          <w:tcPr>
            <w:tcW w:w="1248" w:type="dxa"/>
            <w:shd w:val="clear" w:color="auto" w:fill="auto"/>
          </w:tcPr>
          <w:p>
            <w:pPr>
              <w:pStyle w:val="7"/>
              <w:jc w:val="center"/>
              <w:rPr>
                <w:sz w:val="21"/>
                <w:szCs w:val="21"/>
              </w:rPr>
            </w:pPr>
            <w:r>
              <w:rPr>
                <w:rFonts w:hint="eastAsia"/>
                <w:sz w:val="21"/>
                <w:szCs w:val="21"/>
              </w:rPr>
              <w:t xml:space="preserve">002709 </w:t>
            </w:r>
          </w:p>
        </w:tc>
        <w:tc>
          <w:tcPr>
            <w:tcW w:w="1296" w:type="dxa"/>
            <w:shd w:val="clear" w:color="auto" w:fill="auto"/>
          </w:tcPr>
          <w:p>
            <w:pPr>
              <w:pStyle w:val="7"/>
              <w:jc w:val="center"/>
              <w:rPr>
                <w:sz w:val="21"/>
                <w:szCs w:val="21"/>
              </w:rPr>
            </w:pPr>
            <w:r>
              <w:rPr>
                <w:rFonts w:hint="eastAsia"/>
                <w:sz w:val="21"/>
                <w:szCs w:val="21"/>
              </w:rPr>
              <w:t xml:space="preserve">天赐材料 </w:t>
            </w:r>
          </w:p>
        </w:tc>
        <w:tc>
          <w:tcPr>
            <w:tcW w:w="1397" w:type="dxa"/>
            <w:shd w:val="clear" w:color="auto" w:fill="auto"/>
          </w:tcPr>
          <w:p>
            <w:pPr>
              <w:pStyle w:val="7"/>
              <w:jc w:val="right"/>
              <w:rPr>
                <w:sz w:val="21"/>
                <w:szCs w:val="21"/>
              </w:rPr>
            </w:pPr>
            <w:r>
              <w:rPr>
                <w:rFonts w:hint="eastAsia"/>
                <w:sz w:val="21"/>
                <w:szCs w:val="21"/>
              </w:rPr>
              <w:t xml:space="preserve">101,300 </w:t>
            </w:r>
          </w:p>
        </w:tc>
        <w:tc>
          <w:tcPr>
            <w:tcW w:w="1839" w:type="dxa"/>
            <w:shd w:val="clear" w:color="auto" w:fill="auto"/>
          </w:tcPr>
          <w:p>
            <w:pPr>
              <w:pStyle w:val="7"/>
              <w:jc w:val="right"/>
              <w:rPr>
                <w:sz w:val="21"/>
                <w:szCs w:val="21"/>
              </w:rPr>
            </w:pPr>
            <w:r>
              <w:rPr>
                <w:rFonts w:hint="eastAsia"/>
                <w:sz w:val="21"/>
                <w:szCs w:val="21"/>
              </w:rPr>
              <w:t xml:space="preserve">6,286,678.00 </w:t>
            </w:r>
          </w:p>
        </w:tc>
        <w:tc>
          <w:tcPr>
            <w:tcW w:w="2053" w:type="dxa"/>
            <w:shd w:val="clear" w:color="auto" w:fill="auto"/>
          </w:tcPr>
          <w:p>
            <w:pPr>
              <w:pStyle w:val="7"/>
              <w:jc w:val="right"/>
              <w:rPr>
                <w:sz w:val="21"/>
                <w:szCs w:val="21"/>
              </w:rPr>
            </w:pPr>
            <w:r>
              <w:rPr>
                <w:rFonts w:hint="eastAsia"/>
                <w:sz w:val="21"/>
                <w:szCs w:val="21"/>
              </w:rPr>
              <w:t xml:space="preserve">6.05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shd w:val="clear" w:color="auto" w:fill="auto"/>
          </w:tcPr>
          <w:p>
            <w:pPr>
              <w:pStyle w:val="7"/>
              <w:jc w:val="center"/>
              <w:rPr>
                <w:sz w:val="21"/>
                <w:szCs w:val="21"/>
              </w:rPr>
            </w:pPr>
            <w:r>
              <w:rPr>
                <w:rFonts w:hint="eastAsia"/>
                <w:sz w:val="21"/>
                <w:szCs w:val="21"/>
              </w:rPr>
              <w:t xml:space="preserve">4 </w:t>
            </w:r>
          </w:p>
        </w:tc>
        <w:tc>
          <w:tcPr>
            <w:tcW w:w="1248" w:type="dxa"/>
            <w:shd w:val="clear" w:color="auto" w:fill="auto"/>
          </w:tcPr>
          <w:p>
            <w:pPr>
              <w:pStyle w:val="7"/>
              <w:jc w:val="center"/>
              <w:rPr>
                <w:sz w:val="21"/>
                <w:szCs w:val="21"/>
              </w:rPr>
            </w:pPr>
            <w:r>
              <w:rPr>
                <w:rFonts w:hint="eastAsia"/>
                <w:sz w:val="21"/>
                <w:szCs w:val="21"/>
              </w:rPr>
              <w:t xml:space="preserve">300014 </w:t>
            </w:r>
          </w:p>
        </w:tc>
        <w:tc>
          <w:tcPr>
            <w:tcW w:w="1296" w:type="dxa"/>
            <w:shd w:val="clear" w:color="auto" w:fill="auto"/>
          </w:tcPr>
          <w:p>
            <w:pPr>
              <w:pStyle w:val="7"/>
              <w:jc w:val="center"/>
              <w:rPr>
                <w:sz w:val="21"/>
                <w:szCs w:val="21"/>
              </w:rPr>
            </w:pPr>
            <w:r>
              <w:rPr>
                <w:rFonts w:hint="eastAsia"/>
                <w:sz w:val="21"/>
                <w:szCs w:val="21"/>
              </w:rPr>
              <w:t xml:space="preserve">亿纬锂能 </w:t>
            </w:r>
          </w:p>
        </w:tc>
        <w:tc>
          <w:tcPr>
            <w:tcW w:w="1397" w:type="dxa"/>
            <w:shd w:val="clear" w:color="auto" w:fill="auto"/>
          </w:tcPr>
          <w:p>
            <w:pPr>
              <w:pStyle w:val="7"/>
              <w:jc w:val="right"/>
              <w:rPr>
                <w:sz w:val="21"/>
                <w:szCs w:val="21"/>
              </w:rPr>
            </w:pPr>
            <w:r>
              <w:rPr>
                <w:rFonts w:hint="eastAsia"/>
                <w:sz w:val="21"/>
                <w:szCs w:val="21"/>
              </w:rPr>
              <w:t xml:space="preserve">52,872 </w:t>
            </w:r>
          </w:p>
        </w:tc>
        <w:tc>
          <w:tcPr>
            <w:tcW w:w="1839" w:type="dxa"/>
            <w:shd w:val="clear" w:color="auto" w:fill="auto"/>
          </w:tcPr>
          <w:p>
            <w:pPr>
              <w:pStyle w:val="7"/>
              <w:jc w:val="right"/>
              <w:rPr>
                <w:sz w:val="21"/>
                <w:szCs w:val="21"/>
              </w:rPr>
            </w:pPr>
            <w:r>
              <w:rPr>
                <w:rFonts w:hint="eastAsia"/>
                <w:sz w:val="21"/>
                <w:szCs w:val="21"/>
              </w:rPr>
              <w:t xml:space="preserve">5,155,020.00 </w:t>
            </w:r>
          </w:p>
        </w:tc>
        <w:tc>
          <w:tcPr>
            <w:tcW w:w="2053" w:type="dxa"/>
            <w:shd w:val="clear" w:color="auto" w:fill="auto"/>
          </w:tcPr>
          <w:p>
            <w:pPr>
              <w:pStyle w:val="7"/>
              <w:jc w:val="right"/>
              <w:rPr>
                <w:sz w:val="21"/>
                <w:szCs w:val="21"/>
              </w:rPr>
            </w:pPr>
            <w:r>
              <w:rPr>
                <w:rFonts w:hint="eastAsia"/>
                <w:sz w:val="21"/>
                <w:szCs w:val="21"/>
              </w:rPr>
              <w:t xml:space="preserve">4.96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shd w:val="clear" w:color="auto" w:fill="auto"/>
          </w:tcPr>
          <w:p>
            <w:pPr>
              <w:pStyle w:val="7"/>
              <w:jc w:val="center"/>
              <w:rPr>
                <w:sz w:val="21"/>
                <w:szCs w:val="21"/>
              </w:rPr>
            </w:pPr>
            <w:r>
              <w:rPr>
                <w:rFonts w:hint="eastAsia"/>
                <w:sz w:val="21"/>
                <w:szCs w:val="21"/>
              </w:rPr>
              <w:t xml:space="preserve">5 </w:t>
            </w:r>
          </w:p>
        </w:tc>
        <w:tc>
          <w:tcPr>
            <w:tcW w:w="1248" w:type="dxa"/>
            <w:shd w:val="clear" w:color="auto" w:fill="auto"/>
          </w:tcPr>
          <w:p>
            <w:pPr>
              <w:pStyle w:val="7"/>
              <w:jc w:val="center"/>
              <w:rPr>
                <w:sz w:val="21"/>
                <w:szCs w:val="21"/>
              </w:rPr>
            </w:pPr>
            <w:r>
              <w:rPr>
                <w:rFonts w:hint="eastAsia"/>
                <w:sz w:val="21"/>
                <w:szCs w:val="21"/>
              </w:rPr>
              <w:t xml:space="preserve">600426 </w:t>
            </w:r>
          </w:p>
        </w:tc>
        <w:tc>
          <w:tcPr>
            <w:tcW w:w="1296" w:type="dxa"/>
            <w:shd w:val="clear" w:color="auto" w:fill="auto"/>
          </w:tcPr>
          <w:p>
            <w:pPr>
              <w:pStyle w:val="7"/>
              <w:jc w:val="center"/>
              <w:rPr>
                <w:sz w:val="21"/>
                <w:szCs w:val="21"/>
              </w:rPr>
            </w:pPr>
            <w:r>
              <w:rPr>
                <w:rFonts w:hint="eastAsia"/>
                <w:sz w:val="21"/>
                <w:szCs w:val="21"/>
              </w:rPr>
              <w:t xml:space="preserve">华鲁恒升 </w:t>
            </w:r>
          </w:p>
        </w:tc>
        <w:tc>
          <w:tcPr>
            <w:tcW w:w="1397" w:type="dxa"/>
            <w:shd w:val="clear" w:color="auto" w:fill="auto"/>
          </w:tcPr>
          <w:p>
            <w:pPr>
              <w:pStyle w:val="7"/>
              <w:jc w:val="right"/>
              <w:rPr>
                <w:sz w:val="21"/>
                <w:szCs w:val="21"/>
              </w:rPr>
            </w:pPr>
            <w:r>
              <w:rPr>
                <w:rFonts w:hint="eastAsia"/>
                <w:sz w:val="21"/>
                <w:szCs w:val="21"/>
              </w:rPr>
              <w:t xml:space="preserve">155,970 </w:t>
            </w:r>
          </w:p>
        </w:tc>
        <w:tc>
          <w:tcPr>
            <w:tcW w:w="1839" w:type="dxa"/>
            <w:shd w:val="clear" w:color="auto" w:fill="auto"/>
          </w:tcPr>
          <w:p>
            <w:pPr>
              <w:pStyle w:val="7"/>
              <w:jc w:val="right"/>
              <w:rPr>
                <w:sz w:val="21"/>
                <w:szCs w:val="21"/>
              </w:rPr>
            </w:pPr>
            <w:r>
              <w:rPr>
                <w:rFonts w:hint="eastAsia"/>
                <w:sz w:val="21"/>
                <w:szCs w:val="21"/>
              </w:rPr>
              <w:t xml:space="preserve">4,554,324.00 </w:t>
            </w:r>
          </w:p>
        </w:tc>
        <w:tc>
          <w:tcPr>
            <w:tcW w:w="2053" w:type="dxa"/>
            <w:shd w:val="clear" w:color="auto" w:fill="auto"/>
          </w:tcPr>
          <w:p>
            <w:pPr>
              <w:pStyle w:val="7"/>
              <w:jc w:val="right"/>
              <w:rPr>
                <w:sz w:val="21"/>
                <w:szCs w:val="21"/>
              </w:rPr>
            </w:pPr>
            <w:r>
              <w:rPr>
                <w:rFonts w:hint="eastAsia"/>
                <w:sz w:val="21"/>
                <w:szCs w:val="21"/>
              </w:rPr>
              <w:t xml:space="preserve">4.38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3" w:type="dxa"/>
            <w:shd w:val="clear" w:color="auto" w:fill="auto"/>
          </w:tcPr>
          <w:p>
            <w:pPr>
              <w:pStyle w:val="7"/>
              <w:jc w:val="center"/>
              <w:rPr>
                <w:sz w:val="21"/>
                <w:szCs w:val="21"/>
              </w:rPr>
            </w:pPr>
            <w:r>
              <w:rPr>
                <w:rFonts w:hint="eastAsia"/>
                <w:sz w:val="21"/>
                <w:szCs w:val="21"/>
              </w:rPr>
              <w:t xml:space="preserve">6 </w:t>
            </w:r>
          </w:p>
        </w:tc>
        <w:tc>
          <w:tcPr>
            <w:tcW w:w="1248" w:type="dxa"/>
            <w:shd w:val="clear" w:color="auto" w:fill="auto"/>
          </w:tcPr>
          <w:p>
            <w:pPr>
              <w:pStyle w:val="7"/>
              <w:jc w:val="center"/>
              <w:rPr>
                <w:sz w:val="21"/>
                <w:szCs w:val="21"/>
              </w:rPr>
            </w:pPr>
            <w:r>
              <w:rPr>
                <w:rFonts w:hint="eastAsia"/>
                <w:sz w:val="21"/>
                <w:szCs w:val="21"/>
              </w:rPr>
              <w:t xml:space="preserve">300750 </w:t>
            </w:r>
          </w:p>
        </w:tc>
        <w:tc>
          <w:tcPr>
            <w:tcW w:w="1296" w:type="dxa"/>
            <w:shd w:val="clear" w:color="auto" w:fill="auto"/>
          </w:tcPr>
          <w:p>
            <w:pPr>
              <w:pStyle w:val="7"/>
              <w:jc w:val="center"/>
              <w:rPr>
                <w:sz w:val="21"/>
                <w:szCs w:val="21"/>
              </w:rPr>
            </w:pPr>
            <w:r>
              <w:rPr>
                <w:rFonts w:hint="eastAsia"/>
                <w:sz w:val="21"/>
                <w:szCs w:val="21"/>
              </w:rPr>
              <w:t xml:space="preserve">宁德时代 </w:t>
            </w:r>
          </w:p>
        </w:tc>
        <w:tc>
          <w:tcPr>
            <w:tcW w:w="1397" w:type="dxa"/>
            <w:shd w:val="clear" w:color="auto" w:fill="auto"/>
          </w:tcPr>
          <w:p>
            <w:pPr>
              <w:pStyle w:val="7"/>
              <w:jc w:val="right"/>
              <w:rPr>
                <w:sz w:val="21"/>
                <w:szCs w:val="21"/>
              </w:rPr>
            </w:pPr>
            <w:r>
              <w:rPr>
                <w:rFonts w:hint="eastAsia"/>
                <w:sz w:val="21"/>
                <w:szCs w:val="21"/>
              </w:rPr>
              <w:t xml:space="preserve">7,400 </w:t>
            </w:r>
          </w:p>
        </w:tc>
        <w:tc>
          <w:tcPr>
            <w:tcW w:w="1839" w:type="dxa"/>
            <w:shd w:val="clear" w:color="auto" w:fill="auto"/>
          </w:tcPr>
          <w:p>
            <w:pPr>
              <w:pStyle w:val="7"/>
              <w:jc w:val="right"/>
              <w:rPr>
                <w:sz w:val="21"/>
                <w:szCs w:val="21"/>
              </w:rPr>
            </w:pPr>
            <w:r>
              <w:rPr>
                <w:rFonts w:hint="eastAsia"/>
                <w:sz w:val="21"/>
                <w:szCs w:val="21"/>
              </w:rPr>
              <w:t xml:space="preserve">3,951,600.00 </w:t>
            </w:r>
          </w:p>
        </w:tc>
        <w:tc>
          <w:tcPr>
            <w:tcW w:w="2053" w:type="dxa"/>
            <w:shd w:val="clear" w:color="auto" w:fill="auto"/>
          </w:tcPr>
          <w:p>
            <w:pPr>
              <w:pStyle w:val="7"/>
              <w:jc w:val="right"/>
              <w:rPr>
                <w:sz w:val="21"/>
                <w:szCs w:val="21"/>
              </w:rPr>
            </w:pPr>
            <w:r>
              <w:rPr>
                <w:rFonts w:hint="eastAsia"/>
                <w:sz w:val="21"/>
                <w:szCs w:val="21"/>
              </w:rPr>
              <w:t xml:space="preserve">3.80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shd w:val="clear" w:color="auto" w:fill="auto"/>
          </w:tcPr>
          <w:p>
            <w:pPr>
              <w:pStyle w:val="7"/>
              <w:jc w:val="center"/>
              <w:rPr>
                <w:sz w:val="21"/>
                <w:szCs w:val="21"/>
              </w:rPr>
            </w:pPr>
            <w:r>
              <w:rPr>
                <w:rFonts w:hint="eastAsia"/>
                <w:sz w:val="21"/>
                <w:szCs w:val="21"/>
              </w:rPr>
              <w:t xml:space="preserve">7 </w:t>
            </w:r>
          </w:p>
        </w:tc>
        <w:tc>
          <w:tcPr>
            <w:tcW w:w="1248" w:type="dxa"/>
            <w:shd w:val="clear" w:color="auto" w:fill="auto"/>
          </w:tcPr>
          <w:p>
            <w:pPr>
              <w:pStyle w:val="7"/>
              <w:jc w:val="center"/>
              <w:rPr>
                <w:sz w:val="21"/>
                <w:szCs w:val="21"/>
              </w:rPr>
            </w:pPr>
            <w:r>
              <w:rPr>
                <w:rFonts w:hint="eastAsia"/>
                <w:sz w:val="21"/>
                <w:szCs w:val="21"/>
              </w:rPr>
              <w:t xml:space="preserve">3690 </w:t>
            </w:r>
          </w:p>
        </w:tc>
        <w:tc>
          <w:tcPr>
            <w:tcW w:w="1296" w:type="dxa"/>
            <w:shd w:val="clear" w:color="auto" w:fill="auto"/>
          </w:tcPr>
          <w:p>
            <w:pPr>
              <w:pStyle w:val="7"/>
              <w:jc w:val="center"/>
              <w:rPr>
                <w:sz w:val="21"/>
                <w:szCs w:val="21"/>
              </w:rPr>
            </w:pPr>
            <w:r>
              <w:rPr>
                <w:rFonts w:hint="eastAsia"/>
                <w:sz w:val="21"/>
                <w:szCs w:val="21"/>
              </w:rPr>
              <w:t xml:space="preserve">美团－Ｗ </w:t>
            </w:r>
          </w:p>
        </w:tc>
        <w:tc>
          <w:tcPr>
            <w:tcW w:w="1397" w:type="dxa"/>
            <w:shd w:val="clear" w:color="auto" w:fill="auto"/>
          </w:tcPr>
          <w:p>
            <w:pPr>
              <w:pStyle w:val="7"/>
              <w:jc w:val="right"/>
              <w:rPr>
                <w:sz w:val="21"/>
                <w:szCs w:val="21"/>
              </w:rPr>
            </w:pPr>
            <w:r>
              <w:rPr>
                <w:rFonts w:hint="eastAsia"/>
                <w:sz w:val="21"/>
                <w:szCs w:val="21"/>
              </w:rPr>
              <w:t xml:space="preserve">22,700 </w:t>
            </w:r>
          </w:p>
        </w:tc>
        <w:tc>
          <w:tcPr>
            <w:tcW w:w="1839" w:type="dxa"/>
            <w:shd w:val="clear" w:color="auto" w:fill="auto"/>
          </w:tcPr>
          <w:p>
            <w:pPr>
              <w:pStyle w:val="7"/>
              <w:jc w:val="right"/>
              <w:rPr>
                <w:sz w:val="21"/>
                <w:szCs w:val="21"/>
              </w:rPr>
            </w:pPr>
            <w:r>
              <w:rPr>
                <w:rFonts w:hint="eastAsia"/>
                <w:sz w:val="21"/>
                <w:szCs w:val="21"/>
              </w:rPr>
              <w:t xml:space="preserve">3,769,968.28 </w:t>
            </w:r>
          </w:p>
        </w:tc>
        <w:tc>
          <w:tcPr>
            <w:tcW w:w="2053" w:type="dxa"/>
            <w:shd w:val="clear" w:color="auto" w:fill="auto"/>
          </w:tcPr>
          <w:p>
            <w:pPr>
              <w:pStyle w:val="7"/>
              <w:jc w:val="right"/>
              <w:rPr>
                <w:sz w:val="21"/>
                <w:szCs w:val="21"/>
              </w:rPr>
            </w:pPr>
            <w:r>
              <w:rPr>
                <w:rFonts w:hint="eastAsia"/>
                <w:sz w:val="21"/>
                <w:szCs w:val="21"/>
              </w:rPr>
              <w:t xml:space="preserve">3.63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shd w:val="clear" w:color="auto" w:fill="auto"/>
          </w:tcPr>
          <w:p>
            <w:pPr>
              <w:pStyle w:val="7"/>
              <w:jc w:val="center"/>
              <w:rPr>
                <w:sz w:val="21"/>
                <w:szCs w:val="21"/>
              </w:rPr>
            </w:pPr>
            <w:r>
              <w:rPr>
                <w:rFonts w:hint="eastAsia"/>
                <w:sz w:val="21"/>
                <w:szCs w:val="21"/>
              </w:rPr>
              <w:t xml:space="preserve">8 </w:t>
            </w:r>
          </w:p>
        </w:tc>
        <w:tc>
          <w:tcPr>
            <w:tcW w:w="1248" w:type="dxa"/>
            <w:shd w:val="clear" w:color="auto" w:fill="auto"/>
          </w:tcPr>
          <w:p>
            <w:pPr>
              <w:pStyle w:val="7"/>
              <w:jc w:val="center"/>
              <w:rPr>
                <w:sz w:val="21"/>
                <w:szCs w:val="21"/>
              </w:rPr>
            </w:pPr>
            <w:r>
              <w:rPr>
                <w:rFonts w:hint="eastAsia"/>
                <w:sz w:val="21"/>
                <w:szCs w:val="21"/>
              </w:rPr>
              <w:t xml:space="preserve">1024 </w:t>
            </w:r>
          </w:p>
        </w:tc>
        <w:tc>
          <w:tcPr>
            <w:tcW w:w="1296" w:type="dxa"/>
            <w:shd w:val="clear" w:color="auto" w:fill="auto"/>
          </w:tcPr>
          <w:p>
            <w:pPr>
              <w:pStyle w:val="7"/>
              <w:jc w:val="center"/>
              <w:rPr>
                <w:sz w:val="21"/>
                <w:szCs w:val="21"/>
              </w:rPr>
            </w:pPr>
            <w:r>
              <w:rPr>
                <w:rFonts w:hint="eastAsia"/>
                <w:sz w:val="21"/>
                <w:szCs w:val="21"/>
              </w:rPr>
              <w:t xml:space="preserve">快手－Ｗ </w:t>
            </w:r>
          </w:p>
        </w:tc>
        <w:tc>
          <w:tcPr>
            <w:tcW w:w="1397" w:type="dxa"/>
            <w:shd w:val="clear" w:color="auto" w:fill="auto"/>
          </w:tcPr>
          <w:p>
            <w:pPr>
              <w:pStyle w:val="7"/>
              <w:jc w:val="right"/>
              <w:rPr>
                <w:sz w:val="21"/>
                <w:szCs w:val="21"/>
              </w:rPr>
            </w:pPr>
            <w:r>
              <w:rPr>
                <w:rFonts w:hint="eastAsia"/>
                <w:sz w:val="21"/>
                <w:szCs w:val="21"/>
              </w:rPr>
              <w:t xml:space="preserve">43,900 </w:t>
            </w:r>
          </w:p>
        </w:tc>
        <w:tc>
          <w:tcPr>
            <w:tcW w:w="1839" w:type="dxa"/>
            <w:shd w:val="clear" w:color="auto" w:fill="auto"/>
          </w:tcPr>
          <w:p>
            <w:pPr>
              <w:pStyle w:val="7"/>
              <w:jc w:val="right"/>
              <w:rPr>
                <w:sz w:val="21"/>
                <w:szCs w:val="21"/>
              </w:rPr>
            </w:pPr>
            <w:r>
              <w:rPr>
                <w:rFonts w:hint="eastAsia"/>
                <w:sz w:val="21"/>
                <w:szCs w:val="21"/>
              </w:rPr>
              <w:t xml:space="preserve">3,281,244.30 </w:t>
            </w:r>
          </w:p>
        </w:tc>
        <w:tc>
          <w:tcPr>
            <w:tcW w:w="2053" w:type="dxa"/>
            <w:shd w:val="clear" w:color="auto" w:fill="auto"/>
          </w:tcPr>
          <w:p>
            <w:pPr>
              <w:pStyle w:val="7"/>
              <w:jc w:val="right"/>
              <w:rPr>
                <w:sz w:val="21"/>
                <w:szCs w:val="21"/>
              </w:rPr>
            </w:pPr>
            <w:r>
              <w:rPr>
                <w:rFonts w:hint="eastAsia"/>
                <w:sz w:val="21"/>
                <w:szCs w:val="21"/>
              </w:rPr>
              <w:t xml:space="preserve">3.16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shd w:val="clear" w:color="auto" w:fill="auto"/>
          </w:tcPr>
          <w:p>
            <w:pPr>
              <w:pStyle w:val="7"/>
              <w:jc w:val="center"/>
              <w:rPr>
                <w:sz w:val="21"/>
                <w:szCs w:val="21"/>
              </w:rPr>
            </w:pPr>
            <w:r>
              <w:rPr>
                <w:rFonts w:hint="eastAsia"/>
                <w:sz w:val="21"/>
                <w:szCs w:val="21"/>
              </w:rPr>
              <w:t xml:space="preserve">9 </w:t>
            </w:r>
          </w:p>
        </w:tc>
        <w:tc>
          <w:tcPr>
            <w:tcW w:w="1248" w:type="dxa"/>
            <w:shd w:val="clear" w:color="auto" w:fill="auto"/>
          </w:tcPr>
          <w:p>
            <w:pPr>
              <w:pStyle w:val="7"/>
              <w:jc w:val="center"/>
              <w:rPr>
                <w:sz w:val="21"/>
                <w:szCs w:val="21"/>
              </w:rPr>
            </w:pPr>
            <w:r>
              <w:rPr>
                <w:rFonts w:hint="eastAsia"/>
                <w:sz w:val="21"/>
                <w:szCs w:val="21"/>
              </w:rPr>
              <w:t xml:space="preserve">300782 </w:t>
            </w:r>
          </w:p>
        </w:tc>
        <w:tc>
          <w:tcPr>
            <w:tcW w:w="1296" w:type="dxa"/>
            <w:shd w:val="clear" w:color="auto" w:fill="auto"/>
          </w:tcPr>
          <w:p>
            <w:pPr>
              <w:pStyle w:val="7"/>
              <w:jc w:val="center"/>
              <w:rPr>
                <w:sz w:val="21"/>
                <w:szCs w:val="21"/>
              </w:rPr>
            </w:pPr>
            <w:r>
              <w:rPr>
                <w:rFonts w:hint="eastAsia"/>
                <w:sz w:val="21"/>
                <w:szCs w:val="21"/>
              </w:rPr>
              <w:t xml:space="preserve">卓胜微 </w:t>
            </w:r>
          </w:p>
        </w:tc>
        <w:tc>
          <w:tcPr>
            <w:tcW w:w="1397" w:type="dxa"/>
            <w:shd w:val="clear" w:color="auto" w:fill="auto"/>
          </w:tcPr>
          <w:p>
            <w:pPr>
              <w:pStyle w:val="7"/>
              <w:jc w:val="right"/>
              <w:rPr>
                <w:sz w:val="21"/>
                <w:szCs w:val="21"/>
              </w:rPr>
            </w:pPr>
            <w:r>
              <w:rPr>
                <w:rFonts w:hint="eastAsia"/>
                <w:sz w:val="21"/>
                <w:szCs w:val="21"/>
              </w:rPr>
              <w:t xml:space="preserve">17,088 </w:t>
            </w:r>
          </w:p>
        </w:tc>
        <w:tc>
          <w:tcPr>
            <w:tcW w:w="1839" w:type="dxa"/>
            <w:shd w:val="clear" w:color="auto" w:fill="auto"/>
          </w:tcPr>
          <w:p>
            <w:pPr>
              <w:pStyle w:val="7"/>
              <w:jc w:val="right"/>
              <w:rPr>
                <w:sz w:val="21"/>
                <w:szCs w:val="21"/>
              </w:rPr>
            </w:pPr>
            <w:r>
              <w:rPr>
                <w:rFonts w:hint="eastAsia"/>
                <w:sz w:val="21"/>
                <w:szCs w:val="21"/>
              </w:rPr>
              <w:t xml:space="preserve">2,306,880.00 </w:t>
            </w:r>
          </w:p>
        </w:tc>
        <w:tc>
          <w:tcPr>
            <w:tcW w:w="2053" w:type="dxa"/>
            <w:shd w:val="clear" w:color="auto" w:fill="auto"/>
          </w:tcPr>
          <w:p>
            <w:pPr>
              <w:pStyle w:val="7"/>
              <w:jc w:val="right"/>
              <w:rPr>
                <w:sz w:val="21"/>
                <w:szCs w:val="21"/>
              </w:rPr>
            </w:pPr>
            <w:r>
              <w:rPr>
                <w:rFonts w:hint="eastAsia"/>
                <w:sz w:val="21"/>
                <w:szCs w:val="21"/>
              </w:rPr>
              <w:t xml:space="preserve">2.22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3" w:type="dxa"/>
            <w:shd w:val="clear" w:color="auto" w:fill="auto"/>
          </w:tcPr>
          <w:p>
            <w:pPr>
              <w:pStyle w:val="7"/>
              <w:jc w:val="center"/>
              <w:rPr>
                <w:sz w:val="21"/>
                <w:szCs w:val="21"/>
              </w:rPr>
            </w:pPr>
            <w:r>
              <w:rPr>
                <w:rFonts w:hint="eastAsia"/>
                <w:sz w:val="21"/>
                <w:szCs w:val="21"/>
              </w:rPr>
              <w:t xml:space="preserve">10 </w:t>
            </w:r>
          </w:p>
        </w:tc>
        <w:tc>
          <w:tcPr>
            <w:tcW w:w="1248" w:type="dxa"/>
            <w:shd w:val="clear" w:color="auto" w:fill="auto"/>
          </w:tcPr>
          <w:p>
            <w:pPr>
              <w:pStyle w:val="7"/>
              <w:jc w:val="center"/>
              <w:rPr>
                <w:sz w:val="21"/>
                <w:szCs w:val="21"/>
              </w:rPr>
            </w:pPr>
            <w:r>
              <w:rPr>
                <w:rFonts w:hint="eastAsia"/>
                <w:sz w:val="21"/>
                <w:szCs w:val="21"/>
              </w:rPr>
              <w:t xml:space="preserve">605358 </w:t>
            </w:r>
          </w:p>
        </w:tc>
        <w:tc>
          <w:tcPr>
            <w:tcW w:w="1296" w:type="dxa"/>
            <w:shd w:val="clear" w:color="auto" w:fill="auto"/>
          </w:tcPr>
          <w:p>
            <w:pPr>
              <w:pStyle w:val="7"/>
              <w:jc w:val="center"/>
              <w:rPr>
                <w:sz w:val="21"/>
                <w:szCs w:val="21"/>
              </w:rPr>
            </w:pPr>
            <w:r>
              <w:rPr>
                <w:rFonts w:hint="eastAsia"/>
                <w:sz w:val="21"/>
                <w:szCs w:val="21"/>
              </w:rPr>
              <w:t xml:space="preserve">立昂微 </w:t>
            </w:r>
          </w:p>
        </w:tc>
        <w:tc>
          <w:tcPr>
            <w:tcW w:w="1397" w:type="dxa"/>
            <w:shd w:val="clear" w:color="auto" w:fill="auto"/>
          </w:tcPr>
          <w:p>
            <w:pPr>
              <w:pStyle w:val="7"/>
              <w:jc w:val="right"/>
              <w:rPr>
                <w:sz w:val="21"/>
                <w:szCs w:val="21"/>
              </w:rPr>
            </w:pPr>
            <w:r>
              <w:rPr>
                <w:rFonts w:hint="eastAsia"/>
                <w:sz w:val="21"/>
                <w:szCs w:val="21"/>
              </w:rPr>
              <w:t xml:space="preserve">33,216 </w:t>
            </w:r>
          </w:p>
        </w:tc>
        <w:tc>
          <w:tcPr>
            <w:tcW w:w="1839" w:type="dxa"/>
            <w:shd w:val="clear" w:color="auto" w:fill="auto"/>
          </w:tcPr>
          <w:p>
            <w:pPr>
              <w:pStyle w:val="7"/>
              <w:jc w:val="right"/>
              <w:rPr>
                <w:sz w:val="21"/>
                <w:szCs w:val="21"/>
              </w:rPr>
            </w:pPr>
            <w:r>
              <w:rPr>
                <w:rFonts w:hint="eastAsia"/>
                <w:sz w:val="21"/>
                <w:szCs w:val="21"/>
              </w:rPr>
              <w:t xml:space="preserve">2,238,094.08 </w:t>
            </w:r>
          </w:p>
        </w:tc>
        <w:tc>
          <w:tcPr>
            <w:tcW w:w="2053" w:type="dxa"/>
            <w:shd w:val="clear" w:color="auto" w:fill="auto"/>
          </w:tcPr>
          <w:p>
            <w:pPr>
              <w:pStyle w:val="7"/>
              <w:jc w:val="right"/>
              <w:rPr>
                <w:sz w:val="21"/>
                <w:szCs w:val="21"/>
              </w:rPr>
            </w:pPr>
            <w:r>
              <w:rPr>
                <w:rFonts w:hint="eastAsia"/>
                <w:sz w:val="21"/>
                <w:szCs w:val="21"/>
              </w:rPr>
              <w:t xml:space="preserve">2.15 </w:t>
            </w:r>
          </w:p>
        </w:tc>
      </w:tr>
    </w:tbl>
    <w:p>
      <w:pPr>
        <w:pStyle w:val="7"/>
        <w:spacing w:before="0" w:beforeAutospacing="0" w:after="0" w:afterAutospacing="0" w:line="360" w:lineRule="auto"/>
        <w:ind w:firstLine="420"/>
        <w:rPr>
          <w:sz w:val="21"/>
          <w:szCs w:val="21"/>
        </w:rPr>
      </w:pPr>
      <w:r>
        <w:rPr>
          <w:rFonts w:hint="eastAsia"/>
          <w:sz w:val="21"/>
          <w:szCs w:val="21"/>
        </w:rPr>
        <w:t xml:space="preserve">4 报告期末按债券品种分类的债券投资组合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本基金本报告期末未持有债券。 </w:t>
      </w:r>
    </w:p>
    <w:p>
      <w:pPr>
        <w:pStyle w:val="7"/>
        <w:spacing w:before="0" w:beforeAutospacing="0" w:after="0" w:afterAutospacing="0" w:line="360" w:lineRule="auto"/>
        <w:ind w:firstLine="420"/>
        <w:rPr>
          <w:sz w:val="21"/>
          <w:szCs w:val="21"/>
        </w:rPr>
      </w:pPr>
      <w:r>
        <w:rPr>
          <w:rFonts w:hint="eastAsia"/>
          <w:sz w:val="21"/>
          <w:szCs w:val="21"/>
        </w:rPr>
        <w:t xml:space="preserve">5 报告期末按公允价值占基金资产净值比例大小排序的前五名债券投资明细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本基金本报告期末未持有债券。 </w:t>
      </w:r>
    </w:p>
    <w:p>
      <w:pPr>
        <w:pStyle w:val="7"/>
        <w:spacing w:before="0" w:beforeAutospacing="0" w:after="0" w:afterAutospacing="0" w:line="360" w:lineRule="auto"/>
        <w:ind w:firstLine="420"/>
        <w:rPr>
          <w:sz w:val="21"/>
          <w:szCs w:val="21"/>
        </w:rPr>
      </w:pPr>
      <w:r>
        <w:rPr>
          <w:rFonts w:hint="eastAsia"/>
          <w:sz w:val="21"/>
          <w:szCs w:val="21"/>
        </w:rPr>
        <w:t xml:space="preserve">6 报告期末按公允价值占基金资产净值比例大小排序的前十名资产支持证券投资明细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本基金本报告期末未持有资产支持证券。 </w:t>
      </w:r>
    </w:p>
    <w:p>
      <w:pPr>
        <w:pStyle w:val="7"/>
        <w:spacing w:before="0" w:beforeAutospacing="0" w:after="0" w:afterAutospacing="0" w:line="360" w:lineRule="auto"/>
        <w:ind w:firstLine="420"/>
        <w:rPr>
          <w:sz w:val="21"/>
          <w:szCs w:val="21"/>
        </w:rPr>
      </w:pPr>
      <w:r>
        <w:rPr>
          <w:rFonts w:hint="eastAsia"/>
          <w:sz w:val="21"/>
          <w:szCs w:val="21"/>
        </w:rPr>
        <w:t xml:space="preserve">7 报告期末按公允价值占基金资产净值比例大小排序的前五名贵金属投资明细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本基金本报告期末未持有贵金属。 </w:t>
      </w:r>
    </w:p>
    <w:p>
      <w:pPr>
        <w:pStyle w:val="7"/>
        <w:spacing w:before="0" w:beforeAutospacing="0" w:after="0" w:afterAutospacing="0" w:line="360" w:lineRule="auto"/>
        <w:ind w:firstLine="420"/>
        <w:rPr>
          <w:sz w:val="21"/>
          <w:szCs w:val="21"/>
        </w:rPr>
      </w:pPr>
      <w:r>
        <w:rPr>
          <w:rFonts w:hint="eastAsia"/>
          <w:sz w:val="21"/>
          <w:szCs w:val="21"/>
        </w:rPr>
        <w:t xml:space="preserve">8 报告期末按公允价值占基金资产净值比例大小排序的前五名权证投资明细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本基金本报告期末未持有权证。 </w:t>
      </w:r>
    </w:p>
    <w:p>
      <w:pPr>
        <w:pStyle w:val="7"/>
        <w:spacing w:before="0" w:beforeAutospacing="0" w:after="0" w:afterAutospacing="0" w:line="360" w:lineRule="auto"/>
        <w:ind w:firstLine="420"/>
        <w:rPr>
          <w:sz w:val="21"/>
          <w:szCs w:val="21"/>
        </w:rPr>
      </w:pPr>
      <w:r>
        <w:rPr>
          <w:rFonts w:hint="eastAsia"/>
          <w:sz w:val="21"/>
          <w:szCs w:val="21"/>
        </w:rPr>
        <w:t xml:space="preserve">9 报告期末本基金投资的股指期货交易情况说明 </w:t>
      </w:r>
    </w:p>
    <w:p>
      <w:pPr>
        <w:pStyle w:val="7"/>
        <w:spacing w:before="0" w:beforeAutospacing="0" w:after="0" w:afterAutospacing="0" w:line="360" w:lineRule="auto"/>
        <w:ind w:firstLine="420"/>
        <w:rPr>
          <w:sz w:val="21"/>
          <w:szCs w:val="21"/>
        </w:rPr>
      </w:pPr>
      <w:r>
        <w:rPr>
          <w:rFonts w:hint="eastAsia"/>
          <w:sz w:val="21"/>
          <w:szCs w:val="21"/>
        </w:rPr>
        <w:t xml:space="preserve">9.1 报告期末本基金投资的股指期货持仓和损益明细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9"/>
        <w:gridCol w:w="1384"/>
        <w:gridCol w:w="1384"/>
        <w:gridCol w:w="1447"/>
        <w:gridCol w:w="1280"/>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shd w:val="clear" w:color="auto" w:fill="auto"/>
          </w:tcPr>
          <w:p>
            <w:pPr>
              <w:pStyle w:val="7"/>
              <w:jc w:val="center"/>
              <w:rPr>
                <w:sz w:val="21"/>
                <w:szCs w:val="21"/>
              </w:rPr>
            </w:pPr>
            <w:r>
              <w:rPr>
                <w:rFonts w:hint="eastAsia"/>
                <w:sz w:val="21"/>
                <w:szCs w:val="21"/>
              </w:rPr>
              <w:t xml:space="preserve">代码 </w:t>
            </w:r>
          </w:p>
        </w:tc>
        <w:tc>
          <w:tcPr>
            <w:tcW w:w="1800" w:type="dxa"/>
            <w:shd w:val="clear" w:color="auto" w:fill="auto"/>
          </w:tcPr>
          <w:p>
            <w:pPr>
              <w:pStyle w:val="7"/>
              <w:jc w:val="center"/>
              <w:rPr>
                <w:sz w:val="21"/>
                <w:szCs w:val="21"/>
              </w:rPr>
            </w:pPr>
            <w:r>
              <w:rPr>
                <w:rFonts w:hint="eastAsia"/>
                <w:sz w:val="21"/>
                <w:szCs w:val="21"/>
              </w:rPr>
              <w:t xml:space="preserve">名称 </w:t>
            </w:r>
          </w:p>
        </w:tc>
        <w:tc>
          <w:tcPr>
            <w:tcW w:w="1800" w:type="dxa"/>
            <w:shd w:val="clear" w:color="auto" w:fill="auto"/>
          </w:tcPr>
          <w:p>
            <w:pPr>
              <w:pStyle w:val="7"/>
              <w:jc w:val="center"/>
              <w:rPr>
                <w:sz w:val="21"/>
                <w:szCs w:val="21"/>
              </w:rPr>
            </w:pPr>
            <w:r>
              <w:rPr>
                <w:rFonts w:hint="eastAsia"/>
                <w:sz w:val="21"/>
                <w:szCs w:val="21"/>
              </w:rPr>
              <w:t xml:space="preserve">持仓量 </w:t>
            </w:r>
          </w:p>
        </w:tc>
        <w:tc>
          <w:tcPr>
            <w:tcW w:w="1800" w:type="dxa"/>
            <w:shd w:val="clear" w:color="auto" w:fill="auto"/>
          </w:tcPr>
          <w:p>
            <w:pPr>
              <w:pStyle w:val="7"/>
              <w:jc w:val="center"/>
              <w:rPr>
                <w:sz w:val="21"/>
                <w:szCs w:val="21"/>
              </w:rPr>
            </w:pPr>
            <w:r>
              <w:rPr>
                <w:rFonts w:hint="eastAsia"/>
                <w:sz w:val="21"/>
                <w:szCs w:val="21"/>
              </w:rPr>
              <w:t xml:space="preserve">合约市值(元) </w:t>
            </w:r>
          </w:p>
        </w:tc>
        <w:tc>
          <w:tcPr>
            <w:tcW w:w="1545" w:type="dxa"/>
            <w:shd w:val="clear" w:color="auto" w:fill="auto"/>
          </w:tcPr>
          <w:p>
            <w:pPr>
              <w:pStyle w:val="7"/>
              <w:jc w:val="center"/>
              <w:rPr>
                <w:sz w:val="21"/>
                <w:szCs w:val="21"/>
              </w:rPr>
            </w:pPr>
            <w:r>
              <w:rPr>
                <w:rFonts w:hint="eastAsia"/>
                <w:sz w:val="21"/>
                <w:szCs w:val="21"/>
              </w:rPr>
              <w:t xml:space="preserve">公允价值变动(元) </w:t>
            </w:r>
          </w:p>
        </w:tc>
        <w:tc>
          <w:tcPr>
            <w:tcW w:w="1980" w:type="dxa"/>
            <w:shd w:val="clear" w:color="auto" w:fill="auto"/>
          </w:tcPr>
          <w:p>
            <w:pPr>
              <w:pStyle w:val="7"/>
              <w:jc w:val="center"/>
              <w:rPr>
                <w:sz w:val="21"/>
                <w:szCs w:val="21"/>
              </w:rPr>
            </w:pPr>
            <w:r>
              <w:rPr>
                <w:rFonts w:hint="eastAsia"/>
                <w:sz w:val="21"/>
                <w:szCs w:val="21"/>
              </w:rPr>
              <w:t xml:space="preserve">风险说明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5" w:type="dxa"/>
            <w:shd w:val="clear" w:color="auto" w:fill="auto"/>
          </w:tcPr>
          <w:p>
            <w:pPr>
              <w:pStyle w:val="7"/>
              <w:jc w:val="center"/>
              <w:rPr>
                <w:sz w:val="21"/>
                <w:szCs w:val="21"/>
              </w:rPr>
            </w:pPr>
            <w:r>
              <w:rPr>
                <w:rFonts w:hint="eastAsia"/>
                <w:sz w:val="21"/>
                <w:szCs w:val="21"/>
              </w:rPr>
              <w:t xml:space="preserve">- </w:t>
            </w:r>
          </w:p>
        </w:tc>
        <w:tc>
          <w:tcPr>
            <w:tcW w:w="1800" w:type="dxa"/>
            <w:shd w:val="clear" w:color="auto" w:fill="auto"/>
          </w:tcPr>
          <w:p>
            <w:pPr>
              <w:pStyle w:val="7"/>
              <w:jc w:val="center"/>
              <w:rPr>
                <w:sz w:val="21"/>
                <w:szCs w:val="21"/>
              </w:rPr>
            </w:pPr>
            <w:r>
              <w:rPr>
                <w:rFonts w:hint="eastAsia"/>
                <w:sz w:val="21"/>
                <w:szCs w:val="21"/>
              </w:rPr>
              <w:t xml:space="preserve">- </w:t>
            </w:r>
          </w:p>
        </w:tc>
        <w:tc>
          <w:tcPr>
            <w:tcW w:w="1800" w:type="dxa"/>
            <w:shd w:val="clear" w:color="auto" w:fill="auto"/>
          </w:tcPr>
          <w:p>
            <w:pPr>
              <w:pStyle w:val="7"/>
              <w:jc w:val="center"/>
              <w:rPr>
                <w:sz w:val="21"/>
                <w:szCs w:val="21"/>
              </w:rPr>
            </w:pPr>
            <w:r>
              <w:rPr>
                <w:rFonts w:hint="eastAsia"/>
                <w:sz w:val="21"/>
                <w:szCs w:val="21"/>
              </w:rPr>
              <w:t xml:space="preserve">- </w:t>
            </w:r>
          </w:p>
        </w:tc>
        <w:tc>
          <w:tcPr>
            <w:tcW w:w="1800" w:type="dxa"/>
            <w:shd w:val="clear" w:color="auto" w:fill="auto"/>
          </w:tcPr>
          <w:p>
            <w:pPr>
              <w:pStyle w:val="7"/>
              <w:jc w:val="center"/>
              <w:rPr>
                <w:sz w:val="21"/>
                <w:szCs w:val="21"/>
              </w:rPr>
            </w:pPr>
            <w:r>
              <w:rPr>
                <w:rFonts w:hint="eastAsia"/>
                <w:sz w:val="21"/>
                <w:szCs w:val="21"/>
              </w:rPr>
              <w:t xml:space="preserve">- </w:t>
            </w:r>
          </w:p>
        </w:tc>
        <w:tc>
          <w:tcPr>
            <w:tcW w:w="1545" w:type="dxa"/>
            <w:shd w:val="clear" w:color="auto" w:fill="auto"/>
          </w:tcPr>
          <w:p>
            <w:pPr>
              <w:pStyle w:val="7"/>
              <w:jc w:val="center"/>
              <w:rPr>
                <w:sz w:val="21"/>
                <w:szCs w:val="21"/>
              </w:rPr>
            </w:pPr>
            <w:r>
              <w:rPr>
                <w:rFonts w:hint="eastAsia"/>
                <w:sz w:val="21"/>
                <w:szCs w:val="21"/>
              </w:rPr>
              <w:t xml:space="preserve">- </w:t>
            </w:r>
          </w:p>
        </w:tc>
        <w:tc>
          <w:tcPr>
            <w:tcW w:w="1980" w:type="dxa"/>
            <w:shd w:val="clear" w:color="auto" w:fill="auto"/>
          </w:tcPr>
          <w:p>
            <w:pPr>
              <w:pStyle w:val="7"/>
              <w:jc w:val="center"/>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5" w:type="dxa"/>
            <w:gridSpan w:val="5"/>
            <w:shd w:val="clear" w:color="auto" w:fill="auto"/>
          </w:tcPr>
          <w:p>
            <w:pPr>
              <w:pStyle w:val="7"/>
              <w:jc w:val="both"/>
              <w:rPr>
                <w:sz w:val="21"/>
                <w:szCs w:val="21"/>
              </w:rPr>
            </w:pPr>
            <w:r>
              <w:rPr>
                <w:rFonts w:hint="eastAsia"/>
                <w:sz w:val="21"/>
                <w:szCs w:val="21"/>
              </w:rPr>
              <w:t xml:space="preserve">公允价值变动总额合计(元) </w:t>
            </w:r>
          </w:p>
        </w:tc>
        <w:tc>
          <w:tcPr>
            <w:tcW w:w="1980"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5" w:type="dxa"/>
            <w:gridSpan w:val="5"/>
            <w:shd w:val="clear" w:color="auto" w:fill="auto"/>
          </w:tcPr>
          <w:p>
            <w:pPr>
              <w:pStyle w:val="7"/>
              <w:jc w:val="both"/>
              <w:rPr>
                <w:sz w:val="21"/>
                <w:szCs w:val="21"/>
              </w:rPr>
            </w:pPr>
            <w:r>
              <w:rPr>
                <w:rFonts w:hint="eastAsia"/>
                <w:sz w:val="21"/>
                <w:szCs w:val="21"/>
              </w:rPr>
              <w:t xml:space="preserve">股指期货投资本期收益(元) </w:t>
            </w:r>
          </w:p>
        </w:tc>
        <w:tc>
          <w:tcPr>
            <w:tcW w:w="1980" w:type="dxa"/>
            <w:shd w:val="clear" w:color="auto" w:fill="auto"/>
          </w:tcPr>
          <w:p>
            <w:pPr>
              <w:pStyle w:val="7"/>
              <w:jc w:val="right"/>
              <w:rPr>
                <w:sz w:val="21"/>
                <w:szCs w:val="21"/>
              </w:rPr>
            </w:pPr>
            <w:r>
              <w:rPr>
                <w:rFonts w:hint="eastAsia"/>
                <w:sz w:val="21"/>
                <w:szCs w:val="21"/>
              </w:rPr>
              <w:t xml:space="preserve">47,289.04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5" w:type="dxa"/>
            <w:gridSpan w:val="5"/>
            <w:shd w:val="clear" w:color="auto" w:fill="auto"/>
          </w:tcPr>
          <w:p>
            <w:pPr>
              <w:pStyle w:val="7"/>
              <w:jc w:val="both"/>
              <w:rPr>
                <w:sz w:val="21"/>
                <w:szCs w:val="21"/>
              </w:rPr>
            </w:pPr>
            <w:r>
              <w:rPr>
                <w:rFonts w:hint="eastAsia"/>
                <w:sz w:val="21"/>
                <w:szCs w:val="21"/>
              </w:rPr>
              <w:t xml:space="preserve">股指期货投资本期公允价值变动(元) </w:t>
            </w:r>
          </w:p>
        </w:tc>
        <w:tc>
          <w:tcPr>
            <w:tcW w:w="1980" w:type="dxa"/>
            <w:shd w:val="clear" w:color="auto" w:fill="auto"/>
          </w:tcPr>
          <w:p>
            <w:pPr>
              <w:pStyle w:val="7"/>
              <w:jc w:val="right"/>
              <w:rPr>
                <w:sz w:val="21"/>
                <w:szCs w:val="21"/>
              </w:rPr>
            </w:pPr>
            <w:r>
              <w:rPr>
                <w:rFonts w:hint="eastAsia"/>
                <w:sz w:val="21"/>
                <w:szCs w:val="21"/>
              </w:rPr>
              <w:t xml:space="preserve">0.00 </w:t>
            </w:r>
          </w:p>
        </w:tc>
      </w:tr>
    </w:tbl>
    <w:p>
      <w:pPr>
        <w:pStyle w:val="7"/>
        <w:spacing w:before="0" w:beforeAutospacing="0" w:after="0" w:afterAutospacing="0" w:line="360" w:lineRule="auto"/>
        <w:ind w:firstLine="420"/>
        <w:rPr>
          <w:sz w:val="21"/>
          <w:szCs w:val="21"/>
        </w:rPr>
      </w:pPr>
      <w:r>
        <w:rPr>
          <w:rFonts w:hint="eastAsia"/>
          <w:sz w:val="21"/>
          <w:szCs w:val="21"/>
        </w:rPr>
        <w:t xml:space="preserve">注：本基金本报告期末未持有股指期货。 </w:t>
      </w:r>
    </w:p>
    <w:p>
      <w:pPr>
        <w:pStyle w:val="7"/>
        <w:spacing w:before="0" w:beforeAutospacing="0" w:after="0" w:afterAutospacing="0" w:line="360" w:lineRule="auto"/>
        <w:ind w:firstLine="420"/>
        <w:rPr>
          <w:sz w:val="21"/>
          <w:szCs w:val="21"/>
        </w:rPr>
      </w:pPr>
      <w:r>
        <w:rPr>
          <w:rFonts w:hint="eastAsia"/>
          <w:sz w:val="21"/>
          <w:szCs w:val="21"/>
        </w:rPr>
        <w:t xml:space="preserve">9.2 本基金投资股指期货的投资政策 </w:t>
      </w:r>
    </w:p>
    <w:p>
      <w:pPr>
        <w:pStyle w:val="7"/>
        <w:spacing w:before="0" w:beforeAutospacing="0" w:after="0" w:afterAutospacing="0" w:line="360" w:lineRule="auto"/>
        <w:ind w:firstLine="420"/>
        <w:rPr>
          <w:sz w:val="21"/>
          <w:szCs w:val="21"/>
        </w:rPr>
      </w:pPr>
      <w:r>
        <w:rPr>
          <w:rFonts w:hint="eastAsia"/>
          <w:sz w:val="21"/>
          <w:szCs w:val="21"/>
        </w:rPr>
        <w:t xml:space="preserve">本基金将根据风险管理的原则，以套期保值为目的，在风险可控的前提下，本着谨慎原则，参与股指期货的投资，以管理投资组合的系统性风险，改善组合的风险收益特性。本基金的股指期货交易对基金总体风险影响不大，符合本基金的投资政策和投资目标。 </w:t>
      </w:r>
    </w:p>
    <w:p>
      <w:pPr>
        <w:pStyle w:val="7"/>
        <w:spacing w:before="0" w:beforeAutospacing="0" w:after="0" w:afterAutospacing="0" w:line="360" w:lineRule="auto"/>
        <w:ind w:firstLine="420"/>
        <w:rPr>
          <w:sz w:val="21"/>
          <w:szCs w:val="21"/>
        </w:rPr>
      </w:pPr>
      <w:r>
        <w:rPr>
          <w:rFonts w:hint="eastAsia"/>
          <w:sz w:val="21"/>
          <w:szCs w:val="21"/>
        </w:rPr>
        <w:t xml:space="preserve">10 报告期末本基金投资的国债期货交易情况说明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本基金本报告期末未持有国债期货。 </w:t>
      </w:r>
    </w:p>
    <w:p>
      <w:pPr>
        <w:pStyle w:val="7"/>
        <w:spacing w:before="0" w:beforeAutospacing="0" w:after="0" w:afterAutospacing="0" w:line="360" w:lineRule="auto"/>
        <w:ind w:firstLine="420"/>
        <w:rPr>
          <w:sz w:val="21"/>
          <w:szCs w:val="21"/>
        </w:rPr>
      </w:pPr>
      <w:r>
        <w:rPr>
          <w:rFonts w:hint="eastAsia"/>
          <w:sz w:val="21"/>
          <w:szCs w:val="21"/>
        </w:rPr>
        <w:t xml:space="preserve">11 投资组合报告附注 </w:t>
      </w:r>
    </w:p>
    <w:p>
      <w:pPr>
        <w:pStyle w:val="7"/>
        <w:spacing w:before="0" w:beforeAutospacing="0" w:after="0" w:afterAutospacing="0" w:line="360" w:lineRule="auto"/>
        <w:ind w:firstLine="420"/>
        <w:rPr>
          <w:sz w:val="21"/>
          <w:szCs w:val="21"/>
        </w:rPr>
      </w:pPr>
      <w:r>
        <w:rPr>
          <w:rFonts w:hint="eastAsia"/>
          <w:sz w:val="21"/>
          <w:szCs w:val="21"/>
        </w:rPr>
        <w:t xml:space="preserve">11.1 基金投资前十名证券的发行主体被监管部门立案调查或编制日前一年内受到公开谴责、处罚的投资决策程序说明 </w:t>
      </w:r>
    </w:p>
    <w:p>
      <w:pPr>
        <w:pStyle w:val="7"/>
        <w:spacing w:before="0" w:beforeAutospacing="0" w:after="0" w:afterAutospacing="0" w:line="360" w:lineRule="auto"/>
        <w:ind w:firstLine="420"/>
        <w:rPr>
          <w:sz w:val="21"/>
          <w:szCs w:val="21"/>
        </w:rPr>
      </w:pPr>
      <w:r>
        <w:rPr>
          <w:rFonts w:hint="eastAsia"/>
          <w:sz w:val="21"/>
          <w:szCs w:val="21"/>
        </w:rPr>
        <w:t xml:space="preserve">本基金投资的前十名证券的发行主体中，山东华鲁恒升化工股份有限公司在报告编制前一年受到山东省市场监督管理局的处罚。本基金对上述证券的投资决策程序符合相关法规及公司制度的要求。 </w:t>
      </w:r>
    </w:p>
    <w:p>
      <w:pPr>
        <w:pStyle w:val="7"/>
        <w:spacing w:before="0" w:beforeAutospacing="0" w:after="0" w:afterAutospacing="0" w:line="360" w:lineRule="auto"/>
        <w:ind w:firstLine="420"/>
        <w:rPr>
          <w:sz w:val="21"/>
          <w:szCs w:val="21"/>
        </w:rPr>
      </w:pPr>
      <w:r>
        <w:rPr>
          <w:rFonts w:hint="eastAsia"/>
          <w:sz w:val="21"/>
          <w:szCs w:val="21"/>
        </w:rPr>
        <w:t xml:space="preserve">除上述主体外，基金管理人未发现本基金投资的前十名证券发行主体出现本期被监管部门立案调查，或在报告编制日前一年受到公开谴责、处罚的情形。 </w:t>
      </w:r>
    </w:p>
    <w:p>
      <w:pPr>
        <w:pStyle w:val="7"/>
        <w:spacing w:before="0" w:beforeAutospacing="0" w:after="0" w:afterAutospacing="0" w:line="360" w:lineRule="auto"/>
        <w:ind w:firstLine="420"/>
        <w:rPr>
          <w:sz w:val="21"/>
          <w:szCs w:val="21"/>
        </w:rPr>
      </w:pPr>
      <w:r>
        <w:rPr>
          <w:rFonts w:hint="eastAsia"/>
          <w:sz w:val="21"/>
          <w:szCs w:val="21"/>
        </w:rPr>
        <w:t xml:space="preserve">11.2 报告期内基金投资的前十名股票中，没有投资超出基金合同规定备选股票库之外的股票。 </w:t>
      </w:r>
    </w:p>
    <w:p>
      <w:pPr>
        <w:pStyle w:val="7"/>
        <w:spacing w:before="0" w:beforeAutospacing="0" w:after="0" w:afterAutospacing="0" w:line="360" w:lineRule="auto"/>
        <w:ind w:firstLine="420"/>
        <w:rPr>
          <w:sz w:val="21"/>
          <w:szCs w:val="21"/>
        </w:rPr>
      </w:pPr>
      <w:r>
        <w:rPr>
          <w:rFonts w:hint="eastAsia"/>
          <w:sz w:val="21"/>
          <w:szCs w:val="21"/>
        </w:rPr>
        <w:t xml:space="preserve">11.3 其他资产构成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803"/>
        <w:gridCol w:w="4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序号 </w:t>
            </w:r>
          </w:p>
        </w:tc>
        <w:tc>
          <w:tcPr>
            <w:tcW w:w="4905" w:type="dxa"/>
            <w:shd w:val="clear" w:color="auto" w:fill="auto"/>
          </w:tcPr>
          <w:p>
            <w:pPr>
              <w:pStyle w:val="7"/>
              <w:jc w:val="center"/>
              <w:rPr>
                <w:sz w:val="21"/>
                <w:szCs w:val="21"/>
              </w:rPr>
            </w:pPr>
            <w:r>
              <w:rPr>
                <w:rFonts w:hint="eastAsia"/>
                <w:sz w:val="21"/>
                <w:szCs w:val="21"/>
              </w:rPr>
              <w:t xml:space="preserve">名称 </w:t>
            </w:r>
          </w:p>
        </w:tc>
        <w:tc>
          <w:tcPr>
            <w:tcW w:w="4905" w:type="dxa"/>
            <w:shd w:val="clear" w:color="auto" w:fill="auto"/>
          </w:tcPr>
          <w:p>
            <w:pPr>
              <w:pStyle w:val="7"/>
              <w:jc w:val="center"/>
              <w:rPr>
                <w:sz w:val="21"/>
                <w:szCs w:val="21"/>
              </w:rPr>
            </w:pPr>
            <w:r>
              <w:rPr>
                <w:rFonts w:hint="eastAsia"/>
                <w:sz w:val="21"/>
                <w:szCs w:val="21"/>
              </w:rPr>
              <w:t xml:space="preserve">金额(元)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1 </w:t>
            </w:r>
          </w:p>
        </w:tc>
        <w:tc>
          <w:tcPr>
            <w:tcW w:w="4905" w:type="dxa"/>
            <w:shd w:val="clear" w:color="auto" w:fill="auto"/>
          </w:tcPr>
          <w:p>
            <w:pPr>
              <w:pStyle w:val="7"/>
              <w:rPr>
                <w:sz w:val="21"/>
                <w:szCs w:val="21"/>
              </w:rPr>
            </w:pPr>
            <w:r>
              <w:rPr>
                <w:rFonts w:hint="eastAsia"/>
                <w:sz w:val="21"/>
                <w:szCs w:val="21"/>
              </w:rPr>
              <w:t xml:space="preserve">存出保证金 </w:t>
            </w:r>
          </w:p>
        </w:tc>
        <w:tc>
          <w:tcPr>
            <w:tcW w:w="4905" w:type="dxa"/>
            <w:shd w:val="clear" w:color="auto" w:fill="auto"/>
          </w:tcPr>
          <w:p>
            <w:pPr>
              <w:pStyle w:val="7"/>
              <w:jc w:val="right"/>
              <w:rPr>
                <w:sz w:val="21"/>
                <w:szCs w:val="21"/>
              </w:rPr>
            </w:pPr>
            <w:r>
              <w:rPr>
                <w:rFonts w:hint="eastAsia"/>
                <w:sz w:val="21"/>
                <w:szCs w:val="21"/>
              </w:rPr>
              <w:t xml:space="preserve">32,947.04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2 </w:t>
            </w:r>
          </w:p>
        </w:tc>
        <w:tc>
          <w:tcPr>
            <w:tcW w:w="4905" w:type="dxa"/>
            <w:shd w:val="clear" w:color="auto" w:fill="auto"/>
          </w:tcPr>
          <w:p>
            <w:pPr>
              <w:pStyle w:val="7"/>
              <w:rPr>
                <w:sz w:val="21"/>
                <w:szCs w:val="21"/>
              </w:rPr>
            </w:pPr>
            <w:r>
              <w:rPr>
                <w:rFonts w:hint="eastAsia"/>
                <w:sz w:val="21"/>
                <w:szCs w:val="21"/>
              </w:rPr>
              <w:t xml:space="preserve">应收证券清算款 </w:t>
            </w:r>
          </w:p>
        </w:tc>
        <w:tc>
          <w:tcPr>
            <w:tcW w:w="4905" w:type="dxa"/>
            <w:shd w:val="clear" w:color="auto" w:fill="auto"/>
          </w:tcPr>
          <w:p>
            <w:pPr>
              <w:pStyle w:val="7"/>
              <w:jc w:val="right"/>
              <w:rPr>
                <w:sz w:val="21"/>
                <w:szCs w:val="21"/>
              </w:rPr>
            </w:pPr>
            <w:r>
              <w:rPr>
                <w:rFonts w:hint="eastAsia"/>
                <w:sz w:val="21"/>
                <w:szCs w:val="21"/>
              </w:rPr>
              <w:t xml:space="preserve">821,448.98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3 </w:t>
            </w:r>
          </w:p>
        </w:tc>
        <w:tc>
          <w:tcPr>
            <w:tcW w:w="4905" w:type="dxa"/>
            <w:shd w:val="clear" w:color="auto" w:fill="auto"/>
          </w:tcPr>
          <w:p>
            <w:pPr>
              <w:pStyle w:val="7"/>
              <w:rPr>
                <w:sz w:val="21"/>
                <w:szCs w:val="21"/>
              </w:rPr>
            </w:pPr>
            <w:r>
              <w:rPr>
                <w:rFonts w:hint="eastAsia"/>
                <w:sz w:val="21"/>
                <w:szCs w:val="21"/>
              </w:rPr>
              <w:t xml:space="preserve">应收股利 </w:t>
            </w:r>
          </w:p>
        </w:tc>
        <w:tc>
          <w:tcPr>
            <w:tcW w:w="490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4 </w:t>
            </w:r>
          </w:p>
        </w:tc>
        <w:tc>
          <w:tcPr>
            <w:tcW w:w="4905" w:type="dxa"/>
            <w:shd w:val="clear" w:color="auto" w:fill="auto"/>
          </w:tcPr>
          <w:p>
            <w:pPr>
              <w:pStyle w:val="7"/>
              <w:rPr>
                <w:sz w:val="21"/>
                <w:szCs w:val="21"/>
              </w:rPr>
            </w:pPr>
            <w:r>
              <w:rPr>
                <w:rFonts w:hint="eastAsia"/>
                <w:sz w:val="21"/>
                <w:szCs w:val="21"/>
              </w:rPr>
              <w:t xml:space="preserve">应收利息 </w:t>
            </w:r>
          </w:p>
        </w:tc>
        <w:tc>
          <w:tcPr>
            <w:tcW w:w="490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5 </w:t>
            </w:r>
          </w:p>
        </w:tc>
        <w:tc>
          <w:tcPr>
            <w:tcW w:w="4905" w:type="dxa"/>
            <w:shd w:val="clear" w:color="auto" w:fill="auto"/>
          </w:tcPr>
          <w:p>
            <w:pPr>
              <w:pStyle w:val="7"/>
              <w:rPr>
                <w:sz w:val="21"/>
                <w:szCs w:val="21"/>
              </w:rPr>
            </w:pPr>
            <w:r>
              <w:rPr>
                <w:rFonts w:hint="eastAsia"/>
                <w:sz w:val="21"/>
                <w:szCs w:val="21"/>
              </w:rPr>
              <w:t xml:space="preserve">应收申购款 </w:t>
            </w:r>
          </w:p>
        </w:tc>
        <w:tc>
          <w:tcPr>
            <w:tcW w:w="4905" w:type="dxa"/>
            <w:shd w:val="clear" w:color="auto" w:fill="auto"/>
          </w:tcPr>
          <w:p>
            <w:pPr>
              <w:pStyle w:val="7"/>
              <w:jc w:val="right"/>
              <w:rPr>
                <w:sz w:val="21"/>
                <w:szCs w:val="21"/>
              </w:rPr>
            </w:pPr>
            <w:r>
              <w:rPr>
                <w:rFonts w:hint="eastAsia"/>
                <w:sz w:val="21"/>
                <w:szCs w:val="21"/>
              </w:rPr>
              <w:t xml:space="preserve">85,410.93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6 </w:t>
            </w:r>
          </w:p>
        </w:tc>
        <w:tc>
          <w:tcPr>
            <w:tcW w:w="4905" w:type="dxa"/>
            <w:shd w:val="clear" w:color="auto" w:fill="auto"/>
          </w:tcPr>
          <w:p>
            <w:pPr>
              <w:pStyle w:val="7"/>
              <w:rPr>
                <w:sz w:val="21"/>
                <w:szCs w:val="21"/>
              </w:rPr>
            </w:pPr>
            <w:r>
              <w:rPr>
                <w:rFonts w:hint="eastAsia"/>
                <w:sz w:val="21"/>
                <w:szCs w:val="21"/>
              </w:rPr>
              <w:t xml:space="preserve">其他应收款 </w:t>
            </w:r>
          </w:p>
        </w:tc>
        <w:tc>
          <w:tcPr>
            <w:tcW w:w="490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7 </w:t>
            </w:r>
          </w:p>
        </w:tc>
        <w:tc>
          <w:tcPr>
            <w:tcW w:w="4905" w:type="dxa"/>
            <w:shd w:val="clear" w:color="auto" w:fill="auto"/>
          </w:tcPr>
          <w:p>
            <w:pPr>
              <w:pStyle w:val="7"/>
              <w:rPr>
                <w:sz w:val="21"/>
                <w:szCs w:val="21"/>
              </w:rPr>
            </w:pPr>
            <w:r>
              <w:rPr>
                <w:rFonts w:hint="eastAsia"/>
                <w:sz w:val="21"/>
                <w:szCs w:val="21"/>
              </w:rPr>
              <w:t xml:space="preserve">待摊费用 </w:t>
            </w:r>
          </w:p>
        </w:tc>
        <w:tc>
          <w:tcPr>
            <w:tcW w:w="490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8 </w:t>
            </w:r>
          </w:p>
        </w:tc>
        <w:tc>
          <w:tcPr>
            <w:tcW w:w="4905" w:type="dxa"/>
            <w:shd w:val="clear" w:color="auto" w:fill="auto"/>
          </w:tcPr>
          <w:p>
            <w:pPr>
              <w:pStyle w:val="7"/>
              <w:rPr>
                <w:sz w:val="21"/>
                <w:szCs w:val="21"/>
              </w:rPr>
            </w:pPr>
            <w:r>
              <w:rPr>
                <w:rFonts w:hint="eastAsia"/>
                <w:sz w:val="21"/>
                <w:szCs w:val="21"/>
              </w:rPr>
              <w:t xml:space="preserve">其他 </w:t>
            </w:r>
          </w:p>
        </w:tc>
        <w:tc>
          <w:tcPr>
            <w:tcW w:w="4905" w:type="dxa"/>
            <w:shd w:val="clear" w:color="auto" w:fill="auto"/>
          </w:tcPr>
          <w:p>
            <w:pPr>
              <w:pStyle w:val="7"/>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7"/>
              <w:jc w:val="center"/>
              <w:rPr>
                <w:sz w:val="21"/>
                <w:szCs w:val="21"/>
              </w:rPr>
            </w:pPr>
            <w:r>
              <w:rPr>
                <w:rFonts w:hint="eastAsia"/>
                <w:sz w:val="21"/>
                <w:szCs w:val="21"/>
              </w:rPr>
              <w:t xml:space="preserve">9 </w:t>
            </w:r>
          </w:p>
        </w:tc>
        <w:tc>
          <w:tcPr>
            <w:tcW w:w="4905" w:type="dxa"/>
            <w:shd w:val="clear" w:color="auto" w:fill="auto"/>
          </w:tcPr>
          <w:p>
            <w:pPr>
              <w:pStyle w:val="7"/>
              <w:rPr>
                <w:sz w:val="21"/>
                <w:szCs w:val="21"/>
              </w:rPr>
            </w:pPr>
            <w:r>
              <w:rPr>
                <w:rFonts w:hint="eastAsia"/>
                <w:sz w:val="21"/>
                <w:szCs w:val="21"/>
              </w:rPr>
              <w:t xml:space="preserve">合计 </w:t>
            </w:r>
          </w:p>
        </w:tc>
        <w:tc>
          <w:tcPr>
            <w:tcW w:w="4905" w:type="dxa"/>
            <w:shd w:val="clear" w:color="auto" w:fill="auto"/>
          </w:tcPr>
          <w:p>
            <w:pPr>
              <w:pStyle w:val="7"/>
              <w:jc w:val="right"/>
              <w:rPr>
                <w:sz w:val="21"/>
                <w:szCs w:val="21"/>
              </w:rPr>
            </w:pPr>
            <w:r>
              <w:rPr>
                <w:rFonts w:hint="eastAsia"/>
                <w:sz w:val="21"/>
                <w:szCs w:val="21"/>
              </w:rPr>
              <w:t xml:space="preserve">939,806.95 </w:t>
            </w:r>
          </w:p>
        </w:tc>
      </w:tr>
    </w:tbl>
    <w:p>
      <w:pPr>
        <w:pStyle w:val="7"/>
        <w:spacing w:before="0" w:beforeAutospacing="0" w:after="0" w:afterAutospacing="0" w:line="360" w:lineRule="auto"/>
        <w:ind w:firstLine="420"/>
        <w:rPr>
          <w:sz w:val="21"/>
          <w:szCs w:val="21"/>
        </w:rPr>
      </w:pPr>
      <w:r>
        <w:rPr>
          <w:rFonts w:hint="eastAsia"/>
          <w:sz w:val="21"/>
          <w:szCs w:val="21"/>
        </w:rPr>
        <w:t xml:space="preserve">11.4 报告期末持有的处于转股期的可转换债券明细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本基金本报告期末未持有处于转股期的可转换债券。 </w:t>
      </w:r>
    </w:p>
    <w:p>
      <w:pPr>
        <w:pStyle w:val="7"/>
        <w:spacing w:before="0" w:beforeAutospacing="0" w:after="0" w:afterAutospacing="0" w:line="360" w:lineRule="auto"/>
        <w:ind w:firstLine="420"/>
        <w:rPr>
          <w:sz w:val="21"/>
          <w:szCs w:val="21"/>
        </w:rPr>
      </w:pPr>
      <w:r>
        <w:rPr>
          <w:rFonts w:hint="eastAsia"/>
          <w:sz w:val="21"/>
          <w:szCs w:val="21"/>
        </w:rPr>
        <w:t xml:space="preserve">11.5 报告期末前十名股票中存在流通受限情况的说明 </w:t>
      </w:r>
    </w:p>
    <w:p>
      <w:pPr>
        <w:pStyle w:val="7"/>
        <w:spacing w:before="0" w:beforeAutospacing="0" w:after="0" w:afterAutospacing="0" w:line="360" w:lineRule="auto"/>
        <w:ind w:firstLine="420"/>
        <w:rPr>
          <w:sz w:val="21"/>
          <w:szCs w:val="21"/>
        </w:rPr>
      </w:pPr>
      <w:r>
        <w:rPr>
          <w:rFonts w:hint="eastAsia"/>
          <w:sz w:val="21"/>
          <w:szCs w:val="21"/>
        </w:rPr>
        <w:t xml:space="preserve">本基金本报告期末前十名股票中不存在流通受限情况。 </w:t>
      </w:r>
    </w:p>
    <w:p>
      <w:pPr>
        <w:pStyle w:val="7"/>
        <w:spacing w:before="0" w:beforeAutospacing="0" w:after="0" w:afterAutospacing="0" w:line="360" w:lineRule="auto"/>
        <w:ind w:firstLine="420"/>
        <w:rPr>
          <w:sz w:val="21"/>
          <w:szCs w:val="21"/>
        </w:rPr>
      </w:pPr>
      <w:r>
        <w:rPr>
          <w:rFonts w:hint="eastAsia"/>
          <w:sz w:val="21"/>
          <w:szCs w:val="21"/>
        </w:rPr>
        <w:t xml:space="preserve">11.6 投资组合报告附注的其他文字描述部分 </w:t>
      </w:r>
    </w:p>
    <w:p>
      <w:pPr>
        <w:pStyle w:val="7"/>
        <w:spacing w:before="0" w:beforeAutospacing="0" w:after="0" w:afterAutospacing="0" w:line="360" w:lineRule="auto"/>
        <w:ind w:firstLine="420"/>
        <w:rPr>
          <w:sz w:val="21"/>
          <w:szCs w:val="21"/>
        </w:rPr>
      </w:pPr>
      <w:bookmarkStart w:id="135" w:name="chapter_level1_11_60_section_6_end"/>
      <w:bookmarkEnd w:id="135"/>
      <w:r>
        <w:rPr>
          <w:rFonts w:hint="eastAsia"/>
          <w:sz w:val="21"/>
          <w:szCs w:val="21"/>
        </w:rPr>
        <w:t xml:space="preserve">由于四舍五入的原因，分项之和与合计项之间可能存在尾差。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36" w:name="_Toc113633891"/>
      <w:bookmarkStart w:id="137" w:name="chapter_level1_12_3500"/>
      <w:r>
        <w:rPr>
          <w:rFonts w:hint="eastAsia" w:ascii="宋体" w:hAnsi="宋体" w:eastAsia="宋体"/>
          <w:sz w:val="30"/>
        </w:rPr>
        <w:t>第九部分 基金的业绩</w:t>
      </w:r>
      <w:bookmarkEnd w:id="136"/>
      <w:bookmarkEnd w:id="137"/>
    </w:p>
    <w:p>
      <w:pPr>
        <w:pStyle w:val="7"/>
        <w:spacing w:before="0" w:beforeAutospacing="0" w:after="0" w:afterAutospacing="0" w:line="360" w:lineRule="auto"/>
        <w:ind w:firstLine="420"/>
        <w:rPr>
          <w:sz w:val="21"/>
          <w:szCs w:val="21"/>
        </w:rPr>
      </w:pPr>
      <w:bookmarkStart w:id="138" w:name="chapter_level1_12_3500_section_1"/>
      <w:bookmarkEnd w:id="138"/>
      <w:r>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pPr>
        <w:pStyle w:val="7"/>
        <w:spacing w:before="0" w:beforeAutospacing="0" w:after="0" w:afterAutospacing="0" w:line="360" w:lineRule="auto"/>
        <w:ind w:firstLine="420"/>
        <w:rPr>
          <w:sz w:val="21"/>
          <w:szCs w:val="21"/>
        </w:rPr>
      </w:pPr>
      <w:r>
        <w:rPr>
          <w:rFonts w:hint="eastAsia"/>
          <w:sz w:val="21"/>
          <w:szCs w:val="21"/>
        </w:rPr>
        <w:t xml:space="preserve">自基金合同生效开始，基金份额净值增长率及其与同期业绩比较基准收益率的比较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047"/>
        <w:gridCol w:w="991"/>
        <w:gridCol w:w="1115"/>
        <w:gridCol w:w="1145"/>
        <w:gridCol w:w="95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bookmarkStart w:id="139" w:name="field_0_indatatable_1_start"/>
            <w:bookmarkEnd w:id="139"/>
            <w:r>
              <w:rPr>
                <w:rFonts w:hint="eastAsia"/>
                <w:szCs w:val="21"/>
              </w:rPr>
              <w:t xml:space="preserve"> </w:t>
            </w:r>
            <w:r>
              <w:rPr>
                <w:rFonts w:hint="eastAsia" w:ascii="宋体" w:hAnsi="宋体" w:eastAsia="宋体"/>
              </w:rPr>
              <w:t xml:space="preserve">期间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①净值增长率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②净值增长率标准差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③业绩比较基准收益率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④业绩比较基准收益率标准差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①-③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2019.01.29-2019.12.31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7.38%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17.</w:t>
            </w:r>
            <w:r>
              <w:rPr>
                <w:rFonts w:ascii="宋体" w:hAnsi="宋体" w:eastAsia="宋体"/>
              </w:rPr>
              <w:t>47</w:t>
            </w:r>
            <w:r>
              <w:rPr>
                <w:rFonts w:hint="eastAsia" w:ascii="宋体" w:hAnsi="宋体" w:eastAsia="宋体"/>
              </w:rPr>
              <w:t xml:space="preserve">%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-10.</w:t>
            </w:r>
            <w:r>
              <w:rPr>
                <w:rFonts w:ascii="宋体" w:hAnsi="宋体" w:eastAsia="宋体"/>
              </w:rPr>
              <w:t>09</w:t>
            </w:r>
            <w:r>
              <w:rPr>
                <w:rFonts w:hint="eastAsia" w:ascii="宋体" w:hAnsi="宋体" w:eastAsia="宋体"/>
              </w:rPr>
              <w:t xml:space="preserve">%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2020.01.01-2020.12.31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77.95%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1.66%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17.49%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60.46%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2021.01.01-2021.12.31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12.14%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1.48%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-2.67%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14.81%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2022.01.01-2022.06.30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-17.86%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1.97%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-4.66%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-13.20%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2019.01.29-2022.06.30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76.01%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1.46%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27.80%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48.21%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0.63% </w:t>
            </w:r>
          </w:p>
        </w:tc>
      </w:tr>
    </w:tbl>
    <w:p>
      <w:pPr>
        <w:pStyle w:val="7"/>
        <w:spacing w:before="0" w:beforeAutospacing="0" w:after="0" w:afterAutospacing="0" w:line="360" w:lineRule="auto"/>
        <w:ind w:firstLine="420"/>
      </w:pPr>
      <w:bookmarkStart w:id="140" w:name="field_0_indatatable_1_end"/>
      <w:bookmarkEnd w:id="140"/>
      <w:bookmarkStart w:id="141" w:name="chapter_level1_12_3500_section_1_end"/>
      <w:bookmarkEnd w:id="141"/>
      <w:r>
        <w:rPr>
          <w:rFonts w:hint="eastAsia"/>
          <w:sz w:val="21"/>
          <w:szCs w:val="21"/>
        </w:rPr>
        <w:t xml:space="preserve">  </w:t>
      </w:r>
      <w:r>
        <w:br w:type="page"/>
      </w:r>
    </w:p>
    <w:p>
      <w:pPr>
        <w:pStyle w:val="2"/>
        <w:jc w:val="center"/>
        <w:rPr>
          <w:rFonts w:ascii="宋体" w:hAnsi="宋体" w:eastAsia="宋体"/>
          <w:sz w:val="30"/>
        </w:rPr>
      </w:pPr>
      <w:bookmarkStart w:id="142" w:name="_Toc113633892"/>
      <w:bookmarkStart w:id="143" w:name="chapter_level1_13_62"/>
      <w:r>
        <w:rPr>
          <w:rFonts w:hint="eastAsia" w:ascii="宋体" w:hAnsi="宋体" w:eastAsia="宋体"/>
          <w:sz w:val="30"/>
        </w:rPr>
        <w:t>第十部分  基金的财产</w:t>
      </w:r>
      <w:bookmarkEnd w:id="142"/>
      <w:bookmarkEnd w:id="143"/>
    </w:p>
    <w:p>
      <w:pPr>
        <w:pStyle w:val="7"/>
        <w:spacing w:before="0" w:beforeAutospacing="0" w:after="0" w:afterAutospacing="0" w:line="360" w:lineRule="auto"/>
        <w:ind w:firstLine="420"/>
        <w:rPr>
          <w:sz w:val="21"/>
          <w:szCs w:val="21"/>
        </w:rPr>
      </w:pPr>
      <w:bookmarkStart w:id="144" w:name="chapter_level1_13_62_section_1"/>
      <w:bookmarkEnd w:id="144"/>
      <w:r>
        <w:rPr>
          <w:rStyle w:val="11"/>
          <w:rFonts w:hint="eastAsia"/>
          <w:sz w:val="21"/>
          <w:szCs w:val="21"/>
        </w:rPr>
        <w:t>一、基金资产总值</w:t>
      </w:r>
    </w:p>
    <w:p>
      <w:pPr>
        <w:pStyle w:val="7"/>
        <w:spacing w:before="0" w:beforeAutospacing="0" w:after="0" w:afterAutospacing="0" w:line="360" w:lineRule="auto"/>
        <w:ind w:firstLine="420"/>
        <w:rPr>
          <w:sz w:val="21"/>
          <w:szCs w:val="21"/>
        </w:rPr>
      </w:pPr>
      <w:r>
        <w:rPr>
          <w:rFonts w:hint="eastAsia"/>
          <w:sz w:val="21"/>
          <w:szCs w:val="21"/>
        </w:rPr>
        <w:t xml:space="preserve">基金资产总值是指基金拥有的各类有价证券、银行存款本息、基金应收款项及其他资产的价值总和。 </w:t>
      </w:r>
    </w:p>
    <w:p>
      <w:pPr>
        <w:pStyle w:val="7"/>
        <w:spacing w:before="0" w:beforeAutospacing="0" w:after="0" w:afterAutospacing="0" w:line="360" w:lineRule="auto"/>
        <w:ind w:firstLine="420"/>
        <w:rPr>
          <w:sz w:val="21"/>
          <w:szCs w:val="21"/>
        </w:rPr>
      </w:pPr>
      <w:r>
        <w:rPr>
          <w:rStyle w:val="11"/>
          <w:rFonts w:hint="eastAsia"/>
          <w:sz w:val="21"/>
          <w:szCs w:val="21"/>
        </w:rPr>
        <w:t>二、基金资产净值</w:t>
      </w:r>
    </w:p>
    <w:p>
      <w:pPr>
        <w:pStyle w:val="7"/>
        <w:spacing w:before="0" w:beforeAutospacing="0" w:after="0" w:afterAutospacing="0" w:line="360" w:lineRule="auto"/>
        <w:ind w:firstLine="420"/>
        <w:rPr>
          <w:sz w:val="21"/>
          <w:szCs w:val="21"/>
        </w:rPr>
      </w:pPr>
      <w:r>
        <w:rPr>
          <w:rFonts w:hint="eastAsia"/>
          <w:sz w:val="21"/>
          <w:szCs w:val="21"/>
        </w:rPr>
        <w:t xml:space="preserve">基金资产净值是指基金资产总值减去基金负债后的价值。 </w:t>
      </w:r>
    </w:p>
    <w:p>
      <w:pPr>
        <w:pStyle w:val="7"/>
        <w:spacing w:before="0" w:beforeAutospacing="0" w:after="0" w:afterAutospacing="0" w:line="360" w:lineRule="auto"/>
        <w:ind w:firstLine="420"/>
        <w:rPr>
          <w:sz w:val="21"/>
          <w:szCs w:val="21"/>
        </w:rPr>
      </w:pPr>
      <w:r>
        <w:rPr>
          <w:rStyle w:val="11"/>
          <w:rFonts w:hint="eastAsia"/>
          <w:sz w:val="21"/>
          <w:szCs w:val="21"/>
        </w:rPr>
        <w:t>三、基金财产的账户</w:t>
      </w:r>
    </w:p>
    <w:p>
      <w:pPr>
        <w:pStyle w:val="7"/>
        <w:spacing w:before="0" w:beforeAutospacing="0" w:after="0" w:afterAutospacing="0" w:line="360" w:lineRule="auto"/>
        <w:ind w:firstLine="420"/>
        <w:rPr>
          <w:sz w:val="21"/>
          <w:szCs w:val="21"/>
        </w:rPr>
      </w:pPr>
      <w:r>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pPr>
        <w:pStyle w:val="7"/>
        <w:spacing w:before="0" w:beforeAutospacing="0" w:after="0" w:afterAutospacing="0" w:line="360" w:lineRule="auto"/>
        <w:ind w:firstLine="420"/>
        <w:rPr>
          <w:sz w:val="21"/>
          <w:szCs w:val="21"/>
        </w:rPr>
      </w:pPr>
      <w:r>
        <w:rPr>
          <w:rStyle w:val="11"/>
          <w:rFonts w:hint="eastAsia"/>
          <w:sz w:val="21"/>
          <w:szCs w:val="21"/>
        </w:rPr>
        <w:t>四、基金财产的保管和处分</w:t>
      </w:r>
    </w:p>
    <w:p>
      <w:pPr>
        <w:pStyle w:val="7"/>
        <w:spacing w:before="0" w:beforeAutospacing="0" w:after="0" w:afterAutospacing="0" w:line="360" w:lineRule="auto"/>
        <w:ind w:firstLine="420"/>
        <w:rPr>
          <w:sz w:val="21"/>
          <w:szCs w:val="21"/>
        </w:rPr>
      </w:pPr>
      <w:r>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pPr>
        <w:pStyle w:val="7"/>
        <w:spacing w:before="0" w:beforeAutospacing="0" w:after="0" w:afterAutospacing="0" w:line="360" w:lineRule="auto"/>
        <w:ind w:firstLine="420"/>
        <w:rPr>
          <w:sz w:val="21"/>
          <w:szCs w:val="21"/>
        </w:rPr>
      </w:pPr>
      <w:r>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45" w:name="chapter_level1_13_62_section_1_end"/>
      <w:bookmarkEnd w:id="145"/>
      <w:r>
        <w:rPr>
          <w:rFonts w:hint="eastAsia"/>
          <w:sz w:val="21"/>
          <w:szCs w:val="21"/>
        </w:rPr>
        <w:t xml:space="preserve">得相互抵销。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6" w:name="chapter_level1_14_63"/>
      <w:bookmarkStart w:id="147" w:name="_Toc113633893"/>
      <w:r>
        <w:rPr>
          <w:rFonts w:hint="eastAsia" w:ascii="宋体" w:hAnsi="宋体" w:eastAsia="宋体"/>
          <w:sz w:val="30"/>
        </w:rPr>
        <w:t>第十一部分  基金资产的估值</w:t>
      </w:r>
      <w:bookmarkEnd w:id="146"/>
      <w:bookmarkEnd w:id="147"/>
    </w:p>
    <w:p>
      <w:pPr>
        <w:pStyle w:val="7"/>
        <w:spacing w:before="0" w:beforeAutospacing="0" w:after="0" w:afterAutospacing="0" w:line="360" w:lineRule="auto"/>
        <w:ind w:firstLine="420"/>
        <w:rPr>
          <w:sz w:val="21"/>
          <w:szCs w:val="21"/>
        </w:rPr>
      </w:pPr>
      <w:bookmarkStart w:id="148" w:name="chapter_level1_14_63_section_1"/>
      <w:bookmarkEnd w:id="148"/>
      <w:r>
        <w:rPr>
          <w:rStyle w:val="11"/>
          <w:rFonts w:hint="eastAsia"/>
          <w:sz w:val="21"/>
          <w:szCs w:val="21"/>
        </w:rPr>
        <w:t>一、估值日</w:t>
      </w:r>
    </w:p>
    <w:p>
      <w:pPr>
        <w:pStyle w:val="7"/>
        <w:spacing w:before="0" w:beforeAutospacing="0" w:after="0" w:afterAutospacing="0" w:line="360" w:lineRule="auto"/>
        <w:ind w:firstLine="420"/>
        <w:rPr>
          <w:sz w:val="21"/>
          <w:szCs w:val="21"/>
        </w:rPr>
      </w:pPr>
      <w:r>
        <w:rPr>
          <w:rFonts w:hint="eastAsia"/>
          <w:sz w:val="21"/>
          <w:szCs w:val="21"/>
        </w:rPr>
        <w:t xml:space="preserve">本基金的估值日为本基金相关的证券交易场所的交易日以及国家法律法规规定需要对外披露基金净值的非交易日。 </w:t>
      </w:r>
    </w:p>
    <w:p>
      <w:pPr>
        <w:pStyle w:val="7"/>
        <w:spacing w:before="0" w:beforeAutospacing="0" w:after="0" w:afterAutospacing="0" w:line="360" w:lineRule="auto"/>
        <w:ind w:firstLine="420"/>
        <w:rPr>
          <w:sz w:val="21"/>
          <w:szCs w:val="21"/>
        </w:rPr>
      </w:pPr>
      <w:r>
        <w:rPr>
          <w:rStyle w:val="11"/>
          <w:rFonts w:hint="eastAsia"/>
          <w:sz w:val="21"/>
          <w:szCs w:val="21"/>
        </w:rPr>
        <w:t>二、估值对象</w:t>
      </w:r>
    </w:p>
    <w:p>
      <w:pPr>
        <w:pStyle w:val="7"/>
        <w:spacing w:before="0" w:beforeAutospacing="0" w:after="0" w:afterAutospacing="0" w:line="360" w:lineRule="auto"/>
        <w:ind w:firstLine="420"/>
        <w:rPr>
          <w:sz w:val="21"/>
          <w:szCs w:val="21"/>
        </w:rPr>
      </w:pPr>
      <w:r>
        <w:rPr>
          <w:rFonts w:hint="eastAsia"/>
          <w:sz w:val="21"/>
          <w:szCs w:val="21"/>
        </w:rPr>
        <w:t xml:space="preserve">基金所拥有的股票、股指期货合约、国债期货合约、权证、债券和银行存款本息、应收款项、其它投资等资产及负债。 </w:t>
      </w:r>
    </w:p>
    <w:p>
      <w:pPr>
        <w:pStyle w:val="7"/>
        <w:spacing w:before="0" w:beforeAutospacing="0" w:after="0" w:afterAutospacing="0" w:line="360" w:lineRule="auto"/>
        <w:ind w:firstLine="420"/>
        <w:rPr>
          <w:sz w:val="21"/>
          <w:szCs w:val="21"/>
        </w:rPr>
      </w:pPr>
      <w:r>
        <w:rPr>
          <w:rStyle w:val="11"/>
          <w:rFonts w:hint="eastAsia"/>
          <w:sz w:val="21"/>
          <w:szCs w:val="21"/>
        </w:rPr>
        <w:t>三、估值方法</w:t>
      </w:r>
    </w:p>
    <w:p>
      <w:pPr>
        <w:pStyle w:val="7"/>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7"/>
        <w:spacing w:before="0" w:beforeAutospacing="0" w:after="0" w:afterAutospacing="0" w:line="360" w:lineRule="auto"/>
        <w:ind w:firstLine="420"/>
        <w:rPr>
          <w:sz w:val="21"/>
          <w:szCs w:val="21"/>
        </w:rPr>
      </w:pPr>
      <w:r>
        <w:rPr>
          <w:rFonts w:hint="eastAsia"/>
          <w:sz w:val="21"/>
          <w:szCs w:val="21"/>
        </w:rPr>
        <w:t xml:space="preserve">（1）交易所上市的有价证券（包括股票、权证等），以其估值日在证券交易所挂牌的市价（收盘价）估值；估值日无交易的，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7"/>
        <w:spacing w:before="0" w:beforeAutospacing="0" w:after="0" w:afterAutospacing="0" w:line="360" w:lineRule="auto"/>
        <w:ind w:firstLine="420"/>
        <w:rPr>
          <w:sz w:val="21"/>
          <w:szCs w:val="21"/>
        </w:rPr>
      </w:pPr>
      <w:r>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pPr>
        <w:pStyle w:val="7"/>
        <w:spacing w:before="0" w:beforeAutospacing="0" w:after="0" w:afterAutospacing="0" w:line="360" w:lineRule="auto"/>
        <w:ind w:firstLine="420"/>
        <w:rPr>
          <w:sz w:val="21"/>
          <w:szCs w:val="21"/>
        </w:rPr>
      </w:pPr>
      <w:r>
        <w:rPr>
          <w:rFonts w:hint="eastAsia"/>
          <w:sz w:val="21"/>
          <w:szCs w:val="21"/>
        </w:rPr>
        <w:t xml:space="preserve">（3）交易所上市交易的可转换债券按估值日收盘价减去债券收盘价中所含的债券应收利息得到的净价确定公允价值；估值日没有交易的，且最近交易日后未发生影响公允价值计量的重大事件的，按最近交易日债券收盘价减去债券收盘价中所含的债券应收利息得到的净价进行估值。如有充足证据表明估值日或最近交易日的收盘价不能真实反映公允价值的，应对收盘价进行调整，确定公允价格；。 </w:t>
      </w:r>
    </w:p>
    <w:p>
      <w:pPr>
        <w:pStyle w:val="7"/>
        <w:spacing w:before="0" w:beforeAutospacing="0" w:after="0" w:afterAutospacing="0" w:line="360" w:lineRule="auto"/>
        <w:ind w:firstLine="420"/>
        <w:rPr>
          <w:sz w:val="21"/>
          <w:szCs w:val="21"/>
        </w:rPr>
      </w:pPr>
      <w:r>
        <w:rPr>
          <w:rFonts w:hint="eastAsia"/>
          <w:sz w:val="21"/>
          <w:szCs w:val="21"/>
        </w:rPr>
        <w:t xml:space="preserve">交易所上市实行全价交易的固定收益品种（可转换债券除外），选取第三方估值机构提供的估值全价减去估值全价中所含的固定收益品种（税后）应收利息得到的净价进行估值； </w:t>
      </w:r>
    </w:p>
    <w:p>
      <w:pPr>
        <w:pStyle w:val="7"/>
        <w:spacing w:before="0" w:beforeAutospacing="0" w:after="0" w:afterAutospacing="0" w:line="360" w:lineRule="auto"/>
        <w:ind w:firstLine="420"/>
        <w:rPr>
          <w:sz w:val="21"/>
          <w:szCs w:val="21"/>
        </w:rPr>
      </w:pPr>
      <w:r>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7"/>
        <w:spacing w:before="0" w:beforeAutospacing="0" w:after="0" w:afterAutospacing="0" w:line="360" w:lineRule="auto"/>
        <w:ind w:firstLine="420"/>
        <w:rPr>
          <w:sz w:val="21"/>
          <w:szCs w:val="21"/>
        </w:rPr>
      </w:pPr>
      <w:r>
        <w:rPr>
          <w:rFonts w:hint="eastAsia"/>
          <w:sz w:val="21"/>
          <w:szCs w:val="21"/>
        </w:rPr>
        <w:t xml:space="preserve">（1）送股、转增股、配股和公开增发的新股，按估值日在证券交易所挂牌的同一股票的估值方法估值；该日无交易的，以最近一日的市价（收盘价）估值； </w:t>
      </w:r>
    </w:p>
    <w:p>
      <w:pPr>
        <w:pStyle w:val="7"/>
        <w:spacing w:before="0" w:beforeAutospacing="0" w:after="0" w:afterAutospacing="0" w:line="360" w:lineRule="auto"/>
        <w:ind w:firstLine="420"/>
        <w:rPr>
          <w:sz w:val="21"/>
          <w:szCs w:val="21"/>
        </w:rPr>
      </w:pPr>
      <w:r>
        <w:rPr>
          <w:rFonts w:hint="eastAsia"/>
          <w:sz w:val="21"/>
          <w:szCs w:val="21"/>
        </w:rPr>
        <w:t xml:space="preserve">（2）首次公开发行未上市的股票、债券和权证，采用估值技术确定公允价值，在估值技术难以可靠计量公允价值的情况下，按成本估值；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3）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 </w:t>
      </w:r>
    </w:p>
    <w:p>
      <w:pPr>
        <w:pStyle w:val="7"/>
        <w:spacing w:before="0" w:beforeAutospacing="0" w:after="0" w:afterAutospacing="0" w:line="360" w:lineRule="auto"/>
        <w:ind w:firstLine="420"/>
        <w:rPr>
          <w:sz w:val="21"/>
          <w:szCs w:val="21"/>
        </w:rPr>
      </w:pPr>
      <w:r>
        <w:rPr>
          <w:rFonts w:hint="eastAsia"/>
          <w:sz w:val="21"/>
          <w:szCs w:val="21"/>
        </w:rPr>
        <w:t xml:space="preserve">3、全国银行间债券市场交易的债券、资产支持证券等固定收益品种，采用估值技术确定公允价值。 </w:t>
      </w:r>
    </w:p>
    <w:p>
      <w:pPr>
        <w:pStyle w:val="7"/>
        <w:spacing w:before="0" w:beforeAutospacing="0" w:after="0" w:afterAutospacing="0" w:line="360" w:lineRule="auto"/>
        <w:ind w:firstLine="420"/>
        <w:rPr>
          <w:sz w:val="21"/>
          <w:szCs w:val="21"/>
        </w:rPr>
      </w:pPr>
      <w:r>
        <w:rPr>
          <w:rFonts w:hint="eastAsia"/>
          <w:sz w:val="21"/>
          <w:szCs w:val="21"/>
        </w:rPr>
        <w:t xml:space="preserve">4、中小企业私募债券，采用估值技术确定公允价值。在估值技术难以可靠计量公允价值的情况下，按成本估值。 </w:t>
      </w:r>
    </w:p>
    <w:p>
      <w:pPr>
        <w:pStyle w:val="7"/>
        <w:spacing w:before="0" w:beforeAutospacing="0" w:after="0" w:afterAutospacing="0" w:line="360" w:lineRule="auto"/>
        <w:ind w:firstLine="420"/>
        <w:rPr>
          <w:sz w:val="21"/>
          <w:szCs w:val="21"/>
        </w:rPr>
      </w:pPr>
      <w:r>
        <w:rPr>
          <w:rFonts w:hint="eastAsia"/>
          <w:sz w:val="21"/>
          <w:szCs w:val="21"/>
        </w:rPr>
        <w:t xml:space="preserve">5、同一债券同时在两个或两个以上市场交易的，按债券所处的市场分别估值 </w:t>
      </w:r>
    </w:p>
    <w:p>
      <w:pPr>
        <w:pStyle w:val="7"/>
        <w:spacing w:before="0" w:beforeAutospacing="0" w:after="0" w:afterAutospacing="0" w:line="360" w:lineRule="auto"/>
        <w:ind w:firstLine="420"/>
        <w:rPr>
          <w:sz w:val="21"/>
          <w:szCs w:val="21"/>
        </w:rPr>
      </w:pPr>
      <w:r>
        <w:rPr>
          <w:rFonts w:hint="eastAsia"/>
          <w:sz w:val="21"/>
          <w:szCs w:val="21"/>
        </w:rPr>
        <w:t xml:space="preserve">6、本基金投资股指期货合约、国债期货合约，一般以估值当日结算价进行估值，估值当日无结算价的，且最近交易日后经济环境未发生重大变化的，采用最近交易日结算价估值。 </w:t>
      </w:r>
    </w:p>
    <w:p>
      <w:pPr>
        <w:pStyle w:val="7"/>
        <w:spacing w:before="0" w:beforeAutospacing="0" w:after="0" w:afterAutospacing="0" w:line="360" w:lineRule="auto"/>
        <w:ind w:firstLine="420"/>
        <w:rPr>
          <w:sz w:val="21"/>
          <w:szCs w:val="21"/>
        </w:rPr>
      </w:pPr>
      <w:r>
        <w:rPr>
          <w:rFonts w:hint="eastAsia"/>
          <w:sz w:val="21"/>
          <w:szCs w:val="21"/>
        </w:rPr>
        <w:t xml:space="preserve">7.汇率 </w:t>
      </w:r>
    </w:p>
    <w:p>
      <w:pPr>
        <w:pStyle w:val="7"/>
        <w:spacing w:before="0" w:beforeAutospacing="0" w:after="0" w:afterAutospacing="0" w:line="360" w:lineRule="auto"/>
        <w:ind w:firstLine="420"/>
        <w:rPr>
          <w:sz w:val="21"/>
          <w:szCs w:val="21"/>
        </w:rPr>
      </w:pPr>
      <w:r>
        <w:rPr>
          <w:rFonts w:hint="eastAsia"/>
          <w:sz w:val="21"/>
          <w:szCs w:val="21"/>
        </w:rPr>
        <w:t xml:space="preserve">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率采用套算的方法进行折算。 </w:t>
      </w:r>
    </w:p>
    <w:p>
      <w:pPr>
        <w:pStyle w:val="7"/>
        <w:spacing w:before="0" w:beforeAutospacing="0" w:after="0" w:afterAutospacing="0" w:line="360" w:lineRule="auto"/>
        <w:ind w:firstLine="420"/>
        <w:rPr>
          <w:sz w:val="21"/>
          <w:szCs w:val="21"/>
        </w:rPr>
      </w:pPr>
      <w:r>
        <w:rPr>
          <w:rFonts w:hint="eastAsia"/>
          <w:sz w:val="21"/>
          <w:szCs w:val="21"/>
        </w:rPr>
        <w:t xml:space="preserve">8、当发生大额申购或赎回情形时，基金管理人可以采用摆动定价机制，以确保基金估值的公平性。具体处理原则与操作规范遵循相关法律法规以及监管部门、自律规则的规定。 </w:t>
      </w:r>
    </w:p>
    <w:p>
      <w:pPr>
        <w:pStyle w:val="7"/>
        <w:spacing w:before="0" w:beforeAutospacing="0" w:after="0" w:afterAutospacing="0" w:line="360" w:lineRule="auto"/>
        <w:ind w:firstLine="420"/>
        <w:rPr>
          <w:sz w:val="21"/>
          <w:szCs w:val="21"/>
        </w:rPr>
      </w:pPr>
      <w:r>
        <w:rPr>
          <w:rFonts w:hint="eastAsia"/>
          <w:sz w:val="21"/>
          <w:szCs w:val="21"/>
        </w:rPr>
        <w:t xml:space="preserve">9、如有确凿证据表明按上述方法进行估值不能客观反映其公允价值的，基金管理人可根据具体情况与基金托管人商定后，按最能反映公允价值的价格估值。 </w:t>
      </w:r>
    </w:p>
    <w:p>
      <w:pPr>
        <w:pStyle w:val="7"/>
        <w:spacing w:before="0" w:beforeAutospacing="0" w:after="0" w:afterAutospacing="0" w:line="360" w:lineRule="auto"/>
        <w:ind w:firstLine="420"/>
        <w:rPr>
          <w:sz w:val="21"/>
          <w:szCs w:val="21"/>
        </w:rPr>
      </w:pPr>
      <w:r>
        <w:rPr>
          <w:rFonts w:hint="eastAsia"/>
          <w:sz w:val="21"/>
          <w:szCs w:val="21"/>
        </w:rPr>
        <w:t xml:space="preserve">10、相关法律法规以及监管部门有强制规定的，从其规定。如有新增事项，按国家最新规定估值。 </w:t>
      </w:r>
    </w:p>
    <w:p>
      <w:pPr>
        <w:pStyle w:val="7"/>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7"/>
        <w:spacing w:before="0" w:beforeAutospacing="0" w:after="0" w:afterAutospacing="0" w:line="360" w:lineRule="auto"/>
        <w:ind w:firstLine="420"/>
        <w:rPr>
          <w:sz w:val="21"/>
          <w:szCs w:val="21"/>
        </w:rPr>
      </w:pPr>
      <w:r>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w:t>
      </w:r>
      <w:bookmarkStart w:id="149" w:name="chapter_level1_14_63_section_1_end"/>
      <w:bookmarkEnd w:id="149"/>
      <w:r>
        <w:rPr>
          <w:rFonts w:hint="eastAsia"/>
          <w:sz w:val="21"/>
          <w:szCs w:val="21"/>
        </w:rPr>
        <w:t xml:space="preserve">予以公布。 </w:t>
      </w:r>
    </w:p>
    <w:p>
      <w:pPr>
        <w:pStyle w:val="7"/>
        <w:spacing w:before="0" w:beforeAutospacing="0" w:after="0" w:afterAutospacing="0" w:line="360" w:lineRule="auto"/>
        <w:ind w:firstLine="420"/>
        <w:rPr>
          <w:sz w:val="21"/>
          <w:szCs w:val="21"/>
        </w:rPr>
      </w:pPr>
      <w:bookmarkStart w:id="150" w:name="chapter_level1_14_63_section_2"/>
      <w:bookmarkEnd w:id="150"/>
      <w:r>
        <w:rPr>
          <w:rStyle w:val="11"/>
          <w:rFonts w:hint="eastAsia"/>
          <w:sz w:val="21"/>
          <w:szCs w:val="21"/>
        </w:rPr>
        <w:t>四、估值程序</w:t>
      </w:r>
    </w:p>
    <w:p>
      <w:pPr>
        <w:pStyle w:val="7"/>
        <w:spacing w:before="0" w:beforeAutospacing="0" w:after="0" w:afterAutospacing="0" w:line="360" w:lineRule="auto"/>
        <w:ind w:firstLine="420"/>
        <w:rPr>
          <w:sz w:val="21"/>
          <w:szCs w:val="21"/>
        </w:rPr>
      </w:pPr>
      <w:r>
        <w:rPr>
          <w:rFonts w:hint="eastAsia"/>
          <w:sz w:val="21"/>
          <w:szCs w:val="21"/>
        </w:rPr>
        <w:t>1、基金份额净值是按照每个工作日闭市后，基金资产净值除以当日基金份额的余额数量计算，精确到</w:t>
      </w:r>
      <w:bookmarkStart w:id="151" w:name="field_63_netdecimalvalue_1"/>
      <w:r>
        <w:rPr>
          <w:sz w:val="21"/>
          <w:szCs w:val="21"/>
        </w:rPr>
        <w:t>0.0001</w:t>
      </w:r>
      <w:bookmarkEnd w:id="151"/>
      <w:r>
        <w:rPr>
          <w:rFonts w:hint="eastAsia"/>
          <w:sz w:val="21"/>
          <w:szCs w:val="21"/>
        </w:rPr>
        <w:t>元，小数点后第</w:t>
      </w:r>
      <w:bookmarkStart w:id="152" w:name="field_63_netdecimaladd1_1"/>
      <w:r>
        <w:rPr>
          <w:sz w:val="21"/>
          <w:szCs w:val="21"/>
        </w:rPr>
        <w:t>5</w:t>
      </w:r>
      <w:bookmarkEnd w:id="152"/>
      <w:r>
        <w:rPr>
          <w:rFonts w:hint="eastAsia"/>
          <w:sz w:val="21"/>
          <w:szCs w:val="21"/>
        </w:rPr>
        <w:t xml:space="preserve">位四舍五入。国家另有规定的，从其规定。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基金管理人于每个工作日计算基金资产净值及基金份额净值，并按规定公告。 </w:t>
      </w:r>
    </w:p>
    <w:p>
      <w:pPr>
        <w:pStyle w:val="7"/>
        <w:spacing w:before="0" w:beforeAutospacing="0" w:after="0" w:afterAutospacing="0" w:line="360" w:lineRule="auto"/>
        <w:ind w:firstLine="420"/>
        <w:rPr>
          <w:sz w:val="21"/>
          <w:szCs w:val="21"/>
        </w:rPr>
      </w:pPr>
      <w:r>
        <w:rPr>
          <w:rFonts w:hint="eastAsia"/>
          <w:sz w:val="21"/>
          <w:szCs w:val="21"/>
        </w:rPr>
        <w:t xml:space="preserve">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 </w:t>
      </w:r>
    </w:p>
    <w:p>
      <w:pPr>
        <w:pStyle w:val="7"/>
        <w:spacing w:before="0" w:beforeAutospacing="0" w:after="0" w:afterAutospacing="0" w:line="360" w:lineRule="auto"/>
        <w:ind w:firstLine="420"/>
        <w:rPr>
          <w:sz w:val="21"/>
          <w:szCs w:val="21"/>
        </w:rPr>
      </w:pPr>
      <w:r>
        <w:rPr>
          <w:rStyle w:val="11"/>
          <w:rFonts w:hint="eastAsia"/>
          <w:sz w:val="21"/>
          <w:szCs w:val="21"/>
        </w:rPr>
        <w:t>五、估值错误的处理</w:t>
      </w:r>
    </w:p>
    <w:p>
      <w:pPr>
        <w:pStyle w:val="7"/>
        <w:spacing w:before="0" w:beforeAutospacing="0" w:after="0" w:afterAutospacing="0" w:line="360" w:lineRule="auto"/>
        <w:ind w:firstLine="420"/>
        <w:rPr>
          <w:sz w:val="21"/>
          <w:szCs w:val="21"/>
        </w:rPr>
      </w:pPr>
      <w:r>
        <w:rPr>
          <w:rFonts w:hint="eastAsia"/>
          <w:sz w:val="21"/>
          <w:szCs w:val="21"/>
        </w:rPr>
        <w:t>基金管理人和基金托管人将采取必要、适当、合理的措施确保基金资产估值的准确性、及时性。当基金份额净值小数点后</w:t>
      </w:r>
      <w:bookmarkStart w:id="153" w:name="field_63_netdecimal_1"/>
      <w:r>
        <w:rPr>
          <w:sz w:val="21"/>
          <w:szCs w:val="21"/>
        </w:rPr>
        <w:t>4</w:t>
      </w:r>
      <w:bookmarkEnd w:id="153"/>
      <w:r>
        <w:rPr>
          <w:rFonts w:hint="eastAsia"/>
          <w:sz w:val="21"/>
          <w:szCs w:val="21"/>
        </w:rPr>
        <w:t>位以内(含第</w:t>
      </w:r>
      <w:bookmarkStart w:id="154" w:name="field_63_netdecimal_2"/>
      <w:r>
        <w:rPr>
          <w:sz w:val="21"/>
          <w:szCs w:val="21"/>
        </w:rPr>
        <w:t>4</w:t>
      </w:r>
      <w:bookmarkEnd w:id="154"/>
      <w:r>
        <w:rPr>
          <w:rFonts w:hint="eastAsia"/>
          <w:sz w:val="21"/>
          <w:szCs w:val="21"/>
        </w:rPr>
        <w:t xml:space="preserve">位)发生估值错误时，视为基金份额净值错误。 </w:t>
      </w:r>
    </w:p>
    <w:p>
      <w:pPr>
        <w:pStyle w:val="7"/>
        <w:spacing w:before="0" w:beforeAutospacing="0" w:after="0" w:afterAutospacing="0" w:line="360" w:lineRule="auto"/>
        <w:ind w:firstLine="420"/>
        <w:rPr>
          <w:sz w:val="21"/>
          <w:szCs w:val="21"/>
        </w:rPr>
      </w:pPr>
      <w:r>
        <w:rPr>
          <w:rFonts w:hint="eastAsia"/>
          <w:sz w:val="21"/>
          <w:szCs w:val="21"/>
        </w:rPr>
        <w:t xml:space="preserve">基金合同的当事人应按照以下约定处理： </w:t>
      </w:r>
    </w:p>
    <w:p>
      <w:pPr>
        <w:pStyle w:val="7"/>
        <w:spacing w:before="0" w:beforeAutospacing="0" w:after="0" w:afterAutospacing="0" w:line="360" w:lineRule="auto"/>
        <w:ind w:firstLine="420"/>
        <w:rPr>
          <w:sz w:val="21"/>
          <w:szCs w:val="21"/>
        </w:rPr>
      </w:pPr>
      <w:r>
        <w:rPr>
          <w:rFonts w:hint="eastAsia"/>
          <w:sz w:val="21"/>
          <w:szCs w:val="21"/>
        </w:rPr>
        <w:t xml:space="preserve">1、估值错误类型 </w:t>
      </w:r>
    </w:p>
    <w:p>
      <w:pPr>
        <w:pStyle w:val="7"/>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pPr>
        <w:pStyle w:val="7"/>
        <w:spacing w:before="0" w:beforeAutospacing="0" w:after="0" w:afterAutospacing="0" w:line="360" w:lineRule="auto"/>
        <w:ind w:firstLine="420"/>
        <w:rPr>
          <w:sz w:val="21"/>
          <w:szCs w:val="21"/>
        </w:rPr>
      </w:pPr>
      <w:r>
        <w:rPr>
          <w:rFonts w:hint="eastAsia"/>
          <w:sz w:val="21"/>
          <w:szCs w:val="21"/>
        </w:rPr>
        <w:t xml:space="preserve">上述估值错误的主要类型包括但不限于：资料申报差错、数据传输差错、数据计算差错、系统故障差错、下达指令差错等。 </w:t>
      </w:r>
    </w:p>
    <w:p>
      <w:pPr>
        <w:pStyle w:val="7"/>
        <w:spacing w:before="0" w:beforeAutospacing="0" w:after="0" w:afterAutospacing="0" w:line="360" w:lineRule="auto"/>
        <w:ind w:firstLine="420"/>
        <w:rPr>
          <w:sz w:val="21"/>
          <w:szCs w:val="21"/>
        </w:rPr>
      </w:pPr>
      <w:r>
        <w:rPr>
          <w:rFonts w:hint="eastAsia"/>
          <w:sz w:val="21"/>
          <w:szCs w:val="21"/>
        </w:rPr>
        <w:t xml:space="preserve">2、估值错误处理原则 </w:t>
      </w:r>
    </w:p>
    <w:p>
      <w:pPr>
        <w:pStyle w:val="7"/>
        <w:spacing w:before="0" w:beforeAutospacing="0" w:after="0" w:afterAutospacing="0" w:line="360" w:lineRule="auto"/>
        <w:ind w:firstLine="420"/>
        <w:rPr>
          <w:sz w:val="21"/>
          <w:szCs w:val="21"/>
        </w:rPr>
      </w:pPr>
      <w:r>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pPr>
        <w:pStyle w:val="7"/>
        <w:spacing w:before="0" w:beforeAutospacing="0" w:after="0" w:afterAutospacing="0" w:line="360" w:lineRule="auto"/>
        <w:ind w:firstLine="420"/>
        <w:rPr>
          <w:sz w:val="21"/>
          <w:szCs w:val="21"/>
        </w:rPr>
      </w:pPr>
      <w:r>
        <w:rPr>
          <w:rFonts w:hint="eastAsia"/>
          <w:sz w:val="21"/>
          <w:szCs w:val="21"/>
        </w:rPr>
        <w:t xml:space="preserve">（2）估值错误的责任方对有关当事人的直接损失负责，不对间接损失负责，并且仅对估值错误的有关直接当事人负责，不对第三方负责。 </w:t>
      </w:r>
    </w:p>
    <w:p>
      <w:pPr>
        <w:pStyle w:val="7"/>
        <w:spacing w:before="0" w:beforeAutospacing="0" w:after="0" w:afterAutospacing="0" w:line="360" w:lineRule="auto"/>
        <w:ind w:firstLine="420"/>
        <w:rPr>
          <w:sz w:val="21"/>
          <w:szCs w:val="21"/>
        </w:rPr>
      </w:pPr>
      <w:r>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pPr>
        <w:pStyle w:val="7"/>
        <w:spacing w:before="0" w:beforeAutospacing="0" w:after="0" w:afterAutospacing="0" w:line="360" w:lineRule="auto"/>
        <w:ind w:firstLine="420"/>
        <w:rPr>
          <w:sz w:val="21"/>
          <w:szCs w:val="21"/>
        </w:rPr>
      </w:pPr>
      <w:r>
        <w:rPr>
          <w:rFonts w:hint="eastAsia"/>
          <w:sz w:val="21"/>
          <w:szCs w:val="21"/>
        </w:rPr>
        <w:t xml:space="preserve">（4）估值错误调整采用尽量恢复至假设未发生估值错误的正确情形的方式。 </w:t>
      </w:r>
    </w:p>
    <w:p>
      <w:pPr>
        <w:pStyle w:val="7"/>
        <w:spacing w:before="0" w:beforeAutospacing="0" w:after="0" w:afterAutospacing="0" w:line="360" w:lineRule="auto"/>
        <w:ind w:firstLine="420"/>
        <w:rPr>
          <w:sz w:val="21"/>
          <w:szCs w:val="21"/>
        </w:rPr>
      </w:pPr>
      <w:r>
        <w:rPr>
          <w:rFonts w:hint="eastAsia"/>
          <w:sz w:val="21"/>
          <w:szCs w:val="21"/>
        </w:rPr>
        <w:t xml:space="preserve">3、估值错误处理程序 </w:t>
      </w:r>
    </w:p>
    <w:p>
      <w:pPr>
        <w:pStyle w:val="7"/>
        <w:spacing w:before="0" w:beforeAutospacing="0" w:after="0" w:afterAutospacing="0" w:line="360" w:lineRule="auto"/>
        <w:ind w:firstLine="420"/>
        <w:rPr>
          <w:sz w:val="21"/>
          <w:szCs w:val="21"/>
        </w:rPr>
      </w:pPr>
      <w:r>
        <w:rPr>
          <w:rFonts w:hint="eastAsia"/>
          <w:sz w:val="21"/>
          <w:szCs w:val="21"/>
        </w:rPr>
        <w:t xml:space="preserve">估值错误被发现后，有关的当事人应当及时进行处理，处理的程序如下： </w:t>
      </w:r>
    </w:p>
    <w:p>
      <w:pPr>
        <w:pStyle w:val="7"/>
        <w:spacing w:before="0" w:beforeAutospacing="0" w:after="0" w:afterAutospacing="0" w:line="360" w:lineRule="auto"/>
        <w:ind w:firstLine="420"/>
        <w:rPr>
          <w:sz w:val="21"/>
          <w:szCs w:val="21"/>
        </w:rPr>
      </w:pPr>
      <w:r>
        <w:rPr>
          <w:rFonts w:hint="eastAsia"/>
          <w:sz w:val="21"/>
          <w:szCs w:val="21"/>
        </w:rPr>
        <w:t xml:space="preserve">（1）查明估值错误发生的原因，列明所有的当事人，并根据估值错误发生的原因确定估值错误的责任方； </w:t>
      </w:r>
    </w:p>
    <w:p>
      <w:pPr>
        <w:pStyle w:val="7"/>
        <w:spacing w:before="0" w:beforeAutospacing="0" w:after="0" w:afterAutospacing="0" w:line="360" w:lineRule="auto"/>
        <w:ind w:firstLine="420"/>
        <w:rPr>
          <w:sz w:val="21"/>
          <w:szCs w:val="21"/>
        </w:rPr>
      </w:pPr>
      <w:r>
        <w:rPr>
          <w:rFonts w:hint="eastAsia"/>
          <w:sz w:val="21"/>
          <w:szCs w:val="21"/>
        </w:rPr>
        <w:t xml:space="preserve">（2）根据估值错误处理原则或当事人协商的方法对因估值错误造成的损失进行评估； </w:t>
      </w:r>
    </w:p>
    <w:p>
      <w:pPr>
        <w:pStyle w:val="7"/>
        <w:spacing w:before="0" w:beforeAutospacing="0" w:after="0" w:afterAutospacing="0" w:line="360" w:lineRule="auto"/>
        <w:ind w:firstLine="420"/>
        <w:rPr>
          <w:sz w:val="21"/>
          <w:szCs w:val="21"/>
        </w:rPr>
      </w:pPr>
      <w:r>
        <w:rPr>
          <w:rFonts w:hint="eastAsia"/>
          <w:sz w:val="21"/>
          <w:szCs w:val="21"/>
        </w:rPr>
        <w:t xml:space="preserve">（3）根据估值错误处理原则或当事人协商的方法由估值错误的责任方进行更正和赔偿损失； </w:t>
      </w:r>
    </w:p>
    <w:p>
      <w:pPr>
        <w:pStyle w:val="7"/>
        <w:spacing w:before="0" w:beforeAutospacing="0" w:after="0" w:afterAutospacing="0" w:line="360" w:lineRule="auto"/>
        <w:ind w:firstLine="420"/>
        <w:rPr>
          <w:sz w:val="21"/>
          <w:szCs w:val="21"/>
        </w:rPr>
      </w:pPr>
      <w:r>
        <w:rPr>
          <w:rFonts w:hint="eastAsia"/>
          <w:sz w:val="21"/>
          <w:szCs w:val="21"/>
        </w:rPr>
        <w:t xml:space="preserve">（4）根据估值错误处理的方法，需要修改基金登记机构交易数据的，由基金登记机构进行更正，并就估值错误的更正向有关当事人进行确认。 </w:t>
      </w:r>
    </w:p>
    <w:p>
      <w:pPr>
        <w:pStyle w:val="7"/>
        <w:spacing w:before="0" w:beforeAutospacing="0" w:after="0" w:afterAutospacing="0" w:line="360" w:lineRule="auto"/>
        <w:ind w:firstLine="420"/>
        <w:rPr>
          <w:sz w:val="21"/>
          <w:szCs w:val="21"/>
        </w:rPr>
      </w:pPr>
      <w:r>
        <w:rPr>
          <w:rFonts w:hint="eastAsia"/>
          <w:sz w:val="21"/>
          <w:szCs w:val="21"/>
        </w:rPr>
        <w:t xml:space="preserve">4、基金份额净值估值错误处理的方法如下： </w:t>
      </w:r>
    </w:p>
    <w:p>
      <w:pPr>
        <w:pStyle w:val="7"/>
        <w:spacing w:before="0" w:beforeAutospacing="0" w:after="0" w:afterAutospacing="0" w:line="360" w:lineRule="auto"/>
        <w:ind w:firstLine="420"/>
        <w:rPr>
          <w:sz w:val="21"/>
          <w:szCs w:val="21"/>
        </w:rPr>
      </w:pPr>
      <w:r>
        <w:rPr>
          <w:rFonts w:hint="eastAsia"/>
          <w:sz w:val="21"/>
          <w:szCs w:val="21"/>
        </w:rPr>
        <w:t xml:space="preserve">（1）基金份额净值计算出现错误时，基金管理人应当立即予以纠正，通报基金托管人，并采取合理的措施防止损失进一步扩大。 </w:t>
      </w:r>
    </w:p>
    <w:p>
      <w:pPr>
        <w:pStyle w:val="7"/>
        <w:spacing w:before="0" w:beforeAutospacing="0" w:after="0" w:afterAutospacing="0" w:line="360" w:lineRule="auto"/>
        <w:ind w:firstLine="420"/>
        <w:rPr>
          <w:sz w:val="21"/>
          <w:szCs w:val="21"/>
        </w:rPr>
      </w:pPr>
      <w:r>
        <w:rPr>
          <w:rFonts w:hint="eastAsia"/>
          <w:sz w:val="21"/>
          <w:szCs w:val="21"/>
        </w:rPr>
        <w:t xml:space="preserve">（2）错误偏差达到基金份额净值的0.25%时，基金管理人应当通报基金托管人并报中国证监会备案；错误偏差达到基金份额净值的0.5%时，基金管理人应当公告。 </w:t>
      </w:r>
    </w:p>
    <w:p>
      <w:pPr>
        <w:pStyle w:val="7"/>
        <w:spacing w:before="0" w:beforeAutospacing="0" w:after="0" w:afterAutospacing="0" w:line="360" w:lineRule="auto"/>
        <w:ind w:firstLine="420"/>
        <w:rPr>
          <w:sz w:val="21"/>
          <w:szCs w:val="21"/>
        </w:rPr>
      </w:pPr>
      <w:r>
        <w:rPr>
          <w:rFonts w:hint="eastAsia"/>
          <w:sz w:val="21"/>
          <w:szCs w:val="21"/>
        </w:rPr>
        <w:t xml:space="preserve">（3）前述内容如法律法规或监管机关另有规定的，从其规定处理。 </w:t>
      </w:r>
    </w:p>
    <w:p>
      <w:pPr>
        <w:pStyle w:val="7"/>
        <w:spacing w:before="0" w:beforeAutospacing="0" w:after="0" w:afterAutospacing="0" w:line="360" w:lineRule="auto"/>
        <w:ind w:firstLine="420"/>
        <w:rPr>
          <w:sz w:val="21"/>
          <w:szCs w:val="21"/>
        </w:rPr>
      </w:pPr>
      <w:r>
        <w:rPr>
          <w:rStyle w:val="11"/>
          <w:rFonts w:hint="eastAsia"/>
          <w:sz w:val="21"/>
          <w:szCs w:val="21"/>
        </w:rPr>
        <w:t>六、暂停估值的情形</w:t>
      </w:r>
    </w:p>
    <w:p>
      <w:pPr>
        <w:pStyle w:val="7"/>
        <w:spacing w:before="0" w:beforeAutospacing="0" w:after="0" w:afterAutospacing="0" w:line="360" w:lineRule="auto"/>
        <w:ind w:firstLine="420"/>
        <w:rPr>
          <w:sz w:val="21"/>
          <w:szCs w:val="21"/>
        </w:rPr>
      </w:pPr>
      <w:r>
        <w:rPr>
          <w:rFonts w:hint="eastAsia"/>
          <w:sz w:val="21"/>
          <w:szCs w:val="21"/>
        </w:rPr>
        <w:t xml:space="preserve">1、基金投资所涉及的证券、期货交易市场遇法定节假日或因其他原因暂停营业时； </w:t>
      </w:r>
    </w:p>
    <w:p>
      <w:pPr>
        <w:pStyle w:val="7"/>
        <w:spacing w:before="0" w:beforeAutospacing="0" w:after="0" w:afterAutospacing="0" w:line="360" w:lineRule="auto"/>
        <w:ind w:firstLine="420"/>
        <w:rPr>
          <w:sz w:val="21"/>
          <w:szCs w:val="21"/>
        </w:rPr>
      </w:pPr>
      <w:r>
        <w:rPr>
          <w:rFonts w:hint="eastAsia"/>
          <w:sz w:val="21"/>
          <w:szCs w:val="21"/>
        </w:rPr>
        <w:t xml:space="preserve">2、因不可抗力致使基金管理人、基金托管人无法准确评估基金资产价值时； </w:t>
      </w:r>
    </w:p>
    <w:p>
      <w:pPr>
        <w:pStyle w:val="7"/>
        <w:spacing w:before="0" w:beforeAutospacing="0" w:after="0" w:afterAutospacing="0" w:line="360" w:lineRule="auto"/>
        <w:ind w:firstLine="420"/>
        <w:rPr>
          <w:sz w:val="21"/>
          <w:szCs w:val="21"/>
        </w:rPr>
      </w:pPr>
      <w:r>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pPr>
        <w:pStyle w:val="7"/>
        <w:spacing w:before="0" w:beforeAutospacing="0" w:after="0" w:afterAutospacing="0" w:line="360" w:lineRule="auto"/>
        <w:ind w:firstLine="420"/>
        <w:rPr>
          <w:sz w:val="21"/>
          <w:szCs w:val="21"/>
        </w:rPr>
      </w:pPr>
      <w:r>
        <w:rPr>
          <w:rFonts w:hint="eastAsia"/>
          <w:sz w:val="21"/>
          <w:szCs w:val="21"/>
        </w:rPr>
        <w:t xml:space="preserve">4、法律法规规定、中国证监会和基金合同认定的其它情形。 </w:t>
      </w:r>
    </w:p>
    <w:p>
      <w:pPr>
        <w:pStyle w:val="7"/>
        <w:spacing w:before="0" w:beforeAutospacing="0" w:after="0" w:afterAutospacing="0" w:line="360" w:lineRule="auto"/>
        <w:ind w:firstLine="420"/>
        <w:rPr>
          <w:sz w:val="21"/>
          <w:szCs w:val="21"/>
        </w:rPr>
      </w:pPr>
      <w:r>
        <w:rPr>
          <w:rStyle w:val="11"/>
          <w:rFonts w:hint="eastAsia"/>
          <w:sz w:val="21"/>
          <w:szCs w:val="21"/>
        </w:rPr>
        <w:t>七、基金净值的确认</w:t>
      </w:r>
    </w:p>
    <w:p>
      <w:pPr>
        <w:pStyle w:val="7"/>
        <w:spacing w:before="0" w:beforeAutospacing="0" w:after="0" w:afterAutospacing="0" w:line="360" w:lineRule="auto"/>
        <w:ind w:firstLine="420"/>
        <w:rPr>
          <w:sz w:val="21"/>
          <w:szCs w:val="21"/>
        </w:rPr>
      </w:pPr>
      <w:r>
        <w:rPr>
          <w:rFonts w:hint="eastAsia"/>
          <w:sz w:val="21"/>
          <w:szCs w:val="21"/>
        </w:rPr>
        <w:t xml:space="preserve">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按约定予以公布。 </w:t>
      </w:r>
    </w:p>
    <w:p>
      <w:pPr>
        <w:pStyle w:val="7"/>
        <w:spacing w:before="0" w:beforeAutospacing="0" w:after="0" w:afterAutospacing="0" w:line="360" w:lineRule="auto"/>
        <w:ind w:firstLine="420"/>
        <w:rPr>
          <w:sz w:val="21"/>
          <w:szCs w:val="21"/>
        </w:rPr>
      </w:pPr>
      <w:r>
        <w:rPr>
          <w:rStyle w:val="11"/>
          <w:rFonts w:hint="eastAsia"/>
          <w:sz w:val="21"/>
          <w:szCs w:val="21"/>
        </w:rPr>
        <w:t>八、特殊情况的处理</w:t>
      </w:r>
    </w:p>
    <w:p>
      <w:pPr>
        <w:pStyle w:val="7"/>
        <w:spacing w:before="0" w:beforeAutospacing="0" w:after="0" w:afterAutospacing="0" w:line="360" w:lineRule="auto"/>
        <w:ind w:firstLine="420"/>
        <w:rPr>
          <w:sz w:val="21"/>
          <w:szCs w:val="21"/>
        </w:rPr>
      </w:pPr>
      <w:r>
        <w:rPr>
          <w:rFonts w:hint="eastAsia"/>
          <w:sz w:val="21"/>
          <w:szCs w:val="21"/>
        </w:rPr>
        <w:t xml:space="preserve">1、基金管理人或基金托管人按估值方法的第9项进行估值时，所造成的误差不作为基金资产估值错误处理。 </w:t>
      </w:r>
    </w:p>
    <w:p>
      <w:pPr>
        <w:pStyle w:val="7"/>
        <w:spacing w:before="0" w:beforeAutospacing="0" w:after="0" w:afterAutospacing="0" w:line="360" w:lineRule="auto"/>
        <w:ind w:firstLine="420"/>
        <w:rPr>
          <w:sz w:val="21"/>
          <w:szCs w:val="21"/>
        </w:rPr>
      </w:pPr>
      <w:r>
        <w:rPr>
          <w:rFonts w:hint="eastAsia"/>
          <w:sz w:val="21"/>
          <w:szCs w:val="21"/>
        </w:rPr>
        <w:t>2、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免除赔偿责任。但基</w:t>
      </w:r>
      <w:bookmarkStart w:id="155" w:name="chapter_level1_14_63_section_2_end"/>
      <w:bookmarkEnd w:id="155"/>
      <w:r>
        <w:rPr>
          <w:rFonts w:hint="eastAsia"/>
          <w:sz w:val="21"/>
          <w:szCs w:val="21"/>
        </w:rPr>
        <w:t xml:space="preserve">金管理人和基金托管人应当积极采取必要的措施消除或减轻由此造成的影响。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6" w:name="chapter_level1_15_64"/>
      <w:bookmarkStart w:id="157" w:name="_Toc113633894"/>
      <w:r>
        <w:rPr>
          <w:rFonts w:hint="eastAsia" w:ascii="宋体" w:hAnsi="宋体" w:eastAsia="宋体"/>
          <w:sz w:val="30"/>
        </w:rPr>
        <w:t>第十二部分  基金的收益分配</w:t>
      </w:r>
      <w:bookmarkEnd w:id="156"/>
      <w:bookmarkEnd w:id="157"/>
    </w:p>
    <w:p>
      <w:pPr>
        <w:pStyle w:val="7"/>
        <w:spacing w:before="0" w:beforeAutospacing="0" w:after="0" w:afterAutospacing="0" w:line="360" w:lineRule="auto"/>
        <w:ind w:firstLine="420"/>
        <w:rPr>
          <w:sz w:val="21"/>
          <w:szCs w:val="21"/>
        </w:rPr>
      </w:pPr>
      <w:bookmarkStart w:id="158" w:name="chapter_level1_15_64_section_1"/>
      <w:bookmarkEnd w:id="158"/>
      <w:r>
        <w:rPr>
          <w:rStyle w:val="11"/>
          <w:rFonts w:hint="eastAsia"/>
          <w:sz w:val="21"/>
          <w:szCs w:val="21"/>
        </w:rPr>
        <w:t>一、基金利润的构成</w:t>
      </w:r>
    </w:p>
    <w:p>
      <w:pPr>
        <w:pStyle w:val="7"/>
        <w:spacing w:before="0" w:beforeAutospacing="0" w:after="0" w:afterAutospacing="0" w:line="360" w:lineRule="auto"/>
        <w:ind w:firstLine="420"/>
        <w:rPr>
          <w:sz w:val="21"/>
          <w:szCs w:val="21"/>
        </w:rPr>
      </w:pPr>
      <w:r>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pPr>
        <w:pStyle w:val="7"/>
        <w:spacing w:before="0" w:beforeAutospacing="0" w:after="0" w:afterAutospacing="0" w:line="360" w:lineRule="auto"/>
        <w:ind w:firstLine="420"/>
        <w:rPr>
          <w:sz w:val="21"/>
          <w:szCs w:val="21"/>
        </w:rPr>
      </w:pPr>
      <w:r>
        <w:rPr>
          <w:rStyle w:val="11"/>
          <w:rFonts w:hint="eastAsia"/>
          <w:sz w:val="21"/>
          <w:szCs w:val="21"/>
        </w:rPr>
        <w:t>二、基金可供分配利润</w:t>
      </w:r>
    </w:p>
    <w:p>
      <w:pPr>
        <w:pStyle w:val="7"/>
        <w:spacing w:before="0" w:beforeAutospacing="0" w:after="0" w:afterAutospacing="0" w:line="360" w:lineRule="auto"/>
        <w:ind w:firstLine="420"/>
        <w:rPr>
          <w:sz w:val="21"/>
          <w:szCs w:val="21"/>
        </w:rPr>
      </w:pPr>
      <w:r>
        <w:rPr>
          <w:rFonts w:hint="eastAsia"/>
          <w:sz w:val="21"/>
          <w:szCs w:val="21"/>
        </w:rPr>
        <w:t xml:space="preserve">基金可供分配利润指截至收益分配基准日基金未分配利润与未分配利润中已实现收益的孰低数。 </w:t>
      </w:r>
    </w:p>
    <w:p>
      <w:pPr>
        <w:pStyle w:val="7"/>
        <w:spacing w:before="0" w:beforeAutospacing="0" w:after="0" w:afterAutospacing="0" w:line="360" w:lineRule="auto"/>
        <w:ind w:firstLine="420"/>
        <w:rPr>
          <w:sz w:val="21"/>
          <w:szCs w:val="21"/>
        </w:rPr>
      </w:pPr>
      <w:r>
        <w:rPr>
          <w:rStyle w:val="11"/>
          <w:rFonts w:hint="eastAsia"/>
          <w:sz w:val="21"/>
          <w:szCs w:val="21"/>
        </w:rPr>
        <w:t>三、基金收益分配原则</w:t>
      </w:r>
    </w:p>
    <w:p>
      <w:pPr>
        <w:pStyle w:val="7"/>
        <w:spacing w:before="0" w:beforeAutospacing="0" w:after="0" w:afterAutospacing="0" w:line="360" w:lineRule="auto"/>
        <w:ind w:firstLine="420"/>
        <w:rPr>
          <w:sz w:val="21"/>
          <w:szCs w:val="21"/>
        </w:rPr>
      </w:pPr>
      <w:r>
        <w:rPr>
          <w:rFonts w:hint="eastAsia"/>
          <w:sz w:val="21"/>
          <w:szCs w:val="21"/>
        </w:rPr>
        <w:t xml:space="preserve">1、本基金收益分配方式分两种：现金分红与红利再投资，投资者可选择现金红利或将现金红利自动转为基金份额进行再投资；若投资者不选择，本基金默认的收益分配方式是现金分红； </w:t>
      </w:r>
    </w:p>
    <w:p>
      <w:pPr>
        <w:pStyle w:val="7"/>
        <w:spacing w:before="0" w:beforeAutospacing="0" w:after="0" w:afterAutospacing="0" w:line="360" w:lineRule="auto"/>
        <w:ind w:firstLine="420"/>
        <w:rPr>
          <w:sz w:val="21"/>
          <w:szCs w:val="21"/>
        </w:rPr>
      </w:pPr>
      <w:r>
        <w:rPr>
          <w:rFonts w:hint="eastAsia"/>
          <w:sz w:val="21"/>
          <w:szCs w:val="21"/>
        </w:rPr>
        <w:t xml:space="preserve">2、基金收益分配后基金份额净值不能低于面值，即基金收益分配基准日的基金份额净值减去每单位基金份额收益分配金额后不能低于面值； </w:t>
      </w:r>
    </w:p>
    <w:p>
      <w:pPr>
        <w:pStyle w:val="7"/>
        <w:spacing w:before="0" w:beforeAutospacing="0" w:after="0" w:afterAutospacing="0" w:line="360" w:lineRule="auto"/>
        <w:ind w:firstLine="420"/>
        <w:rPr>
          <w:sz w:val="21"/>
          <w:szCs w:val="21"/>
        </w:rPr>
      </w:pPr>
      <w:r>
        <w:rPr>
          <w:rFonts w:hint="eastAsia"/>
          <w:sz w:val="21"/>
          <w:szCs w:val="21"/>
        </w:rPr>
        <w:t xml:space="preserve">3、每一基金份额享有同等分配权； </w:t>
      </w:r>
    </w:p>
    <w:p>
      <w:pPr>
        <w:pStyle w:val="7"/>
        <w:spacing w:before="0" w:beforeAutospacing="0" w:after="0" w:afterAutospacing="0" w:line="360" w:lineRule="auto"/>
        <w:ind w:firstLine="420"/>
        <w:rPr>
          <w:sz w:val="21"/>
          <w:szCs w:val="21"/>
        </w:rPr>
      </w:pPr>
      <w:r>
        <w:rPr>
          <w:rFonts w:hint="eastAsia"/>
          <w:sz w:val="21"/>
          <w:szCs w:val="21"/>
        </w:rPr>
        <w:t xml:space="preserve">4、法律法规或监管机关另有规定的，从其规定。 </w:t>
      </w:r>
    </w:p>
    <w:p>
      <w:pPr>
        <w:pStyle w:val="7"/>
        <w:spacing w:before="0" w:beforeAutospacing="0" w:after="0" w:afterAutospacing="0" w:line="360" w:lineRule="auto"/>
        <w:ind w:firstLine="420"/>
        <w:rPr>
          <w:sz w:val="21"/>
          <w:szCs w:val="21"/>
        </w:rPr>
      </w:pPr>
      <w:r>
        <w:rPr>
          <w:rFonts w:hint="eastAsia"/>
          <w:sz w:val="21"/>
          <w:szCs w:val="21"/>
        </w:rPr>
        <w:t>在符合法律法规及基金合同约定并对基金份额持有人利益无实质不利影响的前提下，基</w:t>
      </w:r>
      <w:bookmarkStart w:id="159" w:name="chapter_level1_15_64_section_1_end"/>
      <w:bookmarkEnd w:id="159"/>
      <w:r>
        <w:rPr>
          <w:rFonts w:hint="eastAsia"/>
          <w:sz w:val="21"/>
          <w:szCs w:val="21"/>
        </w:rPr>
        <w:t xml:space="preserve">金管理人可对基金收益分配原则和支付方式进行调整，不需召开基金份额持有人大会。 </w:t>
      </w:r>
    </w:p>
    <w:p>
      <w:pPr>
        <w:pStyle w:val="7"/>
        <w:spacing w:before="0" w:beforeAutospacing="0" w:after="0" w:afterAutospacing="0" w:line="360" w:lineRule="auto"/>
        <w:ind w:firstLine="420"/>
        <w:rPr>
          <w:sz w:val="21"/>
          <w:szCs w:val="21"/>
        </w:rPr>
      </w:pPr>
      <w:bookmarkStart w:id="160" w:name="chapter_level1_15_64_section_2"/>
      <w:bookmarkEnd w:id="160"/>
      <w:r>
        <w:rPr>
          <w:rStyle w:val="11"/>
          <w:rFonts w:hint="eastAsia"/>
          <w:sz w:val="21"/>
          <w:szCs w:val="21"/>
        </w:rPr>
        <w:t>四、收益分配方案</w:t>
      </w:r>
    </w:p>
    <w:p>
      <w:pPr>
        <w:pStyle w:val="7"/>
        <w:spacing w:before="0" w:beforeAutospacing="0" w:after="0" w:afterAutospacing="0" w:line="360" w:lineRule="auto"/>
        <w:ind w:firstLine="420"/>
        <w:rPr>
          <w:sz w:val="21"/>
          <w:szCs w:val="21"/>
        </w:rPr>
      </w:pPr>
      <w:r>
        <w:rPr>
          <w:rFonts w:hint="eastAsia"/>
          <w:sz w:val="21"/>
          <w:szCs w:val="21"/>
        </w:rPr>
        <w:t xml:space="preserve">基金收益分配方案中应载明截止收益分配基准日的可供分配利润、基金收益分配对象、分配时间、分配数额及比例、分配方式等内容。 </w:t>
      </w:r>
    </w:p>
    <w:p>
      <w:pPr>
        <w:pStyle w:val="7"/>
        <w:spacing w:before="0" w:beforeAutospacing="0" w:after="0" w:afterAutospacing="0" w:line="360" w:lineRule="auto"/>
        <w:ind w:firstLine="420"/>
        <w:rPr>
          <w:sz w:val="21"/>
          <w:szCs w:val="21"/>
        </w:rPr>
      </w:pPr>
      <w:r>
        <w:rPr>
          <w:rStyle w:val="11"/>
          <w:rFonts w:hint="eastAsia"/>
          <w:sz w:val="21"/>
          <w:szCs w:val="21"/>
        </w:rPr>
        <w:t>五、收益分配方案的确定、公告与实施</w:t>
      </w:r>
    </w:p>
    <w:p>
      <w:pPr>
        <w:pStyle w:val="7"/>
        <w:spacing w:before="0" w:beforeAutospacing="0" w:after="0" w:afterAutospacing="0" w:line="360" w:lineRule="auto"/>
        <w:ind w:firstLine="420"/>
        <w:rPr>
          <w:sz w:val="21"/>
          <w:szCs w:val="21"/>
        </w:rPr>
      </w:pPr>
      <w:r>
        <w:rPr>
          <w:rFonts w:hint="eastAsia"/>
          <w:sz w:val="21"/>
          <w:szCs w:val="21"/>
        </w:rPr>
        <w:t xml:space="preserve">本基金收益分配方案由基金管理人拟定，并由基金托管人复核，依照《信息披露办法》的有关规定在指定媒介公告。 </w:t>
      </w:r>
    </w:p>
    <w:p>
      <w:pPr>
        <w:pStyle w:val="7"/>
        <w:spacing w:before="0" w:beforeAutospacing="0" w:after="0" w:afterAutospacing="0" w:line="360" w:lineRule="auto"/>
        <w:ind w:firstLine="420"/>
        <w:rPr>
          <w:sz w:val="21"/>
          <w:szCs w:val="21"/>
        </w:rPr>
      </w:pPr>
      <w:r>
        <w:rPr>
          <w:rFonts w:hint="eastAsia"/>
          <w:sz w:val="21"/>
          <w:szCs w:val="21"/>
        </w:rPr>
        <w:t xml:space="preserve">基金红利发放日距离收益分配基准日（即可供分配利润计算截止日）的时间不得超过15个工作日。 </w:t>
      </w:r>
    </w:p>
    <w:p>
      <w:pPr>
        <w:pStyle w:val="7"/>
        <w:spacing w:before="0" w:beforeAutospacing="0" w:after="0" w:afterAutospacing="0" w:line="360" w:lineRule="auto"/>
        <w:ind w:firstLine="420"/>
        <w:rPr>
          <w:sz w:val="21"/>
          <w:szCs w:val="21"/>
        </w:rPr>
      </w:pPr>
      <w:r>
        <w:rPr>
          <w:rStyle w:val="11"/>
          <w:rFonts w:hint="eastAsia"/>
          <w:sz w:val="21"/>
          <w:szCs w:val="21"/>
        </w:rPr>
        <w:t>六、基金收益分配中发生的费用</w:t>
      </w:r>
    </w:p>
    <w:p>
      <w:pPr>
        <w:pStyle w:val="7"/>
        <w:spacing w:before="0" w:beforeAutospacing="0" w:after="0" w:afterAutospacing="0" w:line="360" w:lineRule="auto"/>
        <w:ind w:firstLine="420"/>
        <w:rPr>
          <w:sz w:val="21"/>
          <w:szCs w:val="21"/>
        </w:rPr>
      </w:pPr>
      <w:r>
        <w:rPr>
          <w:rFonts w:hint="eastAsia"/>
          <w:sz w:val="21"/>
          <w:szCs w:val="21"/>
        </w:rPr>
        <w:t>基金收益分配时所发生的银行转账或其他手续费用由投资者自行承担。当投资者的现金红利小于一定金额，不足以支付银行转账或其他手续费用时，基金登记机构可将基金份额持</w:t>
      </w:r>
      <w:bookmarkStart w:id="161" w:name="chapter_level1_15_64_section_2_end"/>
      <w:bookmarkEnd w:id="161"/>
      <w:r>
        <w:rPr>
          <w:rFonts w:hint="eastAsia"/>
          <w:sz w:val="21"/>
          <w:szCs w:val="21"/>
        </w:rPr>
        <w:t xml:space="preserve">有人的现金红利自动转为基金份额。红利再投资的计算方法，依照《业务规则》执行。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62" w:name="chapter_level1_16_65"/>
      <w:bookmarkStart w:id="163" w:name="_Toc113633895"/>
      <w:r>
        <w:rPr>
          <w:rFonts w:hint="eastAsia" w:ascii="宋体" w:hAnsi="宋体" w:eastAsia="宋体"/>
          <w:sz w:val="30"/>
        </w:rPr>
        <w:t>第十三部分  基金的费用与税收</w:t>
      </w:r>
      <w:bookmarkEnd w:id="162"/>
      <w:bookmarkEnd w:id="163"/>
    </w:p>
    <w:p>
      <w:pPr>
        <w:pStyle w:val="7"/>
        <w:spacing w:before="0" w:beforeAutospacing="0" w:after="0" w:afterAutospacing="0" w:line="360" w:lineRule="auto"/>
        <w:ind w:firstLine="420"/>
        <w:rPr>
          <w:sz w:val="21"/>
          <w:szCs w:val="21"/>
        </w:rPr>
      </w:pPr>
      <w:bookmarkStart w:id="164" w:name="chapter_level1_16_65_section_1"/>
      <w:bookmarkEnd w:id="164"/>
      <w:r>
        <w:rPr>
          <w:rStyle w:val="11"/>
          <w:rFonts w:hint="eastAsia"/>
          <w:sz w:val="21"/>
          <w:szCs w:val="21"/>
        </w:rPr>
        <w:t>一、基金费用的种类</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 xml:space="preserve">3、《基金合同》生效后与基金相关的信息披露费用，法律法规、中国证监会另有规定的除外；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4、《基金合同》生效后与基金相关的会计师费、律师费、诉讼费和仲裁费； </w:t>
      </w:r>
    </w:p>
    <w:p>
      <w:pPr>
        <w:pStyle w:val="7"/>
        <w:spacing w:before="0" w:beforeAutospacing="0" w:after="0" w:afterAutospacing="0" w:line="360" w:lineRule="auto"/>
        <w:ind w:firstLine="420"/>
        <w:rPr>
          <w:sz w:val="21"/>
          <w:szCs w:val="21"/>
        </w:rPr>
      </w:pPr>
      <w:r>
        <w:rPr>
          <w:rFonts w:hint="eastAsia"/>
          <w:sz w:val="21"/>
          <w:szCs w:val="21"/>
        </w:rPr>
        <w:t xml:space="preserve">5、基金份额持有人大会费用； </w:t>
      </w:r>
    </w:p>
    <w:p>
      <w:pPr>
        <w:pStyle w:val="7"/>
        <w:spacing w:before="0" w:beforeAutospacing="0" w:after="0" w:afterAutospacing="0" w:line="360" w:lineRule="auto"/>
        <w:ind w:firstLine="420"/>
        <w:rPr>
          <w:sz w:val="21"/>
          <w:szCs w:val="21"/>
        </w:rPr>
      </w:pPr>
      <w:r>
        <w:rPr>
          <w:rFonts w:hint="eastAsia"/>
          <w:sz w:val="21"/>
          <w:szCs w:val="21"/>
        </w:rPr>
        <w:t xml:space="preserve">6、基金的证券、期货交易费用； </w:t>
      </w:r>
    </w:p>
    <w:p>
      <w:pPr>
        <w:pStyle w:val="7"/>
        <w:spacing w:before="0" w:beforeAutospacing="0" w:after="0" w:afterAutospacing="0" w:line="360" w:lineRule="auto"/>
        <w:ind w:firstLine="420"/>
        <w:rPr>
          <w:sz w:val="21"/>
          <w:szCs w:val="21"/>
        </w:rPr>
      </w:pPr>
      <w:r>
        <w:rPr>
          <w:rFonts w:hint="eastAsia"/>
          <w:sz w:val="21"/>
          <w:szCs w:val="21"/>
        </w:rPr>
        <w:t xml:space="preserve">7、基金的银行汇划费用； </w:t>
      </w:r>
    </w:p>
    <w:p>
      <w:pPr>
        <w:pStyle w:val="7"/>
        <w:spacing w:before="0" w:beforeAutospacing="0" w:after="0" w:afterAutospacing="0" w:line="360" w:lineRule="auto"/>
        <w:ind w:firstLine="420"/>
        <w:rPr>
          <w:sz w:val="21"/>
          <w:szCs w:val="21"/>
        </w:rPr>
      </w:pPr>
      <w:r>
        <w:rPr>
          <w:rFonts w:hint="eastAsia"/>
          <w:sz w:val="21"/>
          <w:szCs w:val="21"/>
        </w:rPr>
        <w:t xml:space="preserve">8、账户开户费用、账户维护费用； </w:t>
      </w:r>
    </w:p>
    <w:p>
      <w:pPr>
        <w:pStyle w:val="7"/>
        <w:spacing w:before="0" w:beforeAutospacing="0" w:after="0" w:afterAutospacing="0" w:line="360" w:lineRule="auto"/>
        <w:ind w:firstLine="420"/>
        <w:rPr>
          <w:sz w:val="21"/>
          <w:szCs w:val="21"/>
        </w:rPr>
      </w:pPr>
      <w:r>
        <w:rPr>
          <w:rFonts w:hint="eastAsia"/>
          <w:sz w:val="21"/>
          <w:szCs w:val="21"/>
        </w:rPr>
        <w:t xml:space="preserve">9、因投资港股通标的股票而产生的各项合理费用； </w:t>
      </w:r>
    </w:p>
    <w:p>
      <w:pPr>
        <w:pStyle w:val="7"/>
        <w:spacing w:before="0" w:beforeAutospacing="0" w:after="0" w:afterAutospacing="0" w:line="360" w:lineRule="auto"/>
        <w:ind w:firstLine="420"/>
        <w:rPr>
          <w:sz w:val="21"/>
          <w:szCs w:val="21"/>
        </w:rPr>
      </w:pPr>
      <w:r>
        <w:rPr>
          <w:rFonts w:hint="eastAsia"/>
          <w:sz w:val="21"/>
          <w:szCs w:val="21"/>
        </w:rPr>
        <w:t xml:space="preserve">10、按照国家有关规定和《基金合同》约定，可以在基金财产中列支的其他费用。 </w:t>
      </w:r>
    </w:p>
    <w:p>
      <w:pPr>
        <w:pStyle w:val="7"/>
        <w:spacing w:before="0" w:beforeAutospacing="0" w:after="0" w:afterAutospacing="0" w:line="360" w:lineRule="auto"/>
        <w:ind w:firstLine="420"/>
        <w:rPr>
          <w:sz w:val="21"/>
          <w:szCs w:val="21"/>
        </w:rPr>
      </w:pPr>
      <w:r>
        <w:rPr>
          <w:rStyle w:val="11"/>
          <w:rFonts w:hint="eastAsia"/>
          <w:sz w:val="21"/>
          <w:szCs w:val="21"/>
        </w:rPr>
        <w:t>二、基金费用计提方法、计提标准和支付方式</w:t>
      </w:r>
    </w:p>
    <w:p>
      <w:pPr>
        <w:pStyle w:val="7"/>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7"/>
        <w:spacing w:before="0" w:beforeAutospacing="0" w:after="0" w:afterAutospacing="0" w:line="360" w:lineRule="auto"/>
        <w:ind w:firstLine="420"/>
        <w:rPr>
          <w:sz w:val="21"/>
          <w:szCs w:val="21"/>
        </w:rPr>
      </w:pPr>
      <w:r>
        <w:rPr>
          <w:rFonts w:hint="eastAsia"/>
          <w:sz w:val="21"/>
          <w:szCs w:val="21"/>
        </w:rPr>
        <w:t>本基金的管理费按前一日基金资产净值的</w:t>
      </w:r>
      <w:bookmarkStart w:id="165" w:name="field_0_managementrate_1"/>
      <w:r>
        <w:rPr>
          <w:sz w:val="21"/>
          <w:szCs w:val="21"/>
        </w:rPr>
        <w:t>1.</w:t>
      </w:r>
      <w:r>
        <w:rPr>
          <w:rFonts w:hint="eastAsia"/>
          <w:sz w:val="21"/>
          <w:szCs w:val="21"/>
        </w:rPr>
        <w:t>2</w:t>
      </w:r>
      <w:r>
        <w:rPr>
          <w:sz w:val="21"/>
          <w:szCs w:val="21"/>
        </w:rPr>
        <w:t>0</w:t>
      </w:r>
      <w:bookmarkEnd w:id="165"/>
      <w:r>
        <w:rPr>
          <w:rFonts w:hint="eastAsia"/>
          <w:sz w:val="21"/>
          <w:szCs w:val="21"/>
        </w:rPr>
        <w:t xml:space="preserve">%年费率计提。管理费的计算方法如下：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66" w:name="field_0_managementrate_2"/>
      <w:r>
        <w:rPr>
          <w:sz w:val="21"/>
          <w:szCs w:val="21"/>
        </w:rPr>
        <w:t>1.</w:t>
      </w:r>
      <w:r>
        <w:rPr>
          <w:rFonts w:hint="eastAsia"/>
          <w:sz w:val="21"/>
          <w:szCs w:val="21"/>
        </w:rPr>
        <w:t>2</w:t>
      </w:r>
      <w:r>
        <w:rPr>
          <w:sz w:val="21"/>
          <w:szCs w:val="21"/>
        </w:rPr>
        <w:t>0</w:t>
      </w:r>
      <w:bookmarkEnd w:id="166"/>
      <w:r>
        <w:rPr>
          <w:rFonts w:hint="eastAsia"/>
          <w:sz w:val="21"/>
          <w:szCs w:val="21"/>
        </w:rPr>
        <w:t xml:space="preserve">%÷当年天数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H为每日应计提的基金管理费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管理费每日计算，逐日累计至每月月末，按月支付，由基金托管人根据与基金管理人核对一致的财务数据，自动在月初五个工作日内、按照指定的账户路径进行资金支付，基金管理人无需再出具资金划拨指令。若遇法定节假日、公休假等，支付日期顺延。 </w:t>
      </w:r>
    </w:p>
    <w:p>
      <w:pPr>
        <w:pStyle w:val="7"/>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7"/>
        <w:spacing w:before="0" w:beforeAutospacing="0" w:after="0" w:afterAutospacing="0" w:line="360" w:lineRule="auto"/>
        <w:ind w:firstLine="420"/>
        <w:rPr>
          <w:sz w:val="21"/>
          <w:szCs w:val="21"/>
        </w:rPr>
      </w:pPr>
      <w:r>
        <w:rPr>
          <w:rFonts w:hint="eastAsia"/>
          <w:sz w:val="21"/>
          <w:szCs w:val="21"/>
        </w:rPr>
        <w:t>本基金的托管费按前一日基金资产净值的</w:t>
      </w:r>
      <w:bookmarkStart w:id="167" w:name="field_0_trusteerate_1"/>
      <w:r>
        <w:rPr>
          <w:sz w:val="21"/>
          <w:szCs w:val="21"/>
        </w:rPr>
        <w:t>0.2</w:t>
      </w:r>
      <w:bookmarkEnd w:id="167"/>
      <w:r>
        <w:rPr>
          <w:rFonts w:hint="eastAsia"/>
          <w:sz w:val="21"/>
          <w:szCs w:val="21"/>
        </w:rPr>
        <w:t xml:space="preserve">0%的年费率计提。托管费的计算方法如下： </w:t>
      </w:r>
    </w:p>
    <w:p>
      <w:pPr>
        <w:pStyle w:val="7"/>
        <w:spacing w:before="0" w:beforeAutospacing="0" w:after="0" w:afterAutospacing="0" w:line="360" w:lineRule="auto"/>
        <w:ind w:firstLine="420"/>
        <w:rPr>
          <w:sz w:val="21"/>
          <w:szCs w:val="21"/>
        </w:rPr>
      </w:pPr>
      <w:r>
        <w:rPr>
          <w:rFonts w:hint="eastAsia"/>
          <w:sz w:val="21"/>
          <w:szCs w:val="21"/>
        </w:rPr>
        <w:t>H＝E×</w:t>
      </w:r>
      <w:bookmarkStart w:id="168" w:name="field_0_trusteerate_2"/>
      <w:r>
        <w:rPr>
          <w:sz w:val="21"/>
          <w:szCs w:val="21"/>
        </w:rPr>
        <w:t>0.2</w:t>
      </w:r>
      <w:bookmarkEnd w:id="168"/>
      <w:r>
        <w:rPr>
          <w:rFonts w:hint="eastAsia"/>
          <w:sz w:val="21"/>
          <w:szCs w:val="21"/>
        </w:rPr>
        <w:t xml:space="preserve">0%÷当年天数 </w:t>
      </w:r>
    </w:p>
    <w:p>
      <w:pPr>
        <w:pStyle w:val="7"/>
        <w:spacing w:before="0" w:beforeAutospacing="0" w:after="0" w:afterAutospacing="0" w:line="360" w:lineRule="auto"/>
        <w:ind w:firstLine="420"/>
        <w:rPr>
          <w:sz w:val="21"/>
          <w:szCs w:val="21"/>
        </w:rPr>
      </w:pPr>
      <w:r>
        <w:rPr>
          <w:rFonts w:hint="eastAsia"/>
          <w:sz w:val="21"/>
          <w:szCs w:val="21"/>
        </w:rPr>
        <w:t xml:space="preserve">H为每日应计提的基金托管费 </w:t>
      </w:r>
    </w:p>
    <w:p>
      <w:pPr>
        <w:pStyle w:val="7"/>
        <w:spacing w:before="0" w:beforeAutospacing="0" w:after="0" w:afterAutospacing="0" w:line="360" w:lineRule="auto"/>
        <w:ind w:firstLine="420"/>
        <w:rPr>
          <w:sz w:val="21"/>
          <w:szCs w:val="21"/>
        </w:rPr>
      </w:pPr>
      <w:r>
        <w:rPr>
          <w:rFonts w:hint="eastAsia"/>
          <w:sz w:val="21"/>
          <w:szCs w:val="21"/>
        </w:rPr>
        <w:t xml:space="preserve">E为前一日的基金资产净值 </w:t>
      </w:r>
    </w:p>
    <w:p>
      <w:pPr>
        <w:pStyle w:val="7"/>
        <w:spacing w:before="0" w:beforeAutospacing="0" w:after="0" w:afterAutospacing="0" w:line="360" w:lineRule="auto"/>
        <w:ind w:firstLine="420"/>
        <w:rPr>
          <w:sz w:val="21"/>
          <w:szCs w:val="21"/>
        </w:rPr>
      </w:pPr>
      <w:r>
        <w:rPr>
          <w:rFonts w:hint="eastAsia"/>
          <w:sz w:val="21"/>
          <w:szCs w:val="21"/>
        </w:rPr>
        <w:t xml:space="preserve">基金托管费每日计算，逐日累计至每月月末，按月支付，由基金托管人根据与基金管理人核对一致的财务数据，自动在月初五个工作日内、按照指定的账户路径进行资金支付，基金管理人无需再出具资金划拨指令。若遇法定节假日、公休假等，支付日期顺延。 </w:t>
      </w:r>
    </w:p>
    <w:p>
      <w:pPr>
        <w:pStyle w:val="7"/>
        <w:spacing w:before="0" w:beforeAutospacing="0" w:after="0" w:afterAutospacing="0" w:line="360" w:lineRule="auto"/>
        <w:ind w:firstLine="420"/>
        <w:rPr>
          <w:sz w:val="21"/>
          <w:szCs w:val="21"/>
        </w:rPr>
      </w:pPr>
      <w:r>
        <w:rPr>
          <w:rFonts w:hint="eastAsia"/>
          <w:sz w:val="21"/>
          <w:szCs w:val="21"/>
        </w:rPr>
        <w:t xml:space="preserve">上述“一、基金费用的种类中第3－10项费用”，根据有关法规及相应协议规定，按费用实际支出金额列入当期费用，由基金托管人从基金财产中支付。 </w:t>
      </w:r>
    </w:p>
    <w:p>
      <w:pPr>
        <w:pStyle w:val="7"/>
        <w:spacing w:before="0" w:beforeAutospacing="0" w:after="0" w:afterAutospacing="0" w:line="360" w:lineRule="auto"/>
        <w:ind w:firstLine="420"/>
        <w:rPr>
          <w:sz w:val="21"/>
          <w:szCs w:val="21"/>
        </w:rPr>
      </w:pPr>
      <w:r>
        <w:rPr>
          <w:rStyle w:val="11"/>
          <w:rFonts w:hint="eastAsia"/>
          <w:sz w:val="21"/>
          <w:szCs w:val="21"/>
        </w:rPr>
        <w:t>三、不列入基金费用的项目</w:t>
      </w:r>
    </w:p>
    <w:p>
      <w:pPr>
        <w:pStyle w:val="7"/>
        <w:spacing w:before="0" w:beforeAutospacing="0" w:after="0" w:afterAutospacing="0" w:line="360" w:lineRule="auto"/>
        <w:ind w:firstLine="420"/>
        <w:rPr>
          <w:sz w:val="21"/>
          <w:szCs w:val="21"/>
        </w:rPr>
      </w:pPr>
      <w:r>
        <w:rPr>
          <w:rFonts w:hint="eastAsia"/>
          <w:sz w:val="21"/>
          <w:szCs w:val="21"/>
        </w:rPr>
        <w:t xml:space="preserve">下列费用不列入基金费用： </w:t>
      </w:r>
    </w:p>
    <w:p>
      <w:pPr>
        <w:pStyle w:val="7"/>
        <w:spacing w:before="0" w:beforeAutospacing="0" w:after="0" w:afterAutospacing="0" w:line="360" w:lineRule="auto"/>
        <w:ind w:firstLine="420"/>
        <w:rPr>
          <w:sz w:val="21"/>
          <w:szCs w:val="21"/>
        </w:rPr>
      </w:pPr>
      <w:r>
        <w:rPr>
          <w:rFonts w:hint="eastAsia"/>
          <w:sz w:val="21"/>
          <w:szCs w:val="21"/>
        </w:rPr>
        <w:t xml:space="preserve">1、基金管理人和基金托管人因未履行或未完全履行义务导致的费用支出或基金财产的损失； </w:t>
      </w:r>
    </w:p>
    <w:p>
      <w:pPr>
        <w:pStyle w:val="7"/>
        <w:spacing w:before="0" w:beforeAutospacing="0" w:after="0" w:afterAutospacing="0" w:line="360" w:lineRule="auto"/>
        <w:ind w:firstLine="420"/>
        <w:rPr>
          <w:sz w:val="21"/>
          <w:szCs w:val="21"/>
        </w:rPr>
      </w:pPr>
      <w:r>
        <w:rPr>
          <w:rFonts w:hint="eastAsia"/>
          <w:sz w:val="21"/>
          <w:szCs w:val="21"/>
        </w:rPr>
        <w:t xml:space="preserve">2、基金管理人和基金托管人处理与基金运作无关的事项发生的费用； </w:t>
      </w:r>
    </w:p>
    <w:p>
      <w:pPr>
        <w:pStyle w:val="7"/>
        <w:spacing w:before="0" w:beforeAutospacing="0" w:after="0" w:afterAutospacing="0" w:line="360" w:lineRule="auto"/>
        <w:ind w:firstLine="420"/>
        <w:rPr>
          <w:sz w:val="21"/>
          <w:szCs w:val="21"/>
        </w:rPr>
      </w:pPr>
      <w:r>
        <w:rPr>
          <w:rFonts w:hint="eastAsia"/>
          <w:sz w:val="21"/>
          <w:szCs w:val="21"/>
        </w:rPr>
        <w:t xml:space="preserve">3、《基金合同》生效前的相关费用； </w:t>
      </w:r>
    </w:p>
    <w:p>
      <w:pPr>
        <w:pStyle w:val="7"/>
        <w:spacing w:before="0" w:beforeAutospacing="0" w:after="0" w:afterAutospacing="0" w:line="360" w:lineRule="auto"/>
        <w:ind w:firstLine="420"/>
        <w:rPr>
          <w:sz w:val="21"/>
          <w:szCs w:val="21"/>
        </w:rPr>
      </w:pPr>
      <w:r>
        <w:rPr>
          <w:rFonts w:hint="eastAsia"/>
          <w:sz w:val="21"/>
          <w:szCs w:val="21"/>
        </w:rPr>
        <w:t xml:space="preserve">4、其他根据相关法律法规及中国证监会的有关规定不得列入基金费用的项目。 </w:t>
      </w:r>
    </w:p>
    <w:p>
      <w:pPr>
        <w:pStyle w:val="7"/>
        <w:spacing w:before="0" w:beforeAutospacing="0" w:after="0" w:afterAutospacing="0" w:line="360" w:lineRule="auto"/>
        <w:ind w:firstLine="420"/>
        <w:rPr>
          <w:sz w:val="21"/>
          <w:szCs w:val="21"/>
        </w:rPr>
      </w:pPr>
      <w:r>
        <w:rPr>
          <w:rStyle w:val="11"/>
          <w:rFonts w:hint="eastAsia"/>
          <w:sz w:val="21"/>
          <w:szCs w:val="21"/>
        </w:rPr>
        <w:t>四、基金税收</w:t>
      </w:r>
    </w:p>
    <w:p>
      <w:pPr>
        <w:pStyle w:val="7"/>
        <w:spacing w:before="0" w:beforeAutospacing="0" w:after="0" w:afterAutospacing="0" w:line="360" w:lineRule="auto"/>
        <w:ind w:firstLine="420"/>
        <w:rPr>
          <w:sz w:val="21"/>
          <w:szCs w:val="21"/>
        </w:rPr>
      </w:pPr>
      <w:r>
        <w:rPr>
          <w:rFonts w:hint="eastAsia"/>
          <w:sz w:val="21"/>
          <w:szCs w:val="21"/>
        </w:rPr>
        <w:t xml:space="preserve">本基金运作过程中涉及的各纳税主体，其纳税义务按国家税收法律、法规执行。 </w:t>
      </w:r>
    </w:p>
    <w:p>
      <w:pPr>
        <w:pStyle w:val="7"/>
        <w:spacing w:before="0" w:beforeAutospacing="0" w:after="0" w:afterAutospacing="0" w:line="360" w:lineRule="auto"/>
        <w:ind w:firstLine="420"/>
        <w:rPr>
          <w:sz w:val="21"/>
          <w:szCs w:val="21"/>
        </w:rPr>
      </w:pPr>
      <w:r>
        <w:rPr>
          <w:rFonts w:hint="eastAsia"/>
          <w:sz w:val="21"/>
          <w:szCs w:val="21"/>
        </w:rPr>
        <w:t xml:space="preserve">基金财产投资的相关税收，由基金份额持有人承担，基金管理人或者其他扣缴义务人按照国家有关税收征收的规定代扣代缴。 </w:t>
      </w:r>
    </w:p>
    <w:p>
      <w:pPr>
        <w:pStyle w:val="7"/>
        <w:spacing w:before="0" w:beforeAutospacing="0" w:after="0" w:afterAutospacing="0" w:line="360" w:lineRule="auto"/>
        <w:ind w:firstLine="420"/>
        <w:rPr>
          <w:sz w:val="21"/>
          <w:szCs w:val="21"/>
        </w:rPr>
      </w:pPr>
      <w:r>
        <w:rPr>
          <w:rFonts w:hint="eastAsia"/>
          <w:sz w:val="21"/>
          <w:szCs w:val="21"/>
        </w:rPr>
        <w:t>鉴于基金管理人为本基金的利益投资、运用基金财产过程中，可能因法律法规、税收政策的要求而成为纳税义务人，就归属于基金的投资收益、投资回报和/或本金承担纳税义务。因此，本基金运营过程中由于上述原因发生的税负，仍由本基金财产承担，届时基金管理人与基金托管人可通过本基金财产账户直接缴付，或划付至基金管理人账户并由基金管理人依</w:t>
      </w:r>
      <w:bookmarkStart w:id="169" w:name="chapter_level1_16_65_section_1_end"/>
      <w:bookmarkEnd w:id="169"/>
      <w:r>
        <w:rPr>
          <w:rFonts w:hint="eastAsia"/>
          <w:sz w:val="21"/>
          <w:szCs w:val="21"/>
        </w:rPr>
        <w:t xml:space="preserve">据税务部门要求完成税款申报缴纳。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0" w:name="_Toc113633896"/>
      <w:bookmarkStart w:id="171" w:name="chapter_level1_17_66"/>
      <w:r>
        <w:rPr>
          <w:rFonts w:hint="eastAsia" w:ascii="宋体" w:hAnsi="宋体" w:eastAsia="宋体"/>
          <w:sz w:val="30"/>
        </w:rPr>
        <w:t>第十四部分  基金的会计与审计</w:t>
      </w:r>
      <w:bookmarkEnd w:id="170"/>
      <w:bookmarkEnd w:id="171"/>
    </w:p>
    <w:p>
      <w:pPr>
        <w:pStyle w:val="7"/>
        <w:spacing w:before="0" w:beforeAutospacing="0" w:after="0" w:afterAutospacing="0" w:line="360" w:lineRule="auto"/>
        <w:ind w:firstLine="420"/>
        <w:rPr>
          <w:sz w:val="21"/>
          <w:szCs w:val="21"/>
        </w:rPr>
      </w:pPr>
      <w:bookmarkStart w:id="172" w:name="chapter_level1_17_66_section_1"/>
      <w:bookmarkEnd w:id="172"/>
      <w:r>
        <w:rPr>
          <w:rStyle w:val="11"/>
          <w:rFonts w:hint="eastAsia"/>
          <w:sz w:val="21"/>
          <w:szCs w:val="21"/>
        </w:rPr>
        <w:t>一、基金会计政策</w:t>
      </w:r>
    </w:p>
    <w:p>
      <w:pPr>
        <w:pStyle w:val="7"/>
        <w:spacing w:before="0" w:beforeAutospacing="0" w:after="0" w:afterAutospacing="0" w:line="360" w:lineRule="auto"/>
        <w:ind w:firstLine="420"/>
        <w:rPr>
          <w:sz w:val="21"/>
          <w:szCs w:val="21"/>
        </w:rPr>
      </w:pPr>
      <w:r>
        <w:rPr>
          <w:rFonts w:hint="eastAsia"/>
          <w:sz w:val="21"/>
          <w:szCs w:val="21"/>
        </w:rPr>
        <w:t xml:space="preserve">1、基金管理人为本基金的基金会计责任方； </w:t>
      </w:r>
    </w:p>
    <w:p>
      <w:pPr>
        <w:pStyle w:val="7"/>
        <w:spacing w:before="0" w:beforeAutospacing="0" w:after="0" w:afterAutospacing="0" w:line="360" w:lineRule="auto"/>
        <w:ind w:firstLine="420"/>
        <w:rPr>
          <w:sz w:val="21"/>
          <w:szCs w:val="21"/>
        </w:rPr>
      </w:pPr>
      <w:r>
        <w:rPr>
          <w:rFonts w:hint="eastAsia"/>
          <w:sz w:val="21"/>
          <w:szCs w:val="21"/>
        </w:rPr>
        <w:t xml:space="preserve">2、基金的会计年度为公历年度的1月1日至12月31日；基金首次募集的会计年度按如下原则：如果《基金合同》生效少于2个月，可以并入下一个会计年度披露； </w:t>
      </w:r>
    </w:p>
    <w:p>
      <w:pPr>
        <w:pStyle w:val="7"/>
        <w:spacing w:before="0" w:beforeAutospacing="0" w:after="0" w:afterAutospacing="0" w:line="360" w:lineRule="auto"/>
        <w:ind w:firstLine="420"/>
        <w:rPr>
          <w:sz w:val="21"/>
          <w:szCs w:val="21"/>
        </w:rPr>
      </w:pPr>
      <w:r>
        <w:rPr>
          <w:rFonts w:hint="eastAsia"/>
          <w:sz w:val="21"/>
          <w:szCs w:val="21"/>
        </w:rPr>
        <w:t xml:space="preserve">3、基金核算以人民币为记账本位币，以人民币元为记账单位； </w:t>
      </w:r>
    </w:p>
    <w:p>
      <w:pPr>
        <w:pStyle w:val="7"/>
        <w:spacing w:before="0" w:beforeAutospacing="0" w:after="0" w:afterAutospacing="0" w:line="360" w:lineRule="auto"/>
        <w:ind w:firstLine="420"/>
        <w:rPr>
          <w:sz w:val="21"/>
          <w:szCs w:val="21"/>
        </w:rPr>
      </w:pPr>
      <w:r>
        <w:rPr>
          <w:rFonts w:hint="eastAsia"/>
          <w:sz w:val="21"/>
          <w:szCs w:val="21"/>
        </w:rPr>
        <w:t xml:space="preserve">4、会计制度执行国家有关会计制度； </w:t>
      </w:r>
    </w:p>
    <w:p>
      <w:pPr>
        <w:pStyle w:val="7"/>
        <w:spacing w:before="0" w:beforeAutospacing="0" w:after="0" w:afterAutospacing="0" w:line="360" w:lineRule="auto"/>
        <w:ind w:firstLine="420"/>
        <w:rPr>
          <w:sz w:val="21"/>
          <w:szCs w:val="21"/>
        </w:rPr>
      </w:pPr>
      <w:r>
        <w:rPr>
          <w:rFonts w:hint="eastAsia"/>
          <w:sz w:val="21"/>
          <w:szCs w:val="21"/>
        </w:rPr>
        <w:t xml:space="preserve">5、本基金独立建账、独立核算； </w:t>
      </w:r>
    </w:p>
    <w:p>
      <w:pPr>
        <w:pStyle w:val="7"/>
        <w:spacing w:before="0" w:beforeAutospacing="0" w:after="0" w:afterAutospacing="0" w:line="360" w:lineRule="auto"/>
        <w:ind w:firstLine="420"/>
        <w:rPr>
          <w:sz w:val="21"/>
          <w:szCs w:val="21"/>
        </w:rPr>
      </w:pPr>
      <w:r>
        <w:rPr>
          <w:rFonts w:hint="eastAsia"/>
          <w:sz w:val="21"/>
          <w:szCs w:val="21"/>
        </w:rPr>
        <w:t xml:space="preserve">6、基金管理人及基金托管人各自保留完整的会计账目、凭证并进行日常的会计核算，按照有关规定编制基金会计报表； </w:t>
      </w:r>
    </w:p>
    <w:p>
      <w:pPr>
        <w:pStyle w:val="7"/>
        <w:spacing w:before="0" w:beforeAutospacing="0" w:after="0" w:afterAutospacing="0" w:line="360" w:lineRule="auto"/>
        <w:ind w:firstLine="420"/>
        <w:rPr>
          <w:sz w:val="21"/>
          <w:szCs w:val="21"/>
        </w:rPr>
      </w:pPr>
      <w:r>
        <w:rPr>
          <w:rFonts w:hint="eastAsia"/>
          <w:sz w:val="21"/>
          <w:szCs w:val="21"/>
        </w:rPr>
        <w:t xml:space="preserve">7、基金托管人每月与基金管理人就基金的会计核算、报表编制等进行核对并以书面方式确认。 </w:t>
      </w:r>
    </w:p>
    <w:p>
      <w:pPr>
        <w:pStyle w:val="7"/>
        <w:spacing w:before="0" w:beforeAutospacing="0" w:after="0" w:afterAutospacing="0" w:line="360" w:lineRule="auto"/>
        <w:ind w:firstLine="420"/>
        <w:rPr>
          <w:sz w:val="21"/>
          <w:szCs w:val="21"/>
        </w:rPr>
      </w:pPr>
      <w:r>
        <w:rPr>
          <w:rStyle w:val="11"/>
          <w:rFonts w:hint="eastAsia"/>
          <w:sz w:val="21"/>
          <w:szCs w:val="21"/>
        </w:rPr>
        <w:t>二、基金的年度审计</w:t>
      </w:r>
    </w:p>
    <w:p>
      <w:pPr>
        <w:pStyle w:val="7"/>
        <w:spacing w:before="0" w:beforeAutospacing="0" w:after="0" w:afterAutospacing="0" w:line="360" w:lineRule="auto"/>
        <w:ind w:firstLine="420"/>
        <w:rPr>
          <w:sz w:val="21"/>
          <w:szCs w:val="21"/>
        </w:rPr>
      </w:pPr>
      <w:r>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pPr>
        <w:pStyle w:val="7"/>
        <w:spacing w:before="0" w:beforeAutospacing="0" w:after="0" w:afterAutospacing="0" w:line="360" w:lineRule="auto"/>
        <w:ind w:firstLine="420"/>
        <w:rPr>
          <w:sz w:val="21"/>
          <w:szCs w:val="21"/>
        </w:rPr>
      </w:pPr>
      <w:r>
        <w:rPr>
          <w:rFonts w:hint="eastAsia"/>
          <w:sz w:val="21"/>
          <w:szCs w:val="21"/>
        </w:rPr>
        <w:t xml:space="preserve">2、会计师事务所更换经办注册会计师，应事先征得基金管理人同意。 </w:t>
      </w:r>
    </w:p>
    <w:p>
      <w:pPr>
        <w:pStyle w:val="7"/>
        <w:spacing w:before="0" w:beforeAutospacing="0" w:after="0" w:afterAutospacing="0" w:line="360" w:lineRule="auto"/>
        <w:ind w:firstLine="420"/>
        <w:rPr>
          <w:sz w:val="21"/>
          <w:szCs w:val="21"/>
        </w:rPr>
      </w:pPr>
      <w:r>
        <w:rPr>
          <w:rFonts w:hint="eastAsia"/>
          <w:sz w:val="21"/>
          <w:szCs w:val="21"/>
        </w:rPr>
        <w:t>3、基金管理人认为有充足理由更换会计师事务所，须通报基金托管人。更换会计师事</w:t>
      </w:r>
      <w:bookmarkStart w:id="173" w:name="chapter_level1_17_66_section_1_end"/>
      <w:bookmarkEnd w:id="173"/>
      <w:r>
        <w:rPr>
          <w:rFonts w:hint="eastAsia"/>
          <w:sz w:val="21"/>
          <w:szCs w:val="21"/>
        </w:rPr>
        <w:t xml:space="preserve">务所需按照《信息披露办法》的有关规定在指定媒介公告。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4" w:name="_Toc113633897"/>
      <w:bookmarkStart w:id="175" w:name="chapter_level1_18_67"/>
      <w:r>
        <w:rPr>
          <w:rFonts w:hint="eastAsia" w:ascii="宋体" w:hAnsi="宋体" w:eastAsia="宋体"/>
          <w:sz w:val="30"/>
        </w:rPr>
        <w:t>第十五部分  基金的信息披露</w:t>
      </w:r>
      <w:bookmarkEnd w:id="174"/>
      <w:bookmarkEnd w:id="175"/>
    </w:p>
    <w:p>
      <w:pPr>
        <w:pStyle w:val="7"/>
        <w:spacing w:before="0" w:beforeAutospacing="0" w:after="0" w:afterAutospacing="0" w:line="360" w:lineRule="auto"/>
        <w:ind w:firstLine="420"/>
        <w:rPr>
          <w:sz w:val="21"/>
          <w:szCs w:val="21"/>
        </w:rPr>
      </w:pPr>
      <w:bookmarkStart w:id="176" w:name="chapter_level1_18_67_section_1"/>
      <w:bookmarkEnd w:id="176"/>
      <w:r>
        <w:rPr>
          <w:rStyle w:val="11"/>
          <w:rFonts w:hint="eastAsia"/>
          <w:sz w:val="21"/>
          <w:szCs w:val="21"/>
        </w:rPr>
        <w:t>一、本基金的信息披露应符合《基金法》、《运作办法》、《信息披露办法》、《基金合同》及其他有关规定。</w:t>
      </w:r>
    </w:p>
    <w:p>
      <w:pPr>
        <w:pStyle w:val="7"/>
        <w:spacing w:before="0" w:beforeAutospacing="0" w:after="0" w:afterAutospacing="0" w:line="360" w:lineRule="auto"/>
        <w:ind w:firstLine="420"/>
        <w:rPr>
          <w:sz w:val="21"/>
          <w:szCs w:val="21"/>
        </w:rPr>
      </w:pPr>
      <w:r>
        <w:rPr>
          <w:rStyle w:val="11"/>
          <w:rFonts w:hint="eastAsia"/>
          <w:sz w:val="21"/>
          <w:szCs w:val="21"/>
        </w:rPr>
        <w:t>二、信息披露义务人</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pPr>
        <w:pStyle w:val="7"/>
        <w:spacing w:before="0" w:beforeAutospacing="0" w:after="0" w:afterAutospacing="0" w:line="360" w:lineRule="auto"/>
        <w:ind w:firstLine="420"/>
        <w:rPr>
          <w:sz w:val="21"/>
          <w:szCs w:val="21"/>
        </w:rPr>
      </w:pPr>
      <w:r>
        <w:rPr>
          <w:rFonts w:hint="eastAsia"/>
          <w:sz w:val="21"/>
          <w:szCs w:val="21"/>
        </w:rPr>
        <w:t xml:space="preserve">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 </w:t>
      </w:r>
    </w:p>
    <w:p>
      <w:pPr>
        <w:pStyle w:val="7"/>
        <w:spacing w:before="0" w:beforeAutospacing="0" w:after="0" w:afterAutospacing="0" w:line="360" w:lineRule="auto"/>
        <w:ind w:firstLine="420"/>
        <w:rPr>
          <w:sz w:val="21"/>
          <w:szCs w:val="21"/>
        </w:rPr>
      </w:pPr>
      <w:r>
        <w:rPr>
          <w:rStyle w:val="11"/>
          <w:rFonts w:hint="eastAsia"/>
          <w:sz w:val="21"/>
          <w:szCs w:val="21"/>
        </w:rPr>
        <w:t>三、本基金信息披露义务人承诺公开披露的基金信息，不得有下列行为：</w:t>
      </w:r>
    </w:p>
    <w:p>
      <w:pPr>
        <w:pStyle w:val="7"/>
        <w:spacing w:before="0" w:beforeAutospacing="0" w:after="0" w:afterAutospacing="0" w:line="360" w:lineRule="auto"/>
        <w:ind w:firstLine="420"/>
        <w:rPr>
          <w:sz w:val="21"/>
          <w:szCs w:val="21"/>
        </w:rPr>
      </w:pPr>
      <w:r>
        <w:rPr>
          <w:rFonts w:hint="eastAsia"/>
          <w:sz w:val="21"/>
          <w:szCs w:val="21"/>
        </w:rPr>
        <w:t xml:space="preserve">1、虚假记载、误导性陈述或者重大遗漏； </w:t>
      </w:r>
    </w:p>
    <w:p>
      <w:pPr>
        <w:pStyle w:val="7"/>
        <w:spacing w:before="0" w:beforeAutospacing="0" w:after="0" w:afterAutospacing="0" w:line="360" w:lineRule="auto"/>
        <w:ind w:firstLine="420"/>
        <w:rPr>
          <w:sz w:val="21"/>
          <w:szCs w:val="21"/>
        </w:rPr>
      </w:pPr>
      <w:r>
        <w:rPr>
          <w:rFonts w:hint="eastAsia"/>
          <w:sz w:val="21"/>
          <w:szCs w:val="21"/>
        </w:rPr>
        <w:t xml:space="preserve">2、对证券投资业绩进行预测； </w:t>
      </w:r>
    </w:p>
    <w:p>
      <w:pPr>
        <w:pStyle w:val="7"/>
        <w:spacing w:before="0" w:beforeAutospacing="0" w:after="0" w:afterAutospacing="0" w:line="360" w:lineRule="auto"/>
        <w:ind w:firstLine="420"/>
        <w:rPr>
          <w:sz w:val="21"/>
          <w:szCs w:val="21"/>
        </w:rPr>
      </w:pPr>
      <w:r>
        <w:rPr>
          <w:rFonts w:hint="eastAsia"/>
          <w:sz w:val="21"/>
          <w:szCs w:val="21"/>
        </w:rPr>
        <w:t xml:space="preserve">3、违规承诺收益或者承担损失； </w:t>
      </w:r>
    </w:p>
    <w:p>
      <w:pPr>
        <w:pStyle w:val="7"/>
        <w:spacing w:before="0" w:beforeAutospacing="0" w:after="0" w:afterAutospacing="0" w:line="360" w:lineRule="auto"/>
        <w:ind w:firstLine="420"/>
        <w:rPr>
          <w:sz w:val="21"/>
          <w:szCs w:val="21"/>
        </w:rPr>
      </w:pPr>
      <w:r>
        <w:rPr>
          <w:rFonts w:hint="eastAsia"/>
          <w:sz w:val="21"/>
          <w:szCs w:val="21"/>
        </w:rPr>
        <w:t xml:space="preserve">4、诋毁其他基金管理人、基金托管人或者基金销售机构； </w:t>
      </w:r>
    </w:p>
    <w:p>
      <w:pPr>
        <w:pStyle w:val="7"/>
        <w:spacing w:before="0" w:beforeAutospacing="0" w:after="0" w:afterAutospacing="0" w:line="360" w:lineRule="auto"/>
        <w:ind w:firstLine="420"/>
        <w:rPr>
          <w:sz w:val="21"/>
          <w:szCs w:val="21"/>
        </w:rPr>
      </w:pPr>
      <w:r>
        <w:rPr>
          <w:rFonts w:hint="eastAsia"/>
          <w:sz w:val="21"/>
          <w:szCs w:val="21"/>
        </w:rPr>
        <w:t xml:space="preserve">5、登载任何自然人、法人和非法人组织的祝贺性、恭维性或推荐性的文字； </w:t>
      </w:r>
    </w:p>
    <w:p>
      <w:pPr>
        <w:pStyle w:val="7"/>
        <w:spacing w:before="0" w:beforeAutospacing="0" w:after="0" w:afterAutospacing="0" w:line="360" w:lineRule="auto"/>
        <w:ind w:firstLine="420"/>
        <w:rPr>
          <w:sz w:val="21"/>
          <w:szCs w:val="21"/>
        </w:rPr>
      </w:pPr>
      <w:r>
        <w:rPr>
          <w:rFonts w:hint="eastAsia"/>
          <w:sz w:val="21"/>
          <w:szCs w:val="21"/>
        </w:rPr>
        <w:t xml:space="preserve">6、中国证监会禁止的其他行为。 </w:t>
      </w:r>
    </w:p>
    <w:p>
      <w:pPr>
        <w:pStyle w:val="7"/>
        <w:spacing w:before="0" w:beforeAutospacing="0" w:after="0" w:afterAutospacing="0" w:line="360" w:lineRule="auto"/>
        <w:ind w:firstLine="420"/>
        <w:rPr>
          <w:sz w:val="21"/>
          <w:szCs w:val="21"/>
        </w:rPr>
      </w:pPr>
      <w:r>
        <w:rPr>
          <w:rStyle w:val="11"/>
          <w:rFonts w:hint="eastAsia"/>
          <w:sz w:val="21"/>
          <w:szCs w:val="21"/>
        </w:rPr>
        <w:t>四、本基金公开披露的信息应采用中文文本。同时采用外文文本的，基金信息披露义务人应保证不同文本的内容一致。不同文本之间发生歧义的，以中文文本为准。</w:t>
      </w:r>
    </w:p>
    <w:p>
      <w:pPr>
        <w:pStyle w:val="7"/>
        <w:spacing w:before="0" w:beforeAutospacing="0" w:after="0" w:afterAutospacing="0" w:line="360" w:lineRule="auto"/>
        <w:ind w:firstLine="420"/>
        <w:rPr>
          <w:sz w:val="21"/>
          <w:szCs w:val="21"/>
        </w:rPr>
      </w:pPr>
      <w:bookmarkStart w:id="177" w:name="chapter_level1_18_67_section_1_end"/>
      <w:bookmarkEnd w:id="177"/>
      <w:r>
        <w:rPr>
          <w:rFonts w:hint="eastAsia"/>
          <w:sz w:val="21"/>
          <w:szCs w:val="21"/>
        </w:rPr>
        <w:t xml:space="preserve">本基金公开披露的信息采用阿拉伯数字；除特别说明外，货币单位为人民币元。 </w:t>
      </w:r>
    </w:p>
    <w:p>
      <w:pPr>
        <w:pStyle w:val="7"/>
        <w:spacing w:before="0" w:beforeAutospacing="0" w:after="0" w:afterAutospacing="0" w:line="360" w:lineRule="auto"/>
        <w:ind w:firstLine="420"/>
        <w:rPr>
          <w:sz w:val="21"/>
          <w:szCs w:val="21"/>
        </w:rPr>
      </w:pPr>
      <w:bookmarkStart w:id="178" w:name="chapter_level1_18_67_section_2"/>
      <w:bookmarkEnd w:id="178"/>
      <w:r>
        <w:rPr>
          <w:rStyle w:val="11"/>
          <w:rFonts w:hint="eastAsia"/>
          <w:sz w:val="21"/>
          <w:szCs w:val="21"/>
        </w:rPr>
        <w:t>五、公开披露的基金信息</w:t>
      </w:r>
    </w:p>
    <w:p>
      <w:pPr>
        <w:pStyle w:val="7"/>
        <w:spacing w:before="0" w:beforeAutospacing="0" w:after="0" w:afterAutospacing="0" w:line="360" w:lineRule="auto"/>
        <w:ind w:firstLine="420"/>
        <w:rPr>
          <w:sz w:val="21"/>
          <w:szCs w:val="21"/>
        </w:rPr>
      </w:pPr>
      <w:r>
        <w:rPr>
          <w:rFonts w:hint="eastAsia"/>
          <w:sz w:val="21"/>
          <w:szCs w:val="21"/>
        </w:rPr>
        <w:t xml:space="preserve">公开披露的基金信息包括： </w:t>
      </w:r>
    </w:p>
    <w:p>
      <w:pPr>
        <w:pStyle w:val="7"/>
        <w:spacing w:before="0" w:beforeAutospacing="0" w:after="0" w:afterAutospacing="0" w:line="360" w:lineRule="auto"/>
        <w:ind w:firstLine="420"/>
        <w:rPr>
          <w:sz w:val="21"/>
          <w:szCs w:val="21"/>
        </w:rPr>
      </w:pPr>
      <w:r>
        <w:rPr>
          <w:rFonts w:hint="eastAsia"/>
          <w:sz w:val="21"/>
          <w:szCs w:val="21"/>
        </w:rPr>
        <w:t xml:space="preserve">（一）基金招募说明书、《基金合同》、基金托管协议、基金产品资料概要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pPr>
        <w:pStyle w:val="7"/>
        <w:spacing w:before="0" w:beforeAutospacing="0" w:after="0" w:afterAutospacing="0" w:line="360" w:lineRule="auto"/>
        <w:ind w:firstLine="420"/>
        <w:rPr>
          <w:sz w:val="21"/>
          <w:szCs w:val="21"/>
        </w:rPr>
      </w:pPr>
      <w:r>
        <w:rPr>
          <w:rFonts w:hint="eastAsia"/>
          <w:sz w:val="21"/>
          <w:szCs w:val="21"/>
        </w:rPr>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pPr>
        <w:pStyle w:val="7"/>
        <w:spacing w:before="0" w:beforeAutospacing="0" w:after="0" w:afterAutospacing="0" w:line="360" w:lineRule="auto"/>
        <w:ind w:firstLine="420"/>
        <w:rPr>
          <w:sz w:val="21"/>
          <w:szCs w:val="21"/>
        </w:rPr>
      </w:pPr>
      <w:r>
        <w:rPr>
          <w:rFonts w:hint="eastAsia"/>
          <w:sz w:val="21"/>
          <w:szCs w:val="21"/>
        </w:rPr>
        <w:t xml:space="preserve">3、基金托管协议是界定基金托管人和基金管理人在基金财产保管及基金运作监督等活动中的权利、义务关系的法律文件。 </w:t>
      </w:r>
    </w:p>
    <w:p>
      <w:pPr>
        <w:pStyle w:val="7"/>
        <w:spacing w:before="0" w:beforeAutospacing="0" w:after="0" w:afterAutospacing="0" w:line="360" w:lineRule="auto"/>
        <w:ind w:firstLine="420"/>
        <w:rPr>
          <w:sz w:val="21"/>
          <w:szCs w:val="21"/>
        </w:rPr>
      </w:pPr>
      <w:r>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pPr>
        <w:pStyle w:val="7"/>
        <w:spacing w:before="0" w:beforeAutospacing="0" w:after="0" w:afterAutospacing="0" w:line="360" w:lineRule="auto"/>
        <w:ind w:firstLine="420"/>
        <w:rPr>
          <w:sz w:val="21"/>
          <w:szCs w:val="21"/>
        </w:rPr>
      </w:pPr>
      <w:r>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网站上。 </w:t>
      </w:r>
    </w:p>
    <w:p>
      <w:pPr>
        <w:pStyle w:val="7"/>
        <w:spacing w:before="0" w:beforeAutospacing="0" w:after="0" w:afterAutospacing="0" w:line="360" w:lineRule="auto"/>
        <w:ind w:firstLine="420"/>
        <w:rPr>
          <w:sz w:val="21"/>
          <w:szCs w:val="21"/>
        </w:rPr>
      </w:pPr>
      <w:r>
        <w:rPr>
          <w:rFonts w:hint="eastAsia"/>
          <w:sz w:val="21"/>
          <w:szCs w:val="21"/>
        </w:rPr>
        <w:t xml:space="preserve">（二）基金份额发售公告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基金管理人应当就基金份额发售的具体事宜编制基金份额发售公告，并在披露招募说明书的当日登载于指定媒介上。 </w:t>
      </w:r>
    </w:p>
    <w:p>
      <w:pPr>
        <w:pStyle w:val="7"/>
        <w:spacing w:before="0" w:beforeAutospacing="0" w:after="0" w:afterAutospacing="0" w:line="360" w:lineRule="auto"/>
        <w:ind w:firstLine="420"/>
        <w:rPr>
          <w:sz w:val="21"/>
          <w:szCs w:val="21"/>
        </w:rPr>
      </w:pPr>
      <w:r>
        <w:rPr>
          <w:rFonts w:hint="eastAsia"/>
          <w:sz w:val="21"/>
          <w:szCs w:val="21"/>
        </w:rPr>
        <w:t xml:space="preserve">（三）《基金合同》生效公告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基金管理人应当在收到中国证监会确认文件的次日在指定媒介上登载《基金合同》生效公告。 </w:t>
      </w:r>
    </w:p>
    <w:p>
      <w:pPr>
        <w:pStyle w:val="7"/>
        <w:spacing w:before="0" w:beforeAutospacing="0" w:after="0" w:afterAutospacing="0" w:line="360" w:lineRule="auto"/>
        <w:ind w:firstLine="420"/>
        <w:rPr>
          <w:sz w:val="21"/>
          <w:szCs w:val="21"/>
        </w:rPr>
      </w:pPr>
      <w:r>
        <w:rPr>
          <w:rFonts w:hint="eastAsia"/>
          <w:sz w:val="21"/>
          <w:szCs w:val="21"/>
        </w:rPr>
        <w:t xml:space="preserve">（四）基金净值信息 </w:t>
      </w:r>
    </w:p>
    <w:p>
      <w:pPr>
        <w:pStyle w:val="7"/>
        <w:spacing w:before="0" w:beforeAutospacing="0" w:after="0" w:afterAutospacing="0" w:line="360" w:lineRule="auto"/>
        <w:ind w:firstLine="420"/>
        <w:rPr>
          <w:sz w:val="21"/>
          <w:szCs w:val="21"/>
        </w:rPr>
      </w:pPr>
      <w:r>
        <w:rPr>
          <w:rFonts w:hint="eastAsia"/>
          <w:sz w:val="21"/>
          <w:szCs w:val="21"/>
        </w:rPr>
        <w:t xml:space="preserve">基金合同生效后，在开始办理基金份额申购或者赎回前，基金管理人应当至少每周在指定网站披露一次基金份额净值和基金份额累计净值。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在开始办理基金份额申购或者赎回后，基金管理人应当在不晚于每个开放日的次日，通过指定网站、基金销售机构网站或营业网点披露开放日的基金份额净值和基金份额累计净值。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基金管理人应当在不晚于半年度和年度最后一日的次日，在指定网站披露半年度和年度最后一日的基金份额净值和基金份额累计净值。 </w:t>
      </w:r>
    </w:p>
    <w:p>
      <w:pPr>
        <w:pStyle w:val="7"/>
        <w:spacing w:before="0" w:beforeAutospacing="0" w:after="0" w:afterAutospacing="0" w:line="360" w:lineRule="auto"/>
        <w:ind w:firstLine="420"/>
        <w:rPr>
          <w:sz w:val="21"/>
          <w:szCs w:val="21"/>
        </w:rPr>
      </w:pPr>
      <w:r>
        <w:rPr>
          <w:rFonts w:hint="eastAsia"/>
          <w:sz w:val="21"/>
          <w:szCs w:val="21"/>
        </w:rPr>
        <w:t xml:space="preserve">（五）基金份额申购、赎回价格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基金管理人应当在《基金合同》、招募说明书等信息披露文件上载明基金份额申购、赎回价格的计算方式及有关申购、赎回费率，并保证投资者能够在基金销售机构网站或营业网点查阅或者复制前述信息资料。 </w:t>
      </w:r>
    </w:p>
    <w:p>
      <w:pPr>
        <w:pStyle w:val="7"/>
        <w:spacing w:before="0" w:beforeAutospacing="0" w:after="0" w:afterAutospacing="0" w:line="360" w:lineRule="auto"/>
        <w:ind w:firstLine="420"/>
        <w:rPr>
          <w:sz w:val="21"/>
          <w:szCs w:val="21"/>
        </w:rPr>
      </w:pPr>
      <w:r>
        <w:rPr>
          <w:rFonts w:hint="eastAsia"/>
          <w:sz w:val="21"/>
          <w:szCs w:val="21"/>
        </w:rPr>
        <w:t xml:space="preserve">（六）基金定期报告，包括基金年度报告、基金中期报告和基金季度报告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基金管理人应当在上半年结束之日起两个月内，编制完成基金中期报告，将中期报告登载在指定网站上，并将中期报告提示性公告登载在指定报刊上。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基金管理人应当在季度结束之日起15个工作日内，编制完成基金季度报告，将季度报告登载在指定网站上，并将季度报告提示性公告登载在指定报刊上。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《基金合同》生效不足2个月的，基金管理人可以不编制当期季度报告、中期报告或者年度报告。 </w:t>
      </w:r>
    </w:p>
    <w:p>
      <w:pPr>
        <w:pStyle w:val="7"/>
        <w:spacing w:before="0" w:beforeAutospacing="0" w:after="0" w:afterAutospacing="0" w:line="360" w:lineRule="auto"/>
        <w:ind w:firstLine="420"/>
        <w:rPr>
          <w:sz w:val="21"/>
          <w:szCs w:val="21"/>
        </w:rPr>
      </w:pPr>
      <w:r>
        <w:rPr>
          <w:rFonts w:hint="eastAsia"/>
          <w:sz w:val="21"/>
          <w:szCs w:val="21"/>
        </w:rPr>
        <w:t xml:space="preserve">本基金持续运作过程中，应当在基金年度报告和中期报告中披露基金组合资产情况及其流动性风险分析等。 </w:t>
      </w:r>
    </w:p>
    <w:p>
      <w:pPr>
        <w:pStyle w:val="7"/>
        <w:spacing w:before="0" w:beforeAutospacing="0" w:after="0" w:afterAutospacing="0" w:line="360" w:lineRule="auto"/>
        <w:ind w:firstLine="420"/>
        <w:rPr>
          <w:sz w:val="21"/>
          <w:szCs w:val="21"/>
        </w:rPr>
      </w:pPr>
      <w:r>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pPr>
        <w:pStyle w:val="7"/>
        <w:spacing w:before="0" w:beforeAutospacing="0" w:after="0" w:afterAutospacing="0" w:line="360" w:lineRule="auto"/>
        <w:ind w:firstLine="420"/>
        <w:rPr>
          <w:sz w:val="21"/>
          <w:szCs w:val="21"/>
        </w:rPr>
      </w:pPr>
      <w:r>
        <w:rPr>
          <w:rFonts w:hint="eastAsia"/>
          <w:sz w:val="21"/>
          <w:szCs w:val="21"/>
        </w:rPr>
        <w:t xml:space="preserve">（七）临时报告 </w:t>
      </w:r>
    </w:p>
    <w:p>
      <w:pPr>
        <w:pStyle w:val="7"/>
        <w:spacing w:before="0" w:beforeAutospacing="0" w:after="0" w:afterAutospacing="0" w:line="360" w:lineRule="auto"/>
        <w:ind w:firstLine="420"/>
        <w:rPr>
          <w:sz w:val="21"/>
          <w:szCs w:val="21"/>
        </w:rPr>
      </w:pPr>
      <w:r>
        <w:rPr>
          <w:rFonts w:hint="eastAsia"/>
          <w:sz w:val="21"/>
          <w:szCs w:val="21"/>
        </w:rPr>
        <w:t xml:space="preserve">本基金发生重大事件，有关信息披露义务人应当在2日内编制临时报告书，并登载在指定报刊和指定网站上。 </w:t>
      </w:r>
    </w:p>
    <w:p>
      <w:pPr>
        <w:pStyle w:val="7"/>
        <w:spacing w:before="0" w:beforeAutospacing="0" w:after="0" w:afterAutospacing="0" w:line="360" w:lineRule="auto"/>
        <w:ind w:firstLine="420"/>
        <w:rPr>
          <w:sz w:val="21"/>
          <w:szCs w:val="21"/>
        </w:rPr>
      </w:pPr>
      <w:r>
        <w:rPr>
          <w:rFonts w:hint="eastAsia"/>
          <w:sz w:val="21"/>
          <w:szCs w:val="21"/>
        </w:rPr>
        <w:t xml:space="preserve">前款所称重大事件，是指可能对基金份额持有人权益或者基金份额的价格产生重大影响的下列事件：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1、基金份额持有人大会的召开及决定的事项； </w:t>
      </w:r>
    </w:p>
    <w:p>
      <w:pPr>
        <w:pStyle w:val="7"/>
        <w:spacing w:before="0" w:beforeAutospacing="0" w:after="0" w:afterAutospacing="0" w:line="360" w:lineRule="auto"/>
        <w:ind w:firstLine="420"/>
        <w:rPr>
          <w:sz w:val="21"/>
          <w:szCs w:val="21"/>
        </w:rPr>
      </w:pPr>
      <w:r>
        <w:rPr>
          <w:rFonts w:hint="eastAsia"/>
          <w:sz w:val="21"/>
          <w:szCs w:val="21"/>
        </w:rPr>
        <w:t xml:space="preserve">2、《基金合同》终止、基金清算； </w:t>
      </w:r>
    </w:p>
    <w:p>
      <w:pPr>
        <w:pStyle w:val="7"/>
        <w:spacing w:before="0" w:beforeAutospacing="0" w:after="0" w:afterAutospacing="0" w:line="360" w:lineRule="auto"/>
        <w:ind w:firstLine="420"/>
        <w:rPr>
          <w:sz w:val="21"/>
          <w:szCs w:val="21"/>
        </w:rPr>
      </w:pPr>
      <w:r>
        <w:rPr>
          <w:rFonts w:hint="eastAsia"/>
          <w:sz w:val="21"/>
          <w:szCs w:val="21"/>
        </w:rPr>
        <w:t xml:space="preserve">3、转换基金运作方式、基金合并； </w:t>
      </w:r>
    </w:p>
    <w:p>
      <w:pPr>
        <w:pStyle w:val="7"/>
        <w:spacing w:before="0" w:beforeAutospacing="0" w:after="0" w:afterAutospacing="0" w:line="360" w:lineRule="auto"/>
        <w:ind w:firstLine="420"/>
        <w:rPr>
          <w:sz w:val="21"/>
          <w:szCs w:val="21"/>
        </w:rPr>
      </w:pPr>
      <w:r>
        <w:rPr>
          <w:rFonts w:hint="eastAsia"/>
          <w:sz w:val="21"/>
          <w:szCs w:val="21"/>
        </w:rPr>
        <w:t xml:space="preserve">4、更换基金管理人、基金托管人、基金份额登记机构，基金改聘会计师事务所； </w:t>
      </w:r>
    </w:p>
    <w:p>
      <w:pPr>
        <w:pStyle w:val="7"/>
        <w:spacing w:before="0" w:beforeAutospacing="0" w:after="0" w:afterAutospacing="0" w:line="360" w:lineRule="auto"/>
        <w:ind w:firstLine="420"/>
        <w:rPr>
          <w:sz w:val="21"/>
          <w:szCs w:val="21"/>
        </w:rPr>
      </w:pPr>
      <w:r>
        <w:rPr>
          <w:rFonts w:hint="eastAsia"/>
          <w:sz w:val="21"/>
          <w:szCs w:val="21"/>
        </w:rPr>
        <w:t xml:space="preserve">5、基金管理人委托基金服务机构代为办理基金的份额登记、核算、估值等事项，基金托管人委托基金服务机构代为办理基金的核算、估值、复核等事项；； </w:t>
      </w:r>
    </w:p>
    <w:p>
      <w:pPr>
        <w:pStyle w:val="7"/>
        <w:spacing w:before="0" w:beforeAutospacing="0" w:after="0" w:afterAutospacing="0" w:line="360" w:lineRule="auto"/>
        <w:ind w:firstLine="420"/>
        <w:rPr>
          <w:sz w:val="21"/>
          <w:szCs w:val="21"/>
        </w:rPr>
      </w:pPr>
      <w:r>
        <w:rPr>
          <w:rFonts w:hint="eastAsia"/>
          <w:sz w:val="21"/>
          <w:szCs w:val="21"/>
        </w:rPr>
        <w:t xml:space="preserve">6、基金管理人、基金托管人的法定名称、住所发生变更； </w:t>
      </w:r>
    </w:p>
    <w:p>
      <w:pPr>
        <w:pStyle w:val="7"/>
        <w:spacing w:before="0" w:beforeAutospacing="0" w:after="0" w:afterAutospacing="0" w:line="360" w:lineRule="auto"/>
        <w:ind w:firstLine="420"/>
        <w:rPr>
          <w:sz w:val="21"/>
          <w:szCs w:val="21"/>
        </w:rPr>
      </w:pPr>
      <w:r>
        <w:rPr>
          <w:rFonts w:hint="eastAsia"/>
          <w:sz w:val="21"/>
          <w:szCs w:val="21"/>
        </w:rPr>
        <w:t xml:space="preserve">7、基金管理人变更持有百分之五以上股权的股东、基金管理人的实际控制人变更； </w:t>
      </w:r>
    </w:p>
    <w:p>
      <w:pPr>
        <w:pStyle w:val="7"/>
        <w:spacing w:before="0" w:beforeAutospacing="0" w:after="0" w:afterAutospacing="0" w:line="360" w:lineRule="auto"/>
        <w:ind w:firstLine="420"/>
        <w:rPr>
          <w:sz w:val="21"/>
          <w:szCs w:val="21"/>
        </w:rPr>
      </w:pPr>
      <w:r>
        <w:rPr>
          <w:rFonts w:hint="eastAsia"/>
          <w:sz w:val="21"/>
          <w:szCs w:val="21"/>
        </w:rPr>
        <w:t xml:space="preserve">8、基金募集期延长或提前结束募集； </w:t>
      </w:r>
    </w:p>
    <w:p>
      <w:pPr>
        <w:pStyle w:val="7"/>
        <w:spacing w:before="0" w:beforeAutospacing="0" w:after="0" w:afterAutospacing="0" w:line="360" w:lineRule="auto"/>
        <w:ind w:firstLine="420"/>
        <w:rPr>
          <w:sz w:val="21"/>
          <w:szCs w:val="21"/>
        </w:rPr>
      </w:pPr>
      <w:r>
        <w:rPr>
          <w:rFonts w:hint="eastAsia"/>
          <w:sz w:val="21"/>
          <w:szCs w:val="21"/>
        </w:rPr>
        <w:t xml:space="preserve">9、基金管理人的高级管理人员、基金经理和基金托管人专门基金托管部门负责人发生变动； </w:t>
      </w:r>
    </w:p>
    <w:p>
      <w:pPr>
        <w:pStyle w:val="7"/>
        <w:spacing w:before="0" w:beforeAutospacing="0" w:after="0" w:afterAutospacing="0" w:line="360" w:lineRule="auto"/>
        <w:ind w:firstLine="420"/>
        <w:rPr>
          <w:sz w:val="21"/>
          <w:szCs w:val="21"/>
        </w:rPr>
      </w:pPr>
      <w:r>
        <w:rPr>
          <w:rFonts w:hint="eastAsia"/>
          <w:sz w:val="21"/>
          <w:szCs w:val="21"/>
        </w:rPr>
        <w:t xml:space="preserve">10、基金管理人的董事在最近12个月内变更超过百分之五十； </w:t>
      </w:r>
    </w:p>
    <w:p>
      <w:pPr>
        <w:pStyle w:val="7"/>
        <w:spacing w:before="0" w:beforeAutospacing="0" w:after="0" w:afterAutospacing="0" w:line="360" w:lineRule="auto"/>
        <w:ind w:firstLine="420"/>
        <w:rPr>
          <w:sz w:val="21"/>
          <w:szCs w:val="21"/>
        </w:rPr>
      </w:pPr>
      <w:r>
        <w:rPr>
          <w:rFonts w:hint="eastAsia"/>
          <w:sz w:val="21"/>
          <w:szCs w:val="21"/>
        </w:rPr>
        <w:t xml:space="preserve">11、基金管理人、基金托管人专门基金托管部门的主要业务人员在最近12个月内变动超过百分之三十； </w:t>
      </w:r>
    </w:p>
    <w:p>
      <w:pPr>
        <w:pStyle w:val="7"/>
        <w:spacing w:before="0" w:beforeAutospacing="0" w:after="0" w:afterAutospacing="0" w:line="360" w:lineRule="auto"/>
        <w:ind w:firstLine="420"/>
        <w:rPr>
          <w:sz w:val="21"/>
          <w:szCs w:val="21"/>
        </w:rPr>
      </w:pPr>
      <w:r>
        <w:rPr>
          <w:rFonts w:hint="eastAsia"/>
          <w:sz w:val="21"/>
          <w:szCs w:val="21"/>
        </w:rPr>
        <w:t xml:space="preserve">12、涉及基金管理人、基金财产、基金托管业务的诉讼或仲裁； </w:t>
      </w:r>
    </w:p>
    <w:p>
      <w:pPr>
        <w:pStyle w:val="7"/>
        <w:spacing w:before="0" w:beforeAutospacing="0" w:after="0" w:afterAutospacing="0" w:line="360" w:lineRule="auto"/>
        <w:ind w:firstLine="420"/>
        <w:rPr>
          <w:sz w:val="21"/>
          <w:szCs w:val="21"/>
        </w:rPr>
      </w:pPr>
      <w:r>
        <w:rPr>
          <w:rFonts w:hint="eastAsia"/>
          <w:sz w:val="21"/>
          <w:szCs w:val="21"/>
        </w:rPr>
        <w:t xml:space="preserve">13、基金管理人或其高级管理人员、基金经理因基金管理业务相关行为受到重大行政处罚、刑事处罚，基金托管人或其专门基金托管部门负责人因基金托管业务相关行为受到重大行政处罚、刑事处罚； </w:t>
      </w:r>
    </w:p>
    <w:p>
      <w:pPr>
        <w:pStyle w:val="7"/>
        <w:spacing w:before="0" w:beforeAutospacing="0" w:after="0" w:afterAutospacing="0" w:line="360" w:lineRule="auto"/>
        <w:ind w:firstLine="420"/>
        <w:rPr>
          <w:sz w:val="21"/>
          <w:szCs w:val="21"/>
        </w:rPr>
      </w:pPr>
      <w:r>
        <w:rPr>
          <w:rFonts w:hint="eastAsia"/>
          <w:sz w:val="21"/>
          <w:szCs w:val="21"/>
        </w:rPr>
        <w:t xml:space="preserve">14、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pPr>
        <w:pStyle w:val="7"/>
        <w:spacing w:before="0" w:beforeAutospacing="0" w:after="0" w:afterAutospacing="0" w:line="360" w:lineRule="auto"/>
        <w:ind w:firstLine="420"/>
        <w:rPr>
          <w:sz w:val="21"/>
          <w:szCs w:val="21"/>
        </w:rPr>
      </w:pPr>
      <w:r>
        <w:rPr>
          <w:rFonts w:hint="eastAsia"/>
          <w:sz w:val="21"/>
          <w:szCs w:val="21"/>
        </w:rPr>
        <w:t xml:space="preserve">15、基金收益分配事项； </w:t>
      </w:r>
    </w:p>
    <w:p>
      <w:pPr>
        <w:pStyle w:val="7"/>
        <w:spacing w:before="0" w:beforeAutospacing="0" w:after="0" w:afterAutospacing="0" w:line="360" w:lineRule="auto"/>
        <w:ind w:firstLine="420"/>
        <w:rPr>
          <w:sz w:val="21"/>
          <w:szCs w:val="21"/>
        </w:rPr>
      </w:pPr>
      <w:r>
        <w:rPr>
          <w:rFonts w:hint="eastAsia"/>
          <w:sz w:val="21"/>
          <w:szCs w:val="21"/>
        </w:rPr>
        <w:t xml:space="preserve">16、管理费、托管费、申购费、赎回费等费用计提标准、计提方式和费率发生变更； </w:t>
      </w:r>
    </w:p>
    <w:p>
      <w:pPr>
        <w:pStyle w:val="7"/>
        <w:spacing w:before="0" w:beforeAutospacing="0" w:after="0" w:afterAutospacing="0" w:line="360" w:lineRule="auto"/>
        <w:ind w:firstLine="420"/>
        <w:rPr>
          <w:sz w:val="21"/>
          <w:szCs w:val="21"/>
        </w:rPr>
      </w:pPr>
      <w:r>
        <w:rPr>
          <w:rFonts w:hint="eastAsia"/>
          <w:sz w:val="21"/>
          <w:szCs w:val="21"/>
        </w:rPr>
        <w:t xml:space="preserve">17、基金份额净值计价错误达基金份额净值百分之零点五； </w:t>
      </w:r>
    </w:p>
    <w:p>
      <w:pPr>
        <w:pStyle w:val="7"/>
        <w:spacing w:before="0" w:beforeAutospacing="0" w:after="0" w:afterAutospacing="0" w:line="360" w:lineRule="auto"/>
        <w:ind w:firstLine="420"/>
        <w:rPr>
          <w:sz w:val="21"/>
          <w:szCs w:val="21"/>
        </w:rPr>
      </w:pPr>
      <w:r>
        <w:rPr>
          <w:rFonts w:hint="eastAsia"/>
          <w:sz w:val="21"/>
          <w:szCs w:val="21"/>
        </w:rPr>
        <w:t xml:space="preserve">18、本基金开始办理申购、赎回； </w:t>
      </w:r>
    </w:p>
    <w:p>
      <w:pPr>
        <w:pStyle w:val="7"/>
        <w:spacing w:before="0" w:beforeAutospacing="0" w:after="0" w:afterAutospacing="0" w:line="360" w:lineRule="auto"/>
        <w:ind w:firstLine="420"/>
        <w:rPr>
          <w:sz w:val="21"/>
          <w:szCs w:val="21"/>
        </w:rPr>
      </w:pPr>
      <w:r>
        <w:rPr>
          <w:rFonts w:hint="eastAsia"/>
          <w:sz w:val="21"/>
          <w:szCs w:val="21"/>
        </w:rPr>
        <w:t xml:space="preserve">19、本基金发生巨额赎回并延期办理； </w:t>
      </w:r>
    </w:p>
    <w:p>
      <w:pPr>
        <w:pStyle w:val="7"/>
        <w:spacing w:before="0" w:beforeAutospacing="0" w:after="0" w:afterAutospacing="0" w:line="360" w:lineRule="auto"/>
        <w:ind w:firstLine="420"/>
        <w:rPr>
          <w:sz w:val="21"/>
          <w:szCs w:val="21"/>
        </w:rPr>
      </w:pPr>
      <w:r>
        <w:rPr>
          <w:rFonts w:hint="eastAsia"/>
          <w:sz w:val="21"/>
          <w:szCs w:val="21"/>
        </w:rPr>
        <w:t xml:space="preserve">20、本基金连续发生巨额赎回并暂停接受赎回申请或延缓支付赎回款项； </w:t>
      </w:r>
    </w:p>
    <w:p>
      <w:pPr>
        <w:pStyle w:val="7"/>
        <w:spacing w:before="0" w:beforeAutospacing="0" w:after="0" w:afterAutospacing="0" w:line="360" w:lineRule="auto"/>
        <w:ind w:firstLine="420"/>
        <w:rPr>
          <w:sz w:val="21"/>
          <w:szCs w:val="21"/>
        </w:rPr>
      </w:pPr>
      <w:r>
        <w:rPr>
          <w:rFonts w:hint="eastAsia"/>
          <w:sz w:val="21"/>
          <w:szCs w:val="21"/>
        </w:rPr>
        <w:t xml:space="preserve">21、本基金暂停接受申购、赎回申请或重新接受申购、赎回申请； </w:t>
      </w:r>
    </w:p>
    <w:p>
      <w:pPr>
        <w:pStyle w:val="7"/>
        <w:spacing w:before="0" w:beforeAutospacing="0" w:after="0" w:afterAutospacing="0" w:line="360" w:lineRule="auto"/>
        <w:ind w:firstLine="420"/>
        <w:rPr>
          <w:sz w:val="21"/>
          <w:szCs w:val="21"/>
        </w:rPr>
      </w:pPr>
      <w:r>
        <w:rPr>
          <w:rFonts w:hint="eastAsia"/>
          <w:sz w:val="21"/>
          <w:szCs w:val="21"/>
        </w:rPr>
        <w:t xml:space="preserve">22、发生涉及基金申购、赎回事项调整或潜在影响投资者赎回等重大事项时； </w:t>
      </w:r>
    </w:p>
    <w:p>
      <w:pPr>
        <w:pStyle w:val="7"/>
        <w:spacing w:before="0" w:beforeAutospacing="0" w:after="0" w:afterAutospacing="0" w:line="360" w:lineRule="auto"/>
        <w:ind w:firstLine="420"/>
        <w:rPr>
          <w:sz w:val="21"/>
          <w:szCs w:val="21"/>
        </w:rPr>
      </w:pPr>
      <w:r>
        <w:rPr>
          <w:rFonts w:hint="eastAsia"/>
          <w:sz w:val="21"/>
          <w:szCs w:val="21"/>
        </w:rPr>
        <w:t xml:space="preserve">23、基金管理人采用摆动定价机制进行估值时； </w:t>
      </w:r>
    </w:p>
    <w:p>
      <w:pPr>
        <w:pStyle w:val="7"/>
        <w:spacing w:before="0" w:beforeAutospacing="0" w:after="0" w:afterAutospacing="0" w:line="360" w:lineRule="auto"/>
        <w:ind w:firstLine="420"/>
        <w:rPr>
          <w:sz w:val="21"/>
          <w:szCs w:val="21"/>
        </w:rPr>
      </w:pPr>
      <w:r>
        <w:rPr>
          <w:rFonts w:hint="eastAsia"/>
          <w:sz w:val="21"/>
          <w:szCs w:val="21"/>
        </w:rPr>
        <w:t xml:space="preserve">24、调整基金份额类别的设置； </w:t>
      </w:r>
    </w:p>
    <w:p>
      <w:pPr>
        <w:pStyle w:val="7"/>
        <w:spacing w:before="0" w:beforeAutospacing="0" w:after="0" w:afterAutospacing="0" w:line="360" w:lineRule="auto"/>
        <w:ind w:firstLine="420"/>
        <w:rPr>
          <w:sz w:val="21"/>
          <w:szCs w:val="21"/>
        </w:rPr>
      </w:pPr>
      <w:r>
        <w:rPr>
          <w:rFonts w:hint="eastAsia"/>
          <w:sz w:val="21"/>
          <w:szCs w:val="21"/>
        </w:rPr>
        <w:t xml:space="preserve">25、基金推出新业务或服务； </w:t>
      </w:r>
    </w:p>
    <w:p>
      <w:pPr>
        <w:pStyle w:val="7"/>
        <w:spacing w:before="0" w:beforeAutospacing="0" w:after="0" w:afterAutospacing="0" w:line="360" w:lineRule="auto"/>
        <w:ind w:firstLine="420"/>
        <w:rPr>
          <w:sz w:val="21"/>
          <w:szCs w:val="21"/>
        </w:rPr>
      </w:pPr>
      <w:r>
        <w:rPr>
          <w:rFonts w:hint="eastAsia"/>
          <w:sz w:val="21"/>
          <w:szCs w:val="21"/>
        </w:rPr>
        <w:t xml:space="preserve">26、基金信息披露义务人认为可能对基金份额持有人权益或者基金份额的价格产生重大影响的其他事项或中国证监会规定的和基金合同约定的其他事项。 </w:t>
      </w:r>
    </w:p>
    <w:p>
      <w:pPr>
        <w:pStyle w:val="7"/>
        <w:spacing w:before="0" w:beforeAutospacing="0" w:after="0" w:afterAutospacing="0" w:line="360" w:lineRule="auto"/>
        <w:ind w:firstLine="420"/>
        <w:rPr>
          <w:sz w:val="21"/>
          <w:szCs w:val="21"/>
        </w:rPr>
      </w:pPr>
      <w:r>
        <w:rPr>
          <w:rFonts w:hint="eastAsia"/>
          <w:sz w:val="21"/>
          <w:szCs w:val="21"/>
        </w:rPr>
        <w:t xml:space="preserve">（八）澄清公告 </w:t>
      </w:r>
    </w:p>
    <w:p>
      <w:pPr>
        <w:pStyle w:val="7"/>
        <w:spacing w:before="0" w:beforeAutospacing="0" w:after="0" w:afterAutospacing="0" w:line="360" w:lineRule="auto"/>
        <w:ind w:firstLine="420"/>
        <w:rPr>
          <w:sz w:val="21"/>
          <w:szCs w:val="21"/>
        </w:rPr>
      </w:pPr>
      <w:r>
        <w:rPr>
          <w:rFonts w:hint="eastAsia"/>
          <w:sz w:val="21"/>
          <w:szCs w:val="21"/>
        </w:rPr>
        <w:t xml:space="preserve">在《基金合同》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pPr>
        <w:pStyle w:val="7"/>
        <w:spacing w:before="0" w:beforeAutospacing="0" w:after="0" w:afterAutospacing="0" w:line="360" w:lineRule="auto"/>
        <w:ind w:firstLine="420"/>
        <w:rPr>
          <w:sz w:val="21"/>
          <w:szCs w:val="21"/>
        </w:rPr>
      </w:pPr>
      <w:r>
        <w:rPr>
          <w:rFonts w:hint="eastAsia"/>
          <w:sz w:val="21"/>
          <w:szCs w:val="21"/>
        </w:rPr>
        <w:t xml:space="preserve">（九）基金份额持有人大会决议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基金份额持有人大会决定的事项，应当依法报中国证监会备案，并予以公告。 </w:t>
      </w:r>
    </w:p>
    <w:p>
      <w:pPr>
        <w:pStyle w:val="7"/>
        <w:spacing w:before="0" w:beforeAutospacing="0" w:after="0" w:afterAutospacing="0" w:line="360" w:lineRule="auto"/>
        <w:ind w:firstLine="420"/>
        <w:rPr>
          <w:sz w:val="21"/>
          <w:szCs w:val="21"/>
        </w:rPr>
      </w:pPr>
      <w:r>
        <w:rPr>
          <w:rFonts w:hint="eastAsia"/>
          <w:sz w:val="21"/>
          <w:szCs w:val="21"/>
        </w:rPr>
        <w:t xml:space="preserve">（十）清算报告 </w:t>
      </w:r>
    </w:p>
    <w:p>
      <w:pPr>
        <w:pStyle w:val="7"/>
        <w:spacing w:before="0" w:beforeAutospacing="0" w:after="0" w:afterAutospacing="0" w:line="360" w:lineRule="auto"/>
        <w:ind w:firstLine="420"/>
        <w:rPr>
          <w:sz w:val="21"/>
          <w:szCs w:val="21"/>
        </w:rPr>
      </w:pPr>
      <w:r>
        <w:rPr>
          <w:rFonts w:hint="eastAsia"/>
          <w:sz w:val="21"/>
          <w:szCs w:val="21"/>
        </w:rPr>
        <w:t xml:space="preserve">基金终止运作的，基金管理人应当依法组织基金财产清算小组对基金财产进行清算并作出清算报告。基金财产清算小组应当将清算报告登载在指定网站上，并将清算报告提示性公告登载在指定报刊上。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（十一）投资股指期货、国债期货的信息披露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季度报告、基金中期报告、基金年度报告等定期报告和招募说明书（更新）等文件中披露股指期货、国债期货交易情况，包括投资政策、持仓情况、损益情况、风险指标等，并充分揭示股指期货、国债期货交易对基金总体风险的影响以及是否符合既定的投资政策和投资目标等。 </w:t>
      </w:r>
    </w:p>
    <w:p>
      <w:pPr>
        <w:pStyle w:val="7"/>
        <w:spacing w:before="0" w:beforeAutospacing="0" w:after="0" w:afterAutospacing="0" w:line="360" w:lineRule="auto"/>
        <w:ind w:firstLine="420"/>
        <w:rPr>
          <w:sz w:val="21"/>
          <w:szCs w:val="21"/>
        </w:rPr>
      </w:pPr>
      <w:r>
        <w:rPr>
          <w:rFonts w:hint="eastAsia"/>
          <w:sz w:val="21"/>
          <w:szCs w:val="21"/>
        </w:rPr>
        <w:t xml:space="preserve">（十二）投资资产支持证券的信息披露 </w:t>
      </w:r>
    </w:p>
    <w:p>
      <w:pPr>
        <w:pStyle w:val="7"/>
        <w:spacing w:before="0" w:beforeAutospacing="0" w:after="0" w:afterAutospacing="0" w:line="360" w:lineRule="auto"/>
        <w:ind w:firstLine="420"/>
        <w:rPr>
          <w:sz w:val="21"/>
          <w:szCs w:val="21"/>
        </w:rPr>
      </w:pPr>
      <w:r>
        <w:rPr>
          <w:rFonts w:hint="eastAsia"/>
          <w:sz w:val="21"/>
          <w:szCs w:val="21"/>
        </w:rPr>
        <w:t xml:space="preserve">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pPr>
        <w:pStyle w:val="7"/>
        <w:spacing w:before="0" w:beforeAutospacing="0" w:after="0" w:afterAutospacing="0" w:line="360" w:lineRule="auto"/>
        <w:ind w:firstLine="420"/>
        <w:rPr>
          <w:sz w:val="21"/>
          <w:szCs w:val="21"/>
        </w:rPr>
      </w:pPr>
      <w:r>
        <w:rPr>
          <w:rFonts w:hint="eastAsia"/>
          <w:sz w:val="21"/>
          <w:szCs w:val="21"/>
        </w:rPr>
        <w:t xml:space="preserve">（十三）投资中小企业私募债券的信息披露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基金投资中小企业私募债券后2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 </w:t>
      </w:r>
    </w:p>
    <w:p>
      <w:pPr>
        <w:pStyle w:val="7"/>
        <w:spacing w:before="0" w:beforeAutospacing="0" w:after="0" w:afterAutospacing="0" w:line="360" w:lineRule="auto"/>
        <w:ind w:firstLine="420"/>
        <w:rPr>
          <w:sz w:val="21"/>
          <w:szCs w:val="21"/>
        </w:rPr>
      </w:pPr>
      <w:r>
        <w:rPr>
          <w:rFonts w:hint="eastAsia"/>
          <w:sz w:val="21"/>
          <w:szCs w:val="21"/>
        </w:rPr>
        <w:t xml:space="preserve">（十四）投资港股通标的股票的信息披露 </w:t>
      </w:r>
    </w:p>
    <w:p>
      <w:pPr>
        <w:pStyle w:val="7"/>
        <w:spacing w:before="0" w:beforeAutospacing="0" w:after="0" w:afterAutospacing="0" w:line="360" w:lineRule="auto"/>
        <w:ind w:firstLine="420"/>
        <w:rPr>
          <w:sz w:val="21"/>
          <w:szCs w:val="21"/>
        </w:rPr>
      </w:pPr>
      <w:r>
        <w:rPr>
          <w:rFonts w:hint="eastAsia"/>
          <w:sz w:val="21"/>
          <w:szCs w:val="21"/>
        </w:rPr>
        <w:t xml:space="preserve">基金管理人应当在季度报告、中期报告、年度报告等定期报告和招募说明书（更新）等文件中按届时有效的法律法规或监管机构的要求披露本基金参与港股通标的股票交易的相关情况。若中国证监会对公开募集证券投资基金投资港股通标的股票的信息披露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（十五）流通受限证券的信息披露 </w:t>
      </w:r>
    </w:p>
    <w:p>
      <w:pPr>
        <w:pStyle w:val="7"/>
        <w:spacing w:before="0" w:beforeAutospacing="0" w:after="0" w:afterAutospacing="0" w:line="360" w:lineRule="auto"/>
        <w:ind w:firstLine="420"/>
        <w:rPr>
          <w:sz w:val="21"/>
          <w:szCs w:val="21"/>
        </w:rPr>
      </w:pPr>
      <w:r>
        <w:rPr>
          <w:rFonts w:hint="eastAsia"/>
          <w:sz w:val="21"/>
          <w:szCs w:val="21"/>
        </w:rPr>
        <w:t xml:space="preserve">基金管理人应在基金年报及中期报告中披露其持有的流通受限证券总额、流通受限证券市值占基金净资产的比例和报告期内所有的资产支持证券明细。基金管理人应在基金季度报告中披露其持有的流通受限证券总额、流通受限证券市值占基金净资产的比例和报告期末按市值占基金净资产比例大小排序的前10名流通受限证券明细。 </w:t>
      </w:r>
    </w:p>
    <w:p>
      <w:pPr>
        <w:pStyle w:val="7"/>
        <w:spacing w:before="0" w:beforeAutospacing="0" w:after="0" w:afterAutospacing="0" w:line="360" w:lineRule="auto"/>
        <w:ind w:firstLine="420"/>
        <w:rPr>
          <w:sz w:val="21"/>
          <w:szCs w:val="21"/>
        </w:rPr>
      </w:pPr>
      <w:bookmarkStart w:id="179" w:name="chapter_level1_18_67_section_2_end"/>
      <w:bookmarkEnd w:id="179"/>
      <w:r>
        <w:rPr>
          <w:rFonts w:hint="eastAsia"/>
          <w:sz w:val="21"/>
          <w:szCs w:val="21"/>
        </w:rPr>
        <w:t xml:space="preserve">（十六）中国证监会规定的其他信息。 </w:t>
      </w:r>
    </w:p>
    <w:p>
      <w:pPr>
        <w:pStyle w:val="7"/>
        <w:spacing w:before="0" w:beforeAutospacing="0" w:after="0" w:afterAutospacing="0" w:line="360" w:lineRule="auto"/>
        <w:ind w:firstLine="420"/>
        <w:rPr>
          <w:sz w:val="21"/>
          <w:szCs w:val="21"/>
        </w:rPr>
      </w:pPr>
      <w:bookmarkStart w:id="180" w:name="chapter_level1_18_67_section_3"/>
      <w:bookmarkEnd w:id="180"/>
      <w:r>
        <w:rPr>
          <w:rStyle w:val="11"/>
          <w:rFonts w:hint="eastAsia"/>
          <w:sz w:val="21"/>
          <w:szCs w:val="21"/>
        </w:rPr>
        <w:t>六、信息披露事务管理</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基金管理人、基金托管人应当建立健全信息披露管理制度，指定专门部门及高级管理人员负责管理信息披露事务。 </w:t>
      </w:r>
    </w:p>
    <w:p>
      <w:pPr>
        <w:pStyle w:val="7"/>
        <w:spacing w:before="0" w:beforeAutospacing="0" w:after="0" w:afterAutospacing="0" w:line="360" w:lineRule="auto"/>
        <w:ind w:firstLine="420"/>
        <w:rPr>
          <w:sz w:val="21"/>
          <w:szCs w:val="21"/>
        </w:rPr>
      </w:pPr>
      <w:r>
        <w:rPr>
          <w:rFonts w:hint="eastAsia"/>
          <w:sz w:val="21"/>
          <w:szCs w:val="21"/>
        </w:rPr>
        <w:t xml:space="preserve">基金信息披露义务人公开披露基金信息，应当符合中国证监会相关基金信息披露内容与格式准则等法律法规规定。 </w:t>
      </w:r>
    </w:p>
    <w:p>
      <w:pPr>
        <w:pStyle w:val="7"/>
        <w:spacing w:before="0" w:beforeAutospacing="0" w:after="0" w:afterAutospacing="0" w:line="360" w:lineRule="auto"/>
        <w:ind w:firstLine="420"/>
        <w:rPr>
          <w:sz w:val="21"/>
          <w:szCs w:val="21"/>
        </w:rPr>
      </w:pPr>
      <w:r>
        <w:rPr>
          <w:rFonts w:hint="eastAsia"/>
          <w:sz w:val="21"/>
          <w:szCs w:val="21"/>
        </w:rPr>
        <w:t xml:space="preserve">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pPr>
        <w:pStyle w:val="7"/>
        <w:spacing w:before="0" w:beforeAutospacing="0" w:after="0" w:afterAutospacing="0" w:line="360" w:lineRule="auto"/>
        <w:ind w:firstLine="420"/>
        <w:rPr>
          <w:sz w:val="21"/>
          <w:szCs w:val="21"/>
        </w:rPr>
      </w:pPr>
      <w:r>
        <w:rPr>
          <w:rFonts w:hint="eastAsia"/>
          <w:sz w:val="21"/>
          <w:szCs w:val="21"/>
        </w:rPr>
        <w:t xml:space="preserve">为基金信息披露义务人公开披露的基金信息出具审计报告、法律意见书的专业机构，应当制作工作底稿，并将相关档案至少保存到《基金合同》终止后10年。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 </w:t>
      </w:r>
    </w:p>
    <w:p>
      <w:pPr>
        <w:pStyle w:val="7"/>
        <w:spacing w:before="0" w:beforeAutospacing="0" w:after="0" w:afterAutospacing="0" w:line="360" w:lineRule="auto"/>
        <w:ind w:firstLine="420"/>
        <w:rPr>
          <w:sz w:val="21"/>
          <w:szCs w:val="21"/>
        </w:rPr>
      </w:pPr>
      <w:r>
        <w:rPr>
          <w:rStyle w:val="11"/>
          <w:rFonts w:hint="eastAsia"/>
          <w:sz w:val="21"/>
          <w:szCs w:val="21"/>
        </w:rPr>
        <w:t>七、信息披露文件的存放与查阅</w:t>
      </w:r>
    </w:p>
    <w:p>
      <w:pPr>
        <w:pStyle w:val="7"/>
        <w:spacing w:before="0" w:beforeAutospacing="0" w:after="0" w:afterAutospacing="0" w:line="360" w:lineRule="auto"/>
        <w:ind w:firstLine="420"/>
        <w:rPr>
          <w:sz w:val="21"/>
          <w:szCs w:val="21"/>
        </w:rPr>
      </w:pPr>
      <w:r>
        <w:rPr>
          <w:rFonts w:hint="eastAsia"/>
          <w:sz w:val="21"/>
          <w:szCs w:val="21"/>
        </w:rPr>
        <w:t xml:space="preserve">依法必须披露的信息发布后，基金管理人、基金托管人应当按照相关法律法规规定将信息置备于各自住所，供社会公众查阅、复制。 </w:t>
      </w:r>
    </w:p>
    <w:p>
      <w:pPr>
        <w:pStyle w:val="7"/>
        <w:spacing w:before="0" w:beforeAutospacing="0" w:after="0" w:afterAutospacing="0" w:line="360" w:lineRule="auto"/>
        <w:ind w:firstLine="420"/>
        <w:rPr>
          <w:sz w:val="21"/>
          <w:szCs w:val="21"/>
        </w:rPr>
      </w:pPr>
      <w:r>
        <w:rPr>
          <w:rStyle w:val="11"/>
          <w:rFonts w:hint="eastAsia"/>
          <w:sz w:val="21"/>
          <w:szCs w:val="21"/>
        </w:rPr>
        <w:t>八、暂停或延迟信息披露的情形</w:t>
      </w:r>
    </w:p>
    <w:p>
      <w:pPr>
        <w:pStyle w:val="7"/>
        <w:spacing w:before="0" w:beforeAutospacing="0" w:after="0" w:afterAutospacing="0" w:line="360" w:lineRule="auto"/>
        <w:ind w:firstLine="420"/>
        <w:rPr>
          <w:sz w:val="21"/>
          <w:szCs w:val="21"/>
        </w:rPr>
      </w:pPr>
      <w:r>
        <w:rPr>
          <w:rFonts w:hint="eastAsia"/>
          <w:sz w:val="21"/>
          <w:szCs w:val="21"/>
        </w:rPr>
        <w:t xml:space="preserve">（1）因不可抗力或其他情形致使基金管理人、基金托管人无法准确评估基金资产价值时； </w:t>
      </w:r>
    </w:p>
    <w:p>
      <w:pPr>
        <w:pStyle w:val="7"/>
        <w:spacing w:before="0" w:beforeAutospacing="0" w:after="0" w:afterAutospacing="0" w:line="360" w:lineRule="auto"/>
        <w:ind w:firstLine="420"/>
        <w:rPr>
          <w:sz w:val="21"/>
          <w:szCs w:val="21"/>
        </w:rPr>
      </w:pPr>
      <w:r>
        <w:rPr>
          <w:rFonts w:hint="eastAsia"/>
          <w:sz w:val="21"/>
          <w:szCs w:val="21"/>
        </w:rPr>
        <w:t xml:space="preserve">（2）基金投资所涉及的证券、期货交易所遇法定节假日或因其他原因暂停营业时； </w:t>
      </w:r>
    </w:p>
    <w:p>
      <w:pPr>
        <w:pStyle w:val="7"/>
        <w:spacing w:before="0" w:beforeAutospacing="0" w:after="0" w:afterAutospacing="0" w:line="360" w:lineRule="auto"/>
        <w:ind w:firstLine="420"/>
        <w:rPr>
          <w:sz w:val="21"/>
          <w:szCs w:val="21"/>
        </w:rPr>
      </w:pPr>
      <w:r>
        <w:rPr>
          <w:rFonts w:hint="eastAsia"/>
          <w:sz w:val="21"/>
          <w:szCs w:val="21"/>
        </w:rPr>
        <w:t xml:space="preserve">（3）当前一估值日基金资产净值50%以上的资产出现无可参考的活跃市场价格且采用估值技术仍导致公允价值存在重大不确定性时，经与基金托管人协商一致确认后，发生暂停估值的情形； </w:t>
      </w:r>
    </w:p>
    <w:p>
      <w:pPr>
        <w:pStyle w:val="7"/>
        <w:spacing w:before="0" w:beforeAutospacing="0" w:after="0" w:afterAutospacing="0" w:line="360" w:lineRule="auto"/>
        <w:ind w:firstLine="420"/>
        <w:rPr>
          <w:sz w:val="21"/>
          <w:szCs w:val="21"/>
        </w:rPr>
      </w:pPr>
      <w:bookmarkStart w:id="181" w:name="chapter_level1_18_67_section_3_end"/>
      <w:bookmarkEnd w:id="181"/>
      <w:r>
        <w:rPr>
          <w:rFonts w:hint="eastAsia"/>
          <w:sz w:val="21"/>
          <w:szCs w:val="21"/>
        </w:rPr>
        <w:t xml:space="preserve">（4）法律法规规定、中国证监会或基金合同认定的其他情形。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2" w:name="_Toc113633898"/>
      <w:bookmarkStart w:id="183" w:name="chapter_level1_19_68"/>
      <w:r>
        <w:rPr>
          <w:rFonts w:hint="eastAsia" w:ascii="宋体" w:hAnsi="宋体" w:eastAsia="宋体"/>
          <w:sz w:val="30"/>
        </w:rPr>
        <w:t>第十六部分  风险揭示</w:t>
      </w:r>
      <w:bookmarkEnd w:id="182"/>
      <w:bookmarkEnd w:id="183"/>
    </w:p>
    <w:p>
      <w:pPr>
        <w:pStyle w:val="7"/>
        <w:spacing w:before="0" w:beforeAutospacing="0" w:after="0" w:afterAutospacing="0" w:line="360" w:lineRule="auto"/>
        <w:ind w:firstLine="420"/>
        <w:rPr>
          <w:sz w:val="21"/>
          <w:szCs w:val="21"/>
        </w:rPr>
      </w:pPr>
      <w:bookmarkStart w:id="184" w:name="chapter_level1_19_68_section_1"/>
      <w:bookmarkEnd w:id="184"/>
      <w:r>
        <w:rPr>
          <w:rStyle w:val="11"/>
          <w:rFonts w:hint="eastAsia"/>
          <w:sz w:val="21"/>
          <w:szCs w:val="21"/>
        </w:rPr>
        <w:t>一、投资于本基金的主要风险</w:t>
      </w:r>
    </w:p>
    <w:p>
      <w:pPr>
        <w:pStyle w:val="7"/>
        <w:spacing w:before="0" w:beforeAutospacing="0" w:after="0" w:afterAutospacing="0" w:line="360" w:lineRule="auto"/>
        <w:ind w:firstLine="420"/>
        <w:rPr>
          <w:sz w:val="21"/>
          <w:szCs w:val="21"/>
        </w:rPr>
      </w:pPr>
      <w:r>
        <w:rPr>
          <w:rFonts w:hint="eastAsia"/>
          <w:sz w:val="21"/>
          <w:szCs w:val="21"/>
        </w:rPr>
        <w:t xml:space="preserve">投资于本基金的主要风险有： </w:t>
      </w:r>
    </w:p>
    <w:p>
      <w:pPr>
        <w:pStyle w:val="7"/>
        <w:spacing w:before="0" w:beforeAutospacing="0" w:after="0" w:afterAutospacing="0" w:line="360" w:lineRule="auto"/>
        <w:ind w:firstLine="420"/>
        <w:rPr>
          <w:sz w:val="21"/>
          <w:szCs w:val="21"/>
        </w:rPr>
      </w:pPr>
      <w:r>
        <w:rPr>
          <w:rFonts w:hint="eastAsia"/>
          <w:sz w:val="21"/>
          <w:szCs w:val="21"/>
        </w:rPr>
        <w:t xml:space="preserve">1、市场风险 </w:t>
      </w:r>
    </w:p>
    <w:p>
      <w:pPr>
        <w:pStyle w:val="7"/>
        <w:spacing w:before="0" w:beforeAutospacing="0" w:after="0" w:afterAutospacing="0" w:line="360" w:lineRule="auto"/>
        <w:ind w:firstLine="420"/>
        <w:rPr>
          <w:sz w:val="21"/>
          <w:szCs w:val="21"/>
        </w:rPr>
      </w:pPr>
      <w:r>
        <w:rPr>
          <w:rFonts w:hint="eastAsia"/>
          <w:sz w:val="21"/>
          <w:szCs w:val="21"/>
        </w:rPr>
        <w:t xml:space="preserve">证券市场价格受到各种因素的影响，导致基金收益水平变化而产生风险，主要包括： </w:t>
      </w:r>
    </w:p>
    <w:p>
      <w:pPr>
        <w:pStyle w:val="7"/>
        <w:spacing w:before="0" w:beforeAutospacing="0" w:after="0" w:afterAutospacing="0" w:line="360" w:lineRule="auto"/>
        <w:ind w:firstLine="420"/>
        <w:rPr>
          <w:sz w:val="21"/>
          <w:szCs w:val="21"/>
        </w:rPr>
      </w:pPr>
      <w:r>
        <w:rPr>
          <w:rFonts w:hint="eastAsia"/>
          <w:sz w:val="21"/>
          <w:szCs w:val="21"/>
        </w:rPr>
        <w:t xml:space="preserve">（1）政策风险。因国家宏观政策（如货币政策、财政政策、行业政策、地区发展政策等）发生变化，导致市场价格波动而产生风险。 </w:t>
      </w:r>
    </w:p>
    <w:p>
      <w:pPr>
        <w:pStyle w:val="7"/>
        <w:spacing w:before="0" w:beforeAutospacing="0" w:after="0" w:afterAutospacing="0" w:line="360" w:lineRule="auto"/>
        <w:ind w:firstLine="420"/>
        <w:rPr>
          <w:sz w:val="21"/>
          <w:szCs w:val="21"/>
        </w:rPr>
      </w:pPr>
      <w:r>
        <w:rPr>
          <w:rFonts w:hint="eastAsia"/>
          <w:sz w:val="21"/>
          <w:szCs w:val="21"/>
        </w:rPr>
        <w:t xml:space="preserve">（2）经济周期风险。随着经济运行的周期性变化，证券市场的收益水平也呈周期性变化。本基金主要投资于债券，收益水平也会随之变化，从而产生风险。 </w:t>
      </w:r>
    </w:p>
    <w:p>
      <w:pPr>
        <w:pStyle w:val="7"/>
        <w:spacing w:before="0" w:beforeAutospacing="0" w:after="0" w:afterAutospacing="0" w:line="360" w:lineRule="auto"/>
        <w:ind w:firstLine="420"/>
        <w:rPr>
          <w:sz w:val="21"/>
          <w:szCs w:val="21"/>
        </w:rPr>
      </w:pPr>
      <w:r>
        <w:rPr>
          <w:rFonts w:hint="eastAsia"/>
          <w:sz w:val="21"/>
          <w:szCs w:val="21"/>
        </w:rPr>
        <w:t xml:space="preserve">（3）利率风险。金融市场利率的波动会导致证券市场价格和收益率的变动。 </w:t>
      </w:r>
    </w:p>
    <w:p>
      <w:pPr>
        <w:pStyle w:val="7"/>
        <w:spacing w:before="0" w:beforeAutospacing="0" w:after="0" w:afterAutospacing="0" w:line="360" w:lineRule="auto"/>
        <w:ind w:firstLine="420"/>
        <w:rPr>
          <w:sz w:val="21"/>
          <w:szCs w:val="21"/>
        </w:rPr>
      </w:pPr>
      <w:r>
        <w:rPr>
          <w:rFonts w:hint="eastAsia"/>
          <w:sz w:val="21"/>
          <w:szCs w:val="21"/>
        </w:rPr>
        <w:t xml:space="preserve">（4）通货膨胀风险。如果发生通货膨胀，基金投资于证券所获得的收益可能会被通货膨胀抵消，从而影响基金资产的保值增值。 </w:t>
      </w:r>
    </w:p>
    <w:p>
      <w:pPr>
        <w:pStyle w:val="7"/>
        <w:spacing w:before="0" w:beforeAutospacing="0" w:after="0" w:afterAutospacing="0" w:line="360" w:lineRule="auto"/>
        <w:ind w:firstLine="420"/>
        <w:rPr>
          <w:sz w:val="21"/>
          <w:szCs w:val="21"/>
        </w:rPr>
      </w:pPr>
      <w:r>
        <w:rPr>
          <w:rFonts w:hint="eastAsia"/>
          <w:sz w:val="21"/>
          <w:szCs w:val="21"/>
        </w:rPr>
        <w:t xml:space="preserve">（5）再投资风险。再投资风险反映了利率下降对固定收益证券利息收入再投资收益的影响，这与利率上升所带来的价格风险（即利率风险）互为消长。 </w:t>
      </w:r>
    </w:p>
    <w:p>
      <w:pPr>
        <w:pStyle w:val="7"/>
        <w:spacing w:before="0" w:beforeAutospacing="0" w:after="0" w:afterAutospacing="0" w:line="360" w:lineRule="auto"/>
        <w:ind w:firstLine="420"/>
        <w:rPr>
          <w:sz w:val="21"/>
          <w:szCs w:val="21"/>
        </w:rPr>
      </w:pPr>
      <w:r>
        <w:rPr>
          <w:rFonts w:hint="eastAsia"/>
          <w:sz w:val="21"/>
          <w:szCs w:val="21"/>
        </w:rPr>
        <w:t xml:space="preserve">（6）杠杆风险 </w:t>
      </w:r>
    </w:p>
    <w:p>
      <w:pPr>
        <w:pStyle w:val="7"/>
        <w:spacing w:before="0" w:beforeAutospacing="0" w:after="0" w:afterAutospacing="0" w:line="360" w:lineRule="auto"/>
        <w:ind w:firstLine="420"/>
        <w:rPr>
          <w:sz w:val="21"/>
          <w:szCs w:val="21"/>
        </w:rPr>
      </w:pPr>
      <w:r>
        <w:rPr>
          <w:rFonts w:hint="eastAsia"/>
          <w:sz w:val="21"/>
          <w:szCs w:val="21"/>
        </w:rPr>
        <w:t xml:space="preserve">本资产管理计划可以通过债券回购放大杠杆，进行杠杆操作将会放大组合收益波动，对组合业绩稳定性有较大影响，同时杠杆成本波动也会影响组合收益率水平，在市场下行或杠杆成本异常上升时，有可能导致资产管理计划财产收益的超预期下降风险。 </w:t>
      </w:r>
    </w:p>
    <w:p>
      <w:pPr>
        <w:pStyle w:val="7"/>
        <w:spacing w:before="0" w:beforeAutospacing="0" w:after="0" w:afterAutospacing="0" w:line="360" w:lineRule="auto"/>
        <w:ind w:firstLine="420"/>
        <w:rPr>
          <w:sz w:val="21"/>
          <w:szCs w:val="21"/>
        </w:rPr>
      </w:pPr>
      <w:r>
        <w:rPr>
          <w:rFonts w:hint="eastAsia"/>
          <w:sz w:val="21"/>
          <w:szCs w:val="21"/>
        </w:rPr>
        <w:t xml:space="preserve">（7）波动性风险 </w:t>
      </w:r>
    </w:p>
    <w:p>
      <w:pPr>
        <w:pStyle w:val="7"/>
        <w:spacing w:before="0" w:beforeAutospacing="0" w:after="0" w:afterAutospacing="0" w:line="360" w:lineRule="auto"/>
        <w:ind w:firstLine="420"/>
        <w:rPr>
          <w:sz w:val="21"/>
          <w:szCs w:val="21"/>
        </w:rPr>
      </w:pPr>
      <w:r>
        <w:rPr>
          <w:rFonts w:hint="eastAsia"/>
          <w:sz w:val="21"/>
          <w:szCs w:val="21"/>
        </w:rPr>
        <w:t xml:space="preserve">波动性风险主要存在于可转债的投资中，具体表现为可转债的价格受到其相对应股票价格波动的影响，同时可转债还有信用风险与转股风险。转股风险指相对应股票价格跌破转股价，不能获得转股收益，从而无法弥补当初付出的转股期权价值。 </w:t>
      </w:r>
    </w:p>
    <w:p>
      <w:pPr>
        <w:pStyle w:val="7"/>
        <w:spacing w:before="0" w:beforeAutospacing="0" w:after="0" w:afterAutospacing="0" w:line="360" w:lineRule="auto"/>
        <w:ind w:firstLine="420"/>
        <w:rPr>
          <w:sz w:val="21"/>
          <w:szCs w:val="21"/>
        </w:rPr>
      </w:pPr>
      <w:r>
        <w:rPr>
          <w:rFonts w:hint="eastAsia"/>
          <w:sz w:val="21"/>
          <w:szCs w:val="21"/>
        </w:rPr>
        <w:t xml:space="preserve">2、信用风险 </w:t>
      </w:r>
    </w:p>
    <w:p>
      <w:pPr>
        <w:pStyle w:val="7"/>
        <w:spacing w:before="0" w:beforeAutospacing="0" w:after="0" w:afterAutospacing="0" w:line="360" w:lineRule="auto"/>
        <w:ind w:firstLine="420"/>
        <w:rPr>
          <w:sz w:val="21"/>
          <w:szCs w:val="21"/>
        </w:rPr>
      </w:pPr>
      <w:r>
        <w:rPr>
          <w:rFonts w:hint="eastAsia"/>
          <w:sz w:val="21"/>
          <w:szCs w:val="21"/>
        </w:rPr>
        <w:t xml:space="preserve">信用风险主要指债券、资产支持证券等信用证券发行主体信用状况恶化，导致信用评级下降甚至到期不能履行合约进行兑付的风险，另外，信用风险也包括证券交易对手因违约而产生的证券交割风险。 </w:t>
      </w:r>
    </w:p>
    <w:p>
      <w:pPr>
        <w:pStyle w:val="7"/>
        <w:spacing w:before="0" w:beforeAutospacing="0" w:after="0" w:afterAutospacing="0" w:line="360" w:lineRule="auto"/>
        <w:ind w:firstLine="420"/>
        <w:rPr>
          <w:sz w:val="21"/>
          <w:szCs w:val="21"/>
        </w:rPr>
      </w:pPr>
      <w:r>
        <w:rPr>
          <w:rFonts w:hint="eastAsia"/>
          <w:sz w:val="21"/>
          <w:szCs w:val="21"/>
        </w:rPr>
        <w:t xml:space="preserve">3、流动性风险 </w:t>
      </w:r>
    </w:p>
    <w:p>
      <w:pPr>
        <w:pStyle w:val="7"/>
        <w:spacing w:before="0" w:beforeAutospacing="0" w:after="0" w:afterAutospacing="0" w:line="360" w:lineRule="auto"/>
        <w:ind w:firstLine="420"/>
        <w:rPr>
          <w:sz w:val="21"/>
          <w:szCs w:val="21"/>
        </w:rPr>
      </w:pPr>
      <w:r>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pPr>
        <w:pStyle w:val="7"/>
        <w:spacing w:before="0" w:beforeAutospacing="0" w:after="0" w:afterAutospacing="0" w:line="360" w:lineRule="auto"/>
        <w:ind w:firstLine="420"/>
        <w:rPr>
          <w:sz w:val="21"/>
          <w:szCs w:val="21"/>
        </w:rPr>
      </w:pPr>
      <w:r>
        <w:rPr>
          <w:rFonts w:hint="eastAsia"/>
          <w:sz w:val="21"/>
          <w:szCs w:val="21"/>
        </w:rPr>
        <w:t xml:space="preserve">（1）基金申购、赎回安排 </w:t>
      </w:r>
    </w:p>
    <w:p>
      <w:pPr>
        <w:pStyle w:val="7"/>
        <w:spacing w:before="0" w:beforeAutospacing="0" w:after="0" w:afterAutospacing="0" w:line="360" w:lineRule="auto"/>
        <w:ind w:firstLine="420"/>
        <w:rPr>
          <w:sz w:val="21"/>
          <w:szCs w:val="21"/>
        </w:rPr>
      </w:pPr>
      <w:r>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pPr>
        <w:pStyle w:val="7"/>
        <w:spacing w:before="0" w:beforeAutospacing="0" w:after="0" w:afterAutospacing="0" w:line="360" w:lineRule="auto"/>
        <w:ind w:firstLine="420"/>
        <w:rPr>
          <w:sz w:val="21"/>
          <w:szCs w:val="21"/>
        </w:rPr>
      </w:pPr>
      <w:r>
        <w:rPr>
          <w:rFonts w:hint="eastAsia"/>
          <w:sz w:val="21"/>
          <w:szCs w:val="21"/>
        </w:rPr>
        <w:t xml:space="preserve">（2）拟投资市场、行业及资产的流动性风险评估 </w:t>
      </w:r>
    </w:p>
    <w:p>
      <w:pPr>
        <w:pStyle w:val="7"/>
        <w:spacing w:before="0" w:beforeAutospacing="0" w:after="0" w:afterAutospacing="0" w:line="360" w:lineRule="auto"/>
        <w:ind w:firstLine="420"/>
        <w:rPr>
          <w:sz w:val="21"/>
          <w:szCs w:val="21"/>
        </w:rPr>
      </w:pPr>
      <w:r>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pPr>
        <w:pStyle w:val="7"/>
        <w:spacing w:before="0" w:beforeAutospacing="0" w:after="0" w:afterAutospacing="0" w:line="360" w:lineRule="auto"/>
        <w:ind w:firstLine="420"/>
        <w:rPr>
          <w:sz w:val="21"/>
          <w:szCs w:val="21"/>
        </w:rPr>
      </w:pPr>
      <w:r>
        <w:rPr>
          <w:rFonts w:hint="eastAsia"/>
          <w:sz w:val="21"/>
          <w:szCs w:val="21"/>
        </w:rPr>
        <w:t xml:space="preserve">（3）巨额赎回情形下的流动性风险管理措施 </w:t>
      </w:r>
    </w:p>
    <w:p>
      <w:pPr>
        <w:pStyle w:val="7"/>
        <w:spacing w:before="0" w:beforeAutospacing="0" w:after="0" w:afterAutospacing="0" w:line="360" w:lineRule="auto"/>
        <w:ind w:firstLine="420"/>
        <w:rPr>
          <w:sz w:val="21"/>
          <w:szCs w:val="21"/>
        </w:rPr>
      </w:pPr>
      <w:r>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pPr>
        <w:pStyle w:val="7"/>
        <w:spacing w:before="0" w:beforeAutospacing="0" w:after="0" w:afterAutospacing="0" w:line="360" w:lineRule="auto"/>
        <w:ind w:firstLine="420"/>
        <w:rPr>
          <w:sz w:val="21"/>
          <w:szCs w:val="21"/>
        </w:rPr>
      </w:pPr>
      <w:r>
        <w:rPr>
          <w:rFonts w:hint="eastAsia"/>
          <w:sz w:val="21"/>
          <w:szCs w:val="21"/>
        </w:rPr>
        <w:t xml:space="preserve">（4）实施备用的流动性风险管理工具的情形、程序及对投资者的潜在影响 </w:t>
      </w:r>
    </w:p>
    <w:p>
      <w:pPr>
        <w:pStyle w:val="7"/>
        <w:spacing w:before="0" w:beforeAutospacing="0" w:after="0" w:afterAutospacing="0" w:line="360" w:lineRule="auto"/>
        <w:ind w:firstLine="420"/>
        <w:rPr>
          <w:sz w:val="21"/>
          <w:szCs w:val="21"/>
        </w:rPr>
      </w:pPr>
      <w:r>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pPr>
        <w:pStyle w:val="7"/>
        <w:spacing w:before="0" w:beforeAutospacing="0" w:after="0" w:afterAutospacing="0" w:line="360" w:lineRule="auto"/>
        <w:ind w:firstLine="420"/>
        <w:rPr>
          <w:sz w:val="21"/>
          <w:szCs w:val="21"/>
        </w:rPr>
      </w:pPr>
      <w:r>
        <w:rPr>
          <w:rFonts w:hint="eastAsia"/>
          <w:sz w:val="21"/>
          <w:szCs w:val="21"/>
        </w:rPr>
        <w:t xml:space="preserve">4、操作风险 </w:t>
      </w:r>
    </w:p>
    <w:p>
      <w:pPr>
        <w:pStyle w:val="7"/>
        <w:spacing w:before="0" w:beforeAutospacing="0" w:after="0" w:afterAutospacing="0" w:line="360" w:lineRule="auto"/>
        <w:ind w:firstLine="420"/>
        <w:rPr>
          <w:sz w:val="21"/>
          <w:szCs w:val="21"/>
        </w:rPr>
      </w:pPr>
      <w:r>
        <w:rPr>
          <w:rFonts w:hint="eastAsia"/>
          <w:sz w:val="21"/>
          <w:szCs w:val="21"/>
        </w:rPr>
        <w:t xml:space="preserve">操作风险是指基金运作过程中，因内部控制存在缺陷或者人为因素造成操作失误或违反操作规程等引致的风险，例如，越权违规交易、会计部门欺诈、交易错误、IT系统故障等风险。 </w:t>
      </w:r>
    </w:p>
    <w:p>
      <w:pPr>
        <w:pStyle w:val="7"/>
        <w:spacing w:before="0" w:beforeAutospacing="0" w:after="0" w:afterAutospacing="0" w:line="360" w:lineRule="auto"/>
        <w:ind w:firstLine="420"/>
        <w:rPr>
          <w:sz w:val="21"/>
          <w:szCs w:val="21"/>
        </w:rPr>
      </w:pPr>
      <w:r>
        <w:rPr>
          <w:rFonts w:hint="eastAsia"/>
          <w:sz w:val="21"/>
          <w:szCs w:val="21"/>
        </w:rPr>
        <w:t xml:space="preserve">5、管理风险 </w:t>
      </w:r>
    </w:p>
    <w:p>
      <w:pPr>
        <w:pStyle w:val="7"/>
        <w:spacing w:before="0" w:beforeAutospacing="0" w:after="0" w:afterAutospacing="0" w:line="360" w:lineRule="auto"/>
        <w:ind w:firstLine="420"/>
        <w:rPr>
          <w:sz w:val="21"/>
          <w:szCs w:val="21"/>
        </w:rPr>
      </w:pPr>
      <w:r>
        <w:rPr>
          <w:rFonts w:hint="eastAsia"/>
          <w:sz w:val="21"/>
          <w:szCs w:val="21"/>
        </w:rPr>
        <w:t xml:space="preserve">在基金管理运作过程中，基金管理人的研究水平、投资管理水平直接影响基金收益水平，如果基金管理人对经济形势和证券市场判断不准确、获取的信息不充分、投资操作出现失误等，都会影响基金的收益水平。 </w:t>
      </w:r>
    </w:p>
    <w:p>
      <w:pPr>
        <w:pStyle w:val="7"/>
        <w:spacing w:before="0" w:beforeAutospacing="0" w:after="0" w:afterAutospacing="0" w:line="360" w:lineRule="auto"/>
        <w:ind w:firstLine="420"/>
        <w:rPr>
          <w:sz w:val="21"/>
          <w:szCs w:val="21"/>
        </w:rPr>
      </w:pPr>
      <w:r>
        <w:rPr>
          <w:rFonts w:hint="eastAsia"/>
          <w:sz w:val="21"/>
          <w:szCs w:val="21"/>
        </w:rPr>
        <w:t xml:space="preserve">6、合规风险 </w:t>
      </w:r>
    </w:p>
    <w:p>
      <w:pPr>
        <w:pStyle w:val="7"/>
        <w:spacing w:before="0" w:beforeAutospacing="0" w:after="0" w:afterAutospacing="0" w:line="360" w:lineRule="auto"/>
        <w:ind w:firstLine="420"/>
        <w:rPr>
          <w:sz w:val="21"/>
          <w:szCs w:val="21"/>
        </w:rPr>
      </w:pPr>
      <w:r>
        <w:rPr>
          <w:rFonts w:hint="eastAsia"/>
          <w:sz w:val="21"/>
          <w:szCs w:val="21"/>
        </w:rPr>
        <w:t xml:space="preserve">合规风险指基金管理或运作过程中，违反国家法律、法规的规定，或者违反《基金合同》有关规定的风险。 </w:t>
      </w:r>
    </w:p>
    <w:p>
      <w:pPr>
        <w:pStyle w:val="7"/>
        <w:spacing w:before="0" w:beforeAutospacing="0" w:after="0" w:afterAutospacing="0" w:line="360" w:lineRule="auto"/>
        <w:ind w:firstLine="420"/>
        <w:rPr>
          <w:sz w:val="21"/>
          <w:szCs w:val="21"/>
        </w:rPr>
      </w:pPr>
      <w:r>
        <w:rPr>
          <w:rFonts w:hint="eastAsia"/>
          <w:sz w:val="21"/>
          <w:szCs w:val="21"/>
        </w:rPr>
        <w:t xml:space="preserve">7、本基金的特有风险 </w:t>
      </w:r>
    </w:p>
    <w:p>
      <w:pPr>
        <w:pStyle w:val="7"/>
        <w:spacing w:before="0" w:beforeAutospacing="0" w:after="0" w:afterAutospacing="0" w:line="360" w:lineRule="auto"/>
        <w:ind w:firstLine="420"/>
        <w:rPr>
          <w:sz w:val="21"/>
          <w:szCs w:val="21"/>
        </w:rPr>
      </w:pPr>
      <w:r>
        <w:rPr>
          <w:rFonts w:hint="eastAsia"/>
          <w:sz w:val="21"/>
          <w:szCs w:val="21"/>
        </w:rPr>
        <w:t xml:space="preserve">（1）港股通机制下，港股投资风险 </w:t>
      </w:r>
    </w:p>
    <w:p>
      <w:pPr>
        <w:pStyle w:val="7"/>
        <w:spacing w:before="0" w:beforeAutospacing="0" w:after="0" w:afterAutospacing="0" w:line="360" w:lineRule="auto"/>
        <w:ind w:firstLine="420"/>
        <w:rPr>
          <w:sz w:val="21"/>
          <w:szCs w:val="21"/>
        </w:rPr>
      </w:pPr>
      <w:r>
        <w:rPr>
          <w:rFonts w:hint="eastAsia"/>
          <w:sz w:val="21"/>
          <w:szCs w:val="21"/>
        </w:rPr>
        <w:t xml:space="preserve">本基金投资范围为具有良好流动性的金融工具，包括沪港通机制下允许投资的香港联合交易所（以下简称：“香港联交所”或“联交所”）上市的股票，除与其他投资于内地市场股票的基金所面临的共同风险外，本基金还面临港股通机制下因投资环境、投资者结构、投资标的构成、市场制度以及交易规则等差异所带来的特有风险，包括但不限于： </w:t>
      </w:r>
    </w:p>
    <w:p>
      <w:pPr>
        <w:pStyle w:val="7"/>
        <w:spacing w:before="0" w:beforeAutospacing="0" w:after="0" w:afterAutospacing="0" w:line="360" w:lineRule="auto"/>
        <w:ind w:firstLine="420"/>
        <w:rPr>
          <w:sz w:val="21"/>
          <w:szCs w:val="21"/>
        </w:rPr>
      </w:pPr>
      <w:r>
        <w:rPr>
          <w:rFonts w:hint="eastAsia"/>
          <w:sz w:val="21"/>
          <w:szCs w:val="21"/>
        </w:rPr>
        <w:t xml:space="preserve">1）市场联动的风险。 </w:t>
      </w:r>
    </w:p>
    <w:p>
      <w:pPr>
        <w:pStyle w:val="7"/>
        <w:spacing w:before="0" w:beforeAutospacing="0" w:after="0" w:afterAutospacing="0" w:line="360" w:lineRule="auto"/>
        <w:ind w:firstLine="420"/>
        <w:rPr>
          <w:sz w:val="21"/>
          <w:szCs w:val="21"/>
        </w:rPr>
      </w:pPr>
      <w:r>
        <w:rPr>
          <w:rFonts w:hint="eastAsia"/>
          <w:sz w:val="21"/>
          <w:szCs w:val="21"/>
        </w:rPr>
        <w:t xml:space="preserve">与内地A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 </w:t>
      </w:r>
    </w:p>
    <w:p>
      <w:pPr>
        <w:pStyle w:val="7"/>
        <w:spacing w:before="0" w:beforeAutospacing="0" w:after="0" w:afterAutospacing="0" w:line="360" w:lineRule="auto"/>
        <w:ind w:firstLine="420"/>
        <w:rPr>
          <w:sz w:val="21"/>
          <w:szCs w:val="21"/>
        </w:rPr>
      </w:pPr>
      <w:r>
        <w:rPr>
          <w:rFonts w:hint="eastAsia"/>
          <w:sz w:val="21"/>
          <w:szCs w:val="21"/>
        </w:rPr>
        <w:t xml:space="preserve">2）股价波动的风险。 </w:t>
      </w:r>
    </w:p>
    <w:p>
      <w:pPr>
        <w:pStyle w:val="7"/>
        <w:spacing w:before="0" w:beforeAutospacing="0" w:after="0" w:afterAutospacing="0" w:line="360" w:lineRule="auto"/>
        <w:ind w:firstLine="420"/>
        <w:rPr>
          <w:sz w:val="21"/>
          <w:szCs w:val="21"/>
        </w:rPr>
      </w:pPr>
      <w:r>
        <w:rPr>
          <w:rFonts w:hint="eastAsia"/>
          <w:sz w:val="21"/>
          <w:szCs w:val="21"/>
        </w:rPr>
        <w:t xml:space="preserve">港股市场实行T+0回转交易机制（即当日买入的股票，在交收前可以于当日卖出），同时对个股不设涨跌幅限制，加之香港市场结构性产品和衍生品种类相对丰富以及做空机制的存在；港股股价受到意外事件影响可能表现出比A股更为剧烈的股价波动，本基金持仓的波动风险可能相对较大。 </w:t>
      </w:r>
    </w:p>
    <w:p>
      <w:pPr>
        <w:pStyle w:val="7"/>
        <w:spacing w:before="0" w:beforeAutospacing="0" w:after="0" w:afterAutospacing="0" w:line="360" w:lineRule="auto"/>
        <w:ind w:firstLine="420"/>
        <w:rPr>
          <w:sz w:val="21"/>
          <w:szCs w:val="21"/>
        </w:rPr>
      </w:pPr>
      <w:r>
        <w:rPr>
          <w:rFonts w:hint="eastAsia"/>
          <w:sz w:val="21"/>
          <w:szCs w:val="21"/>
        </w:rPr>
        <w:t xml:space="preserve">3）汇率风险 </w:t>
      </w:r>
    </w:p>
    <w:p>
      <w:pPr>
        <w:pStyle w:val="7"/>
        <w:spacing w:before="0" w:beforeAutospacing="0" w:after="0" w:afterAutospacing="0" w:line="360" w:lineRule="auto"/>
        <w:ind w:firstLine="420"/>
        <w:rPr>
          <w:sz w:val="21"/>
          <w:szCs w:val="21"/>
        </w:rPr>
      </w:pPr>
      <w:r>
        <w:rPr>
          <w:rFonts w:hint="eastAsia"/>
          <w:sz w:val="21"/>
          <w:szCs w:val="21"/>
        </w:rPr>
        <w:t xml:space="preserve">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 </w:t>
      </w:r>
    </w:p>
    <w:p>
      <w:pPr>
        <w:pStyle w:val="7"/>
        <w:spacing w:before="0" w:beforeAutospacing="0" w:after="0" w:afterAutospacing="0" w:line="360" w:lineRule="auto"/>
        <w:ind w:firstLine="420"/>
        <w:rPr>
          <w:sz w:val="21"/>
          <w:szCs w:val="21"/>
        </w:rPr>
      </w:pPr>
      <w:r>
        <w:rPr>
          <w:rFonts w:hint="eastAsia"/>
          <w:sz w:val="21"/>
          <w:szCs w:val="21"/>
        </w:rPr>
        <w:t xml:space="preserve">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 </w:t>
      </w:r>
    </w:p>
    <w:p>
      <w:pPr>
        <w:pStyle w:val="7"/>
        <w:spacing w:before="0" w:beforeAutospacing="0" w:after="0" w:afterAutospacing="0" w:line="360" w:lineRule="auto"/>
        <w:ind w:firstLine="420"/>
        <w:rPr>
          <w:sz w:val="21"/>
          <w:szCs w:val="21"/>
        </w:rPr>
      </w:pPr>
      <w:r>
        <w:rPr>
          <w:rFonts w:hint="eastAsia"/>
          <w:sz w:val="21"/>
          <w:szCs w:val="21"/>
        </w:rPr>
        <w:t xml:space="preserve">4）港股通额度限制 </w:t>
      </w:r>
    </w:p>
    <w:p>
      <w:pPr>
        <w:pStyle w:val="7"/>
        <w:spacing w:before="0" w:beforeAutospacing="0" w:after="0" w:afterAutospacing="0" w:line="360" w:lineRule="auto"/>
        <w:ind w:firstLine="420"/>
        <w:rPr>
          <w:sz w:val="21"/>
          <w:szCs w:val="21"/>
        </w:rPr>
      </w:pPr>
      <w:r>
        <w:rPr>
          <w:rFonts w:hint="eastAsia"/>
          <w:sz w:val="21"/>
          <w:szCs w:val="21"/>
        </w:rPr>
        <w:t xml:space="preserve">现行的港股通规则，对港股通设有总额度以及每日额度上限的限制；本基金可能因为港股通市场总额度或每日额度不足，而不能买入看好之投资标的进而错失投资机会的风险。 </w:t>
      </w:r>
    </w:p>
    <w:p>
      <w:pPr>
        <w:pStyle w:val="7"/>
        <w:spacing w:before="0" w:beforeAutospacing="0" w:after="0" w:afterAutospacing="0" w:line="360" w:lineRule="auto"/>
        <w:ind w:firstLine="420"/>
        <w:rPr>
          <w:sz w:val="21"/>
          <w:szCs w:val="21"/>
        </w:rPr>
      </w:pPr>
      <w:r>
        <w:rPr>
          <w:rFonts w:hint="eastAsia"/>
          <w:sz w:val="21"/>
          <w:szCs w:val="21"/>
        </w:rPr>
        <w:t xml:space="preserve">5）港股通可投资标的范围调整带来的风险 </w:t>
      </w:r>
    </w:p>
    <w:p>
      <w:pPr>
        <w:pStyle w:val="7"/>
        <w:spacing w:before="0" w:beforeAutospacing="0" w:after="0" w:afterAutospacing="0" w:line="360" w:lineRule="auto"/>
        <w:ind w:firstLine="420"/>
        <w:rPr>
          <w:sz w:val="21"/>
          <w:szCs w:val="21"/>
        </w:rPr>
      </w:pPr>
      <w:r>
        <w:rPr>
          <w:rFonts w:hint="eastAsia"/>
          <w:sz w:val="21"/>
          <w:szCs w:val="21"/>
        </w:rPr>
        <w:t xml:space="preserve">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及时买入看好的投资标的，而错失投资机会的风险。 </w:t>
      </w:r>
    </w:p>
    <w:p>
      <w:pPr>
        <w:pStyle w:val="7"/>
        <w:spacing w:before="0" w:beforeAutospacing="0" w:after="0" w:afterAutospacing="0" w:line="360" w:lineRule="auto"/>
        <w:ind w:firstLine="420"/>
        <w:rPr>
          <w:sz w:val="21"/>
          <w:szCs w:val="21"/>
        </w:rPr>
      </w:pPr>
      <w:r>
        <w:rPr>
          <w:rFonts w:hint="eastAsia"/>
          <w:sz w:val="21"/>
          <w:szCs w:val="21"/>
        </w:rPr>
        <w:t xml:space="preserve">6）港股通交易日设定的风险 </w:t>
      </w:r>
    </w:p>
    <w:p>
      <w:pPr>
        <w:pStyle w:val="7"/>
        <w:spacing w:before="0" w:beforeAutospacing="0" w:after="0" w:afterAutospacing="0" w:line="360" w:lineRule="auto"/>
        <w:ind w:firstLine="420"/>
        <w:rPr>
          <w:sz w:val="21"/>
          <w:szCs w:val="21"/>
        </w:rPr>
      </w:pPr>
      <w:r>
        <w:rPr>
          <w:rFonts w:hint="eastAsia"/>
          <w:sz w:val="21"/>
          <w:szCs w:val="21"/>
        </w:rPr>
        <w:t xml:space="preserve">根据现行的港股通规则，只有沪港两地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 </w:t>
      </w:r>
    </w:p>
    <w:p>
      <w:pPr>
        <w:pStyle w:val="7"/>
        <w:spacing w:before="0" w:beforeAutospacing="0" w:after="0" w:afterAutospacing="0" w:line="360" w:lineRule="auto"/>
        <w:ind w:firstLine="420"/>
        <w:rPr>
          <w:sz w:val="21"/>
          <w:szCs w:val="21"/>
        </w:rPr>
      </w:pPr>
      <w:r>
        <w:rPr>
          <w:rFonts w:hint="eastAsia"/>
          <w:sz w:val="21"/>
          <w:szCs w:val="21"/>
        </w:rPr>
        <w:t xml:space="preserve">7）交收制度带来的基金流动性风险 </w:t>
      </w:r>
    </w:p>
    <w:p>
      <w:pPr>
        <w:pStyle w:val="7"/>
        <w:spacing w:before="0" w:beforeAutospacing="0" w:after="0" w:afterAutospacing="0" w:line="360" w:lineRule="auto"/>
        <w:ind w:firstLine="420"/>
        <w:rPr>
          <w:sz w:val="21"/>
          <w:szCs w:val="21"/>
        </w:rPr>
      </w:pPr>
      <w:r>
        <w:rPr>
          <w:rFonts w:hint="eastAsia"/>
          <w:sz w:val="21"/>
          <w:szCs w:val="21"/>
        </w:rPr>
        <w:t xml:space="preserve">由于香港市场实行T+2日（T日买卖股票，资金和股票在T+2日才进行交收）的交收安排，本基金在T日（港股通交易日）卖出股票，T+2日（港股通交易日，即为卖出当日之后第二个港股通交易日）才能在香港市场完成清算交收，卖出的资金在T+3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A股和港股投资比例，造成比例超标的风险。 </w:t>
      </w:r>
    </w:p>
    <w:p>
      <w:pPr>
        <w:pStyle w:val="7"/>
        <w:spacing w:before="0" w:beforeAutospacing="0" w:after="0" w:afterAutospacing="0" w:line="360" w:lineRule="auto"/>
        <w:ind w:firstLine="420"/>
        <w:rPr>
          <w:sz w:val="21"/>
          <w:szCs w:val="21"/>
        </w:rPr>
      </w:pPr>
      <w:r>
        <w:rPr>
          <w:rFonts w:hint="eastAsia"/>
          <w:sz w:val="21"/>
          <w:szCs w:val="21"/>
        </w:rPr>
        <w:t xml:space="preserve">8）港股通下对公司行为的处理规则带来的风险 </w:t>
      </w:r>
    </w:p>
    <w:p>
      <w:pPr>
        <w:pStyle w:val="7"/>
        <w:spacing w:before="0" w:beforeAutospacing="0" w:after="0" w:afterAutospacing="0" w:line="360" w:lineRule="auto"/>
        <w:ind w:firstLine="420"/>
        <w:rPr>
          <w:sz w:val="21"/>
          <w:szCs w:val="21"/>
        </w:rPr>
      </w:pPr>
      <w:r>
        <w:rPr>
          <w:rFonts w:hint="eastAsia"/>
          <w:sz w:val="21"/>
          <w:szCs w:val="21"/>
        </w:rPr>
        <w:t xml:space="preserve">根据现行的港股通规则，本基金因所持港股通股票权益分派、转换、上市公司被收购等情形或者异常情况，所取得的港股通股票以外的香港联交所上市证券，只能通过港股通卖出，但不得买入；因港股通股票权益分派或者转换等情形取得的香港联交所上市股票的认购权利在联交所上市的，可以通过港股通卖出，但不得行权；因港股通股票权益分派、转换或者上市公司被收购等所取得的非联交所上市证券，可以享有相关权益，但不得通过港股通买入或卖出。 </w:t>
      </w:r>
    </w:p>
    <w:p>
      <w:pPr>
        <w:pStyle w:val="7"/>
        <w:spacing w:before="0" w:beforeAutospacing="0" w:after="0" w:afterAutospacing="0" w:line="360" w:lineRule="auto"/>
        <w:ind w:firstLine="420"/>
        <w:rPr>
          <w:sz w:val="21"/>
          <w:szCs w:val="21"/>
        </w:rPr>
      </w:pPr>
      <w:r>
        <w:rPr>
          <w:rFonts w:hint="eastAsia"/>
          <w:sz w:val="21"/>
          <w:szCs w:val="21"/>
        </w:rPr>
        <w:t xml:space="preserve">本基金存在因上述规则，利益得不到最大化甚至受损的风险。 </w:t>
      </w:r>
    </w:p>
    <w:p>
      <w:pPr>
        <w:pStyle w:val="7"/>
        <w:spacing w:before="0" w:beforeAutospacing="0" w:after="0" w:afterAutospacing="0" w:line="360" w:lineRule="auto"/>
        <w:ind w:firstLine="420"/>
        <w:rPr>
          <w:sz w:val="21"/>
          <w:szCs w:val="21"/>
        </w:rPr>
      </w:pPr>
      <w:r>
        <w:rPr>
          <w:rFonts w:hint="eastAsia"/>
          <w:sz w:val="21"/>
          <w:szCs w:val="21"/>
        </w:rPr>
        <w:t xml:space="preserve">9）香港联合交易所停牌、退市等制度性差异带来的风险 </w:t>
      </w:r>
    </w:p>
    <w:p>
      <w:pPr>
        <w:pStyle w:val="7"/>
        <w:spacing w:before="0" w:beforeAutospacing="0" w:after="0" w:afterAutospacing="0" w:line="360" w:lineRule="auto"/>
        <w:ind w:firstLine="420"/>
        <w:rPr>
          <w:sz w:val="21"/>
          <w:szCs w:val="21"/>
        </w:rPr>
      </w:pPr>
      <w:r>
        <w:rPr>
          <w:rFonts w:hint="eastAsia"/>
          <w:sz w:val="21"/>
          <w:szCs w:val="21"/>
        </w:rPr>
        <w:t xml:space="preserve">香港联交所规定，在交易所认为所要求的停牌合理而且必要时,上市公司方可采取停牌措施。此外，不同于内地A股市场的停牌制度，联交所对停牌的具体时长并没有量化规定，只是确定了“尽量缩短停牌时间”的原则；同时与A股市场对存在退市可能的上市公司根据其财务状况在证券简称前加入相应标记(例如，ST及*ST等标记)以警示投资者风险的做法不同，在香港联交所市场没有风险警示板,联交所采用非量化的退市标准且在上市公司退市过程中拥有相对较大的主导权，使得联交所上市公司的退市情形较A股市场相对复杂。 </w:t>
      </w:r>
    </w:p>
    <w:p>
      <w:pPr>
        <w:pStyle w:val="7"/>
        <w:spacing w:before="0" w:beforeAutospacing="0" w:after="0" w:afterAutospacing="0" w:line="360" w:lineRule="auto"/>
        <w:ind w:firstLine="420"/>
        <w:rPr>
          <w:sz w:val="21"/>
          <w:szCs w:val="21"/>
        </w:rPr>
      </w:pPr>
      <w:r>
        <w:rPr>
          <w:rFonts w:hint="eastAsia"/>
          <w:sz w:val="21"/>
          <w:szCs w:val="21"/>
        </w:rPr>
        <w:t xml:space="preserve">因该等制度性差异，本基金可能存在因所持个股遭遇非预期性的停牌甚至退市而给基金带来损失的风险。 </w:t>
      </w:r>
    </w:p>
    <w:p>
      <w:pPr>
        <w:pStyle w:val="7"/>
        <w:spacing w:before="0" w:beforeAutospacing="0" w:after="0" w:afterAutospacing="0" w:line="360" w:lineRule="auto"/>
        <w:ind w:firstLine="420"/>
        <w:rPr>
          <w:sz w:val="21"/>
          <w:szCs w:val="21"/>
        </w:rPr>
      </w:pPr>
      <w:r>
        <w:rPr>
          <w:rFonts w:hint="eastAsia"/>
          <w:sz w:val="21"/>
          <w:szCs w:val="21"/>
        </w:rPr>
        <w:t xml:space="preserve">10）港股通规则变动带来的风险 </w:t>
      </w:r>
    </w:p>
    <w:p>
      <w:pPr>
        <w:pStyle w:val="7"/>
        <w:spacing w:before="0" w:beforeAutospacing="0" w:after="0" w:afterAutospacing="0" w:line="360" w:lineRule="auto"/>
        <w:ind w:firstLine="420"/>
        <w:rPr>
          <w:sz w:val="21"/>
          <w:szCs w:val="21"/>
        </w:rPr>
      </w:pPr>
      <w:r>
        <w:rPr>
          <w:rFonts w:hint="eastAsia"/>
          <w:sz w:val="21"/>
          <w:szCs w:val="21"/>
        </w:rPr>
        <w:t xml:space="preserve">本基金是在港股通机制和规则下参与香港联交所证券的投资，受港股通规则的限制和影响；本基金存在因港股通规则变动而带来基金投资受阻或所持资产组合价值发生波动的风险。 </w:t>
      </w:r>
    </w:p>
    <w:p>
      <w:pPr>
        <w:pStyle w:val="7"/>
        <w:spacing w:before="0" w:beforeAutospacing="0" w:after="0" w:afterAutospacing="0" w:line="360" w:lineRule="auto"/>
        <w:ind w:firstLine="420"/>
        <w:rPr>
          <w:sz w:val="21"/>
          <w:szCs w:val="21"/>
        </w:rPr>
      </w:pPr>
      <w:r>
        <w:rPr>
          <w:rFonts w:hint="eastAsia"/>
          <w:sz w:val="21"/>
          <w:szCs w:val="21"/>
        </w:rPr>
        <w:t xml:space="preserve">11）其他可能的风险 </w:t>
      </w:r>
    </w:p>
    <w:p>
      <w:pPr>
        <w:pStyle w:val="7"/>
        <w:spacing w:before="0" w:beforeAutospacing="0" w:after="0" w:afterAutospacing="0" w:line="360" w:lineRule="auto"/>
        <w:ind w:firstLine="420"/>
        <w:rPr>
          <w:sz w:val="21"/>
          <w:szCs w:val="21"/>
        </w:rPr>
      </w:pPr>
      <w:r>
        <w:rPr>
          <w:rFonts w:hint="eastAsia"/>
          <w:sz w:val="21"/>
          <w:szCs w:val="21"/>
        </w:rPr>
        <w:t xml:space="preserve">除上述显著风险外，本基金参与港股通投资，还可能面临的其他风险，包括但不限于： </w:t>
      </w:r>
    </w:p>
    <w:p>
      <w:pPr>
        <w:pStyle w:val="7"/>
        <w:spacing w:before="0" w:beforeAutospacing="0" w:after="0" w:afterAutospacing="0" w:line="360" w:lineRule="auto"/>
        <w:ind w:firstLine="420"/>
        <w:rPr>
          <w:sz w:val="21"/>
          <w:szCs w:val="21"/>
        </w:rPr>
      </w:pPr>
      <w:r>
        <w:rPr>
          <w:rFonts w:hint="eastAsia"/>
          <w:sz w:val="21"/>
          <w:szCs w:val="21"/>
        </w:rPr>
        <w:t xml:space="preserve">①除因股票交易而发生的佣金、交易征费、交易费、交易系统费、印花税、过户费等税费外，在不进行交易时也可能要继续缴纳证券组合费等项费用，本基金存在因费用估算不准而导致账户透支的风险； </w:t>
      </w:r>
    </w:p>
    <w:p>
      <w:pPr>
        <w:pStyle w:val="7"/>
        <w:spacing w:before="0" w:beforeAutospacing="0" w:after="0" w:afterAutospacing="0" w:line="360" w:lineRule="auto"/>
        <w:ind w:firstLine="420"/>
        <w:rPr>
          <w:sz w:val="21"/>
          <w:szCs w:val="21"/>
        </w:rPr>
      </w:pPr>
      <w:r>
        <w:rPr>
          <w:rFonts w:hint="eastAsia"/>
          <w:sz w:val="21"/>
          <w:szCs w:val="21"/>
        </w:rPr>
        <w:t xml:space="preserve">②在香港市场，部分中小市值港股成交量则相对较少，流动较为缺乏，本基金投资此类股票可能因缺乏交易对手而面临个股流动性风险； </w:t>
      </w:r>
    </w:p>
    <w:p>
      <w:pPr>
        <w:pStyle w:val="7"/>
        <w:spacing w:before="0" w:beforeAutospacing="0" w:after="0" w:afterAutospacing="0" w:line="360" w:lineRule="auto"/>
        <w:ind w:firstLine="420"/>
        <w:rPr>
          <w:sz w:val="21"/>
          <w:szCs w:val="21"/>
        </w:rPr>
      </w:pPr>
      <w:r>
        <w:rPr>
          <w:rFonts w:hint="eastAsia"/>
          <w:sz w:val="21"/>
          <w:szCs w:val="21"/>
        </w:rPr>
        <w:t xml:space="preserve">③在本基金参与港股通交易中若香港联交所与内地交易所的证券交易服务公司之间的报盘系统或者通信链路出现故障，可能导致15分钟以上不能申报和撤销申报的交易中断风险； </w:t>
      </w:r>
    </w:p>
    <w:p>
      <w:pPr>
        <w:pStyle w:val="7"/>
        <w:spacing w:before="0" w:beforeAutospacing="0" w:after="0" w:afterAutospacing="0" w:line="360" w:lineRule="auto"/>
        <w:ind w:firstLine="420"/>
        <w:rPr>
          <w:sz w:val="21"/>
          <w:szCs w:val="21"/>
        </w:rPr>
      </w:pPr>
      <w:r>
        <w:rPr>
          <w:rFonts w:hint="eastAsia"/>
          <w:sz w:val="21"/>
          <w:szCs w:val="21"/>
        </w:rPr>
        <w:t xml:space="preserve">④存在港股通香港结算机构因极端情况下无法交付证券和资金的结算风险；另外港股通境内结算实施分级结算原则，本基金可能面临 以下风险：（一）因结算参与人未完成与中国结算的集中交收，导致本基金应收资金或证券被暂不交付或处置；（二）结算参与人对本基金出现交收违约导致本基金未能取得应收证券或资金；（三）结算参与人向中国结算发送的有关本基金的证券划付指令有误的导致本基金权益受损；（四）其他因结算参与人未遵守相关业务规则导致本基金利益受到损害的情况。 </w:t>
      </w:r>
    </w:p>
    <w:p>
      <w:pPr>
        <w:pStyle w:val="7"/>
        <w:spacing w:before="0" w:beforeAutospacing="0" w:after="0" w:afterAutospacing="0" w:line="360" w:lineRule="auto"/>
        <w:ind w:firstLine="420"/>
        <w:rPr>
          <w:sz w:val="21"/>
          <w:szCs w:val="21"/>
        </w:rPr>
      </w:pPr>
      <w:r>
        <w:rPr>
          <w:rFonts w:hint="eastAsia"/>
          <w:sz w:val="21"/>
          <w:szCs w:val="21"/>
        </w:rPr>
        <w:t xml:space="preserve">本基金可根据投资策略需要或不同配置地市场环境的变化，选择将部分基金资产投资于港股或选择不将基金资产投资于港股，基金资产并非必然投资港股。 </w:t>
      </w:r>
    </w:p>
    <w:p>
      <w:pPr>
        <w:pStyle w:val="7"/>
        <w:spacing w:before="0" w:beforeAutospacing="0" w:after="0" w:afterAutospacing="0" w:line="360" w:lineRule="auto"/>
        <w:ind w:firstLine="420"/>
        <w:rPr>
          <w:sz w:val="21"/>
          <w:szCs w:val="21"/>
        </w:rPr>
      </w:pPr>
      <w:r>
        <w:rPr>
          <w:rFonts w:hint="eastAsia"/>
          <w:sz w:val="21"/>
          <w:szCs w:val="21"/>
        </w:rPr>
        <w:t xml:space="preserve">（2）股指期货、国债期货投资风险 </w:t>
      </w:r>
    </w:p>
    <w:p>
      <w:pPr>
        <w:pStyle w:val="7"/>
        <w:spacing w:before="0" w:beforeAutospacing="0" w:after="0" w:afterAutospacing="0" w:line="360" w:lineRule="auto"/>
        <w:ind w:firstLine="420"/>
        <w:rPr>
          <w:sz w:val="21"/>
          <w:szCs w:val="21"/>
        </w:rPr>
      </w:pPr>
      <w:r>
        <w:rPr>
          <w:rFonts w:hint="eastAsia"/>
          <w:sz w:val="21"/>
          <w:szCs w:val="21"/>
        </w:rPr>
        <w:t xml:space="preserve">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 </w:t>
      </w:r>
    </w:p>
    <w:p>
      <w:pPr>
        <w:pStyle w:val="7"/>
        <w:spacing w:before="0" w:beforeAutospacing="0" w:after="0" w:afterAutospacing="0" w:line="360" w:lineRule="auto"/>
        <w:ind w:firstLine="420"/>
        <w:rPr>
          <w:sz w:val="21"/>
          <w:szCs w:val="21"/>
        </w:rPr>
      </w:pPr>
      <w:r>
        <w:rPr>
          <w:rFonts w:hint="eastAsia"/>
          <w:sz w:val="21"/>
          <w:szCs w:val="21"/>
        </w:rPr>
        <w:t xml:space="preserve">本基金投资国债期货，国债期货市场的风险类型较为复杂，涉及面广，具有放大性与可预防性等特征。其风险主要有由利率波动原因造成的市场价格风险、由宏观因素和政策因素变化而引起的系统风险、由市场和资金流动性原因引起的流动性风险、由交易制度不完善而引发的制度性风险以及由技术系统故障及操作失误造成的技术系统风险等。 </w:t>
      </w:r>
    </w:p>
    <w:p>
      <w:pPr>
        <w:pStyle w:val="7"/>
        <w:spacing w:before="0" w:beforeAutospacing="0" w:after="0" w:afterAutospacing="0" w:line="360" w:lineRule="auto"/>
        <w:ind w:firstLine="420"/>
        <w:rPr>
          <w:sz w:val="21"/>
          <w:szCs w:val="21"/>
        </w:rPr>
      </w:pPr>
      <w:r>
        <w:rPr>
          <w:rFonts w:hint="eastAsia"/>
          <w:sz w:val="21"/>
          <w:szCs w:val="21"/>
        </w:rPr>
        <w:t xml:space="preserve">（3）中小企业私募债的投资风险 </w:t>
      </w:r>
    </w:p>
    <w:p>
      <w:pPr>
        <w:pStyle w:val="7"/>
        <w:spacing w:before="0" w:beforeAutospacing="0" w:after="0" w:afterAutospacing="0" w:line="360" w:lineRule="auto"/>
        <w:ind w:firstLine="420"/>
        <w:rPr>
          <w:sz w:val="21"/>
          <w:szCs w:val="21"/>
        </w:rPr>
      </w:pPr>
      <w:r>
        <w:rPr>
          <w:rFonts w:hint="eastAsia"/>
          <w:sz w:val="21"/>
          <w:szCs w:val="21"/>
        </w:rPr>
        <w:t xml:space="preserve">本基金投资中小企业私募债，中小企业私募债是根据相关法律法规由非上市中小企业采用非公开方式发行的债券。由于不能公开交易，一般情况下，交易不活跃，存在较大流动性风险。当发债主体信用质量恶化时，受市场流动性所限，本基金可能无法卖出所持有的中小企业私募债，由此可能给基金净值带来更大的负面影响和损失。 </w:t>
      </w:r>
    </w:p>
    <w:p>
      <w:pPr>
        <w:pStyle w:val="7"/>
        <w:spacing w:before="0" w:beforeAutospacing="0" w:after="0" w:afterAutospacing="0" w:line="360" w:lineRule="auto"/>
        <w:ind w:firstLine="420"/>
        <w:rPr>
          <w:sz w:val="21"/>
          <w:szCs w:val="21"/>
        </w:rPr>
      </w:pPr>
      <w:r>
        <w:rPr>
          <w:rFonts w:hint="eastAsia"/>
          <w:sz w:val="21"/>
          <w:szCs w:val="21"/>
        </w:rPr>
        <w:t xml:space="preserve">(4)资产支持证券（ABS）的风险 </w:t>
      </w:r>
    </w:p>
    <w:p>
      <w:pPr>
        <w:pStyle w:val="7"/>
        <w:spacing w:before="0" w:beforeAutospacing="0" w:after="0" w:afterAutospacing="0" w:line="360" w:lineRule="auto"/>
        <w:ind w:firstLine="420"/>
        <w:rPr>
          <w:sz w:val="21"/>
          <w:szCs w:val="21"/>
        </w:rPr>
      </w:pPr>
      <w:r>
        <w:rPr>
          <w:rFonts w:hint="eastAsia"/>
          <w:sz w:val="21"/>
          <w:szCs w:val="21"/>
        </w:rPr>
        <w:t xml:space="preserve">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pPr>
        <w:pStyle w:val="7"/>
        <w:spacing w:before="0" w:beforeAutospacing="0" w:after="0" w:afterAutospacing="0" w:line="360" w:lineRule="auto"/>
        <w:ind w:firstLine="420"/>
        <w:rPr>
          <w:sz w:val="21"/>
          <w:szCs w:val="21"/>
        </w:rPr>
      </w:pPr>
      <w:r>
        <w:rPr>
          <w:rFonts w:hint="eastAsia"/>
          <w:sz w:val="21"/>
          <w:szCs w:val="21"/>
        </w:rPr>
        <w:t xml:space="preserve">（5）合同可能终止的风险 </w:t>
      </w:r>
    </w:p>
    <w:p>
      <w:pPr>
        <w:pStyle w:val="7"/>
        <w:spacing w:before="0" w:beforeAutospacing="0" w:after="0" w:afterAutospacing="0" w:line="360" w:lineRule="auto"/>
        <w:ind w:firstLine="420"/>
        <w:rPr>
          <w:sz w:val="21"/>
          <w:szCs w:val="21"/>
        </w:rPr>
      </w:pPr>
      <w:r>
        <w:rPr>
          <w:rFonts w:hint="eastAsia"/>
          <w:sz w:val="21"/>
          <w:szCs w:val="21"/>
        </w:rPr>
        <w:t xml:space="preserve">基金合同生效后，连续六十个工作日出现基金份额持有人数量不满二百人或者基金资产净值低于五千万元情形的，本基金应当按照基金合同约定的程序进行清算并终止，投资者将面临基金合同可能终止的不确定性风险。 </w:t>
      </w:r>
    </w:p>
    <w:p>
      <w:pPr>
        <w:pStyle w:val="7"/>
        <w:spacing w:before="0" w:beforeAutospacing="0" w:after="0" w:afterAutospacing="0" w:line="360" w:lineRule="auto"/>
        <w:ind w:firstLine="420"/>
        <w:rPr>
          <w:sz w:val="21"/>
          <w:szCs w:val="21"/>
        </w:rPr>
      </w:pPr>
      <w:r>
        <w:rPr>
          <w:rFonts w:hint="eastAsia"/>
          <w:sz w:val="21"/>
          <w:szCs w:val="21"/>
        </w:rPr>
        <w:t xml:space="preserve">（6）投资于存托凭证的风险 </w:t>
      </w:r>
    </w:p>
    <w:p>
      <w:pPr>
        <w:pStyle w:val="7"/>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7"/>
        <w:spacing w:before="0" w:beforeAutospacing="0" w:after="0" w:afterAutospacing="0" w:line="360" w:lineRule="auto"/>
        <w:ind w:firstLine="420"/>
        <w:rPr>
          <w:sz w:val="21"/>
          <w:szCs w:val="21"/>
        </w:rPr>
      </w:pPr>
      <w:r>
        <w:rPr>
          <w:rFonts w:hint="eastAsia"/>
          <w:sz w:val="21"/>
          <w:szCs w:val="21"/>
        </w:rPr>
        <w:t xml:space="preserve">8、操作或技术风险 </w:t>
      </w:r>
    </w:p>
    <w:p>
      <w:pPr>
        <w:pStyle w:val="7"/>
        <w:spacing w:before="0" w:beforeAutospacing="0" w:after="0" w:afterAutospacing="0" w:line="360" w:lineRule="auto"/>
        <w:ind w:firstLine="420"/>
        <w:rPr>
          <w:sz w:val="21"/>
          <w:szCs w:val="21"/>
        </w:rPr>
      </w:pPr>
      <w:r>
        <w:rPr>
          <w:rFonts w:hint="eastAsia"/>
          <w:sz w:val="21"/>
          <w:szCs w:val="21"/>
        </w:rPr>
        <w:t xml:space="preserve">1、技术风险：在定向资产管理业务的日常交易中，可能因为技术系统的故障或者差错而影响交易的正常进行或者导致投资者的利益受到影响。这种技术风险可能来自管理人、托管人、证券交易所、证券登记结算机构等。 </w:t>
      </w:r>
    </w:p>
    <w:p>
      <w:pPr>
        <w:pStyle w:val="7"/>
        <w:spacing w:before="0" w:beforeAutospacing="0" w:after="0" w:afterAutospacing="0" w:line="360" w:lineRule="auto"/>
        <w:ind w:firstLine="420"/>
        <w:rPr>
          <w:sz w:val="21"/>
          <w:szCs w:val="21"/>
        </w:rPr>
      </w:pPr>
      <w:r>
        <w:rPr>
          <w:rFonts w:hint="eastAsia"/>
          <w:sz w:val="21"/>
          <w:szCs w:val="21"/>
        </w:rPr>
        <w:t xml:space="preserve">2、操作风险：证券交易所、证券登记结算机构等在业务操作过程中，因操作失误或违反操作规程而引起的风险。 </w:t>
      </w:r>
    </w:p>
    <w:p>
      <w:pPr>
        <w:pStyle w:val="7"/>
        <w:spacing w:before="0" w:beforeAutospacing="0" w:after="0" w:afterAutospacing="0" w:line="360" w:lineRule="auto"/>
        <w:ind w:firstLine="420"/>
        <w:rPr>
          <w:sz w:val="21"/>
          <w:szCs w:val="21"/>
        </w:rPr>
      </w:pPr>
      <w:r>
        <w:rPr>
          <w:rFonts w:hint="eastAsia"/>
          <w:sz w:val="21"/>
          <w:szCs w:val="21"/>
        </w:rPr>
        <w:t xml:space="preserve">9、其它风险 </w:t>
      </w:r>
    </w:p>
    <w:p>
      <w:pPr>
        <w:pStyle w:val="7"/>
        <w:spacing w:before="0" w:beforeAutospacing="0" w:after="0" w:afterAutospacing="0" w:line="360" w:lineRule="auto"/>
        <w:ind w:firstLine="420"/>
        <w:rPr>
          <w:sz w:val="21"/>
          <w:szCs w:val="21"/>
        </w:rPr>
      </w:pPr>
      <w:r>
        <w:rPr>
          <w:rFonts w:hint="eastAsia"/>
          <w:sz w:val="21"/>
          <w:szCs w:val="21"/>
        </w:rPr>
        <w:t xml:space="preserve">1、战争、自然灾害等不可抗力因素的出现，将会严重影响证券市场的运行，可能导致委托财产的损失； </w:t>
      </w:r>
    </w:p>
    <w:p>
      <w:pPr>
        <w:pStyle w:val="7"/>
        <w:spacing w:before="0" w:beforeAutospacing="0" w:after="0" w:afterAutospacing="0" w:line="360" w:lineRule="auto"/>
        <w:ind w:firstLine="420"/>
        <w:rPr>
          <w:sz w:val="21"/>
          <w:szCs w:val="21"/>
        </w:rPr>
      </w:pPr>
      <w:r>
        <w:rPr>
          <w:rFonts w:hint="eastAsia"/>
          <w:sz w:val="21"/>
          <w:szCs w:val="21"/>
        </w:rPr>
        <w:t xml:space="preserve">2、金融市场危机、行业竞争、代理商违约等超出基金管理人自身直接控制能力之外的风险，也可能导致资产委托人利益受损。 </w:t>
      </w:r>
    </w:p>
    <w:p>
      <w:pPr>
        <w:pStyle w:val="7"/>
        <w:spacing w:before="0" w:beforeAutospacing="0" w:after="0" w:afterAutospacing="0" w:line="360" w:lineRule="auto"/>
        <w:ind w:firstLine="420"/>
        <w:rPr>
          <w:sz w:val="21"/>
          <w:szCs w:val="21"/>
        </w:rPr>
      </w:pPr>
      <w:r>
        <w:rPr>
          <w:rStyle w:val="11"/>
          <w:rFonts w:hint="eastAsia"/>
          <w:sz w:val="21"/>
          <w:szCs w:val="21"/>
        </w:rPr>
        <w:t>二、声明</w:t>
      </w:r>
    </w:p>
    <w:p>
      <w:pPr>
        <w:pStyle w:val="7"/>
        <w:spacing w:before="0" w:beforeAutospacing="0" w:after="0" w:afterAutospacing="0" w:line="360" w:lineRule="auto"/>
        <w:ind w:firstLine="420"/>
        <w:rPr>
          <w:sz w:val="21"/>
          <w:szCs w:val="21"/>
        </w:rPr>
      </w:pPr>
      <w:r>
        <w:rPr>
          <w:rFonts w:hint="eastAsia"/>
          <w:sz w:val="21"/>
          <w:szCs w:val="21"/>
        </w:rPr>
        <w:t xml:space="preserve">1、投资者投资于本基金，须自行承担投资风险； </w:t>
      </w:r>
    </w:p>
    <w:p>
      <w:pPr>
        <w:pStyle w:val="7"/>
        <w:spacing w:before="0" w:beforeAutospacing="0" w:after="0" w:afterAutospacing="0" w:line="360" w:lineRule="auto"/>
        <w:ind w:firstLine="420"/>
        <w:rPr>
          <w:sz w:val="21"/>
          <w:szCs w:val="21"/>
        </w:rPr>
      </w:pPr>
      <w:r>
        <w:rPr>
          <w:rFonts w:hint="eastAsia"/>
          <w:sz w:val="21"/>
          <w:szCs w:val="21"/>
        </w:rPr>
        <w:t>2、除基金管理人直接办理本基金的销售外，本基金还通过</w:t>
      </w:r>
      <w:bookmarkStart w:id="185" w:name="field_0_trustorgfullname_2"/>
      <w:r>
        <w:rPr>
          <w:rFonts w:hint="eastAsia"/>
          <w:sz w:val="21"/>
          <w:szCs w:val="21"/>
        </w:rPr>
        <w:t>中国银行股份有限公司</w:t>
      </w:r>
      <w:bookmarkEnd w:id="185"/>
      <w:r>
        <w:rPr>
          <w:rFonts w:hint="eastAsia"/>
          <w:sz w:val="21"/>
          <w:szCs w:val="21"/>
        </w:rPr>
        <w:t>等基金销售机构销售，基金管理人与其他销售机构都不能保证其收益或本</w:t>
      </w:r>
      <w:bookmarkStart w:id="186" w:name="chapter_level1_19_68_section_1_end"/>
      <w:bookmarkEnd w:id="186"/>
      <w:r>
        <w:rPr>
          <w:rFonts w:hint="eastAsia"/>
          <w:sz w:val="21"/>
          <w:szCs w:val="21"/>
        </w:rPr>
        <w:t xml:space="preserve">金安全。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7" w:name="_Toc113633899"/>
      <w:bookmarkStart w:id="188" w:name="chapter_level1_20_69"/>
      <w:r>
        <w:rPr>
          <w:rFonts w:hint="eastAsia" w:ascii="宋体" w:hAnsi="宋体" w:eastAsia="宋体"/>
          <w:sz w:val="30"/>
        </w:rPr>
        <w:t>第十七部分  基金合同的变更、终止与基金财产的清算</w:t>
      </w:r>
      <w:bookmarkEnd w:id="187"/>
      <w:bookmarkEnd w:id="188"/>
    </w:p>
    <w:p>
      <w:pPr>
        <w:pStyle w:val="7"/>
        <w:spacing w:before="0" w:beforeAutospacing="0" w:after="0" w:afterAutospacing="0" w:line="360" w:lineRule="auto"/>
        <w:ind w:firstLine="420"/>
        <w:rPr>
          <w:sz w:val="21"/>
          <w:szCs w:val="21"/>
        </w:rPr>
      </w:pPr>
      <w:bookmarkStart w:id="189" w:name="chapter_level1_20_69_section_1"/>
      <w:bookmarkEnd w:id="189"/>
      <w:r>
        <w:rPr>
          <w:rStyle w:val="11"/>
          <w:rFonts w:hint="eastAsia"/>
          <w:sz w:val="21"/>
          <w:szCs w:val="21"/>
        </w:rPr>
        <w:t>一、《基金合同》的变更</w:t>
      </w:r>
    </w:p>
    <w:p>
      <w:pPr>
        <w:pStyle w:val="7"/>
        <w:spacing w:before="0" w:beforeAutospacing="0" w:after="0" w:afterAutospacing="0" w:line="360" w:lineRule="auto"/>
        <w:ind w:firstLine="420"/>
        <w:rPr>
          <w:sz w:val="21"/>
          <w:szCs w:val="21"/>
        </w:rPr>
      </w:pPr>
      <w:r>
        <w:rPr>
          <w:rFonts w:hint="eastAsia"/>
          <w:sz w:val="21"/>
          <w:szCs w:val="21"/>
        </w:rPr>
        <w:t xml:space="preserve">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2、关于《基金合同》变更的基金份额持有人大会决议须报中国证监会备案，自表决通过之日起生效，并自决议生效后按规定在指定媒介公告。 </w:t>
      </w:r>
    </w:p>
    <w:p>
      <w:pPr>
        <w:pStyle w:val="7"/>
        <w:spacing w:before="0" w:beforeAutospacing="0" w:after="0" w:afterAutospacing="0" w:line="360" w:lineRule="auto"/>
        <w:ind w:firstLine="420"/>
        <w:rPr>
          <w:sz w:val="21"/>
          <w:szCs w:val="21"/>
        </w:rPr>
      </w:pPr>
      <w:r>
        <w:rPr>
          <w:rStyle w:val="11"/>
          <w:rFonts w:hint="eastAsia"/>
          <w:sz w:val="21"/>
          <w:szCs w:val="21"/>
        </w:rPr>
        <w:t>二、《基金合同》的终止事由</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3、基金合同生效后，连续六十个工作日出现基金份额持有人数量不满二百人或者基金资产净值低于五千万元情形的； </w:t>
      </w:r>
    </w:p>
    <w:p>
      <w:pPr>
        <w:pStyle w:val="7"/>
        <w:spacing w:before="0" w:beforeAutospacing="0" w:after="0" w:afterAutospacing="0" w:line="360" w:lineRule="auto"/>
        <w:ind w:firstLine="420"/>
        <w:rPr>
          <w:sz w:val="21"/>
          <w:szCs w:val="21"/>
        </w:rPr>
      </w:pPr>
      <w:r>
        <w:rPr>
          <w:rFonts w:hint="eastAsia"/>
          <w:sz w:val="21"/>
          <w:szCs w:val="21"/>
        </w:rPr>
        <w:t xml:space="preserve">4、《基金合同》约定的其他情形； </w:t>
      </w:r>
    </w:p>
    <w:p>
      <w:pPr>
        <w:pStyle w:val="7"/>
        <w:spacing w:before="0" w:beforeAutospacing="0" w:after="0" w:afterAutospacing="0" w:line="360" w:lineRule="auto"/>
        <w:ind w:firstLine="420"/>
        <w:rPr>
          <w:sz w:val="21"/>
          <w:szCs w:val="21"/>
        </w:rPr>
      </w:pPr>
      <w:r>
        <w:rPr>
          <w:rFonts w:hint="eastAsia"/>
          <w:sz w:val="21"/>
          <w:szCs w:val="21"/>
        </w:rPr>
        <w:t xml:space="preserve">5、相关法律法规和中国证监会规定的其他情况。 </w:t>
      </w:r>
    </w:p>
    <w:p>
      <w:pPr>
        <w:pStyle w:val="7"/>
        <w:spacing w:before="0" w:beforeAutospacing="0" w:after="0" w:afterAutospacing="0" w:line="360" w:lineRule="auto"/>
        <w:ind w:firstLine="420"/>
        <w:rPr>
          <w:sz w:val="21"/>
          <w:szCs w:val="21"/>
        </w:rPr>
      </w:pPr>
      <w:r>
        <w:rPr>
          <w:rStyle w:val="11"/>
          <w:rFonts w:hint="eastAsia"/>
          <w:sz w:val="21"/>
          <w:szCs w:val="21"/>
        </w:rPr>
        <w:t>三、基金财产的清算</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1、基金财产清算小组：自出现《基金合同》终止事由之日起30个工作日内成立基金财产清算小组，基金管理人组织基金财产清算小组并在中国证监会的监督下进行基金清算。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2、基金财产清算小组组成：基金财产清算小组成员由基金管理人、基金托管人、具有证券、期货相关业务资格的注册会计师、律师以及中国证监会指定的人员组成。基金财产清算小组可以聘用必要的工作人员。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4、基金财产清算程序：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5、基金财产清算的期限为6个月。 </w:t>
      </w:r>
    </w:p>
    <w:p>
      <w:pPr>
        <w:pStyle w:val="7"/>
        <w:spacing w:before="0" w:beforeAutospacing="0" w:after="0" w:afterAutospacing="0" w:line="360" w:lineRule="auto"/>
        <w:ind w:firstLine="420"/>
        <w:rPr>
          <w:sz w:val="21"/>
          <w:szCs w:val="21"/>
        </w:rPr>
      </w:pPr>
      <w:r>
        <w:rPr>
          <w:rFonts w:hint="eastAsia"/>
          <w:sz w:val="21"/>
          <w:szCs w:val="21"/>
        </w:rPr>
        <w:t xml:space="preserve">基金管理人应在6个月内办理基金财产的清算事宜，基金财产清算小组可根据基金财产的情况确定清算期限；在特殊情况下，若截至清算期限届满日，本基金仍持有流通受限证券的（包括但不限于未到期回购等），基金管理人可在该等证券可流通后进行二次清算。本基金的清算期限自动顺延至全部基金财产清算完毕之日。 </w:t>
      </w:r>
    </w:p>
    <w:p>
      <w:pPr>
        <w:pStyle w:val="7"/>
        <w:spacing w:before="0" w:beforeAutospacing="0" w:after="0" w:afterAutospacing="0" w:line="360" w:lineRule="auto"/>
        <w:ind w:firstLine="420"/>
        <w:rPr>
          <w:sz w:val="21"/>
          <w:szCs w:val="21"/>
        </w:rPr>
      </w:pPr>
      <w:r>
        <w:rPr>
          <w:rStyle w:val="11"/>
          <w:rFonts w:hint="eastAsia"/>
          <w:sz w:val="21"/>
          <w:szCs w:val="21"/>
        </w:rPr>
        <w:t>四、清算费用</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清算费用是指基金财产清算小组在进行基金清算过程中发生的所有合理费用，清算费用由基金财产清算小组优先从基金剩余财产中支付。 </w:t>
      </w:r>
    </w:p>
    <w:p>
      <w:pPr>
        <w:pStyle w:val="7"/>
        <w:spacing w:before="0" w:beforeAutospacing="0" w:after="0" w:afterAutospacing="0" w:line="360" w:lineRule="auto"/>
        <w:ind w:firstLine="420"/>
        <w:rPr>
          <w:sz w:val="21"/>
          <w:szCs w:val="21"/>
        </w:rPr>
      </w:pPr>
      <w:r>
        <w:rPr>
          <w:rStyle w:val="11"/>
          <w:rFonts w:hint="eastAsia"/>
          <w:sz w:val="21"/>
          <w:szCs w:val="21"/>
        </w:rPr>
        <w:t>五、基金财产清算剩余资产的分配</w:t>
      </w:r>
    </w:p>
    <w:p>
      <w:pPr>
        <w:pStyle w:val="7"/>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pPr>
        <w:pStyle w:val="7"/>
        <w:spacing w:before="0" w:beforeAutospacing="0" w:after="0" w:afterAutospacing="0" w:line="360" w:lineRule="auto"/>
        <w:ind w:firstLine="420"/>
        <w:rPr>
          <w:sz w:val="21"/>
          <w:szCs w:val="21"/>
        </w:rPr>
      </w:pPr>
      <w:r>
        <w:rPr>
          <w:rStyle w:val="11"/>
          <w:rFonts w:hint="eastAsia"/>
          <w:sz w:val="21"/>
          <w:szCs w:val="21"/>
        </w:rPr>
        <w:t>六、基金财产清算的公告</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 </w:t>
      </w:r>
    </w:p>
    <w:p>
      <w:pPr>
        <w:pStyle w:val="7"/>
        <w:spacing w:before="0" w:beforeAutospacing="0" w:after="0" w:afterAutospacing="0" w:line="360" w:lineRule="auto"/>
        <w:ind w:firstLine="420"/>
        <w:rPr>
          <w:sz w:val="21"/>
          <w:szCs w:val="21"/>
        </w:rPr>
      </w:pPr>
      <w:r>
        <w:rPr>
          <w:rStyle w:val="11"/>
          <w:rFonts w:hint="eastAsia"/>
          <w:sz w:val="21"/>
          <w:szCs w:val="21"/>
        </w:rPr>
        <w:t>七、基金财产清算账册及文件的保存</w:t>
      </w:r>
    </w:p>
    <w:p>
      <w:pPr>
        <w:pStyle w:val="7"/>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基金财产清算账册及有关文件由基金托管人保存15年以上。 </w:t>
      </w:r>
    </w:p>
    <w:p>
      <w:pPr>
        <w:pStyle w:val="7"/>
        <w:spacing w:before="0" w:beforeAutospacing="0" w:after="0" w:afterAutospacing="0" w:line="360" w:lineRule="auto"/>
        <w:ind w:firstLine="420"/>
        <w:rPr>
          <w:sz w:val="21"/>
          <w:szCs w:val="21"/>
        </w:rPr>
      </w:pPr>
      <w:r>
        <w:rPr>
          <w:rStyle w:val="11"/>
          <w:rFonts w:hint="eastAsia"/>
          <w:sz w:val="21"/>
          <w:szCs w:val="21"/>
        </w:rPr>
        <w:t>八、基金合并</w:t>
      </w:r>
    </w:p>
    <w:p>
      <w:pPr>
        <w:pStyle w:val="7"/>
        <w:spacing w:before="0" w:beforeAutospacing="0" w:after="0" w:afterAutospacing="0" w:line="360" w:lineRule="auto"/>
        <w:ind w:firstLine="420"/>
        <w:rPr>
          <w:sz w:val="21"/>
          <w:szCs w:val="21"/>
        </w:rPr>
      </w:pPr>
      <w:bookmarkStart w:id="190" w:name="chapter_level1_20_69_section_1_end"/>
      <w:bookmarkEnd w:id="190"/>
      <w:r>
        <w:rPr>
          <w:rFonts w:hint="eastAsia"/>
          <w:sz w:val="21"/>
          <w:szCs w:val="21"/>
        </w:rPr>
        <w:t xml:space="preserve">本基金与其他基金的合并应当按照法律法规规定的程序进行。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1" w:name="_Toc113633900"/>
      <w:bookmarkStart w:id="192" w:name="chapter_level1_21_71"/>
      <w:r>
        <w:rPr>
          <w:rFonts w:hint="eastAsia" w:ascii="宋体" w:hAnsi="宋体" w:eastAsia="宋体"/>
          <w:sz w:val="30"/>
        </w:rPr>
        <w:t>第十八部分  基金合同的内容摘要</w:t>
      </w:r>
      <w:bookmarkEnd w:id="191"/>
      <w:bookmarkEnd w:id="192"/>
    </w:p>
    <w:p>
      <w:pPr>
        <w:pStyle w:val="7"/>
        <w:spacing w:before="0" w:beforeAutospacing="0" w:after="0" w:afterAutospacing="0" w:line="360" w:lineRule="auto"/>
        <w:ind w:firstLine="420"/>
        <w:rPr>
          <w:sz w:val="21"/>
          <w:szCs w:val="21"/>
        </w:rPr>
      </w:pPr>
      <w:bookmarkStart w:id="193" w:name="chapter_level1_21_71_section_1"/>
      <w:bookmarkEnd w:id="193"/>
      <w:r>
        <w:rPr>
          <w:rStyle w:val="11"/>
          <w:rFonts w:hint="eastAsia"/>
          <w:sz w:val="21"/>
          <w:szCs w:val="21"/>
        </w:rPr>
        <w:t>一、基金份额持有人、基金管理人和基金托管人的权利、义务</w:t>
      </w:r>
    </w:p>
    <w:p>
      <w:pPr>
        <w:pStyle w:val="7"/>
        <w:spacing w:before="0" w:beforeAutospacing="0" w:after="0" w:afterAutospacing="0" w:line="360" w:lineRule="auto"/>
        <w:ind w:firstLine="420"/>
        <w:rPr>
          <w:sz w:val="21"/>
          <w:szCs w:val="21"/>
        </w:rPr>
      </w:pPr>
      <w:r>
        <w:rPr>
          <w:rFonts w:hint="eastAsia"/>
          <w:sz w:val="21"/>
          <w:szCs w:val="21"/>
        </w:rPr>
        <w:t xml:space="preserve">（一）基金管理人的权利与义务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1、根据《基金法》、《运作办法》及其他有关规定，基金管理人的权利包括但不限于：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（1）依法募集资金； </w:t>
      </w:r>
    </w:p>
    <w:p>
      <w:pPr>
        <w:pStyle w:val="7"/>
        <w:spacing w:before="0" w:beforeAutospacing="0" w:after="0" w:afterAutospacing="0" w:line="360" w:lineRule="auto"/>
        <w:ind w:firstLine="420"/>
        <w:rPr>
          <w:sz w:val="21"/>
          <w:szCs w:val="21"/>
        </w:rPr>
      </w:pPr>
      <w:r>
        <w:rPr>
          <w:rFonts w:hint="eastAsia"/>
          <w:sz w:val="21"/>
          <w:szCs w:val="21"/>
        </w:rPr>
        <w:t xml:space="preserve">（2）自《基金合同》生效之日起，根据法律法规和《基金合同》独立运用并管理基金财产； </w:t>
      </w:r>
    </w:p>
    <w:p>
      <w:pPr>
        <w:pStyle w:val="7"/>
        <w:spacing w:before="0" w:beforeAutospacing="0" w:after="0" w:afterAutospacing="0" w:line="360" w:lineRule="auto"/>
        <w:ind w:firstLine="420"/>
        <w:rPr>
          <w:sz w:val="21"/>
          <w:szCs w:val="21"/>
        </w:rPr>
      </w:pPr>
      <w:r>
        <w:rPr>
          <w:rFonts w:hint="eastAsia"/>
          <w:sz w:val="21"/>
          <w:szCs w:val="21"/>
        </w:rPr>
        <w:t xml:space="preserve">（3）依照《基金合同》收取基金管理费以及法律法规规定或中国证监会批准的其他费用； </w:t>
      </w:r>
    </w:p>
    <w:p>
      <w:pPr>
        <w:pStyle w:val="7"/>
        <w:spacing w:before="0" w:beforeAutospacing="0" w:after="0" w:afterAutospacing="0" w:line="360" w:lineRule="auto"/>
        <w:ind w:firstLine="420"/>
        <w:rPr>
          <w:sz w:val="21"/>
          <w:szCs w:val="21"/>
        </w:rPr>
      </w:pPr>
      <w:r>
        <w:rPr>
          <w:rFonts w:hint="eastAsia"/>
          <w:sz w:val="21"/>
          <w:szCs w:val="21"/>
        </w:rPr>
        <w:t xml:space="preserve">（4）销售基金份额； </w:t>
      </w:r>
    </w:p>
    <w:p>
      <w:pPr>
        <w:pStyle w:val="7"/>
        <w:spacing w:before="0" w:beforeAutospacing="0" w:after="0" w:afterAutospacing="0" w:line="360" w:lineRule="auto"/>
        <w:ind w:firstLine="420"/>
        <w:rPr>
          <w:sz w:val="21"/>
          <w:szCs w:val="21"/>
        </w:rPr>
      </w:pPr>
      <w:r>
        <w:rPr>
          <w:rFonts w:hint="eastAsia"/>
          <w:sz w:val="21"/>
          <w:szCs w:val="21"/>
        </w:rPr>
        <w:t xml:space="preserve">（5）按照规定召集基金份额持有人大会；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pPr>
        <w:pStyle w:val="7"/>
        <w:spacing w:before="0" w:beforeAutospacing="0" w:after="0" w:afterAutospacing="0" w:line="360" w:lineRule="auto"/>
        <w:ind w:firstLine="420"/>
        <w:rPr>
          <w:sz w:val="21"/>
          <w:szCs w:val="21"/>
        </w:rPr>
      </w:pPr>
      <w:r>
        <w:rPr>
          <w:rFonts w:hint="eastAsia"/>
          <w:sz w:val="21"/>
          <w:szCs w:val="21"/>
        </w:rPr>
        <w:t xml:space="preserve">（7）在基金托管人更换时，提名新的基金托管人； </w:t>
      </w:r>
    </w:p>
    <w:p>
      <w:pPr>
        <w:pStyle w:val="7"/>
        <w:spacing w:before="0" w:beforeAutospacing="0" w:after="0" w:afterAutospacing="0" w:line="360" w:lineRule="auto"/>
        <w:ind w:firstLine="420"/>
        <w:rPr>
          <w:sz w:val="21"/>
          <w:szCs w:val="21"/>
        </w:rPr>
      </w:pPr>
      <w:r>
        <w:rPr>
          <w:rFonts w:hint="eastAsia"/>
          <w:sz w:val="21"/>
          <w:szCs w:val="21"/>
        </w:rPr>
        <w:t xml:space="preserve">（8）选择、更换基金销售机构，对基金销售机构的相关行为进行监督和处理； </w:t>
      </w:r>
    </w:p>
    <w:p>
      <w:pPr>
        <w:pStyle w:val="7"/>
        <w:spacing w:before="0" w:beforeAutospacing="0" w:after="0" w:afterAutospacing="0" w:line="360" w:lineRule="auto"/>
        <w:ind w:firstLine="420"/>
        <w:rPr>
          <w:sz w:val="21"/>
          <w:szCs w:val="21"/>
        </w:rPr>
      </w:pPr>
      <w:r>
        <w:rPr>
          <w:rFonts w:hint="eastAsia"/>
          <w:sz w:val="21"/>
          <w:szCs w:val="21"/>
        </w:rPr>
        <w:t xml:space="preserve">（9）担任或委托其他符合条件的机构担任基金登记机构办理基金登记业务并获得《基金合同》规定的费用； </w:t>
      </w:r>
    </w:p>
    <w:p>
      <w:pPr>
        <w:pStyle w:val="7"/>
        <w:spacing w:before="0" w:beforeAutospacing="0" w:after="0" w:afterAutospacing="0" w:line="360" w:lineRule="auto"/>
        <w:ind w:firstLine="420"/>
        <w:rPr>
          <w:sz w:val="21"/>
          <w:szCs w:val="21"/>
        </w:rPr>
      </w:pPr>
      <w:r>
        <w:rPr>
          <w:rFonts w:hint="eastAsia"/>
          <w:sz w:val="21"/>
          <w:szCs w:val="21"/>
        </w:rPr>
        <w:t xml:space="preserve">（10）依据《基金合同》及有关法律规定决定基金收益的分配方案；         </w:t>
      </w:r>
    </w:p>
    <w:p>
      <w:pPr>
        <w:pStyle w:val="7"/>
        <w:spacing w:before="0" w:beforeAutospacing="0" w:after="0" w:afterAutospacing="0" w:line="360" w:lineRule="auto"/>
        <w:ind w:firstLine="420"/>
        <w:rPr>
          <w:sz w:val="21"/>
          <w:szCs w:val="21"/>
        </w:rPr>
      </w:pPr>
      <w:r>
        <w:rPr>
          <w:rFonts w:hint="eastAsia"/>
          <w:sz w:val="21"/>
          <w:szCs w:val="21"/>
        </w:rPr>
        <w:t xml:space="preserve">（11）在《基金合同》约定的范围内，拒绝或暂停受理申购、赎回与转换申请； </w:t>
      </w:r>
    </w:p>
    <w:p>
      <w:pPr>
        <w:pStyle w:val="7"/>
        <w:spacing w:before="0" w:beforeAutospacing="0" w:after="0" w:afterAutospacing="0" w:line="360" w:lineRule="auto"/>
        <w:ind w:firstLine="420"/>
        <w:rPr>
          <w:sz w:val="21"/>
          <w:szCs w:val="21"/>
        </w:rPr>
      </w:pPr>
      <w:r>
        <w:rPr>
          <w:rFonts w:hint="eastAsia"/>
          <w:sz w:val="21"/>
          <w:szCs w:val="21"/>
        </w:rPr>
        <w:t xml:space="preserve">（12）依照法律法规为基金的利益对被投资公司行使股东权利，为基金的利益行使因基金财产投资于证券所产生的权利；      </w:t>
      </w:r>
    </w:p>
    <w:p>
      <w:pPr>
        <w:pStyle w:val="7"/>
        <w:spacing w:before="0" w:beforeAutospacing="0" w:after="0" w:afterAutospacing="0" w:line="360" w:lineRule="auto"/>
        <w:ind w:firstLine="420"/>
        <w:rPr>
          <w:sz w:val="21"/>
          <w:szCs w:val="21"/>
        </w:rPr>
      </w:pPr>
      <w:r>
        <w:rPr>
          <w:rFonts w:hint="eastAsia"/>
          <w:sz w:val="21"/>
          <w:szCs w:val="21"/>
        </w:rPr>
        <w:t xml:space="preserve">（13）在法律法规允许的前提下，为基金的利益依法为基金进行融资、融券； </w:t>
      </w:r>
    </w:p>
    <w:p>
      <w:pPr>
        <w:pStyle w:val="7"/>
        <w:spacing w:before="0" w:beforeAutospacing="0" w:after="0" w:afterAutospacing="0" w:line="360" w:lineRule="auto"/>
        <w:ind w:firstLine="420"/>
        <w:rPr>
          <w:sz w:val="21"/>
          <w:szCs w:val="21"/>
        </w:rPr>
      </w:pPr>
      <w:r>
        <w:rPr>
          <w:rFonts w:hint="eastAsia"/>
          <w:sz w:val="21"/>
          <w:szCs w:val="21"/>
        </w:rPr>
        <w:t xml:space="preserve">（14）以基金管理人的名义，代表基金份额持有人的利益行使诉讼权利或者实施其他法律行为；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（15）选择、更换律师事务所、会计师事务所、证券、期货经纪商或其他为基金提供服务的外部机构；    </w:t>
      </w:r>
    </w:p>
    <w:p>
      <w:pPr>
        <w:pStyle w:val="7"/>
        <w:spacing w:before="0" w:beforeAutospacing="0" w:after="0" w:afterAutospacing="0" w:line="360" w:lineRule="auto"/>
        <w:ind w:firstLine="420"/>
        <w:rPr>
          <w:sz w:val="21"/>
          <w:szCs w:val="21"/>
        </w:rPr>
      </w:pPr>
      <w:r>
        <w:rPr>
          <w:rFonts w:hint="eastAsia"/>
          <w:sz w:val="21"/>
          <w:szCs w:val="21"/>
        </w:rPr>
        <w:t xml:space="preserve">（16）在符合有关法律、法规的前提下，制订和调整有关基金认购、申购、赎回、转换、定期定额投资和非交易过户等业务规则； </w:t>
      </w:r>
    </w:p>
    <w:p>
      <w:pPr>
        <w:pStyle w:val="7"/>
        <w:spacing w:before="0" w:beforeAutospacing="0" w:after="0" w:afterAutospacing="0" w:line="360" w:lineRule="auto"/>
        <w:ind w:firstLine="420"/>
        <w:rPr>
          <w:sz w:val="21"/>
          <w:szCs w:val="21"/>
        </w:rPr>
      </w:pPr>
      <w:r>
        <w:rPr>
          <w:rFonts w:hint="eastAsia"/>
          <w:sz w:val="21"/>
          <w:szCs w:val="21"/>
        </w:rPr>
        <w:t xml:space="preserve">（17）法律法规及中国证监会规定的和《基金合同》约定的其他权利。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2、根据《基金法》、《运作办法》及其他有关规定，基金管理人的义务包括但不限于：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pPr>
        <w:pStyle w:val="7"/>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7"/>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pPr>
        <w:pStyle w:val="7"/>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7"/>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7"/>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pPr>
        <w:pStyle w:val="7"/>
        <w:spacing w:before="0" w:beforeAutospacing="0" w:after="0" w:afterAutospacing="0" w:line="360" w:lineRule="auto"/>
        <w:ind w:firstLine="420"/>
        <w:rPr>
          <w:sz w:val="21"/>
          <w:szCs w:val="21"/>
        </w:rPr>
      </w:pPr>
      <w:r>
        <w:rPr>
          <w:rFonts w:hint="eastAsia"/>
          <w:sz w:val="21"/>
          <w:szCs w:val="21"/>
        </w:rPr>
        <w:t xml:space="preserve">（7）依法接受基金托管人的监督； </w:t>
      </w:r>
    </w:p>
    <w:p>
      <w:pPr>
        <w:pStyle w:val="7"/>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pPr>
        <w:pStyle w:val="7"/>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pPr>
        <w:pStyle w:val="7"/>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7"/>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7"/>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 </w:t>
      </w:r>
    </w:p>
    <w:p>
      <w:pPr>
        <w:pStyle w:val="7"/>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pPr>
        <w:pStyle w:val="7"/>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pPr>
        <w:pStyle w:val="7"/>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pPr>
        <w:pStyle w:val="7"/>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pPr>
        <w:pStyle w:val="7"/>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pPr>
        <w:pStyle w:val="7"/>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pPr>
        <w:pStyle w:val="7"/>
        <w:spacing w:before="0" w:beforeAutospacing="0" w:after="0" w:afterAutospacing="0" w:line="360" w:lineRule="auto"/>
        <w:ind w:firstLine="420"/>
        <w:rPr>
          <w:sz w:val="21"/>
          <w:szCs w:val="21"/>
        </w:rPr>
      </w:pPr>
      <w:r>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pPr>
        <w:pStyle w:val="7"/>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pPr>
        <w:pStyle w:val="7"/>
        <w:spacing w:before="0" w:beforeAutospacing="0" w:after="0" w:afterAutospacing="0" w:line="360" w:lineRule="auto"/>
        <w:ind w:firstLine="420"/>
        <w:rPr>
          <w:sz w:val="21"/>
          <w:szCs w:val="21"/>
        </w:rPr>
      </w:pPr>
      <w:r>
        <w:rPr>
          <w:rFonts w:hint="eastAsia"/>
          <w:sz w:val="21"/>
          <w:szCs w:val="21"/>
        </w:rPr>
        <w:t xml:space="preserve">（二）基金托管人的权利与义务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1、根据《基金法》、《运作办法》及其他有关规定，基金托管人的权利包括但不限于：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（1）自《基金合同》生效之日起，依法律法规和《基金合同》的规定安全保管基金财产；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（2）依《基金合同》约定获得基金托管费以及法律法规规定或监管部门批准的其他费用； </w:t>
      </w:r>
    </w:p>
    <w:p>
      <w:pPr>
        <w:pStyle w:val="7"/>
        <w:spacing w:before="0" w:beforeAutospacing="0" w:after="0" w:afterAutospacing="0" w:line="360" w:lineRule="auto"/>
        <w:ind w:firstLine="420"/>
        <w:rPr>
          <w:sz w:val="21"/>
          <w:szCs w:val="21"/>
        </w:rPr>
      </w:pPr>
      <w:r>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pPr>
        <w:pStyle w:val="7"/>
        <w:spacing w:before="0" w:beforeAutospacing="0" w:after="0" w:afterAutospacing="0" w:line="360" w:lineRule="auto"/>
        <w:ind w:firstLine="420"/>
        <w:rPr>
          <w:sz w:val="21"/>
          <w:szCs w:val="21"/>
        </w:rPr>
      </w:pPr>
      <w:r>
        <w:rPr>
          <w:rFonts w:hint="eastAsia"/>
          <w:sz w:val="21"/>
          <w:szCs w:val="21"/>
        </w:rPr>
        <w:t xml:space="preserve">（4）根据相关市场规则，为基金开设资金账户、证券账户等投资所需账户，为基金办理证券、期货交易资金清算； </w:t>
      </w:r>
    </w:p>
    <w:p>
      <w:pPr>
        <w:pStyle w:val="7"/>
        <w:spacing w:before="0" w:beforeAutospacing="0" w:after="0" w:afterAutospacing="0" w:line="360" w:lineRule="auto"/>
        <w:ind w:firstLine="420"/>
        <w:rPr>
          <w:sz w:val="21"/>
          <w:szCs w:val="21"/>
        </w:rPr>
      </w:pPr>
      <w:r>
        <w:rPr>
          <w:rFonts w:hint="eastAsia"/>
          <w:sz w:val="21"/>
          <w:szCs w:val="21"/>
        </w:rPr>
        <w:t xml:space="preserve">（5）提议召开或召集基金份额持有人大会；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（6）在基金管理人更换时，提名新的基金管理人； </w:t>
      </w:r>
    </w:p>
    <w:p>
      <w:pPr>
        <w:pStyle w:val="7"/>
        <w:spacing w:before="0" w:beforeAutospacing="0" w:after="0" w:afterAutospacing="0" w:line="360" w:lineRule="auto"/>
        <w:ind w:firstLine="420"/>
        <w:rPr>
          <w:sz w:val="21"/>
          <w:szCs w:val="21"/>
        </w:rPr>
      </w:pPr>
      <w:r>
        <w:rPr>
          <w:rFonts w:hint="eastAsia"/>
          <w:sz w:val="21"/>
          <w:szCs w:val="21"/>
        </w:rPr>
        <w:t xml:space="preserve">（7）法律法规及中国证监会规定的和《基金合同》约定的其他权利。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2、根据《基金法》、《运作办法》及其他有关规定，基金托管人的义务包括但不限于：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（1）以诚实信用、勤勉尽责的原则持有并安全保管基金财产； </w:t>
      </w:r>
    </w:p>
    <w:p>
      <w:pPr>
        <w:pStyle w:val="7"/>
        <w:spacing w:before="0" w:beforeAutospacing="0" w:after="0" w:afterAutospacing="0" w:line="360" w:lineRule="auto"/>
        <w:ind w:firstLine="420"/>
        <w:rPr>
          <w:sz w:val="21"/>
          <w:szCs w:val="21"/>
        </w:rPr>
      </w:pPr>
      <w:r>
        <w:rPr>
          <w:rFonts w:hint="eastAsia"/>
          <w:sz w:val="21"/>
          <w:szCs w:val="21"/>
        </w:rPr>
        <w:t xml:space="preserve">（2）设立专门的基金托管部门，具有符合要求的营业场所，配备足够的、合格的熟悉基金托管业务的专职人员，负责基金财产托管事宜； </w:t>
      </w:r>
    </w:p>
    <w:p>
      <w:pPr>
        <w:pStyle w:val="7"/>
        <w:spacing w:before="0" w:beforeAutospacing="0" w:after="0" w:afterAutospacing="0" w:line="360" w:lineRule="auto"/>
        <w:ind w:firstLine="420"/>
        <w:rPr>
          <w:sz w:val="21"/>
          <w:szCs w:val="21"/>
        </w:rPr>
      </w:pPr>
      <w:r>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pPr>
        <w:pStyle w:val="7"/>
        <w:spacing w:before="0" w:beforeAutospacing="0" w:after="0" w:afterAutospacing="0" w:line="360" w:lineRule="auto"/>
        <w:ind w:firstLine="420"/>
        <w:rPr>
          <w:sz w:val="21"/>
          <w:szCs w:val="21"/>
        </w:rPr>
      </w:pPr>
      <w:r>
        <w:rPr>
          <w:rFonts w:hint="eastAsia"/>
          <w:sz w:val="21"/>
          <w:szCs w:val="21"/>
        </w:rPr>
        <w:t xml:space="preserve">（4）除依据《基金法》、《基金合同》及其他有关规定外，不得利用基金财产为自己及任何第三人谋取利益，不得委托第三人托管基金财产；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（5）保管由基金管理人代表基金签订的与基金有关的重大合同及有关凭证； </w:t>
      </w:r>
    </w:p>
    <w:p>
      <w:pPr>
        <w:pStyle w:val="7"/>
        <w:spacing w:before="0" w:beforeAutospacing="0" w:after="0" w:afterAutospacing="0" w:line="360" w:lineRule="auto"/>
        <w:ind w:firstLine="420"/>
        <w:rPr>
          <w:sz w:val="21"/>
          <w:szCs w:val="21"/>
        </w:rPr>
      </w:pPr>
      <w:r>
        <w:rPr>
          <w:rFonts w:hint="eastAsia"/>
          <w:sz w:val="21"/>
          <w:szCs w:val="21"/>
        </w:rPr>
        <w:t xml:space="preserve">（6）按规定开设基金财产的资金账户、证券账户等投资所需账户，按照《基金合同》的约定，根据基金管理人的投资指令，及时办理清算、交割事宜； </w:t>
      </w:r>
    </w:p>
    <w:p>
      <w:pPr>
        <w:pStyle w:val="7"/>
        <w:spacing w:before="0" w:beforeAutospacing="0" w:after="0" w:afterAutospacing="0" w:line="360" w:lineRule="auto"/>
        <w:ind w:firstLine="420"/>
        <w:rPr>
          <w:sz w:val="21"/>
          <w:szCs w:val="21"/>
        </w:rPr>
      </w:pPr>
      <w:r>
        <w:rPr>
          <w:rFonts w:hint="eastAsia"/>
          <w:sz w:val="21"/>
          <w:szCs w:val="21"/>
        </w:rPr>
        <w:t xml:space="preserve">（7）保守基金商业秘密，除《基金法》、《基金合同》及其他有关规定另有规定外，在基金信息公开披露前予以保密，不得向他人泄露； </w:t>
      </w:r>
    </w:p>
    <w:p>
      <w:pPr>
        <w:pStyle w:val="7"/>
        <w:spacing w:before="0" w:beforeAutospacing="0" w:after="0" w:afterAutospacing="0" w:line="360" w:lineRule="auto"/>
        <w:ind w:firstLine="420"/>
        <w:rPr>
          <w:sz w:val="21"/>
          <w:szCs w:val="21"/>
        </w:rPr>
      </w:pPr>
      <w:r>
        <w:rPr>
          <w:rFonts w:hint="eastAsia"/>
          <w:sz w:val="21"/>
          <w:szCs w:val="21"/>
        </w:rPr>
        <w:t xml:space="preserve">（8）复核、审查基金管理人计算的基金资产净值、基金份额净值、基金份额申购、赎回价格； </w:t>
      </w:r>
    </w:p>
    <w:p>
      <w:pPr>
        <w:pStyle w:val="7"/>
        <w:spacing w:before="0" w:beforeAutospacing="0" w:after="0" w:afterAutospacing="0" w:line="360" w:lineRule="auto"/>
        <w:ind w:firstLine="420"/>
        <w:rPr>
          <w:sz w:val="21"/>
          <w:szCs w:val="21"/>
        </w:rPr>
      </w:pPr>
      <w:r>
        <w:rPr>
          <w:rFonts w:hint="eastAsia"/>
          <w:sz w:val="21"/>
          <w:szCs w:val="21"/>
        </w:rPr>
        <w:t xml:space="preserve">（9）办理与基金托管业务活动有关的信息披露事项； </w:t>
      </w:r>
    </w:p>
    <w:p>
      <w:pPr>
        <w:pStyle w:val="7"/>
        <w:spacing w:before="0" w:beforeAutospacing="0" w:after="0" w:afterAutospacing="0" w:line="360" w:lineRule="auto"/>
        <w:ind w:firstLine="420"/>
        <w:rPr>
          <w:sz w:val="21"/>
          <w:szCs w:val="21"/>
        </w:rPr>
      </w:pPr>
      <w:r>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pPr>
        <w:pStyle w:val="7"/>
        <w:spacing w:before="0" w:beforeAutospacing="0" w:after="0" w:afterAutospacing="0" w:line="360" w:lineRule="auto"/>
        <w:ind w:firstLine="420"/>
        <w:rPr>
          <w:sz w:val="21"/>
          <w:szCs w:val="21"/>
        </w:rPr>
      </w:pPr>
      <w:r>
        <w:rPr>
          <w:rFonts w:hint="eastAsia"/>
          <w:sz w:val="21"/>
          <w:szCs w:val="21"/>
        </w:rPr>
        <w:t xml:space="preserve">（11）保存基金托管业务活动的记录、账册、报表和其他相关资料15年以上； </w:t>
      </w:r>
    </w:p>
    <w:p>
      <w:pPr>
        <w:pStyle w:val="7"/>
        <w:spacing w:before="0" w:beforeAutospacing="0" w:after="0" w:afterAutospacing="0" w:line="360" w:lineRule="auto"/>
        <w:ind w:firstLine="420"/>
        <w:rPr>
          <w:sz w:val="21"/>
          <w:szCs w:val="21"/>
        </w:rPr>
      </w:pPr>
      <w:r>
        <w:rPr>
          <w:rFonts w:hint="eastAsia"/>
          <w:sz w:val="21"/>
          <w:szCs w:val="21"/>
        </w:rPr>
        <w:t xml:space="preserve">（12）保存基金份额持有人名册；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（13）按规定制作相关账册并与基金管理人核对； </w:t>
      </w:r>
    </w:p>
    <w:p>
      <w:pPr>
        <w:pStyle w:val="7"/>
        <w:spacing w:before="0" w:beforeAutospacing="0" w:after="0" w:afterAutospacing="0" w:line="360" w:lineRule="auto"/>
        <w:ind w:firstLine="420"/>
        <w:rPr>
          <w:sz w:val="21"/>
          <w:szCs w:val="21"/>
        </w:rPr>
      </w:pPr>
      <w:r>
        <w:rPr>
          <w:rFonts w:hint="eastAsia"/>
          <w:sz w:val="21"/>
          <w:szCs w:val="21"/>
        </w:rPr>
        <w:t xml:space="preserve">（14）依据基金管理人的指令或有关规定向基金份额持有人支付基金收益和赎回款项； </w:t>
      </w:r>
    </w:p>
    <w:p>
      <w:pPr>
        <w:pStyle w:val="7"/>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（15）依据《基金法》、《基金合同》及其他有关规定，召集基金份额持有人大会或配合基金管理人、基金份额持有人依法召集基金份额持有人大会；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（16）按照法律法规和《基金合同》的规定监督基金管理人的投资运作；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（17）参加基金财产清算小组，参与基金财产的保管、清理、估价、变现和分配； </w:t>
      </w:r>
    </w:p>
    <w:p>
      <w:pPr>
        <w:pStyle w:val="7"/>
        <w:spacing w:before="0" w:beforeAutospacing="0" w:after="0" w:afterAutospacing="0" w:line="360" w:lineRule="auto"/>
        <w:ind w:firstLine="420"/>
        <w:rPr>
          <w:sz w:val="21"/>
          <w:szCs w:val="21"/>
        </w:rPr>
      </w:pPr>
      <w:r>
        <w:rPr>
          <w:rFonts w:hint="eastAsia"/>
          <w:sz w:val="21"/>
          <w:szCs w:val="21"/>
        </w:rPr>
        <w:t xml:space="preserve">（18）面临解散、依法被撤销或者被依法宣告破产时，及时报告中国证监会和银行监管机构，并通知基金管理人； </w:t>
      </w:r>
    </w:p>
    <w:p>
      <w:pPr>
        <w:pStyle w:val="7"/>
        <w:spacing w:before="0" w:beforeAutospacing="0" w:after="0" w:afterAutospacing="0" w:line="360" w:lineRule="auto"/>
        <w:ind w:firstLine="420"/>
        <w:rPr>
          <w:sz w:val="21"/>
          <w:szCs w:val="21"/>
        </w:rPr>
      </w:pPr>
      <w:r>
        <w:rPr>
          <w:rFonts w:hint="eastAsia"/>
          <w:sz w:val="21"/>
          <w:szCs w:val="21"/>
        </w:rPr>
        <w:t xml:space="preserve">（19）因违反《基金合同》导致基金财产损失时，应承担赔偿责任，其赔偿责任不因其退任而免除； </w:t>
      </w:r>
    </w:p>
    <w:p>
      <w:pPr>
        <w:pStyle w:val="7"/>
        <w:spacing w:before="0" w:beforeAutospacing="0" w:after="0" w:afterAutospacing="0" w:line="360" w:lineRule="auto"/>
        <w:ind w:firstLine="420"/>
        <w:rPr>
          <w:sz w:val="21"/>
          <w:szCs w:val="21"/>
        </w:rPr>
      </w:pPr>
      <w:r>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pPr>
        <w:pStyle w:val="7"/>
        <w:spacing w:before="0" w:beforeAutospacing="0" w:after="0" w:afterAutospacing="0" w:line="360" w:lineRule="auto"/>
        <w:ind w:firstLine="420"/>
        <w:rPr>
          <w:sz w:val="21"/>
          <w:szCs w:val="21"/>
        </w:rPr>
      </w:pPr>
      <w:r>
        <w:rPr>
          <w:rFonts w:hint="eastAsia"/>
          <w:sz w:val="21"/>
          <w:szCs w:val="21"/>
        </w:rPr>
        <w:t xml:space="preserve">（21）执行生效的基金份额持有人大会的决议；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（22）法律法规及中国证监会规定的和《基金合同》约定的其他义务。 </w:t>
      </w:r>
    </w:p>
    <w:p>
      <w:pPr>
        <w:pStyle w:val="7"/>
        <w:spacing w:before="0" w:beforeAutospacing="0" w:after="0" w:afterAutospacing="0" w:line="360" w:lineRule="auto"/>
        <w:ind w:firstLine="420"/>
        <w:rPr>
          <w:sz w:val="21"/>
          <w:szCs w:val="21"/>
        </w:rPr>
      </w:pPr>
      <w:r>
        <w:rPr>
          <w:rFonts w:hint="eastAsia"/>
          <w:sz w:val="21"/>
          <w:szCs w:val="21"/>
        </w:rPr>
        <w:t xml:space="preserve">（三）基金份额持有人的权利和义务 </w:t>
      </w:r>
    </w:p>
    <w:p>
      <w:pPr>
        <w:pStyle w:val="7"/>
        <w:spacing w:before="0" w:beforeAutospacing="0" w:after="0" w:afterAutospacing="0" w:line="360" w:lineRule="auto"/>
        <w:ind w:firstLine="420"/>
        <w:rPr>
          <w:sz w:val="21"/>
          <w:szCs w:val="21"/>
        </w:rPr>
      </w:pPr>
      <w:r>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pPr>
        <w:pStyle w:val="7"/>
        <w:spacing w:before="0" w:beforeAutospacing="0" w:after="0" w:afterAutospacing="0" w:line="360" w:lineRule="auto"/>
        <w:ind w:firstLine="420"/>
        <w:rPr>
          <w:sz w:val="21"/>
          <w:szCs w:val="21"/>
        </w:rPr>
      </w:pPr>
      <w:r>
        <w:rPr>
          <w:rFonts w:hint="eastAsia"/>
          <w:sz w:val="21"/>
          <w:szCs w:val="21"/>
        </w:rPr>
        <w:t xml:space="preserve">每份基金份额具有同等的合法权益。 </w:t>
      </w:r>
    </w:p>
    <w:p>
      <w:pPr>
        <w:pStyle w:val="7"/>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1、根据《基金法》、《运作办法》及其他有关规定，基金份额持有人的权利包括但不限于： </w:t>
      </w:r>
    </w:p>
    <w:p>
      <w:pPr>
        <w:pStyle w:val="7"/>
        <w:spacing w:before="0" w:beforeAutospacing="0" w:after="0" w:afterAutospacing="0" w:line="360" w:lineRule="auto"/>
        <w:ind w:firstLine="420"/>
        <w:rPr>
          <w:sz w:val="21"/>
          <w:szCs w:val="21"/>
        </w:rPr>
      </w:pPr>
      <w:r>
        <w:rPr>
          <w:rFonts w:hint="eastAsia"/>
          <w:sz w:val="21"/>
          <w:szCs w:val="21"/>
        </w:rPr>
        <w:t xml:space="preserve">（1）分享基金财产收益； </w:t>
      </w:r>
    </w:p>
    <w:p>
      <w:pPr>
        <w:pStyle w:val="7"/>
        <w:spacing w:before="0" w:beforeAutospacing="0" w:after="0" w:afterAutospacing="0" w:line="360" w:lineRule="auto"/>
        <w:ind w:firstLine="420"/>
        <w:rPr>
          <w:sz w:val="21"/>
          <w:szCs w:val="21"/>
        </w:rPr>
      </w:pPr>
      <w:r>
        <w:rPr>
          <w:rFonts w:hint="eastAsia"/>
          <w:sz w:val="21"/>
          <w:szCs w:val="21"/>
        </w:rPr>
        <w:t xml:space="preserve">（2）参与分配清算后的剩余基金财产； </w:t>
      </w:r>
    </w:p>
    <w:p>
      <w:pPr>
        <w:pStyle w:val="7"/>
        <w:spacing w:before="0" w:beforeAutospacing="0" w:after="0" w:afterAutospacing="0" w:line="360" w:lineRule="auto"/>
        <w:ind w:firstLine="420"/>
        <w:rPr>
          <w:sz w:val="21"/>
          <w:szCs w:val="21"/>
        </w:rPr>
      </w:pPr>
      <w:r>
        <w:rPr>
          <w:rFonts w:hint="eastAsia"/>
          <w:sz w:val="21"/>
          <w:szCs w:val="21"/>
        </w:rPr>
        <w:t xml:space="preserve">（3）依法转让或者申请赎回其持有的基金份额； </w:t>
      </w:r>
    </w:p>
    <w:p>
      <w:pPr>
        <w:pStyle w:val="7"/>
        <w:spacing w:before="0" w:beforeAutospacing="0" w:after="0" w:afterAutospacing="0" w:line="360" w:lineRule="auto"/>
        <w:ind w:firstLine="420"/>
        <w:rPr>
          <w:sz w:val="21"/>
          <w:szCs w:val="21"/>
        </w:rPr>
      </w:pPr>
      <w:r>
        <w:rPr>
          <w:rFonts w:hint="eastAsia"/>
          <w:sz w:val="21"/>
          <w:szCs w:val="21"/>
        </w:rPr>
        <w:t xml:space="preserve">（4）按照规定要求召开基金份额持有人大会或者召集基金份额持有人大会；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（5）出席或者委派代表出席基金份额持有人大会，对基金份额持有人大会审议事项行使表决权； </w:t>
      </w:r>
    </w:p>
    <w:p>
      <w:pPr>
        <w:pStyle w:val="7"/>
        <w:spacing w:before="0" w:beforeAutospacing="0" w:after="0" w:afterAutospacing="0" w:line="360" w:lineRule="auto"/>
        <w:ind w:firstLine="420"/>
        <w:rPr>
          <w:sz w:val="21"/>
          <w:szCs w:val="21"/>
        </w:rPr>
      </w:pPr>
      <w:r>
        <w:rPr>
          <w:rFonts w:hint="eastAsia"/>
          <w:sz w:val="21"/>
          <w:szCs w:val="21"/>
        </w:rPr>
        <w:t xml:space="preserve">（6）查阅或者复制公开披露的基金信息资料； </w:t>
      </w:r>
    </w:p>
    <w:p>
      <w:pPr>
        <w:pStyle w:val="7"/>
        <w:spacing w:before="0" w:beforeAutospacing="0" w:after="0" w:afterAutospacing="0" w:line="360" w:lineRule="auto"/>
        <w:ind w:firstLine="420"/>
        <w:rPr>
          <w:sz w:val="21"/>
          <w:szCs w:val="21"/>
        </w:rPr>
      </w:pPr>
      <w:r>
        <w:rPr>
          <w:rFonts w:hint="eastAsia"/>
          <w:sz w:val="21"/>
          <w:szCs w:val="21"/>
        </w:rPr>
        <w:t xml:space="preserve">（7）监督基金管理人的投资运作； </w:t>
      </w:r>
    </w:p>
    <w:p>
      <w:pPr>
        <w:pStyle w:val="7"/>
        <w:spacing w:before="0" w:beforeAutospacing="0" w:after="0" w:afterAutospacing="0" w:line="360" w:lineRule="auto"/>
        <w:ind w:firstLine="420"/>
        <w:rPr>
          <w:sz w:val="21"/>
          <w:szCs w:val="21"/>
        </w:rPr>
      </w:pPr>
      <w:r>
        <w:rPr>
          <w:rFonts w:hint="eastAsia"/>
          <w:sz w:val="21"/>
          <w:szCs w:val="21"/>
        </w:rPr>
        <w:t xml:space="preserve">（8）对基金管理人、基金托管人、基金服务机构损害其合法权益的行为依法提起诉讼或仲裁； </w:t>
      </w:r>
    </w:p>
    <w:p>
      <w:pPr>
        <w:pStyle w:val="7"/>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（9）法律法规及中国证监会规定的和《基金合同》约定的其他权利。 </w:t>
      </w:r>
    </w:p>
    <w:p>
      <w:pPr>
        <w:pStyle w:val="7"/>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2、根据《基金法》、《运作办法》及其他有关规定，基金份额持有人的义务包括但不限于： </w:t>
      </w:r>
    </w:p>
    <w:p>
      <w:pPr>
        <w:pStyle w:val="7"/>
        <w:spacing w:before="0" w:beforeAutospacing="0" w:after="0" w:afterAutospacing="0" w:line="360" w:lineRule="auto"/>
        <w:ind w:firstLine="420"/>
        <w:rPr>
          <w:sz w:val="21"/>
          <w:szCs w:val="21"/>
        </w:rPr>
      </w:pPr>
      <w:r>
        <w:rPr>
          <w:rFonts w:hint="eastAsia"/>
          <w:sz w:val="21"/>
          <w:szCs w:val="21"/>
        </w:rPr>
        <w:t xml:space="preserve">（1）认真阅读并遵守《基金合同》、招募说明书等信息披露文件； </w:t>
      </w:r>
    </w:p>
    <w:p>
      <w:pPr>
        <w:pStyle w:val="7"/>
        <w:spacing w:before="0" w:beforeAutospacing="0" w:after="0" w:afterAutospacing="0" w:line="360" w:lineRule="auto"/>
        <w:ind w:firstLine="420"/>
        <w:rPr>
          <w:sz w:val="21"/>
          <w:szCs w:val="21"/>
        </w:rPr>
      </w:pPr>
      <w:r>
        <w:rPr>
          <w:rFonts w:hint="eastAsia"/>
          <w:sz w:val="21"/>
          <w:szCs w:val="21"/>
        </w:rPr>
        <w:t xml:space="preserve">（2）了解所投资基金产品，了解自身风险承受能力，自主判断基金的投资价值，自主做出投资决策，自行承担投资风险； </w:t>
      </w:r>
    </w:p>
    <w:p>
      <w:pPr>
        <w:pStyle w:val="7"/>
        <w:spacing w:before="0" w:beforeAutospacing="0" w:after="0" w:afterAutospacing="0" w:line="360" w:lineRule="auto"/>
        <w:ind w:firstLine="420"/>
        <w:rPr>
          <w:sz w:val="21"/>
          <w:szCs w:val="21"/>
        </w:rPr>
      </w:pPr>
      <w:r>
        <w:rPr>
          <w:rFonts w:hint="eastAsia"/>
          <w:sz w:val="21"/>
          <w:szCs w:val="21"/>
        </w:rPr>
        <w:t xml:space="preserve">（3）关注基金信息披露，及时行使权利和履行义务； </w:t>
      </w:r>
    </w:p>
    <w:p>
      <w:pPr>
        <w:pStyle w:val="7"/>
        <w:spacing w:before="0" w:beforeAutospacing="0" w:after="0" w:afterAutospacing="0" w:line="360" w:lineRule="auto"/>
        <w:ind w:firstLine="420"/>
        <w:rPr>
          <w:sz w:val="21"/>
          <w:szCs w:val="21"/>
        </w:rPr>
      </w:pPr>
      <w:r>
        <w:rPr>
          <w:rFonts w:hint="eastAsia"/>
          <w:sz w:val="21"/>
          <w:szCs w:val="21"/>
        </w:rPr>
        <w:t xml:space="preserve">（4）缴纳基金认购、申购款项及法律法规和《基金合同》所规定的费用； </w:t>
      </w:r>
    </w:p>
    <w:p>
      <w:pPr>
        <w:pStyle w:val="7"/>
        <w:spacing w:before="0" w:beforeAutospacing="0" w:after="0" w:afterAutospacing="0" w:line="360" w:lineRule="auto"/>
        <w:ind w:firstLine="420"/>
        <w:rPr>
          <w:sz w:val="21"/>
          <w:szCs w:val="21"/>
        </w:rPr>
      </w:pPr>
      <w:r>
        <w:rPr>
          <w:rFonts w:hint="eastAsia"/>
          <w:sz w:val="21"/>
          <w:szCs w:val="21"/>
        </w:rPr>
        <w:t xml:space="preserve">（5）在其持有的基金份额范围内，承担基金亏损或者《基金合同》终止的有限责任； </w:t>
      </w:r>
    </w:p>
    <w:p>
      <w:pPr>
        <w:pStyle w:val="7"/>
        <w:spacing w:before="0" w:beforeAutospacing="0" w:after="0" w:afterAutospacing="0" w:line="360" w:lineRule="auto"/>
        <w:ind w:firstLine="420"/>
        <w:rPr>
          <w:sz w:val="21"/>
          <w:szCs w:val="21"/>
        </w:rPr>
      </w:pPr>
      <w:r>
        <w:rPr>
          <w:rFonts w:hint="eastAsia"/>
          <w:sz w:val="21"/>
          <w:szCs w:val="21"/>
        </w:rPr>
        <w:t xml:space="preserve">（6）不从事任何有损基金及其他《基金合同》当事人合法权益的活动； </w:t>
      </w:r>
    </w:p>
    <w:p>
      <w:pPr>
        <w:pStyle w:val="7"/>
        <w:spacing w:before="0" w:beforeAutospacing="0" w:after="0" w:afterAutospacing="0" w:line="360" w:lineRule="auto"/>
        <w:ind w:firstLine="420"/>
        <w:rPr>
          <w:sz w:val="21"/>
          <w:szCs w:val="21"/>
        </w:rPr>
      </w:pPr>
      <w:r>
        <w:rPr>
          <w:rFonts w:hint="eastAsia"/>
          <w:sz w:val="21"/>
          <w:szCs w:val="21"/>
        </w:rPr>
        <w:t xml:space="preserve">（7）执行生效的基金份额持有人大会的决议； </w:t>
      </w:r>
    </w:p>
    <w:p>
      <w:pPr>
        <w:pStyle w:val="7"/>
        <w:spacing w:before="0" w:beforeAutospacing="0" w:after="0" w:afterAutospacing="0" w:line="360" w:lineRule="auto"/>
        <w:ind w:firstLine="420"/>
        <w:rPr>
          <w:sz w:val="21"/>
          <w:szCs w:val="21"/>
        </w:rPr>
      </w:pPr>
      <w:r>
        <w:rPr>
          <w:rFonts w:hint="eastAsia"/>
          <w:sz w:val="21"/>
          <w:szCs w:val="21"/>
        </w:rPr>
        <w:t xml:space="preserve">（8）返还在基金交易过程中因任何原因获得的不当得利； </w:t>
      </w:r>
    </w:p>
    <w:p>
      <w:pPr>
        <w:pStyle w:val="7"/>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（9）法律法规及中国证监会规定的和《基金合同》约定的其他义务。 </w:t>
      </w:r>
    </w:p>
    <w:p>
      <w:pPr>
        <w:pStyle w:val="7"/>
        <w:spacing w:before="0" w:beforeAutospacing="0" w:after="0" w:afterAutospacing="0" w:line="360" w:lineRule="auto"/>
        <w:ind w:firstLine="420"/>
        <w:rPr>
          <w:sz w:val="21"/>
          <w:szCs w:val="21"/>
        </w:rPr>
      </w:pPr>
      <w:r>
        <w:rPr>
          <w:rStyle w:val="11"/>
          <w:rFonts w:hint="eastAsia"/>
          <w:sz w:val="21"/>
          <w:szCs w:val="21"/>
        </w:rPr>
        <w:t>二、基金份额持有人大会召集、议事及表决的程序和规则</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pPr>
        <w:pStyle w:val="7"/>
        <w:spacing w:before="0" w:beforeAutospacing="0" w:after="0" w:afterAutospacing="0" w:line="360" w:lineRule="auto"/>
        <w:ind w:firstLine="420"/>
        <w:rPr>
          <w:sz w:val="21"/>
          <w:szCs w:val="21"/>
        </w:rPr>
      </w:pPr>
      <w:r>
        <w:rPr>
          <w:rFonts w:hint="eastAsia"/>
          <w:sz w:val="21"/>
          <w:szCs w:val="21"/>
        </w:rPr>
        <w:t xml:space="preserve">本基金份额持有人大会不设日常机构。 </w:t>
      </w:r>
    </w:p>
    <w:p>
      <w:pPr>
        <w:pStyle w:val="7"/>
        <w:spacing w:before="0" w:beforeAutospacing="0" w:after="0" w:afterAutospacing="0" w:line="360" w:lineRule="auto"/>
        <w:ind w:firstLine="420"/>
        <w:rPr>
          <w:sz w:val="21"/>
          <w:szCs w:val="21"/>
        </w:rPr>
      </w:pPr>
      <w:r>
        <w:rPr>
          <w:rFonts w:hint="eastAsia"/>
          <w:sz w:val="21"/>
          <w:szCs w:val="21"/>
        </w:rPr>
        <w:t xml:space="preserve">（一）召开事由 </w:t>
      </w:r>
    </w:p>
    <w:p>
      <w:pPr>
        <w:pStyle w:val="7"/>
        <w:spacing w:before="0" w:beforeAutospacing="0" w:after="0" w:afterAutospacing="0" w:line="360" w:lineRule="auto"/>
        <w:ind w:firstLine="420"/>
        <w:rPr>
          <w:sz w:val="21"/>
          <w:szCs w:val="21"/>
        </w:rPr>
      </w:pPr>
      <w:r>
        <w:rPr>
          <w:rFonts w:hint="eastAsia"/>
          <w:sz w:val="21"/>
          <w:szCs w:val="21"/>
        </w:rPr>
        <w:t xml:space="preserve">1、除法律法规和中国证监会另有规定或《基金合同》另有约定外，当出现或需要决定下列事由之一的，应当召开基金份额持有人大会：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（1）终止《基金合同》； </w:t>
      </w:r>
    </w:p>
    <w:p>
      <w:pPr>
        <w:pStyle w:val="7"/>
        <w:spacing w:before="0" w:beforeAutospacing="0" w:after="0" w:afterAutospacing="0" w:line="360" w:lineRule="auto"/>
        <w:ind w:firstLine="420"/>
        <w:rPr>
          <w:sz w:val="21"/>
          <w:szCs w:val="21"/>
        </w:rPr>
      </w:pPr>
      <w:r>
        <w:rPr>
          <w:rFonts w:hint="eastAsia"/>
          <w:sz w:val="21"/>
          <w:szCs w:val="21"/>
        </w:rPr>
        <w:t xml:space="preserve">（2）更换基金管理人； </w:t>
      </w:r>
    </w:p>
    <w:p>
      <w:pPr>
        <w:pStyle w:val="7"/>
        <w:spacing w:before="0" w:beforeAutospacing="0" w:after="0" w:afterAutospacing="0" w:line="360" w:lineRule="auto"/>
        <w:ind w:firstLine="420"/>
        <w:rPr>
          <w:sz w:val="21"/>
          <w:szCs w:val="21"/>
        </w:rPr>
      </w:pPr>
      <w:r>
        <w:rPr>
          <w:rFonts w:hint="eastAsia"/>
          <w:sz w:val="21"/>
          <w:szCs w:val="21"/>
        </w:rPr>
        <w:t xml:space="preserve">（3）更换基金托管人； </w:t>
      </w:r>
    </w:p>
    <w:p>
      <w:pPr>
        <w:pStyle w:val="7"/>
        <w:spacing w:before="0" w:beforeAutospacing="0" w:after="0" w:afterAutospacing="0" w:line="360" w:lineRule="auto"/>
        <w:ind w:firstLine="420"/>
        <w:rPr>
          <w:sz w:val="21"/>
          <w:szCs w:val="21"/>
        </w:rPr>
      </w:pPr>
      <w:r>
        <w:rPr>
          <w:rFonts w:hint="eastAsia"/>
          <w:sz w:val="21"/>
          <w:szCs w:val="21"/>
        </w:rPr>
        <w:t xml:space="preserve">（4）转换基金运作方式； </w:t>
      </w:r>
    </w:p>
    <w:p>
      <w:pPr>
        <w:pStyle w:val="7"/>
        <w:spacing w:before="0" w:beforeAutospacing="0" w:after="0" w:afterAutospacing="0" w:line="360" w:lineRule="auto"/>
        <w:ind w:firstLine="420"/>
        <w:rPr>
          <w:sz w:val="21"/>
          <w:szCs w:val="21"/>
        </w:rPr>
      </w:pPr>
      <w:r>
        <w:rPr>
          <w:rFonts w:hint="eastAsia"/>
          <w:sz w:val="21"/>
          <w:szCs w:val="21"/>
        </w:rPr>
        <w:t xml:space="preserve">（5）调整基金管理人、基金托管人的报酬标准； </w:t>
      </w:r>
    </w:p>
    <w:p>
      <w:pPr>
        <w:pStyle w:val="7"/>
        <w:spacing w:before="0" w:beforeAutospacing="0" w:after="0" w:afterAutospacing="0" w:line="360" w:lineRule="auto"/>
        <w:ind w:firstLine="420"/>
        <w:rPr>
          <w:sz w:val="21"/>
          <w:szCs w:val="21"/>
        </w:rPr>
      </w:pPr>
      <w:r>
        <w:rPr>
          <w:rFonts w:hint="eastAsia"/>
          <w:sz w:val="21"/>
          <w:szCs w:val="21"/>
        </w:rPr>
        <w:t xml:space="preserve">（6）变更基金类别； </w:t>
      </w:r>
    </w:p>
    <w:p>
      <w:pPr>
        <w:pStyle w:val="7"/>
        <w:spacing w:before="0" w:beforeAutospacing="0" w:after="0" w:afterAutospacing="0" w:line="360" w:lineRule="auto"/>
        <w:ind w:firstLine="420"/>
        <w:rPr>
          <w:sz w:val="21"/>
          <w:szCs w:val="21"/>
        </w:rPr>
      </w:pPr>
      <w:r>
        <w:rPr>
          <w:rFonts w:hint="eastAsia"/>
          <w:sz w:val="21"/>
          <w:szCs w:val="21"/>
        </w:rPr>
        <w:t xml:space="preserve">（7）本基金与其他基金的合并； </w:t>
      </w:r>
    </w:p>
    <w:p>
      <w:pPr>
        <w:pStyle w:val="7"/>
        <w:spacing w:before="0" w:beforeAutospacing="0" w:after="0" w:afterAutospacing="0" w:line="360" w:lineRule="auto"/>
        <w:ind w:firstLine="420"/>
        <w:rPr>
          <w:sz w:val="21"/>
          <w:szCs w:val="21"/>
        </w:rPr>
      </w:pPr>
      <w:r>
        <w:rPr>
          <w:rFonts w:hint="eastAsia"/>
          <w:sz w:val="21"/>
          <w:szCs w:val="21"/>
        </w:rPr>
        <w:t xml:space="preserve">（8）变更基金投资目标、范围或策略； </w:t>
      </w:r>
    </w:p>
    <w:p>
      <w:pPr>
        <w:pStyle w:val="7"/>
        <w:spacing w:before="0" w:beforeAutospacing="0" w:after="0" w:afterAutospacing="0" w:line="360" w:lineRule="auto"/>
        <w:ind w:firstLine="420"/>
        <w:rPr>
          <w:sz w:val="21"/>
          <w:szCs w:val="21"/>
        </w:rPr>
      </w:pPr>
      <w:r>
        <w:rPr>
          <w:rFonts w:hint="eastAsia"/>
          <w:sz w:val="21"/>
          <w:szCs w:val="21"/>
        </w:rPr>
        <w:t xml:space="preserve">（9）变更基金份额持有人大会程序； </w:t>
      </w:r>
    </w:p>
    <w:p>
      <w:pPr>
        <w:pStyle w:val="7"/>
        <w:spacing w:before="0" w:beforeAutospacing="0" w:after="0" w:afterAutospacing="0" w:line="360" w:lineRule="auto"/>
        <w:ind w:firstLine="420"/>
        <w:rPr>
          <w:sz w:val="21"/>
          <w:szCs w:val="21"/>
        </w:rPr>
      </w:pPr>
      <w:r>
        <w:rPr>
          <w:rFonts w:hint="eastAsia"/>
          <w:sz w:val="21"/>
          <w:szCs w:val="21"/>
        </w:rPr>
        <w:t xml:space="preserve">（10）基金管理人或基金托管人要求召开基金份额持有人大会；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（12）对基金合同当事人权利和义务产生重大影响的其他事项； </w:t>
      </w:r>
    </w:p>
    <w:p>
      <w:pPr>
        <w:pStyle w:val="7"/>
        <w:spacing w:before="0" w:beforeAutospacing="0" w:after="0" w:afterAutospacing="0" w:line="360" w:lineRule="auto"/>
        <w:ind w:firstLine="420"/>
        <w:rPr>
          <w:sz w:val="21"/>
          <w:szCs w:val="21"/>
        </w:rPr>
      </w:pPr>
      <w:r>
        <w:rPr>
          <w:rFonts w:hint="eastAsia"/>
          <w:sz w:val="21"/>
          <w:szCs w:val="21"/>
        </w:rPr>
        <w:t xml:space="preserve">（13）法律法规、《基金合同》或中国证监会规定的其他应当召开基金份额持有人大会的事项。 </w:t>
      </w:r>
    </w:p>
    <w:p>
      <w:pPr>
        <w:pStyle w:val="7"/>
        <w:spacing w:before="0" w:beforeAutospacing="0" w:after="0" w:afterAutospacing="0" w:line="360" w:lineRule="auto"/>
        <w:ind w:firstLine="420"/>
        <w:rPr>
          <w:sz w:val="21"/>
          <w:szCs w:val="21"/>
        </w:rPr>
      </w:pPr>
      <w:r>
        <w:rPr>
          <w:rFonts w:hint="eastAsia"/>
          <w:sz w:val="21"/>
          <w:szCs w:val="21"/>
        </w:rPr>
        <w:t xml:space="preserve">2、以下情况可由基金管理人和基金托管人协商后修改，不需召开基金份额持有人大会：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（1）法律法规要求增加的基金费用的收取； </w:t>
      </w:r>
    </w:p>
    <w:p>
      <w:pPr>
        <w:pStyle w:val="7"/>
        <w:spacing w:before="0" w:beforeAutospacing="0" w:after="0" w:afterAutospacing="0" w:line="360" w:lineRule="auto"/>
        <w:ind w:firstLine="420"/>
        <w:rPr>
          <w:sz w:val="21"/>
          <w:szCs w:val="21"/>
        </w:rPr>
      </w:pPr>
      <w:r>
        <w:rPr>
          <w:rFonts w:hint="eastAsia"/>
          <w:sz w:val="21"/>
          <w:szCs w:val="21"/>
        </w:rPr>
        <w:t xml:space="preserve">（2）在法律法规和《基金合同》规定的范围内且对现有基金份额持有人利益无实质性不利影响的前提下调整本基金的申购费率、调低赎回费率或变更收费方式，调整基金份额类别设置、对基金份额分类办法及规则进行调整； </w:t>
      </w:r>
    </w:p>
    <w:p>
      <w:pPr>
        <w:pStyle w:val="7"/>
        <w:spacing w:before="0" w:beforeAutospacing="0" w:after="0" w:afterAutospacing="0" w:line="360" w:lineRule="auto"/>
        <w:ind w:firstLine="420"/>
        <w:rPr>
          <w:sz w:val="21"/>
          <w:szCs w:val="21"/>
        </w:rPr>
      </w:pPr>
      <w:r>
        <w:rPr>
          <w:rFonts w:hint="eastAsia"/>
          <w:sz w:val="21"/>
          <w:szCs w:val="21"/>
        </w:rPr>
        <w:t xml:space="preserve">（3）因相应的法律法规发生变动而应当对《基金合同》进行修改； </w:t>
      </w:r>
    </w:p>
    <w:p>
      <w:pPr>
        <w:pStyle w:val="7"/>
        <w:spacing w:before="0" w:beforeAutospacing="0" w:after="0" w:afterAutospacing="0" w:line="360" w:lineRule="auto"/>
        <w:ind w:firstLine="420"/>
        <w:rPr>
          <w:sz w:val="21"/>
          <w:szCs w:val="21"/>
        </w:rPr>
      </w:pPr>
      <w:r>
        <w:rPr>
          <w:rFonts w:hint="eastAsia"/>
          <w:sz w:val="21"/>
          <w:szCs w:val="21"/>
        </w:rPr>
        <w:t xml:space="preserve">（4）对《基金合同》的修改对基金份额持有人利益无实质性不利影响或修改不涉及《基金合同》当事人权利义务关系发生重大变化； </w:t>
      </w:r>
    </w:p>
    <w:p>
      <w:pPr>
        <w:pStyle w:val="7"/>
        <w:spacing w:before="0" w:beforeAutospacing="0" w:after="0" w:afterAutospacing="0" w:line="360" w:lineRule="auto"/>
        <w:ind w:firstLine="420"/>
        <w:rPr>
          <w:sz w:val="21"/>
          <w:szCs w:val="21"/>
        </w:rPr>
      </w:pPr>
      <w:r>
        <w:rPr>
          <w:rFonts w:hint="eastAsia"/>
          <w:sz w:val="21"/>
          <w:szCs w:val="21"/>
        </w:rPr>
        <w:t xml:space="preserve">（5）基金管理人、登记机构、基金销售机构在法律法规规定或中国证监会许可的范围内且对现有基金份额持有人利益无实质性不利影响的前提下，调整有关认购、申购、赎回、转换、基金交易、非交易过户、转托管等业务规则； </w:t>
      </w:r>
    </w:p>
    <w:p>
      <w:pPr>
        <w:pStyle w:val="7"/>
        <w:spacing w:before="0" w:beforeAutospacing="0" w:after="0" w:afterAutospacing="0" w:line="360" w:lineRule="auto"/>
        <w:ind w:firstLine="420"/>
        <w:rPr>
          <w:sz w:val="21"/>
          <w:szCs w:val="21"/>
        </w:rPr>
      </w:pPr>
      <w:r>
        <w:rPr>
          <w:rFonts w:hint="eastAsia"/>
          <w:sz w:val="21"/>
          <w:szCs w:val="21"/>
        </w:rPr>
        <w:t xml:space="preserve">（6）在法律法规和《基金合同》规定的范围内且对现有基金份额持有人利益无实质性不利影响的前提下，基金管理人履行相关程序后本基金推出新业务或服务； </w:t>
      </w:r>
    </w:p>
    <w:p>
      <w:pPr>
        <w:pStyle w:val="7"/>
        <w:spacing w:before="0" w:beforeAutospacing="0" w:after="0" w:afterAutospacing="0" w:line="360" w:lineRule="auto"/>
        <w:ind w:firstLine="420"/>
        <w:rPr>
          <w:sz w:val="21"/>
          <w:szCs w:val="21"/>
        </w:rPr>
      </w:pPr>
      <w:r>
        <w:rPr>
          <w:rFonts w:hint="eastAsia"/>
          <w:sz w:val="21"/>
          <w:szCs w:val="21"/>
        </w:rPr>
        <w:t xml:space="preserve">（7）按照法律法规和《基金合同》规定不需召开基金份额持有人大会的其他情形。 </w:t>
      </w:r>
    </w:p>
    <w:p>
      <w:pPr>
        <w:pStyle w:val="7"/>
        <w:spacing w:before="0" w:beforeAutospacing="0" w:after="0" w:afterAutospacing="0" w:line="360" w:lineRule="auto"/>
        <w:ind w:firstLine="420"/>
        <w:rPr>
          <w:sz w:val="21"/>
          <w:szCs w:val="21"/>
        </w:rPr>
      </w:pPr>
      <w:r>
        <w:rPr>
          <w:rFonts w:hint="eastAsia"/>
          <w:sz w:val="21"/>
          <w:szCs w:val="21"/>
        </w:rPr>
        <w:t xml:space="preserve">（二）会议召集人及召集方式 </w:t>
      </w:r>
    </w:p>
    <w:p>
      <w:pPr>
        <w:pStyle w:val="7"/>
        <w:spacing w:before="0" w:beforeAutospacing="0" w:after="0" w:afterAutospacing="0" w:line="360" w:lineRule="auto"/>
        <w:ind w:firstLine="420"/>
        <w:rPr>
          <w:sz w:val="21"/>
          <w:szCs w:val="21"/>
        </w:rPr>
      </w:pPr>
      <w:r>
        <w:rPr>
          <w:rFonts w:hint="eastAsia"/>
          <w:sz w:val="21"/>
          <w:szCs w:val="21"/>
        </w:rPr>
        <w:t xml:space="preserve">1、除法律法规规定或《基金合同》另有约定外，基金份额持有人大会由基金管理人召集。 </w:t>
      </w:r>
    </w:p>
    <w:p>
      <w:pPr>
        <w:pStyle w:val="7"/>
        <w:spacing w:before="0" w:beforeAutospacing="0" w:after="0" w:afterAutospacing="0" w:line="360" w:lineRule="auto"/>
        <w:ind w:firstLine="420"/>
        <w:rPr>
          <w:sz w:val="21"/>
          <w:szCs w:val="21"/>
        </w:rPr>
      </w:pPr>
      <w:r>
        <w:rPr>
          <w:rFonts w:hint="eastAsia"/>
          <w:sz w:val="21"/>
          <w:szCs w:val="21"/>
        </w:rPr>
        <w:t xml:space="preserve">2、基金管理人未按规定召集或不能召集时，由基金托管人召集。 </w:t>
      </w:r>
    </w:p>
    <w:p>
      <w:pPr>
        <w:pStyle w:val="7"/>
        <w:spacing w:before="0" w:beforeAutospacing="0" w:after="0" w:afterAutospacing="0" w:line="360" w:lineRule="auto"/>
        <w:ind w:firstLine="420"/>
        <w:rPr>
          <w:sz w:val="21"/>
          <w:szCs w:val="21"/>
        </w:rPr>
      </w:pPr>
      <w:r>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pPr>
        <w:pStyle w:val="7"/>
        <w:spacing w:before="0" w:beforeAutospacing="0" w:after="0" w:afterAutospacing="0" w:line="360" w:lineRule="auto"/>
        <w:ind w:firstLine="420"/>
        <w:rPr>
          <w:sz w:val="21"/>
          <w:szCs w:val="21"/>
        </w:rPr>
      </w:pPr>
      <w:r>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pPr>
        <w:pStyle w:val="7"/>
        <w:spacing w:before="0" w:beforeAutospacing="0" w:after="0" w:afterAutospacing="0" w:line="360" w:lineRule="auto"/>
        <w:ind w:firstLine="420"/>
        <w:rPr>
          <w:sz w:val="21"/>
          <w:szCs w:val="21"/>
        </w:rPr>
      </w:pPr>
      <w:r>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pPr>
        <w:pStyle w:val="7"/>
        <w:spacing w:before="0" w:beforeAutospacing="0" w:after="0" w:afterAutospacing="0" w:line="360" w:lineRule="auto"/>
        <w:ind w:firstLine="420"/>
        <w:rPr>
          <w:sz w:val="21"/>
          <w:szCs w:val="21"/>
        </w:rPr>
      </w:pPr>
      <w:r>
        <w:rPr>
          <w:rFonts w:hint="eastAsia"/>
          <w:sz w:val="21"/>
          <w:szCs w:val="21"/>
        </w:rPr>
        <w:t xml:space="preserve">6、基金份额持有人会议的召集人负责选择确定开会时间、地点、方式和权益登记日。 </w:t>
      </w:r>
    </w:p>
    <w:p>
      <w:pPr>
        <w:pStyle w:val="7"/>
        <w:spacing w:before="0" w:beforeAutospacing="0" w:after="0" w:afterAutospacing="0" w:line="360" w:lineRule="auto"/>
        <w:ind w:firstLine="420"/>
        <w:rPr>
          <w:sz w:val="21"/>
          <w:szCs w:val="21"/>
        </w:rPr>
      </w:pPr>
      <w:r>
        <w:rPr>
          <w:rFonts w:hint="eastAsia"/>
          <w:sz w:val="21"/>
          <w:szCs w:val="21"/>
        </w:rPr>
        <w:t xml:space="preserve">（三）召开基金份额持有人大会的通知时间、通知内容、通知方式 </w:t>
      </w:r>
    </w:p>
    <w:p>
      <w:pPr>
        <w:pStyle w:val="7"/>
        <w:spacing w:before="0" w:beforeAutospacing="0" w:after="0" w:afterAutospacing="0" w:line="360" w:lineRule="auto"/>
        <w:ind w:firstLine="420"/>
        <w:rPr>
          <w:sz w:val="21"/>
          <w:szCs w:val="21"/>
        </w:rPr>
      </w:pPr>
      <w:r>
        <w:rPr>
          <w:rFonts w:hint="eastAsia"/>
          <w:sz w:val="21"/>
          <w:szCs w:val="21"/>
        </w:rPr>
        <w:t xml:space="preserve">1、召开基金份额持有人大会，召集人应于会议召开前30日，在指定媒介公告。基金份额持有人大会通知应至少载明以下内容： </w:t>
      </w:r>
    </w:p>
    <w:p>
      <w:pPr>
        <w:pStyle w:val="7"/>
        <w:spacing w:before="0" w:beforeAutospacing="0" w:after="0" w:afterAutospacing="0" w:line="360" w:lineRule="auto"/>
        <w:ind w:firstLine="420"/>
        <w:rPr>
          <w:sz w:val="21"/>
          <w:szCs w:val="21"/>
        </w:rPr>
      </w:pPr>
      <w:r>
        <w:rPr>
          <w:rFonts w:hint="eastAsia"/>
          <w:sz w:val="21"/>
          <w:szCs w:val="21"/>
        </w:rPr>
        <w:t xml:space="preserve">（1）会议召开的时间、地点和会议形式； </w:t>
      </w:r>
    </w:p>
    <w:p>
      <w:pPr>
        <w:pStyle w:val="7"/>
        <w:spacing w:before="0" w:beforeAutospacing="0" w:after="0" w:afterAutospacing="0" w:line="360" w:lineRule="auto"/>
        <w:ind w:firstLine="420"/>
        <w:rPr>
          <w:sz w:val="21"/>
          <w:szCs w:val="21"/>
        </w:rPr>
      </w:pPr>
      <w:r>
        <w:rPr>
          <w:rFonts w:hint="eastAsia"/>
          <w:sz w:val="21"/>
          <w:szCs w:val="21"/>
        </w:rPr>
        <w:t xml:space="preserve">（2）会议拟审议的事项、议事程序和表决方式； </w:t>
      </w:r>
    </w:p>
    <w:p>
      <w:pPr>
        <w:pStyle w:val="7"/>
        <w:spacing w:before="0" w:beforeAutospacing="0" w:after="0" w:afterAutospacing="0" w:line="360" w:lineRule="auto"/>
        <w:ind w:firstLine="420"/>
        <w:rPr>
          <w:sz w:val="21"/>
          <w:szCs w:val="21"/>
        </w:rPr>
      </w:pPr>
      <w:r>
        <w:rPr>
          <w:rFonts w:hint="eastAsia"/>
          <w:sz w:val="21"/>
          <w:szCs w:val="21"/>
        </w:rPr>
        <w:t xml:space="preserve">（3）有权出席基金份额持有人大会的基金份额持有人的权益登记日； </w:t>
      </w:r>
    </w:p>
    <w:p>
      <w:pPr>
        <w:pStyle w:val="7"/>
        <w:spacing w:before="0" w:beforeAutospacing="0" w:after="0" w:afterAutospacing="0" w:line="360" w:lineRule="auto"/>
        <w:ind w:firstLine="420"/>
        <w:rPr>
          <w:sz w:val="21"/>
          <w:szCs w:val="21"/>
        </w:rPr>
      </w:pPr>
      <w:r>
        <w:rPr>
          <w:rFonts w:hint="eastAsia"/>
          <w:sz w:val="21"/>
          <w:szCs w:val="21"/>
        </w:rPr>
        <w:t xml:space="preserve">（4）授权委托证明的内容要求（包括但不限于代理人身份，代理权限和代理有效期限等）、送达时间和地点； </w:t>
      </w:r>
    </w:p>
    <w:p>
      <w:pPr>
        <w:pStyle w:val="7"/>
        <w:spacing w:before="0" w:beforeAutospacing="0" w:after="0" w:afterAutospacing="0" w:line="360" w:lineRule="auto"/>
        <w:ind w:firstLine="420"/>
        <w:rPr>
          <w:sz w:val="21"/>
          <w:szCs w:val="21"/>
        </w:rPr>
      </w:pPr>
      <w:r>
        <w:rPr>
          <w:rFonts w:hint="eastAsia"/>
          <w:sz w:val="21"/>
          <w:szCs w:val="21"/>
        </w:rPr>
        <w:t xml:space="preserve">（5）会务常设联系人姓名及联系电话； </w:t>
      </w:r>
    </w:p>
    <w:p>
      <w:pPr>
        <w:pStyle w:val="7"/>
        <w:spacing w:before="0" w:beforeAutospacing="0" w:after="0" w:afterAutospacing="0" w:line="360" w:lineRule="auto"/>
        <w:ind w:firstLine="420"/>
        <w:rPr>
          <w:sz w:val="21"/>
          <w:szCs w:val="21"/>
        </w:rPr>
      </w:pPr>
      <w:r>
        <w:rPr>
          <w:rFonts w:hint="eastAsia"/>
          <w:sz w:val="21"/>
          <w:szCs w:val="21"/>
        </w:rPr>
        <w:t xml:space="preserve">（6）出席会议者必须准备的文件和必须履行的手续； </w:t>
      </w:r>
    </w:p>
    <w:p>
      <w:pPr>
        <w:pStyle w:val="7"/>
        <w:spacing w:before="0" w:beforeAutospacing="0" w:after="0" w:afterAutospacing="0" w:line="360" w:lineRule="auto"/>
        <w:ind w:firstLine="420"/>
        <w:rPr>
          <w:sz w:val="21"/>
          <w:szCs w:val="21"/>
        </w:rPr>
      </w:pPr>
      <w:r>
        <w:rPr>
          <w:rFonts w:hint="eastAsia"/>
          <w:sz w:val="21"/>
          <w:szCs w:val="21"/>
        </w:rPr>
        <w:t xml:space="preserve">（7）召集人需要通知的其他事项。 </w:t>
      </w:r>
    </w:p>
    <w:p>
      <w:pPr>
        <w:pStyle w:val="7"/>
        <w:spacing w:before="0" w:beforeAutospacing="0" w:after="0" w:afterAutospacing="0" w:line="360" w:lineRule="auto"/>
        <w:ind w:firstLine="420"/>
        <w:rPr>
          <w:sz w:val="21"/>
          <w:szCs w:val="21"/>
        </w:rPr>
      </w:pPr>
      <w:r>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2、采取通讯开会方式并进行表决的情况下，由会议召集人决定在会议通知中说明本次基金份额持有人大会所采取的具体通讯方式、委托的公证机关及其联系方式和联系人、表决意见寄交的截止时间和收取方式。 </w:t>
      </w:r>
    </w:p>
    <w:p>
      <w:pPr>
        <w:pStyle w:val="7"/>
        <w:spacing w:before="0" w:beforeAutospacing="0" w:after="0" w:afterAutospacing="0" w:line="360" w:lineRule="auto"/>
        <w:ind w:firstLine="420"/>
        <w:rPr>
          <w:sz w:val="21"/>
          <w:szCs w:val="21"/>
        </w:rPr>
      </w:pPr>
      <w:r>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pPr>
        <w:pStyle w:val="7"/>
        <w:spacing w:before="0" w:beforeAutospacing="0" w:after="0" w:afterAutospacing="0" w:line="360" w:lineRule="auto"/>
        <w:ind w:firstLine="420"/>
        <w:rPr>
          <w:sz w:val="21"/>
          <w:szCs w:val="21"/>
        </w:rPr>
      </w:pPr>
      <w:r>
        <w:rPr>
          <w:rFonts w:hint="eastAsia"/>
          <w:sz w:val="21"/>
          <w:szCs w:val="21"/>
        </w:rPr>
        <w:t xml:space="preserve">（四）基金份额持有人出席会议的方式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基金份额持有人大会可通过现场开会方式、通讯开会方式或法律法规、监管机构允许的其他方式召开，会议的召开方式由会议召集人确定。 </w:t>
      </w:r>
    </w:p>
    <w:p>
      <w:pPr>
        <w:pStyle w:val="7"/>
        <w:spacing w:before="0" w:beforeAutospacing="0" w:after="0" w:afterAutospacing="0" w:line="360" w:lineRule="auto"/>
        <w:ind w:firstLine="420"/>
        <w:rPr>
          <w:sz w:val="21"/>
          <w:szCs w:val="21"/>
        </w:rPr>
      </w:pPr>
      <w:r>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pPr>
        <w:pStyle w:val="7"/>
        <w:spacing w:before="0" w:beforeAutospacing="0" w:after="0" w:afterAutospacing="0" w:line="360" w:lineRule="auto"/>
        <w:ind w:firstLine="420"/>
        <w:rPr>
          <w:sz w:val="21"/>
          <w:szCs w:val="21"/>
        </w:rPr>
      </w:pPr>
      <w:r>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pPr>
        <w:pStyle w:val="7"/>
        <w:spacing w:before="0" w:beforeAutospacing="0" w:after="0" w:afterAutospacing="0" w:line="360" w:lineRule="auto"/>
        <w:ind w:firstLine="420"/>
        <w:rPr>
          <w:sz w:val="21"/>
          <w:szCs w:val="21"/>
        </w:rPr>
      </w:pPr>
      <w:r>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pPr>
        <w:pStyle w:val="7"/>
        <w:spacing w:before="0" w:beforeAutospacing="0" w:after="0" w:afterAutospacing="0" w:line="360" w:lineRule="auto"/>
        <w:ind w:firstLine="420"/>
        <w:rPr>
          <w:sz w:val="21"/>
          <w:szCs w:val="21"/>
        </w:rPr>
      </w:pPr>
      <w:r>
        <w:rPr>
          <w:rFonts w:hint="eastAsia"/>
          <w:sz w:val="21"/>
          <w:szCs w:val="21"/>
        </w:rPr>
        <w:t xml:space="preserve">2、通讯开会。通讯开会系指基金份额持有人将其对表决事项的投票以书面形式或大会公告载明的其他方式在表决截至日以前送达至召集人指定的地址。通讯开会应以书面方式或大会公告载明的其他方式进行表决。 </w:t>
      </w:r>
    </w:p>
    <w:p>
      <w:pPr>
        <w:pStyle w:val="7"/>
        <w:spacing w:before="0" w:beforeAutospacing="0" w:after="0" w:afterAutospacing="0" w:line="360" w:lineRule="auto"/>
        <w:ind w:firstLine="420"/>
        <w:rPr>
          <w:sz w:val="21"/>
          <w:szCs w:val="21"/>
        </w:rPr>
      </w:pPr>
      <w:r>
        <w:rPr>
          <w:rFonts w:hint="eastAsia"/>
          <w:sz w:val="21"/>
          <w:szCs w:val="21"/>
        </w:rPr>
        <w:t xml:space="preserve">在同时符合以下条件时，通讯开会的方式视为有效： </w:t>
      </w:r>
    </w:p>
    <w:p>
      <w:pPr>
        <w:pStyle w:val="7"/>
        <w:spacing w:before="0" w:beforeAutospacing="0" w:after="0" w:afterAutospacing="0" w:line="360" w:lineRule="auto"/>
        <w:ind w:firstLine="420"/>
        <w:rPr>
          <w:sz w:val="21"/>
          <w:szCs w:val="21"/>
        </w:rPr>
      </w:pPr>
      <w:r>
        <w:rPr>
          <w:rFonts w:hint="eastAsia"/>
          <w:sz w:val="21"/>
          <w:szCs w:val="21"/>
        </w:rPr>
        <w:t xml:space="preserve">（1）会议召集人按《基金合同》约定公布会议通知后，在2个工作日内连续公布相关提示性公告； </w:t>
      </w:r>
    </w:p>
    <w:p>
      <w:pPr>
        <w:pStyle w:val="7"/>
        <w:spacing w:before="0" w:beforeAutospacing="0" w:after="0" w:afterAutospacing="0" w:line="360" w:lineRule="auto"/>
        <w:ind w:firstLine="420"/>
        <w:rPr>
          <w:sz w:val="21"/>
          <w:szCs w:val="21"/>
        </w:rPr>
      </w:pPr>
      <w:r>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pPr>
        <w:pStyle w:val="7"/>
        <w:spacing w:before="0" w:beforeAutospacing="0" w:after="0" w:afterAutospacing="0" w:line="360" w:lineRule="auto"/>
        <w:ind w:firstLine="420"/>
        <w:rPr>
          <w:sz w:val="21"/>
          <w:szCs w:val="21"/>
        </w:rPr>
      </w:pPr>
      <w:r>
        <w:rPr>
          <w:rFonts w:hint="eastAsia"/>
          <w:sz w:val="21"/>
          <w:szCs w:val="21"/>
        </w:rPr>
        <w:t xml:space="preserve">（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表决意见或授权他人代表出具表决意见； </w:t>
      </w:r>
    </w:p>
    <w:p>
      <w:pPr>
        <w:pStyle w:val="7"/>
        <w:spacing w:before="0" w:beforeAutospacing="0" w:after="0" w:afterAutospacing="0" w:line="360" w:lineRule="auto"/>
        <w:ind w:firstLine="420"/>
        <w:rPr>
          <w:sz w:val="21"/>
          <w:szCs w:val="21"/>
        </w:rPr>
      </w:pPr>
      <w:r>
        <w:rPr>
          <w:rFonts w:hint="eastAsia"/>
          <w:sz w:val="21"/>
          <w:szCs w:val="21"/>
        </w:rPr>
        <w:t xml:space="preserve">（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 </w:t>
      </w:r>
    </w:p>
    <w:p>
      <w:pPr>
        <w:pStyle w:val="7"/>
        <w:spacing w:before="0" w:beforeAutospacing="0" w:after="0" w:afterAutospacing="0" w:line="360" w:lineRule="auto"/>
        <w:ind w:firstLine="420"/>
        <w:rPr>
          <w:sz w:val="21"/>
          <w:szCs w:val="21"/>
        </w:rPr>
      </w:pPr>
      <w:r>
        <w:rPr>
          <w:rFonts w:hint="eastAsia"/>
          <w:sz w:val="21"/>
          <w:szCs w:val="21"/>
        </w:rPr>
        <w:t xml:space="preserve">3、在法律法规和监管机关允许的情况下，本基金的基金份额持有人亦可采用其他非书面方式授权其代理人出席基金份额持有人大会，授权方式可以采用书面、网络、电话、短信或其他方式，具体方式由会议召集人确定并在会议通知中列明。 </w:t>
      </w:r>
    </w:p>
    <w:p>
      <w:pPr>
        <w:pStyle w:val="7"/>
        <w:spacing w:before="0" w:beforeAutospacing="0" w:after="0" w:afterAutospacing="0" w:line="360" w:lineRule="auto"/>
        <w:ind w:firstLine="420"/>
        <w:rPr>
          <w:sz w:val="21"/>
          <w:szCs w:val="21"/>
        </w:rPr>
      </w:pPr>
      <w:r>
        <w:rPr>
          <w:rFonts w:hint="eastAsia"/>
          <w:sz w:val="21"/>
          <w:szCs w:val="21"/>
        </w:rPr>
        <w:t xml:space="preserve">4、在会议召开方式上，本基金亦可采用其他非现场方式或者以现场方式与非现场方式相结合的方式召开基金份额持有人大会，会议程序比照现场开会和通讯方式开会的程序进行。 </w:t>
      </w:r>
    </w:p>
    <w:p>
      <w:pPr>
        <w:pStyle w:val="7"/>
        <w:spacing w:before="0" w:beforeAutospacing="0" w:after="0" w:afterAutospacing="0" w:line="360" w:lineRule="auto"/>
        <w:ind w:firstLine="420"/>
        <w:rPr>
          <w:sz w:val="21"/>
          <w:szCs w:val="21"/>
        </w:rPr>
      </w:pPr>
      <w:r>
        <w:rPr>
          <w:rFonts w:hint="eastAsia"/>
          <w:sz w:val="21"/>
          <w:szCs w:val="21"/>
        </w:rPr>
        <w:t xml:space="preserve">（五）议事内容与程序 </w:t>
      </w:r>
    </w:p>
    <w:p>
      <w:pPr>
        <w:pStyle w:val="7"/>
        <w:spacing w:before="0" w:beforeAutospacing="0" w:after="0" w:afterAutospacing="0" w:line="360" w:lineRule="auto"/>
        <w:ind w:firstLine="420"/>
        <w:rPr>
          <w:sz w:val="21"/>
          <w:szCs w:val="21"/>
        </w:rPr>
      </w:pPr>
      <w:r>
        <w:rPr>
          <w:rFonts w:hint="eastAsia"/>
          <w:sz w:val="21"/>
          <w:szCs w:val="21"/>
        </w:rPr>
        <w:t xml:space="preserve">1、议事内容及提案权 </w:t>
      </w:r>
    </w:p>
    <w:p>
      <w:pPr>
        <w:pStyle w:val="7"/>
        <w:spacing w:before="0" w:beforeAutospacing="0" w:after="0" w:afterAutospacing="0" w:line="360" w:lineRule="auto"/>
        <w:ind w:firstLine="420"/>
        <w:rPr>
          <w:sz w:val="21"/>
          <w:szCs w:val="21"/>
        </w:rPr>
      </w:pPr>
      <w:r>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基金份额持有人大会的召集人发出召集会议的通知后，对原有提案的修改应当在基金份额持有人大会召开前及时公告。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基金份额持有人大会不得对未事先公告的议事内容进行表决。 </w:t>
      </w:r>
    </w:p>
    <w:p>
      <w:pPr>
        <w:pStyle w:val="7"/>
        <w:spacing w:before="0" w:beforeAutospacing="0" w:after="0" w:afterAutospacing="0" w:line="360" w:lineRule="auto"/>
        <w:ind w:firstLine="420"/>
        <w:rPr>
          <w:sz w:val="21"/>
          <w:szCs w:val="21"/>
        </w:rPr>
      </w:pPr>
      <w:r>
        <w:rPr>
          <w:rFonts w:hint="eastAsia"/>
          <w:sz w:val="21"/>
          <w:szCs w:val="21"/>
        </w:rPr>
        <w:t xml:space="preserve">2、议事程序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pPr>
        <w:pStyle w:val="7"/>
        <w:spacing w:before="0" w:beforeAutospacing="0" w:after="0" w:afterAutospacing="0" w:line="360" w:lineRule="auto"/>
        <w:ind w:firstLine="420"/>
        <w:rPr>
          <w:sz w:val="21"/>
          <w:szCs w:val="21"/>
        </w:rPr>
      </w:pPr>
      <w:r>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pPr>
        <w:pStyle w:val="7"/>
        <w:spacing w:before="0" w:beforeAutospacing="0" w:after="0" w:afterAutospacing="0" w:line="360" w:lineRule="auto"/>
        <w:ind w:firstLine="420"/>
        <w:rPr>
          <w:sz w:val="21"/>
          <w:szCs w:val="21"/>
        </w:rPr>
      </w:pPr>
      <w:r>
        <w:rPr>
          <w:rFonts w:hint="eastAsia"/>
          <w:sz w:val="21"/>
          <w:szCs w:val="21"/>
        </w:rPr>
        <w:t xml:space="preserve">（六）表决 </w:t>
      </w:r>
    </w:p>
    <w:p>
      <w:pPr>
        <w:pStyle w:val="7"/>
        <w:spacing w:before="0" w:beforeAutospacing="0" w:after="0" w:afterAutospacing="0" w:line="360" w:lineRule="auto"/>
        <w:ind w:firstLine="420"/>
        <w:rPr>
          <w:sz w:val="21"/>
          <w:szCs w:val="21"/>
        </w:rPr>
      </w:pPr>
      <w:r>
        <w:rPr>
          <w:rFonts w:hint="eastAsia"/>
          <w:sz w:val="21"/>
          <w:szCs w:val="21"/>
        </w:rPr>
        <w:t xml:space="preserve">基金份额持有人所持每份基金份额有一票表决权。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基金份额持有人大会决议分为一般决议和特别决议： </w:t>
      </w:r>
    </w:p>
    <w:p>
      <w:pPr>
        <w:pStyle w:val="7"/>
        <w:spacing w:before="0" w:beforeAutospacing="0" w:after="0" w:afterAutospacing="0" w:line="360" w:lineRule="auto"/>
        <w:ind w:firstLine="420"/>
        <w:rPr>
          <w:sz w:val="21"/>
          <w:szCs w:val="21"/>
        </w:rPr>
      </w:pPr>
      <w:r>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pPr>
        <w:pStyle w:val="7"/>
        <w:spacing w:before="0" w:beforeAutospacing="0" w:after="0" w:afterAutospacing="0" w:line="360" w:lineRule="auto"/>
        <w:ind w:firstLine="420"/>
        <w:rPr>
          <w:sz w:val="21"/>
          <w:szCs w:val="21"/>
        </w:rPr>
      </w:pPr>
      <w:r>
        <w:rPr>
          <w:rFonts w:hint="eastAsia"/>
          <w:sz w:val="21"/>
          <w:szCs w:val="21"/>
        </w:rPr>
        <w:t xml:space="preserve">2、特别决议，特别决议应当经参加大会的基金份额持有人或其代理人所持表决权的三分之二以上（含三分之二）通过方可做出。除法律法规另有规定或基金合同另有约定外，转换基金运作方式、更换基金管理人或者基金托管人、终止《基金合同》、本基金与其他基金合并以特别决议通过方为有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基金份额持有人大会采取记名方式进行投票表决。 </w:t>
      </w:r>
    </w:p>
    <w:p>
      <w:pPr>
        <w:pStyle w:val="7"/>
        <w:spacing w:before="0" w:beforeAutospacing="0" w:after="0" w:afterAutospacing="0" w:line="360" w:lineRule="auto"/>
        <w:ind w:firstLine="420"/>
        <w:rPr>
          <w:sz w:val="21"/>
          <w:szCs w:val="21"/>
        </w:rPr>
      </w:pPr>
      <w:r>
        <w:rPr>
          <w:rFonts w:hint="eastAsia"/>
          <w:sz w:val="21"/>
          <w:szCs w:val="21"/>
        </w:rPr>
        <w:t xml:space="preserve">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基金份额持有人大会的各项提案或同一项提案内并列的各项议题应当分开审议、逐项表决。 </w:t>
      </w:r>
    </w:p>
    <w:p>
      <w:pPr>
        <w:pStyle w:val="7"/>
        <w:spacing w:before="0" w:beforeAutospacing="0" w:after="0" w:afterAutospacing="0" w:line="360" w:lineRule="auto"/>
        <w:ind w:firstLine="420"/>
        <w:rPr>
          <w:sz w:val="21"/>
          <w:szCs w:val="21"/>
        </w:rPr>
      </w:pPr>
      <w:r>
        <w:rPr>
          <w:rFonts w:hint="eastAsia"/>
          <w:sz w:val="21"/>
          <w:szCs w:val="21"/>
        </w:rPr>
        <w:t xml:space="preserve">（七）计票 </w:t>
      </w:r>
    </w:p>
    <w:p>
      <w:pPr>
        <w:pStyle w:val="7"/>
        <w:spacing w:before="0" w:beforeAutospacing="0" w:after="0" w:afterAutospacing="0" w:line="360" w:lineRule="auto"/>
        <w:ind w:firstLine="420"/>
        <w:rPr>
          <w:sz w:val="21"/>
          <w:szCs w:val="21"/>
        </w:rPr>
      </w:pPr>
      <w:r>
        <w:rPr>
          <w:rFonts w:hint="eastAsia"/>
          <w:sz w:val="21"/>
          <w:szCs w:val="21"/>
        </w:rPr>
        <w:t xml:space="preserve">1、现场开会 </w:t>
      </w:r>
    </w:p>
    <w:p>
      <w:pPr>
        <w:pStyle w:val="7"/>
        <w:spacing w:before="0" w:beforeAutospacing="0" w:after="0" w:afterAutospacing="0" w:line="360" w:lineRule="auto"/>
        <w:ind w:firstLine="420"/>
        <w:rPr>
          <w:sz w:val="21"/>
          <w:szCs w:val="21"/>
        </w:rPr>
      </w:pPr>
      <w:r>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pPr>
        <w:pStyle w:val="7"/>
        <w:spacing w:before="0" w:beforeAutospacing="0" w:after="0" w:afterAutospacing="0" w:line="360" w:lineRule="auto"/>
        <w:ind w:firstLine="420"/>
        <w:rPr>
          <w:sz w:val="21"/>
          <w:szCs w:val="21"/>
        </w:rPr>
      </w:pPr>
      <w:r>
        <w:rPr>
          <w:rFonts w:hint="eastAsia"/>
          <w:sz w:val="21"/>
          <w:szCs w:val="21"/>
        </w:rPr>
        <w:t xml:space="preserve">（2）监票人应当在基金份额持有人表决后立即进行清点并由大会主持人当场公布计票结果。 </w:t>
      </w:r>
    </w:p>
    <w:p>
      <w:pPr>
        <w:pStyle w:val="7"/>
        <w:spacing w:before="0" w:beforeAutospacing="0" w:after="0" w:afterAutospacing="0" w:line="360" w:lineRule="auto"/>
        <w:ind w:firstLine="420"/>
        <w:rPr>
          <w:sz w:val="21"/>
          <w:szCs w:val="21"/>
        </w:rPr>
      </w:pPr>
      <w:r>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pPr>
        <w:pStyle w:val="7"/>
        <w:spacing w:before="0" w:beforeAutospacing="0" w:after="0" w:afterAutospacing="0" w:line="360" w:lineRule="auto"/>
        <w:ind w:firstLine="420"/>
        <w:rPr>
          <w:sz w:val="21"/>
          <w:szCs w:val="21"/>
        </w:rPr>
      </w:pPr>
      <w:r>
        <w:rPr>
          <w:rFonts w:hint="eastAsia"/>
          <w:sz w:val="21"/>
          <w:szCs w:val="21"/>
        </w:rPr>
        <w:t xml:space="preserve">（4）计票过程应由公证机关予以公证，基金管理人或基金托管人拒不出席大会的，不影响计票的效力。 </w:t>
      </w:r>
    </w:p>
    <w:p>
      <w:pPr>
        <w:pStyle w:val="7"/>
        <w:spacing w:before="0" w:beforeAutospacing="0" w:after="0" w:afterAutospacing="0" w:line="360" w:lineRule="auto"/>
        <w:ind w:firstLine="420"/>
        <w:rPr>
          <w:sz w:val="21"/>
          <w:szCs w:val="21"/>
        </w:rPr>
      </w:pPr>
      <w:r>
        <w:rPr>
          <w:rFonts w:hint="eastAsia"/>
          <w:sz w:val="21"/>
          <w:szCs w:val="21"/>
        </w:rPr>
        <w:t xml:space="preserve">2、通讯开会 </w:t>
      </w:r>
    </w:p>
    <w:p>
      <w:pPr>
        <w:pStyle w:val="7"/>
        <w:spacing w:before="0" w:beforeAutospacing="0" w:after="0" w:afterAutospacing="0" w:line="360" w:lineRule="auto"/>
        <w:ind w:firstLine="420"/>
        <w:rPr>
          <w:sz w:val="21"/>
          <w:szCs w:val="21"/>
        </w:rPr>
      </w:pPr>
      <w:r>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 </w:t>
      </w:r>
    </w:p>
    <w:p>
      <w:pPr>
        <w:pStyle w:val="7"/>
        <w:spacing w:before="0" w:beforeAutospacing="0" w:after="0" w:afterAutospacing="0" w:line="360" w:lineRule="auto"/>
        <w:ind w:firstLine="420"/>
        <w:rPr>
          <w:sz w:val="21"/>
          <w:szCs w:val="21"/>
        </w:rPr>
      </w:pPr>
      <w:r>
        <w:rPr>
          <w:rFonts w:hint="eastAsia"/>
          <w:sz w:val="21"/>
          <w:szCs w:val="21"/>
        </w:rPr>
        <w:t xml:space="preserve">（八）生效与公告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基金份额持有人大会的决议，召集人应当自通过之日起5日内报中国证监会备案。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基金份额持有人大会的决议自表决通过之日起生效。 </w:t>
      </w:r>
    </w:p>
    <w:p>
      <w:pPr>
        <w:pStyle w:val="7"/>
        <w:spacing w:before="0" w:beforeAutospacing="0" w:after="0" w:afterAutospacing="0" w:line="360" w:lineRule="auto"/>
        <w:ind w:firstLine="420"/>
        <w:rPr>
          <w:sz w:val="21"/>
          <w:szCs w:val="21"/>
        </w:rPr>
      </w:pPr>
      <w:r>
        <w:rPr>
          <w:rFonts w:hint="eastAsia"/>
          <w:sz w:val="21"/>
          <w:szCs w:val="21"/>
        </w:rPr>
        <w:t xml:space="preserve">基金份额持有人大会决议自生效之日起按规定在指定媒介上公告。如果采用通讯方式进行表决，在公告基金份额持有人大会决议时，必须将公证书全文、公证机构、公证员姓名等一同公告。 </w:t>
      </w:r>
    </w:p>
    <w:p>
      <w:pPr>
        <w:pStyle w:val="7"/>
        <w:spacing w:before="0" w:beforeAutospacing="0" w:after="0" w:afterAutospacing="0" w:line="360" w:lineRule="auto"/>
        <w:ind w:firstLine="420"/>
        <w:rPr>
          <w:sz w:val="21"/>
          <w:szCs w:val="21"/>
        </w:rPr>
      </w:pPr>
      <w:r>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pPr>
        <w:pStyle w:val="7"/>
        <w:spacing w:before="0" w:beforeAutospacing="0" w:after="0" w:afterAutospacing="0" w:line="360" w:lineRule="auto"/>
        <w:ind w:firstLine="420"/>
        <w:rPr>
          <w:sz w:val="21"/>
          <w:szCs w:val="21"/>
        </w:rPr>
      </w:pPr>
      <w:r>
        <w:rPr>
          <w:rFonts w:hint="eastAsia"/>
          <w:sz w:val="21"/>
          <w:szCs w:val="21"/>
        </w:rPr>
        <w:t xml:space="preserve">（九）本部分关于基金份额持有人大会召开事由、召开条件、议事程序、表决条件等规定，凡是直接引用法律法规或监管规则的部分，如将来法律法规或监管规则修改导致相关内容被取消或变更的，基金管理人提前公告后，可直接对本部分内容进行修改和调整，无需召开基金份额持有人大会审议。 </w:t>
      </w:r>
    </w:p>
    <w:p>
      <w:pPr>
        <w:pStyle w:val="7"/>
        <w:spacing w:before="0" w:beforeAutospacing="0" w:after="0" w:afterAutospacing="0" w:line="360" w:lineRule="auto"/>
        <w:ind w:firstLine="420"/>
        <w:rPr>
          <w:sz w:val="21"/>
          <w:szCs w:val="21"/>
        </w:rPr>
      </w:pPr>
      <w:r>
        <w:rPr>
          <w:rStyle w:val="11"/>
          <w:rFonts w:hint="eastAsia"/>
          <w:sz w:val="21"/>
          <w:szCs w:val="21"/>
        </w:rPr>
        <w:t>三、基金合同的变更、终止与基金财产的清算</w:t>
      </w:r>
    </w:p>
    <w:p>
      <w:pPr>
        <w:pStyle w:val="7"/>
        <w:spacing w:before="0" w:beforeAutospacing="0" w:after="0" w:afterAutospacing="0" w:line="360" w:lineRule="auto"/>
        <w:ind w:firstLine="420"/>
        <w:rPr>
          <w:sz w:val="21"/>
          <w:szCs w:val="21"/>
        </w:rPr>
      </w:pPr>
      <w:r>
        <w:rPr>
          <w:rFonts w:hint="eastAsia"/>
          <w:sz w:val="21"/>
          <w:szCs w:val="21"/>
        </w:rPr>
        <w:t xml:space="preserve">（一）《基金合同》的变更 </w:t>
      </w:r>
    </w:p>
    <w:p>
      <w:pPr>
        <w:pStyle w:val="7"/>
        <w:spacing w:before="0" w:beforeAutospacing="0" w:after="0" w:afterAutospacing="0" w:line="360" w:lineRule="auto"/>
        <w:ind w:firstLine="420"/>
        <w:rPr>
          <w:sz w:val="21"/>
          <w:szCs w:val="21"/>
        </w:rPr>
      </w:pPr>
      <w:r>
        <w:rPr>
          <w:rFonts w:hint="eastAsia"/>
          <w:sz w:val="21"/>
          <w:szCs w:val="21"/>
        </w:rPr>
        <w:t xml:space="preserve">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2、关于《基金合同》变更的基金份额持有人大会决议须报中国证监会备案，自表决通过之日起生效，并自决议生效后按规定在指定媒介公告。 </w:t>
      </w:r>
    </w:p>
    <w:p>
      <w:pPr>
        <w:pStyle w:val="7"/>
        <w:spacing w:before="0" w:beforeAutospacing="0" w:after="0" w:afterAutospacing="0" w:line="360" w:lineRule="auto"/>
        <w:ind w:firstLine="420"/>
        <w:rPr>
          <w:sz w:val="21"/>
          <w:szCs w:val="21"/>
        </w:rPr>
      </w:pPr>
      <w:r>
        <w:rPr>
          <w:rFonts w:hint="eastAsia"/>
          <w:sz w:val="21"/>
          <w:szCs w:val="21"/>
        </w:rPr>
        <w:t xml:space="preserve">（二）《基金合同》的终止事由 </w:t>
      </w:r>
    </w:p>
    <w:p>
      <w:pPr>
        <w:pStyle w:val="7"/>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pPr>
        <w:pStyle w:val="7"/>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pPr>
        <w:pStyle w:val="7"/>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pPr>
        <w:pStyle w:val="7"/>
        <w:spacing w:before="0" w:beforeAutospacing="0" w:after="0" w:afterAutospacing="0" w:line="360" w:lineRule="auto"/>
        <w:ind w:firstLine="420"/>
        <w:rPr>
          <w:sz w:val="21"/>
          <w:szCs w:val="21"/>
        </w:rPr>
      </w:pPr>
      <w:r>
        <w:rPr>
          <w:rFonts w:hint="eastAsia"/>
          <w:sz w:val="21"/>
          <w:szCs w:val="21"/>
        </w:rPr>
        <w:t xml:space="preserve">3、基金合同生效后，连续六十个工作日出现基金份额持有人数量不满二百人或者基金资产净值低于五千万元情形的； </w:t>
      </w:r>
    </w:p>
    <w:p>
      <w:pPr>
        <w:pStyle w:val="7"/>
        <w:spacing w:before="0" w:beforeAutospacing="0" w:after="0" w:afterAutospacing="0" w:line="360" w:lineRule="auto"/>
        <w:ind w:firstLine="420"/>
        <w:rPr>
          <w:sz w:val="21"/>
          <w:szCs w:val="21"/>
        </w:rPr>
      </w:pPr>
      <w:r>
        <w:rPr>
          <w:rFonts w:hint="eastAsia"/>
          <w:sz w:val="21"/>
          <w:szCs w:val="21"/>
        </w:rPr>
        <w:t xml:space="preserve">4、《基金合同》约定的其他情形； </w:t>
      </w:r>
    </w:p>
    <w:p>
      <w:pPr>
        <w:pStyle w:val="7"/>
        <w:spacing w:before="0" w:beforeAutospacing="0" w:after="0" w:afterAutospacing="0" w:line="360" w:lineRule="auto"/>
        <w:ind w:firstLine="420"/>
        <w:rPr>
          <w:sz w:val="21"/>
          <w:szCs w:val="21"/>
        </w:rPr>
      </w:pPr>
      <w:r>
        <w:rPr>
          <w:rFonts w:hint="eastAsia"/>
          <w:sz w:val="21"/>
          <w:szCs w:val="21"/>
        </w:rPr>
        <w:t xml:space="preserve">5、相关法律法规和中国证监会规定的其他情况。 </w:t>
      </w:r>
    </w:p>
    <w:p>
      <w:pPr>
        <w:pStyle w:val="7"/>
        <w:spacing w:before="0" w:beforeAutospacing="0" w:after="0" w:afterAutospacing="0" w:line="360" w:lineRule="auto"/>
        <w:ind w:firstLine="420"/>
        <w:rPr>
          <w:sz w:val="21"/>
          <w:szCs w:val="21"/>
        </w:rPr>
      </w:pPr>
      <w:r>
        <w:rPr>
          <w:rFonts w:hint="eastAsia"/>
          <w:sz w:val="21"/>
          <w:szCs w:val="21"/>
        </w:rPr>
        <w:t xml:space="preserve">（三）基金财产的清算 </w:t>
      </w:r>
    </w:p>
    <w:p>
      <w:pPr>
        <w:pStyle w:val="7"/>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1、基金财产清算小组：自出现《基金合同》终止事由之日起30个工作日内成立基金财产清算小组，基金管理人组织基金财产清算小组并在中国证监会的监督下进行基金清算。 </w:t>
      </w:r>
    </w:p>
    <w:p>
      <w:pPr>
        <w:pStyle w:val="7"/>
        <w:spacing w:before="0" w:beforeAutospacing="0" w:after="0" w:afterAutospacing="0" w:line="360" w:lineRule="auto"/>
        <w:ind w:firstLine="420"/>
        <w:rPr>
          <w:sz w:val="21"/>
          <w:szCs w:val="21"/>
        </w:rPr>
      </w:pPr>
      <w:r>
        <w:rPr>
          <w:rFonts w:hint="eastAsia"/>
          <w:sz w:val="21"/>
          <w:szCs w:val="21"/>
        </w:rPr>
        <w:t xml:space="preserve">2、基金财产清算小组组成：基金财产清算小组成员由基金管理人、基金托管人、具有证券、期货相关业务资格的注册会计师、律师以及中国证监会指定的人员组成。基金财产清算小组可以聘用必要的工作人员。 </w:t>
      </w:r>
    </w:p>
    <w:p>
      <w:pPr>
        <w:pStyle w:val="7"/>
        <w:spacing w:before="0" w:beforeAutospacing="0" w:after="0" w:afterAutospacing="0" w:line="360" w:lineRule="auto"/>
        <w:ind w:firstLine="420"/>
        <w:rPr>
          <w:sz w:val="21"/>
          <w:szCs w:val="21"/>
        </w:rPr>
      </w:pPr>
      <w:r>
        <w:rPr>
          <w:rFonts w:hint="eastAsia"/>
          <w:sz w:val="21"/>
          <w:szCs w:val="21"/>
        </w:rPr>
        <w:t xml:space="preserve">3、基金财产清算小组职责：基金财产清算小组负责基金财产的保管、清理、估价、变现和分配。基金财产清算小组可以依法进行必要的民事活动。 </w:t>
      </w:r>
    </w:p>
    <w:p>
      <w:pPr>
        <w:pStyle w:val="7"/>
        <w:spacing w:before="0" w:beforeAutospacing="0" w:after="0" w:afterAutospacing="0" w:line="360" w:lineRule="auto"/>
        <w:ind w:firstLine="420"/>
        <w:rPr>
          <w:sz w:val="21"/>
          <w:szCs w:val="21"/>
        </w:rPr>
      </w:pPr>
      <w:r>
        <w:rPr>
          <w:rFonts w:hint="eastAsia"/>
          <w:sz w:val="21"/>
          <w:szCs w:val="21"/>
        </w:rPr>
        <w:t xml:space="preserve">4、基金财产清算程序： </w:t>
      </w:r>
    </w:p>
    <w:p>
      <w:pPr>
        <w:pStyle w:val="7"/>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pPr>
        <w:pStyle w:val="7"/>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pPr>
        <w:pStyle w:val="7"/>
        <w:spacing w:before="0" w:beforeAutospacing="0" w:after="0" w:afterAutospacing="0" w:line="360" w:lineRule="auto"/>
        <w:ind w:firstLine="420"/>
        <w:rPr>
          <w:sz w:val="21"/>
          <w:szCs w:val="21"/>
        </w:rPr>
      </w:pPr>
      <w:r>
        <w:rPr>
          <w:rFonts w:hint="eastAsia"/>
          <w:sz w:val="21"/>
          <w:szCs w:val="21"/>
        </w:rPr>
        <w:t xml:space="preserve">（3）对基金财产进行估值和变现； </w:t>
      </w:r>
    </w:p>
    <w:p>
      <w:pPr>
        <w:pStyle w:val="7"/>
        <w:spacing w:before="0" w:beforeAutospacing="0" w:after="0" w:afterAutospacing="0" w:line="360" w:lineRule="auto"/>
        <w:ind w:firstLine="420"/>
        <w:rPr>
          <w:sz w:val="21"/>
          <w:szCs w:val="21"/>
        </w:rPr>
      </w:pPr>
      <w:r>
        <w:rPr>
          <w:rFonts w:hint="eastAsia"/>
          <w:sz w:val="21"/>
          <w:szCs w:val="21"/>
        </w:rPr>
        <w:t xml:space="preserve">（4）制作清算报告； </w:t>
      </w:r>
    </w:p>
    <w:p>
      <w:pPr>
        <w:pStyle w:val="7"/>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pPr>
        <w:pStyle w:val="7"/>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pPr>
        <w:pStyle w:val="7"/>
        <w:spacing w:before="0" w:beforeAutospacing="0" w:after="0" w:afterAutospacing="0" w:line="360" w:lineRule="auto"/>
        <w:ind w:firstLine="420"/>
        <w:rPr>
          <w:sz w:val="21"/>
          <w:szCs w:val="21"/>
        </w:rPr>
      </w:pPr>
      <w:r>
        <w:rPr>
          <w:rFonts w:hint="eastAsia"/>
          <w:sz w:val="21"/>
          <w:szCs w:val="21"/>
        </w:rPr>
        <w:t xml:space="preserve">（7）对基金剩余财产进行分配。 </w:t>
      </w:r>
    </w:p>
    <w:p>
      <w:pPr>
        <w:pStyle w:val="7"/>
        <w:spacing w:before="0" w:beforeAutospacing="0" w:after="0" w:afterAutospacing="0" w:line="360" w:lineRule="auto"/>
        <w:ind w:firstLine="420"/>
        <w:rPr>
          <w:sz w:val="21"/>
          <w:szCs w:val="21"/>
        </w:rPr>
      </w:pPr>
      <w:r>
        <w:rPr>
          <w:rFonts w:hint="eastAsia"/>
          <w:sz w:val="21"/>
          <w:szCs w:val="21"/>
        </w:rPr>
        <w:t xml:space="preserve">5、基金财产清算的期限为6个月。 </w:t>
      </w:r>
    </w:p>
    <w:p>
      <w:pPr>
        <w:pStyle w:val="7"/>
        <w:spacing w:before="0" w:beforeAutospacing="0" w:after="0" w:afterAutospacing="0" w:line="360" w:lineRule="auto"/>
        <w:ind w:firstLine="420"/>
        <w:rPr>
          <w:sz w:val="21"/>
          <w:szCs w:val="21"/>
        </w:rPr>
      </w:pPr>
      <w:r>
        <w:rPr>
          <w:rFonts w:hint="eastAsia"/>
          <w:sz w:val="21"/>
          <w:szCs w:val="21"/>
        </w:rPr>
        <w:t xml:space="preserve">基金管理人应在6个月内办理基金财产的清算事宜，基金财产清算小组可根据基金财产的情况确定清算期限；在特殊情况下，若截至清算期限届满日，本基金仍持有流通受限证券的（包括但不限于未到期回购等），基金管理人可在该等证券可流通后进行二次清算。本基金的清算期限自动顺延至全部基金财产清算完毕之日。 </w:t>
      </w:r>
    </w:p>
    <w:p>
      <w:pPr>
        <w:pStyle w:val="7"/>
        <w:spacing w:before="0" w:beforeAutospacing="0" w:after="0" w:afterAutospacing="0" w:line="360" w:lineRule="auto"/>
        <w:ind w:firstLine="420"/>
        <w:rPr>
          <w:sz w:val="21"/>
          <w:szCs w:val="21"/>
        </w:rPr>
      </w:pPr>
      <w:r>
        <w:rPr>
          <w:rFonts w:hint="eastAsia"/>
          <w:sz w:val="21"/>
          <w:szCs w:val="21"/>
        </w:rPr>
        <w:t xml:space="preserve">（四）清算费用 </w:t>
      </w:r>
    </w:p>
    <w:p>
      <w:pPr>
        <w:pStyle w:val="7"/>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清算费用是指基金财产清算小组在进行基金清算过程中发生的所有合理费用，清算费用由基金财产清算小组优先从基金剩余财产中支付。 </w:t>
      </w:r>
    </w:p>
    <w:p>
      <w:pPr>
        <w:pStyle w:val="7"/>
        <w:spacing w:before="0" w:beforeAutospacing="0" w:after="0" w:afterAutospacing="0" w:line="360" w:lineRule="auto"/>
        <w:ind w:firstLine="420"/>
        <w:rPr>
          <w:sz w:val="21"/>
          <w:szCs w:val="21"/>
        </w:rPr>
      </w:pPr>
      <w:r>
        <w:rPr>
          <w:rFonts w:hint="eastAsia"/>
          <w:sz w:val="21"/>
          <w:szCs w:val="21"/>
        </w:rPr>
        <w:t xml:space="preserve">（五）基金财产清算剩余资产的分配 </w:t>
      </w:r>
    </w:p>
    <w:p>
      <w:pPr>
        <w:pStyle w:val="7"/>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pPr>
        <w:pStyle w:val="7"/>
        <w:spacing w:before="0" w:beforeAutospacing="0" w:after="0" w:afterAutospacing="0" w:line="360" w:lineRule="auto"/>
        <w:ind w:firstLine="420"/>
        <w:rPr>
          <w:sz w:val="21"/>
          <w:szCs w:val="21"/>
        </w:rPr>
      </w:pPr>
      <w:r>
        <w:rPr>
          <w:rFonts w:hint="eastAsia"/>
          <w:sz w:val="21"/>
          <w:szCs w:val="21"/>
        </w:rPr>
        <w:t xml:space="preserve">（六）基金财产清算的公告 </w:t>
      </w:r>
    </w:p>
    <w:p>
      <w:pPr>
        <w:pStyle w:val="7"/>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 </w:t>
      </w:r>
    </w:p>
    <w:p>
      <w:pPr>
        <w:pStyle w:val="7"/>
        <w:spacing w:before="0" w:beforeAutospacing="0" w:after="0" w:afterAutospacing="0" w:line="360" w:lineRule="auto"/>
        <w:ind w:firstLine="420"/>
        <w:rPr>
          <w:sz w:val="21"/>
          <w:szCs w:val="21"/>
        </w:rPr>
      </w:pPr>
      <w:r>
        <w:rPr>
          <w:rFonts w:hint="eastAsia"/>
          <w:sz w:val="21"/>
          <w:szCs w:val="21"/>
        </w:rPr>
        <w:t xml:space="preserve">（七）基金财产清算账册及文件的保存 </w:t>
      </w:r>
    </w:p>
    <w:p>
      <w:pPr>
        <w:pStyle w:val="7"/>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基金财产清算账册及有关文件由基金托管人保存15年以上。 </w:t>
      </w:r>
    </w:p>
    <w:p>
      <w:pPr>
        <w:pStyle w:val="7"/>
        <w:spacing w:before="0" w:beforeAutospacing="0" w:after="0" w:afterAutospacing="0" w:line="360" w:lineRule="auto"/>
        <w:ind w:firstLine="420"/>
        <w:rPr>
          <w:sz w:val="21"/>
          <w:szCs w:val="21"/>
        </w:rPr>
      </w:pPr>
      <w:r>
        <w:rPr>
          <w:rFonts w:hint="eastAsia"/>
          <w:sz w:val="21"/>
          <w:szCs w:val="21"/>
        </w:rPr>
        <w:t xml:space="preserve">（八）基金合并 </w:t>
      </w:r>
    </w:p>
    <w:p>
      <w:pPr>
        <w:pStyle w:val="7"/>
        <w:spacing w:before="0" w:beforeAutospacing="0" w:after="0" w:afterAutospacing="0" w:line="360" w:lineRule="auto"/>
        <w:ind w:firstLine="420"/>
        <w:rPr>
          <w:sz w:val="21"/>
          <w:szCs w:val="21"/>
        </w:rPr>
      </w:pPr>
      <w:r>
        <w:rPr>
          <w:rFonts w:hint="eastAsia"/>
          <w:sz w:val="21"/>
          <w:szCs w:val="21"/>
        </w:rPr>
        <w:t xml:space="preserve">本基金与其他基金的合并应当按照法律法规规定的程序进行。 </w:t>
      </w:r>
    </w:p>
    <w:p>
      <w:pPr>
        <w:pStyle w:val="7"/>
        <w:spacing w:before="0" w:beforeAutospacing="0" w:after="0" w:afterAutospacing="0" w:line="360" w:lineRule="auto"/>
        <w:ind w:firstLine="420"/>
        <w:rPr>
          <w:sz w:val="21"/>
          <w:szCs w:val="21"/>
        </w:rPr>
      </w:pPr>
      <w:r>
        <w:rPr>
          <w:rStyle w:val="11"/>
          <w:rFonts w:hint="eastAsia"/>
          <w:sz w:val="21"/>
          <w:szCs w:val="21"/>
        </w:rPr>
        <w:t>四、争议解决方式</w:t>
      </w:r>
    </w:p>
    <w:p>
      <w:pPr>
        <w:pStyle w:val="7"/>
        <w:spacing w:before="0" w:beforeAutospacing="0" w:after="0" w:afterAutospacing="0" w:line="360" w:lineRule="auto"/>
        <w:ind w:firstLine="420"/>
        <w:rPr>
          <w:sz w:val="21"/>
          <w:szCs w:val="21"/>
        </w:rPr>
      </w:pPr>
      <w:r>
        <w:rPr>
          <w:rFonts w:hint="eastAsia"/>
          <w:sz w:val="21"/>
          <w:szCs w:val="21"/>
        </w:rPr>
        <w:t xml:space="preserve">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仲裁费由败诉方承担。 </w:t>
      </w:r>
    </w:p>
    <w:p>
      <w:pPr>
        <w:pStyle w:val="7"/>
        <w:spacing w:before="0" w:beforeAutospacing="0" w:after="0" w:afterAutospacing="0" w:line="360" w:lineRule="auto"/>
        <w:ind w:firstLine="420"/>
        <w:rPr>
          <w:sz w:val="21"/>
          <w:szCs w:val="21"/>
        </w:rPr>
      </w:pPr>
      <w:r>
        <w:rPr>
          <w:rFonts w:hint="eastAsia"/>
          <w:sz w:val="21"/>
          <w:szCs w:val="21"/>
        </w:rPr>
        <w:t xml:space="preserve">争议处理期间，基金合同当事人应恪守各自的职责，继续忠实、勤勉、尽责地履行基金合同规定的义务，维护基金份额持有人的合法权益。 </w:t>
      </w:r>
    </w:p>
    <w:p>
      <w:pPr>
        <w:pStyle w:val="7"/>
        <w:spacing w:before="0" w:beforeAutospacing="0" w:after="0" w:afterAutospacing="0" w:line="360" w:lineRule="auto"/>
        <w:ind w:firstLine="420"/>
        <w:rPr>
          <w:sz w:val="21"/>
          <w:szCs w:val="21"/>
        </w:rPr>
      </w:pPr>
      <w:r>
        <w:rPr>
          <w:rFonts w:hint="eastAsia"/>
          <w:sz w:val="21"/>
          <w:szCs w:val="21"/>
        </w:rPr>
        <w:t xml:space="preserve">《基金合同》受中国（不含港澳台地区）法律管辖。 </w:t>
      </w:r>
    </w:p>
    <w:p>
      <w:pPr>
        <w:pStyle w:val="7"/>
        <w:spacing w:before="0" w:beforeAutospacing="0" w:after="0" w:afterAutospacing="0" w:line="360" w:lineRule="auto"/>
        <w:ind w:firstLine="420"/>
        <w:rPr>
          <w:sz w:val="21"/>
          <w:szCs w:val="21"/>
        </w:rPr>
      </w:pPr>
      <w:r>
        <w:rPr>
          <w:rStyle w:val="11"/>
          <w:rFonts w:hint="eastAsia"/>
          <w:sz w:val="21"/>
          <w:szCs w:val="21"/>
        </w:rPr>
        <w:t>五、基金合同存放地和投资人取得基金合同的方式</w:t>
      </w:r>
    </w:p>
    <w:p>
      <w:pPr>
        <w:pStyle w:val="7"/>
        <w:spacing w:before="0" w:beforeAutospacing="0" w:after="0" w:afterAutospacing="0" w:line="360" w:lineRule="auto"/>
        <w:ind w:firstLine="420"/>
        <w:rPr>
          <w:sz w:val="21"/>
          <w:szCs w:val="21"/>
        </w:rPr>
      </w:pPr>
      <w:r>
        <w:rPr>
          <w:rFonts w:hint="eastAsia"/>
          <w:sz w:val="21"/>
          <w:szCs w:val="21"/>
        </w:rPr>
        <w:t>《基金合同》可印制成册，供投资者在基金管理人、基金托管人、销售机构的办公场所</w:t>
      </w:r>
      <w:bookmarkStart w:id="194" w:name="chapter_level1_21_71_section_1_end"/>
      <w:bookmarkEnd w:id="194"/>
      <w:r>
        <w:rPr>
          <w:rFonts w:hint="eastAsia"/>
          <w:sz w:val="21"/>
          <w:szCs w:val="21"/>
        </w:rPr>
        <w:t xml:space="preserve">和营业场所查阅。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5" w:name="chapter_level1_22_72"/>
      <w:bookmarkStart w:id="196" w:name="_Toc113633901"/>
      <w:r>
        <w:rPr>
          <w:rFonts w:hint="eastAsia" w:ascii="宋体" w:hAnsi="宋体" w:eastAsia="宋体"/>
          <w:sz w:val="30"/>
        </w:rPr>
        <w:t>第十九部分  基金托管协议的内容摘要</w:t>
      </w:r>
      <w:bookmarkEnd w:id="195"/>
      <w:bookmarkEnd w:id="196"/>
    </w:p>
    <w:p>
      <w:pPr>
        <w:pStyle w:val="7"/>
        <w:spacing w:before="0" w:beforeAutospacing="0" w:after="0" w:afterAutospacing="0" w:line="360" w:lineRule="auto"/>
        <w:ind w:firstLine="420"/>
        <w:rPr>
          <w:sz w:val="21"/>
          <w:szCs w:val="21"/>
        </w:rPr>
      </w:pPr>
      <w:bookmarkStart w:id="197" w:name="chapter_level1_22_72_section_1"/>
      <w:bookmarkEnd w:id="197"/>
      <w:r>
        <w:rPr>
          <w:rStyle w:val="11"/>
          <w:rFonts w:hint="eastAsia"/>
          <w:sz w:val="21"/>
          <w:szCs w:val="21"/>
        </w:rPr>
        <w:t>一、托管协议当事人</w:t>
      </w:r>
    </w:p>
    <w:p>
      <w:pPr>
        <w:pStyle w:val="7"/>
        <w:spacing w:before="0" w:beforeAutospacing="0" w:after="0" w:afterAutospacing="0" w:line="360" w:lineRule="auto"/>
        <w:ind w:firstLine="420"/>
        <w:rPr>
          <w:sz w:val="21"/>
          <w:szCs w:val="21"/>
        </w:rPr>
      </w:pPr>
      <w:r>
        <w:rPr>
          <w:rFonts w:hint="eastAsia"/>
          <w:sz w:val="21"/>
          <w:szCs w:val="21"/>
        </w:rPr>
        <w:t xml:space="preserve">（一）基金管理人 </w:t>
      </w:r>
    </w:p>
    <w:p>
      <w:pPr>
        <w:pStyle w:val="7"/>
        <w:spacing w:before="0" w:beforeAutospacing="0" w:after="0" w:afterAutospacing="0" w:line="360" w:lineRule="auto"/>
        <w:ind w:firstLine="420"/>
        <w:rPr>
          <w:sz w:val="21"/>
          <w:szCs w:val="21"/>
        </w:rPr>
      </w:pPr>
      <w:r>
        <w:rPr>
          <w:rFonts w:hint="eastAsia"/>
          <w:sz w:val="21"/>
          <w:szCs w:val="21"/>
        </w:rPr>
        <w:t>名称：</w:t>
      </w:r>
      <w:bookmarkStart w:id="198" w:name="field_0_managerorgfullname_6"/>
      <w:r>
        <w:rPr>
          <w:rFonts w:hint="eastAsia"/>
          <w:sz w:val="21"/>
          <w:szCs w:val="21"/>
        </w:rPr>
        <w:t>博时基金管理有限公司</w:t>
      </w:r>
      <w:bookmarkEnd w:id="198"/>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住所： 深圳市福田区莲花街道福新社区益田路5999号基金大厦21层 </w:t>
      </w:r>
    </w:p>
    <w:p>
      <w:pPr>
        <w:pStyle w:val="7"/>
        <w:spacing w:before="0" w:beforeAutospacing="0" w:after="0" w:afterAutospacing="0" w:line="360" w:lineRule="auto"/>
        <w:ind w:firstLine="420"/>
        <w:rPr>
          <w:sz w:val="21"/>
          <w:szCs w:val="21"/>
        </w:rPr>
      </w:pPr>
      <w:r>
        <w:rPr>
          <w:rFonts w:hint="eastAsia"/>
          <w:sz w:val="21"/>
          <w:szCs w:val="21"/>
        </w:rPr>
        <w:t xml:space="preserve">法定代表人: 江向阳 </w:t>
      </w:r>
    </w:p>
    <w:p>
      <w:pPr>
        <w:pStyle w:val="7"/>
        <w:spacing w:before="0" w:beforeAutospacing="0" w:after="0" w:afterAutospacing="0" w:line="360" w:lineRule="auto"/>
        <w:ind w:firstLine="420"/>
        <w:rPr>
          <w:sz w:val="21"/>
          <w:szCs w:val="21"/>
        </w:rPr>
      </w:pPr>
      <w:r>
        <w:rPr>
          <w:rFonts w:hint="eastAsia"/>
          <w:sz w:val="21"/>
          <w:szCs w:val="21"/>
        </w:rPr>
        <w:t xml:space="preserve">设立日期：1998年7月13日 </w:t>
      </w:r>
    </w:p>
    <w:p>
      <w:pPr>
        <w:pStyle w:val="7"/>
        <w:spacing w:before="0" w:beforeAutospacing="0" w:after="0" w:afterAutospacing="0" w:line="360" w:lineRule="auto"/>
        <w:ind w:firstLine="420"/>
        <w:rPr>
          <w:sz w:val="21"/>
          <w:szCs w:val="21"/>
        </w:rPr>
      </w:pPr>
      <w:r>
        <w:rPr>
          <w:rFonts w:hint="eastAsia"/>
          <w:sz w:val="21"/>
          <w:szCs w:val="21"/>
        </w:rPr>
        <w:t xml:space="preserve">批准设立机关及批准设立文号：中国证监会证监基字【1998】26号 </w:t>
      </w:r>
    </w:p>
    <w:p>
      <w:pPr>
        <w:pStyle w:val="7"/>
        <w:spacing w:before="0" w:beforeAutospacing="0" w:after="0" w:afterAutospacing="0" w:line="360" w:lineRule="auto"/>
        <w:ind w:firstLine="420"/>
        <w:rPr>
          <w:sz w:val="21"/>
          <w:szCs w:val="21"/>
        </w:rPr>
      </w:pPr>
      <w:r>
        <w:rPr>
          <w:rFonts w:hint="eastAsia"/>
          <w:sz w:val="21"/>
          <w:szCs w:val="21"/>
        </w:rPr>
        <w:t xml:space="preserve">组织形式：有限责任公司 </w:t>
      </w:r>
    </w:p>
    <w:p>
      <w:pPr>
        <w:pStyle w:val="7"/>
        <w:spacing w:before="0" w:beforeAutospacing="0" w:after="0" w:afterAutospacing="0" w:line="360" w:lineRule="auto"/>
        <w:ind w:firstLine="420"/>
        <w:rPr>
          <w:sz w:val="21"/>
          <w:szCs w:val="21"/>
        </w:rPr>
      </w:pPr>
      <w:r>
        <w:rPr>
          <w:rFonts w:hint="eastAsia"/>
          <w:sz w:val="21"/>
          <w:szCs w:val="21"/>
        </w:rPr>
        <w:t xml:space="preserve">注册资本： 2.5亿元人民币 </w:t>
      </w:r>
    </w:p>
    <w:p>
      <w:pPr>
        <w:pStyle w:val="7"/>
        <w:spacing w:before="0" w:beforeAutospacing="0" w:after="0" w:afterAutospacing="0" w:line="360" w:lineRule="auto"/>
        <w:ind w:firstLine="420"/>
        <w:rPr>
          <w:sz w:val="21"/>
          <w:szCs w:val="21"/>
        </w:rPr>
      </w:pPr>
      <w:r>
        <w:rPr>
          <w:rFonts w:hint="eastAsia"/>
          <w:sz w:val="21"/>
          <w:szCs w:val="21"/>
        </w:rPr>
        <w:t xml:space="preserve">经营范围：基金募集；基金销售；资产管理以及中国证监会许可的其它业务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Fonts w:hint="eastAsia"/>
          <w:sz w:val="21"/>
          <w:szCs w:val="21"/>
        </w:rPr>
        <w:t xml:space="preserve">（二）基金托管人 </w:t>
      </w:r>
    </w:p>
    <w:p>
      <w:pPr>
        <w:pStyle w:val="7"/>
        <w:spacing w:before="0" w:beforeAutospacing="0" w:after="0" w:afterAutospacing="0" w:line="360" w:lineRule="auto"/>
        <w:ind w:firstLine="420"/>
        <w:rPr>
          <w:sz w:val="21"/>
          <w:szCs w:val="21"/>
        </w:rPr>
      </w:pPr>
      <w:r>
        <w:rPr>
          <w:rFonts w:hint="eastAsia"/>
          <w:sz w:val="21"/>
          <w:szCs w:val="21"/>
        </w:rPr>
        <w:t>名称：</w:t>
      </w:r>
      <w:bookmarkStart w:id="199" w:name="field_0_trustorgfullname_3"/>
      <w:r>
        <w:rPr>
          <w:rFonts w:hint="eastAsia"/>
          <w:sz w:val="21"/>
          <w:szCs w:val="21"/>
        </w:rPr>
        <w:t>中国银行股份有限公司</w:t>
      </w:r>
      <w:bookmarkEnd w:id="199"/>
      <w:r>
        <w:rPr>
          <w:rFonts w:hint="eastAsia"/>
          <w:sz w:val="21"/>
          <w:szCs w:val="21"/>
        </w:rPr>
        <w:t xml:space="preserve">  </w:t>
      </w:r>
    </w:p>
    <w:p>
      <w:pPr>
        <w:pStyle w:val="7"/>
        <w:spacing w:before="0" w:beforeAutospacing="0" w:after="0" w:afterAutospacing="0" w:line="360" w:lineRule="auto"/>
        <w:ind w:firstLine="420"/>
        <w:rPr>
          <w:sz w:val="21"/>
          <w:szCs w:val="21"/>
        </w:rPr>
      </w:pPr>
      <w:r>
        <w:rPr>
          <w:rFonts w:hint="eastAsia"/>
          <w:sz w:val="21"/>
          <w:szCs w:val="21"/>
        </w:rPr>
        <w:t xml:space="preserve">住所：北京市西城区复兴门内大街1号 </w:t>
      </w:r>
    </w:p>
    <w:p>
      <w:pPr>
        <w:pStyle w:val="7"/>
        <w:spacing w:before="0" w:beforeAutospacing="0" w:after="0" w:afterAutospacing="0" w:line="360" w:lineRule="auto"/>
        <w:ind w:firstLine="420"/>
        <w:rPr>
          <w:sz w:val="21"/>
          <w:szCs w:val="21"/>
        </w:rPr>
      </w:pPr>
      <w:r>
        <w:rPr>
          <w:rFonts w:hint="eastAsia"/>
          <w:sz w:val="21"/>
          <w:szCs w:val="21"/>
        </w:rPr>
        <w:t xml:space="preserve">法定代表人：葛海蛟 </w:t>
      </w:r>
    </w:p>
    <w:p>
      <w:pPr>
        <w:pStyle w:val="7"/>
        <w:spacing w:before="0" w:beforeAutospacing="0" w:after="0" w:afterAutospacing="0" w:line="360" w:lineRule="auto"/>
        <w:ind w:firstLine="420"/>
        <w:rPr>
          <w:sz w:val="21"/>
          <w:szCs w:val="21"/>
        </w:rPr>
      </w:pPr>
      <w:r>
        <w:rPr>
          <w:rFonts w:hint="eastAsia"/>
          <w:sz w:val="21"/>
          <w:szCs w:val="21"/>
        </w:rPr>
        <w:t xml:space="preserve">成立时间：1983年10月31日 </w:t>
      </w:r>
    </w:p>
    <w:p>
      <w:pPr>
        <w:pStyle w:val="7"/>
        <w:spacing w:before="0" w:beforeAutospacing="0" w:after="0" w:afterAutospacing="0" w:line="360" w:lineRule="auto"/>
        <w:ind w:firstLine="420"/>
        <w:rPr>
          <w:sz w:val="21"/>
          <w:szCs w:val="21"/>
        </w:rPr>
      </w:pPr>
      <w:r>
        <w:rPr>
          <w:rFonts w:hint="eastAsia"/>
          <w:sz w:val="21"/>
          <w:szCs w:val="21"/>
        </w:rPr>
        <w:t xml:space="preserve">基金托管业务批准文号：中国证监会证监基字【1998】24号 </w:t>
      </w:r>
    </w:p>
    <w:p>
      <w:pPr>
        <w:pStyle w:val="7"/>
        <w:spacing w:before="0" w:beforeAutospacing="0" w:after="0" w:afterAutospacing="0" w:line="360" w:lineRule="auto"/>
        <w:ind w:firstLine="420"/>
        <w:rPr>
          <w:sz w:val="21"/>
          <w:szCs w:val="21"/>
        </w:rPr>
      </w:pPr>
      <w:r>
        <w:rPr>
          <w:rFonts w:hint="eastAsia"/>
          <w:sz w:val="21"/>
          <w:szCs w:val="21"/>
        </w:rPr>
        <w:t xml:space="preserve">组织形式：股份有限公司 </w:t>
      </w:r>
    </w:p>
    <w:p>
      <w:pPr>
        <w:pStyle w:val="7"/>
        <w:spacing w:before="0" w:beforeAutospacing="0" w:after="0" w:afterAutospacing="0" w:line="360" w:lineRule="auto"/>
        <w:ind w:firstLine="420"/>
        <w:rPr>
          <w:sz w:val="21"/>
          <w:szCs w:val="21"/>
        </w:rPr>
      </w:pPr>
      <w:r>
        <w:rPr>
          <w:rFonts w:hint="eastAsia"/>
          <w:sz w:val="21"/>
          <w:szCs w:val="21"/>
        </w:rPr>
        <w:t xml:space="preserve">注册资本：人民币贰仟玖佰肆拾叁亿捌仟柒佰柒拾玖万壹仟贰佰肆拾壹元整 </w:t>
      </w:r>
    </w:p>
    <w:p>
      <w:pPr>
        <w:pStyle w:val="7"/>
        <w:spacing w:before="0" w:beforeAutospacing="0" w:after="0" w:afterAutospacing="0" w:line="360" w:lineRule="auto"/>
        <w:ind w:firstLine="420"/>
        <w:rPr>
          <w:sz w:val="21"/>
          <w:szCs w:val="21"/>
        </w:rPr>
      </w:pPr>
      <w:r>
        <w:rPr>
          <w:rFonts w:hint="eastAsia"/>
          <w:sz w:val="21"/>
          <w:szCs w:val="21"/>
        </w:rPr>
        <w:t xml:space="preserve">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 </w:t>
      </w:r>
    </w:p>
    <w:p>
      <w:pPr>
        <w:pStyle w:val="7"/>
        <w:spacing w:before="0" w:beforeAutospacing="0" w:after="0" w:afterAutospacing="0" w:line="360" w:lineRule="auto"/>
        <w:ind w:firstLine="420"/>
        <w:rPr>
          <w:sz w:val="21"/>
          <w:szCs w:val="21"/>
        </w:rPr>
      </w:pPr>
      <w:r>
        <w:rPr>
          <w:rFonts w:hint="eastAsia"/>
          <w:sz w:val="21"/>
          <w:szCs w:val="21"/>
        </w:rPr>
        <w:t xml:space="preserve">存续期间：持续经营 </w:t>
      </w:r>
    </w:p>
    <w:p>
      <w:pPr>
        <w:pStyle w:val="7"/>
        <w:spacing w:before="0" w:beforeAutospacing="0" w:after="0" w:afterAutospacing="0" w:line="360" w:lineRule="auto"/>
        <w:ind w:firstLine="420"/>
        <w:rPr>
          <w:sz w:val="21"/>
          <w:szCs w:val="21"/>
        </w:rPr>
      </w:pPr>
      <w:r>
        <w:rPr>
          <w:rStyle w:val="11"/>
          <w:rFonts w:hint="eastAsia"/>
          <w:sz w:val="21"/>
          <w:szCs w:val="21"/>
        </w:rPr>
        <w:t>二、基金托管人对基金管理人的业务监督和核查</w:t>
      </w:r>
    </w:p>
    <w:p>
      <w:pPr>
        <w:pStyle w:val="7"/>
        <w:spacing w:before="0" w:beforeAutospacing="0" w:after="0" w:afterAutospacing="0" w:line="360" w:lineRule="auto"/>
        <w:ind w:firstLine="420"/>
        <w:rPr>
          <w:sz w:val="21"/>
          <w:szCs w:val="21"/>
        </w:rPr>
      </w:pPr>
      <w:r>
        <w:rPr>
          <w:rFonts w:hint="eastAsia"/>
          <w:sz w:val="21"/>
          <w:szCs w:val="21"/>
        </w:rPr>
        <w:t xml:space="preserve">（一）基金托管人根据有关法律法规的规定对基金管理人的下列投资运作进行监督： </w:t>
      </w:r>
    </w:p>
    <w:p>
      <w:pPr>
        <w:pStyle w:val="7"/>
        <w:spacing w:before="0" w:beforeAutospacing="0" w:after="0" w:afterAutospacing="0" w:line="360" w:lineRule="auto"/>
        <w:ind w:firstLine="420"/>
        <w:rPr>
          <w:sz w:val="21"/>
          <w:szCs w:val="21"/>
        </w:rPr>
      </w:pPr>
      <w:r>
        <w:rPr>
          <w:rFonts w:hint="eastAsia"/>
          <w:sz w:val="21"/>
          <w:szCs w:val="21"/>
        </w:rPr>
        <w:t xml:space="preserve">1、对基金的投资范围、投资对象进行监督。基金管理人可以根据实际情况的变化，对各投资品种的具体范围予以更新和调整，并及时通知基金托管人。基金托管人根据上述投资范围对基金的投资进行监督。 </w:t>
      </w:r>
    </w:p>
    <w:p>
      <w:pPr>
        <w:pStyle w:val="7"/>
        <w:spacing w:before="0" w:beforeAutospacing="0" w:after="0" w:afterAutospacing="0" w:line="360" w:lineRule="auto"/>
        <w:ind w:firstLine="420"/>
        <w:rPr>
          <w:sz w:val="21"/>
          <w:szCs w:val="21"/>
        </w:rPr>
      </w:pPr>
      <w:r>
        <w:rPr>
          <w:rFonts w:hint="eastAsia"/>
          <w:sz w:val="21"/>
          <w:szCs w:val="21"/>
        </w:rPr>
        <w:t xml:space="preserve">本基金投资于国内依法发行上市的股票（包括中小板、创业板及其他经中国证监会核准上市的股票、存托凭证）、沪/深港股票市场交易互联互通机制下允许投资的香港联合交易所上市的股票（以下简称“港股通标的股票”）、债券（国债、金融债、企业债、公司债、央行票据、中期票据、短期融资券、超短期融资券、可转换债券（含可分离交易可转换债券）、可交换债、次级债、中小企业私募债等）、货币市场工具、同业存单、资产支持证券、债券回购、银行存款、权证、股指期货、国债期货，以及法律法规或中国证监会允许基金投资的其他金融工具(但须符合中国证监会的相关规定)。 </w:t>
      </w:r>
    </w:p>
    <w:p>
      <w:pPr>
        <w:pStyle w:val="7"/>
        <w:spacing w:before="0" w:beforeAutospacing="0" w:after="0" w:afterAutospacing="0" w:line="360" w:lineRule="auto"/>
        <w:ind w:firstLine="420"/>
        <w:rPr>
          <w:sz w:val="21"/>
          <w:szCs w:val="21"/>
        </w:rPr>
      </w:pPr>
      <w:r>
        <w:rPr>
          <w:rFonts w:hint="eastAsia"/>
          <w:sz w:val="21"/>
          <w:szCs w:val="21"/>
        </w:rPr>
        <w:t xml:space="preserve">本基金的投资组合比例为：股票（含存托凭证）投资比例为基金资产的45％-90％；港股通标的股票的投资比例为股票资产的0%-50%；权证投资比例为基金资产净值的0-3%；每个交易日日终，在扣除股指期货、国债期货合约需缴纳的交易保证金后，应当保持不低于基金资产净值5%的现金或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如法律法规或监管机构以后允许基金投资其他品种，基金管理人在履行适当程序后，可以将其纳入投资范围。 </w:t>
      </w:r>
    </w:p>
    <w:p>
      <w:pPr>
        <w:pStyle w:val="7"/>
        <w:spacing w:before="0" w:beforeAutospacing="0" w:after="0" w:afterAutospacing="0" w:line="360" w:lineRule="auto"/>
        <w:ind w:firstLine="420"/>
        <w:rPr>
          <w:sz w:val="21"/>
          <w:szCs w:val="21"/>
        </w:rPr>
      </w:pPr>
      <w:r>
        <w:rPr>
          <w:rFonts w:hint="eastAsia"/>
          <w:sz w:val="21"/>
          <w:szCs w:val="21"/>
        </w:rPr>
        <w:t xml:space="preserve">2、对基金投融资比例进行监督： </w:t>
      </w:r>
    </w:p>
    <w:p>
      <w:pPr>
        <w:pStyle w:val="7"/>
        <w:spacing w:before="0" w:beforeAutospacing="0" w:after="0" w:afterAutospacing="0" w:line="360" w:lineRule="auto"/>
        <w:ind w:firstLine="420"/>
        <w:rPr>
          <w:sz w:val="21"/>
          <w:szCs w:val="21"/>
        </w:rPr>
      </w:pPr>
      <w:r>
        <w:rPr>
          <w:rFonts w:hint="eastAsia"/>
          <w:sz w:val="21"/>
          <w:szCs w:val="21"/>
        </w:rPr>
        <w:t xml:space="preserve">（1）本基金股票（含存托凭证）投资比例为基金资产的45％-90％，投资于港股通标的股票占股票资产的比例为0-50%； </w:t>
      </w:r>
    </w:p>
    <w:p>
      <w:pPr>
        <w:pStyle w:val="7"/>
        <w:spacing w:before="0" w:beforeAutospacing="0" w:after="0" w:afterAutospacing="0" w:line="360" w:lineRule="auto"/>
        <w:ind w:firstLine="420"/>
        <w:rPr>
          <w:sz w:val="21"/>
          <w:szCs w:val="21"/>
        </w:rPr>
      </w:pPr>
      <w:r>
        <w:rPr>
          <w:rFonts w:hint="eastAsia"/>
          <w:sz w:val="21"/>
          <w:szCs w:val="21"/>
        </w:rPr>
        <w:t xml:space="preserve">（2）每个交易日日终，在扣除股指期货、国债期货合约需缴纳的交易保证金后，应当保持不低于基金资产净值5%的现金或到期日在一年以内的政府债券，其中，现金不包括结算备付金、存出保证金、应收申购款等； </w:t>
      </w:r>
    </w:p>
    <w:p>
      <w:pPr>
        <w:pStyle w:val="7"/>
        <w:spacing w:before="0" w:beforeAutospacing="0" w:after="0" w:afterAutospacing="0" w:line="360" w:lineRule="auto"/>
        <w:ind w:firstLine="420"/>
        <w:rPr>
          <w:sz w:val="21"/>
          <w:szCs w:val="21"/>
        </w:rPr>
      </w:pPr>
      <w:r>
        <w:rPr>
          <w:rFonts w:hint="eastAsia"/>
          <w:sz w:val="21"/>
          <w:szCs w:val="21"/>
        </w:rPr>
        <w:t xml:space="preserve">（3）本基金持有一家公司发行的证券（含存托凭证），其市值（若同时持有一家公司发行的A股和H股，则为A股与H股合计市值）不超过基金资产净值的10％；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（4）本基金管理人管理的且由本托管人托管的全部基金持有一家公司发行的证券（含存托凭证），不超过该证券（若同时持有一家公司发行的A股和H股，则为A股与H股合计）的10％； </w:t>
      </w:r>
    </w:p>
    <w:p>
      <w:pPr>
        <w:pStyle w:val="7"/>
        <w:spacing w:before="0" w:beforeAutospacing="0" w:after="0" w:afterAutospacing="0" w:line="360" w:lineRule="auto"/>
        <w:ind w:firstLine="420"/>
        <w:rPr>
          <w:sz w:val="21"/>
          <w:szCs w:val="21"/>
        </w:rPr>
      </w:pPr>
      <w:r>
        <w:rPr>
          <w:rFonts w:hint="eastAsia"/>
          <w:sz w:val="21"/>
          <w:szCs w:val="21"/>
        </w:rPr>
        <w:t xml:space="preserve">（5）本基金持有的全部权证，其市值不得超过基金资产净值的3％； </w:t>
      </w:r>
    </w:p>
    <w:p>
      <w:pPr>
        <w:pStyle w:val="7"/>
        <w:spacing w:before="0" w:beforeAutospacing="0" w:after="0" w:afterAutospacing="0" w:line="360" w:lineRule="auto"/>
        <w:ind w:firstLine="420"/>
        <w:rPr>
          <w:sz w:val="21"/>
          <w:szCs w:val="21"/>
        </w:rPr>
      </w:pPr>
      <w:r>
        <w:rPr>
          <w:rFonts w:hint="eastAsia"/>
          <w:sz w:val="21"/>
          <w:szCs w:val="21"/>
        </w:rPr>
        <w:t xml:space="preserve">（6）本基金管理人管理的且由本托管人托管的全部基金持有的同一权证，不得超过该权证的10％； </w:t>
      </w:r>
    </w:p>
    <w:p>
      <w:pPr>
        <w:pStyle w:val="7"/>
        <w:spacing w:before="0" w:beforeAutospacing="0" w:after="0" w:afterAutospacing="0" w:line="360" w:lineRule="auto"/>
        <w:ind w:firstLine="420"/>
        <w:rPr>
          <w:sz w:val="21"/>
          <w:szCs w:val="21"/>
        </w:rPr>
      </w:pPr>
      <w:r>
        <w:rPr>
          <w:rFonts w:hint="eastAsia"/>
          <w:sz w:val="21"/>
          <w:szCs w:val="21"/>
        </w:rPr>
        <w:t xml:space="preserve">（7）本基金在任何交易日买入权证的总金额，不得超过上一交易日基金资产净值的0.5％； </w:t>
      </w:r>
    </w:p>
    <w:p>
      <w:pPr>
        <w:pStyle w:val="7"/>
        <w:spacing w:before="0" w:beforeAutospacing="0" w:after="0" w:afterAutospacing="0" w:line="360" w:lineRule="auto"/>
        <w:ind w:firstLine="420"/>
        <w:rPr>
          <w:sz w:val="21"/>
          <w:szCs w:val="21"/>
        </w:rPr>
      </w:pPr>
      <w:r>
        <w:rPr>
          <w:rFonts w:hint="eastAsia"/>
          <w:sz w:val="21"/>
          <w:szCs w:val="21"/>
        </w:rPr>
        <w:t xml:space="preserve">（8）本基金投资于同一原始权益人的各类资产支持证券的比例，不得超过基金资产净值的10％；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（9）本基金持有的全部资产支持证券，其市值不得超过基金资产净值的 20％； </w:t>
      </w:r>
    </w:p>
    <w:p>
      <w:pPr>
        <w:pStyle w:val="7"/>
        <w:spacing w:before="0" w:beforeAutospacing="0" w:after="0" w:afterAutospacing="0" w:line="360" w:lineRule="auto"/>
        <w:ind w:firstLine="420"/>
        <w:rPr>
          <w:sz w:val="21"/>
          <w:szCs w:val="21"/>
        </w:rPr>
      </w:pPr>
      <w:r>
        <w:rPr>
          <w:rFonts w:hint="eastAsia"/>
          <w:sz w:val="21"/>
          <w:szCs w:val="21"/>
        </w:rPr>
        <w:t xml:space="preserve">（10）本基金持有的同一(指同一信用级别)资产支持证券的比例，不得超过该资产支持证券规模的10％； </w:t>
      </w:r>
    </w:p>
    <w:p>
      <w:pPr>
        <w:pStyle w:val="7"/>
        <w:spacing w:before="0" w:beforeAutospacing="0" w:after="0" w:afterAutospacing="0" w:line="360" w:lineRule="auto"/>
        <w:ind w:firstLine="420"/>
        <w:rPr>
          <w:sz w:val="21"/>
          <w:szCs w:val="21"/>
        </w:rPr>
      </w:pPr>
      <w:r>
        <w:rPr>
          <w:rFonts w:hint="eastAsia"/>
          <w:sz w:val="21"/>
          <w:szCs w:val="21"/>
        </w:rPr>
        <w:t xml:space="preserve">（11）本基金管理人管理的且由本托管人托管的全部基金投资于同一原始权益人的各类资产支持证券，不得超过其各类资产支持证券合计规模的10％； </w:t>
      </w:r>
    </w:p>
    <w:p>
      <w:pPr>
        <w:pStyle w:val="7"/>
        <w:spacing w:before="0" w:beforeAutospacing="0" w:after="0" w:afterAutospacing="0" w:line="360" w:lineRule="auto"/>
        <w:ind w:firstLine="420"/>
        <w:rPr>
          <w:sz w:val="21"/>
          <w:szCs w:val="21"/>
        </w:rPr>
      </w:pPr>
      <w:r>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pPr>
        <w:pStyle w:val="7"/>
        <w:spacing w:before="0" w:beforeAutospacing="0" w:after="0" w:afterAutospacing="0" w:line="360" w:lineRule="auto"/>
        <w:ind w:firstLine="420"/>
        <w:rPr>
          <w:sz w:val="21"/>
          <w:szCs w:val="21"/>
        </w:rPr>
      </w:pPr>
      <w:r>
        <w:rPr>
          <w:rFonts w:hint="eastAsia"/>
          <w:sz w:val="21"/>
          <w:szCs w:val="21"/>
        </w:rPr>
        <w:t xml:space="preserve">（13）基金财产参与股票发行申购，本基金所申报的金额不超过本基金的总资产，本基金所申报的股票数量不超过拟发行股票公司本次发行股票的总量； </w:t>
      </w:r>
    </w:p>
    <w:p>
      <w:pPr>
        <w:pStyle w:val="7"/>
        <w:spacing w:before="0" w:beforeAutospacing="0" w:after="0" w:afterAutospacing="0" w:line="360" w:lineRule="auto"/>
        <w:ind w:firstLine="420"/>
        <w:rPr>
          <w:sz w:val="21"/>
          <w:szCs w:val="21"/>
        </w:rPr>
      </w:pPr>
      <w:r>
        <w:rPr>
          <w:rFonts w:hint="eastAsia"/>
          <w:sz w:val="21"/>
          <w:szCs w:val="21"/>
        </w:rPr>
        <w:t xml:space="preserve">（14）本基金进入全国银行间同业市场进行债券回购的资金余额不得超过基金资产净值的40%，在全国银行间同业市场中的债券回购最长期限为1年，债券回购到期后不展期； </w:t>
      </w:r>
    </w:p>
    <w:p>
      <w:pPr>
        <w:pStyle w:val="7"/>
        <w:spacing w:before="0" w:beforeAutospacing="0" w:after="0" w:afterAutospacing="0" w:line="360" w:lineRule="auto"/>
        <w:ind w:firstLine="420"/>
        <w:rPr>
          <w:sz w:val="21"/>
          <w:szCs w:val="21"/>
        </w:rPr>
      </w:pPr>
      <w:r>
        <w:rPr>
          <w:rFonts w:hint="eastAsia"/>
          <w:sz w:val="21"/>
          <w:szCs w:val="21"/>
        </w:rPr>
        <w:t xml:space="preserve">（15）本基金参与股指期货、国债期货投资的，应遵循下列限制： </w:t>
      </w:r>
    </w:p>
    <w:p>
      <w:pPr>
        <w:pStyle w:val="7"/>
        <w:spacing w:before="0" w:beforeAutospacing="0" w:after="0" w:afterAutospacing="0" w:line="360" w:lineRule="auto"/>
        <w:ind w:firstLine="420"/>
        <w:rPr>
          <w:sz w:val="21"/>
          <w:szCs w:val="21"/>
        </w:rPr>
      </w:pPr>
      <w:r>
        <w:rPr>
          <w:rFonts w:hint="eastAsia"/>
          <w:sz w:val="21"/>
          <w:szCs w:val="21"/>
        </w:rPr>
        <w:t xml:space="preserve">1）本基金在任何交易日日终，持有的买入股指期货合约价值，不得超过基金资产净值的10%；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在任何交易日日终，本基金持有的买入股指期货和国债期货合约价值和有价证券市值之和，不得超过基金资产净值的95%；其中，有价证券指股票、债券（不含到期日在一年以内的政府债券）、权证、资产支持证券、买入返售金融资产（不含质押式回购）等； </w:t>
      </w:r>
    </w:p>
    <w:p>
      <w:pPr>
        <w:pStyle w:val="7"/>
        <w:spacing w:before="0" w:beforeAutospacing="0" w:after="0" w:afterAutospacing="0" w:line="360" w:lineRule="auto"/>
        <w:ind w:firstLine="420"/>
        <w:rPr>
          <w:sz w:val="21"/>
          <w:szCs w:val="21"/>
        </w:rPr>
      </w:pPr>
      <w:r>
        <w:rPr>
          <w:rFonts w:hint="eastAsia"/>
          <w:sz w:val="21"/>
          <w:szCs w:val="21"/>
        </w:rPr>
        <w:t xml:space="preserve">3）本基金在任何交易日日终，持有的卖出股指期货合约价值不得超过基金持有的股票总市值的20%； </w:t>
      </w:r>
    </w:p>
    <w:p>
      <w:pPr>
        <w:pStyle w:val="7"/>
        <w:spacing w:before="0" w:beforeAutospacing="0" w:after="0" w:afterAutospacing="0" w:line="360" w:lineRule="auto"/>
        <w:ind w:firstLine="420"/>
        <w:rPr>
          <w:sz w:val="21"/>
          <w:szCs w:val="21"/>
        </w:rPr>
      </w:pPr>
      <w:r>
        <w:rPr>
          <w:rFonts w:hint="eastAsia"/>
          <w:sz w:val="21"/>
          <w:szCs w:val="21"/>
        </w:rPr>
        <w:t xml:space="preserve">4）本基金在任何交易日内交易（不包括平仓）的股指期货合约的成交金额不得超过上一交易日基金资产净值的20%； </w:t>
      </w:r>
    </w:p>
    <w:p>
      <w:pPr>
        <w:pStyle w:val="7"/>
        <w:spacing w:before="0" w:beforeAutospacing="0" w:after="0" w:afterAutospacing="0" w:line="360" w:lineRule="auto"/>
        <w:ind w:firstLine="420"/>
        <w:rPr>
          <w:sz w:val="21"/>
          <w:szCs w:val="21"/>
        </w:rPr>
      </w:pPr>
      <w:r>
        <w:rPr>
          <w:rFonts w:hint="eastAsia"/>
          <w:sz w:val="21"/>
          <w:szCs w:val="21"/>
        </w:rPr>
        <w:t xml:space="preserve">5）本基金所持有的股票市值和买入、卖出股指期货合约价值，合计（轧差计算）为基金资产的45％-90％； </w:t>
      </w:r>
    </w:p>
    <w:p>
      <w:pPr>
        <w:pStyle w:val="7"/>
        <w:spacing w:before="0" w:beforeAutospacing="0" w:after="0" w:afterAutospacing="0" w:line="360" w:lineRule="auto"/>
        <w:ind w:firstLine="420"/>
        <w:rPr>
          <w:sz w:val="21"/>
          <w:szCs w:val="21"/>
        </w:rPr>
      </w:pPr>
      <w:r>
        <w:rPr>
          <w:rFonts w:hint="eastAsia"/>
          <w:sz w:val="21"/>
          <w:szCs w:val="21"/>
        </w:rPr>
        <w:t xml:space="preserve">6）本基金在任何交易日日终，持有的买入国债期货合约价值，不得超过基金资产净值的15%； </w:t>
      </w:r>
    </w:p>
    <w:p>
      <w:pPr>
        <w:pStyle w:val="7"/>
        <w:spacing w:before="0" w:beforeAutospacing="0" w:after="0" w:afterAutospacing="0" w:line="360" w:lineRule="auto"/>
        <w:ind w:firstLine="420"/>
        <w:rPr>
          <w:sz w:val="21"/>
          <w:szCs w:val="21"/>
        </w:rPr>
      </w:pPr>
      <w:r>
        <w:rPr>
          <w:rFonts w:hint="eastAsia"/>
          <w:sz w:val="21"/>
          <w:szCs w:val="21"/>
        </w:rPr>
        <w:t xml:space="preserve">7）本基金在任何交易日日终，持有的卖出国债期货合约价值不得超过基金持有的债券总市值的30%； </w:t>
      </w:r>
    </w:p>
    <w:p>
      <w:pPr>
        <w:pStyle w:val="7"/>
        <w:spacing w:before="0" w:beforeAutospacing="0" w:after="0" w:afterAutospacing="0" w:line="360" w:lineRule="auto"/>
        <w:ind w:firstLine="420"/>
        <w:rPr>
          <w:sz w:val="21"/>
          <w:szCs w:val="21"/>
        </w:rPr>
      </w:pPr>
      <w:r>
        <w:rPr>
          <w:rFonts w:hint="eastAsia"/>
          <w:sz w:val="21"/>
          <w:szCs w:val="21"/>
        </w:rPr>
        <w:t xml:space="preserve">8）本基金在任何交易日内交易（不包括平仓）的国债期货合约的成交金额不得超过上一交易日基金资产净值的30%； </w:t>
      </w:r>
    </w:p>
    <w:p>
      <w:pPr>
        <w:pStyle w:val="7"/>
        <w:spacing w:before="0" w:beforeAutospacing="0" w:after="0" w:afterAutospacing="0" w:line="360" w:lineRule="auto"/>
        <w:ind w:firstLine="420"/>
        <w:rPr>
          <w:sz w:val="21"/>
          <w:szCs w:val="21"/>
        </w:rPr>
      </w:pPr>
      <w:r>
        <w:rPr>
          <w:rFonts w:hint="eastAsia"/>
          <w:sz w:val="21"/>
          <w:szCs w:val="21"/>
        </w:rPr>
        <w:t xml:space="preserve">（16）本基金的基金资产总值不得超过基金资产净值的140%； </w:t>
      </w:r>
    </w:p>
    <w:p>
      <w:pPr>
        <w:pStyle w:val="7"/>
        <w:spacing w:before="0" w:beforeAutospacing="0" w:after="0" w:afterAutospacing="0" w:line="360" w:lineRule="auto"/>
        <w:ind w:firstLine="420"/>
        <w:rPr>
          <w:sz w:val="21"/>
          <w:szCs w:val="21"/>
        </w:rPr>
      </w:pPr>
      <w:r>
        <w:rPr>
          <w:rFonts w:hint="eastAsia"/>
          <w:sz w:val="21"/>
          <w:szCs w:val="21"/>
        </w:rPr>
        <w:t xml:space="preserve">（17）本基金管理人管理的且由本托管人托管的全部开放式基金持有一家上市公司发行的可流通股票，不得超过该上市公司可流通股票的15%；本基金管理人管理的且由本托管人托管的全部投资组合持有一家上市公司发行的可流通股票，不得超过该上市公司可流通股票的30%； </w:t>
      </w:r>
    </w:p>
    <w:p>
      <w:pPr>
        <w:pStyle w:val="7"/>
        <w:spacing w:before="0" w:beforeAutospacing="0" w:after="0" w:afterAutospacing="0" w:line="360" w:lineRule="auto"/>
        <w:ind w:firstLine="420"/>
        <w:rPr>
          <w:sz w:val="21"/>
          <w:szCs w:val="21"/>
        </w:rPr>
      </w:pPr>
      <w:r>
        <w:rPr>
          <w:rFonts w:hint="eastAsia"/>
          <w:sz w:val="21"/>
          <w:szCs w:val="21"/>
        </w:rPr>
        <w:t xml:space="preserve">（18）本基金主动投资于流动性受限资产的市值合计不得超过本基金资产净值的15%； </w:t>
      </w:r>
    </w:p>
    <w:p>
      <w:pPr>
        <w:pStyle w:val="7"/>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7"/>
        <w:spacing w:before="0" w:beforeAutospacing="0" w:after="0" w:afterAutospacing="0" w:line="360" w:lineRule="auto"/>
        <w:ind w:firstLine="420"/>
        <w:rPr>
          <w:sz w:val="21"/>
          <w:szCs w:val="21"/>
        </w:rPr>
      </w:pPr>
      <w:r>
        <w:rPr>
          <w:rFonts w:hint="eastAsia"/>
          <w:sz w:val="21"/>
          <w:szCs w:val="21"/>
        </w:rPr>
        <w:t xml:space="preserve">（19）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应当与基金合同约定的投资范围保持一致，并承担由于不一致所导致的风险和损失； </w:t>
      </w:r>
    </w:p>
    <w:p>
      <w:pPr>
        <w:pStyle w:val="7"/>
        <w:spacing w:before="0" w:beforeAutospacing="0" w:after="0" w:afterAutospacing="0" w:line="360" w:lineRule="auto"/>
        <w:ind w:firstLine="420"/>
        <w:rPr>
          <w:sz w:val="21"/>
          <w:szCs w:val="21"/>
        </w:rPr>
      </w:pPr>
      <w:r>
        <w:rPr>
          <w:rFonts w:hint="eastAsia"/>
          <w:sz w:val="21"/>
          <w:szCs w:val="21"/>
        </w:rPr>
        <w:t xml:space="preserve">（20）本基金投资于中小企业私募债券比例合计不高于基金资产净值的10%； </w:t>
      </w:r>
    </w:p>
    <w:p>
      <w:pPr>
        <w:pStyle w:val="7"/>
        <w:spacing w:before="0" w:beforeAutospacing="0" w:after="0" w:afterAutospacing="0" w:line="360" w:lineRule="auto"/>
        <w:ind w:firstLine="420"/>
        <w:rPr>
          <w:sz w:val="21"/>
          <w:szCs w:val="21"/>
        </w:rPr>
      </w:pPr>
      <w:r>
        <w:rPr>
          <w:rFonts w:hint="eastAsia"/>
          <w:sz w:val="21"/>
          <w:szCs w:val="21"/>
        </w:rPr>
        <w:t xml:space="preserve">（21）法律法规及中国证监会规定的其他投资比例限制。 </w:t>
      </w:r>
    </w:p>
    <w:p>
      <w:pPr>
        <w:pStyle w:val="7"/>
        <w:spacing w:before="0" w:beforeAutospacing="0" w:after="0" w:afterAutospacing="0" w:line="360" w:lineRule="auto"/>
        <w:ind w:firstLine="420"/>
        <w:rPr>
          <w:sz w:val="21"/>
          <w:szCs w:val="21"/>
        </w:rPr>
      </w:pPr>
      <w:r>
        <w:rPr>
          <w:rFonts w:hint="eastAsia"/>
          <w:sz w:val="21"/>
          <w:szCs w:val="21"/>
        </w:rPr>
        <w:t xml:space="preserve">除上述（2）、（12）、（18）、（19）的约定外，因证券市场及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期间，基金的投资范围、投资策略应当符合基金合同的约定。基金托管人对基金的投资的监督与检查自基金合同生效之日起开始。 </w:t>
      </w:r>
    </w:p>
    <w:p>
      <w:pPr>
        <w:pStyle w:val="7"/>
        <w:spacing w:before="0" w:beforeAutospacing="0" w:after="0" w:afterAutospacing="0" w:line="360" w:lineRule="auto"/>
        <w:ind w:firstLine="420"/>
        <w:rPr>
          <w:sz w:val="21"/>
          <w:szCs w:val="21"/>
        </w:rPr>
      </w:pPr>
      <w:r>
        <w:rPr>
          <w:rFonts w:hint="eastAsia"/>
          <w:sz w:val="21"/>
          <w:szCs w:val="21"/>
        </w:rPr>
        <w:t xml:space="preserve">如果法律法规或监管部门对上述投资组合比例限制进行变更的，以变更后的规定为准。法律法规或监管部门取消上述限制，如适用于本基金，基金管理人在履行适当程序后，则本基金投资不再受相关限制，自动遵守届时有效的法律法规或监管规定，不需另行召开基金份额持有人大会。 </w:t>
      </w:r>
    </w:p>
    <w:p>
      <w:pPr>
        <w:pStyle w:val="7"/>
        <w:spacing w:before="0" w:beforeAutospacing="0" w:after="0" w:afterAutospacing="0" w:line="360" w:lineRule="auto"/>
        <w:ind w:firstLine="420"/>
        <w:rPr>
          <w:sz w:val="21"/>
          <w:szCs w:val="21"/>
        </w:rPr>
      </w:pPr>
      <w:r>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pPr>
        <w:pStyle w:val="7"/>
        <w:spacing w:before="0" w:beforeAutospacing="0" w:after="0" w:afterAutospacing="0" w:line="360" w:lineRule="auto"/>
        <w:ind w:firstLine="420"/>
        <w:rPr>
          <w:sz w:val="21"/>
          <w:szCs w:val="21"/>
        </w:rPr>
      </w:pPr>
      <w:r>
        <w:rPr>
          <w:rFonts w:hint="eastAsia"/>
          <w:sz w:val="21"/>
          <w:szCs w:val="21"/>
        </w:rPr>
        <w:t xml:space="preserve">（二）基金托管人应根据有关法律法规的规定及《基金合同》的约定，对基金资产净值计算、基金份额净值计算、应收资金到账、基金费用开支及收入确定、基金收益分配、相关信息披露中登载基金业绩表现数据等进行复核。 </w:t>
      </w:r>
    </w:p>
    <w:p>
      <w:pPr>
        <w:pStyle w:val="7"/>
        <w:spacing w:before="0" w:beforeAutospacing="0" w:after="0" w:afterAutospacing="0" w:line="360" w:lineRule="auto"/>
        <w:ind w:firstLine="420"/>
        <w:rPr>
          <w:sz w:val="21"/>
          <w:szCs w:val="21"/>
        </w:rPr>
      </w:pPr>
      <w:r>
        <w:rPr>
          <w:rFonts w:hint="eastAsia"/>
          <w:sz w:val="21"/>
          <w:szCs w:val="21"/>
        </w:rPr>
        <w:t xml:space="preserve">（三）基金托管人在上述第（一）、（二）款的监督和核查中发现基金管理人违反上述约定，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 </w:t>
      </w:r>
    </w:p>
    <w:p>
      <w:pPr>
        <w:pStyle w:val="7"/>
        <w:spacing w:before="0" w:beforeAutospacing="0" w:after="0" w:afterAutospacing="0" w:line="360" w:lineRule="auto"/>
        <w:ind w:firstLine="420"/>
        <w:rPr>
          <w:sz w:val="21"/>
          <w:szCs w:val="21"/>
        </w:rPr>
      </w:pPr>
      <w:r>
        <w:rPr>
          <w:rFonts w:hint="eastAsia"/>
          <w:sz w:val="21"/>
          <w:szCs w:val="21"/>
        </w:rPr>
        <w:t xml:space="preserve">（四）基金托管人发现基金管理人的投资指令违反法律法规、本协议的规定，应当拒绝执行，及时提示基金管理人，并依照法律法规的规定及时向中国证监会报告。基金托管人发现基金管理人依据交易程序已经生效的指令违反法律法规、本协议规定的，应当及时提示基金管理人，并依照法律法规的规定及时向中国证监会报告。 </w:t>
      </w:r>
    </w:p>
    <w:p>
      <w:pPr>
        <w:pStyle w:val="7"/>
        <w:spacing w:before="0" w:beforeAutospacing="0" w:after="0" w:afterAutospacing="0" w:line="360" w:lineRule="auto"/>
        <w:ind w:firstLine="420"/>
        <w:rPr>
          <w:sz w:val="21"/>
          <w:szCs w:val="21"/>
        </w:rPr>
      </w:pPr>
      <w:r>
        <w:rPr>
          <w:rFonts w:hint="eastAsia"/>
          <w:sz w:val="21"/>
          <w:szCs w:val="21"/>
        </w:rPr>
        <w:t xml:space="preserve">（五）基金管理人应积极配合和协助基金托管人的监督和核查，包括但不限于：在规定时间内答复基金托管人并改正，就基金托管人的疑义进行解释或举证，提供相关数据资料和制度等。 </w:t>
      </w:r>
    </w:p>
    <w:p>
      <w:pPr>
        <w:pStyle w:val="7"/>
        <w:spacing w:before="0" w:beforeAutospacing="0" w:after="0" w:afterAutospacing="0" w:line="360" w:lineRule="auto"/>
        <w:ind w:firstLine="420"/>
        <w:rPr>
          <w:sz w:val="21"/>
          <w:szCs w:val="21"/>
        </w:rPr>
      </w:pPr>
      <w:r>
        <w:rPr>
          <w:rStyle w:val="11"/>
          <w:rFonts w:hint="eastAsia"/>
          <w:sz w:val="21"/>
          <w:szCs w:val="21"/>
        </w:rPr>
        <w:t>三、基金管理人对基金托管人的业务监督、核查</w:t>
      </w:r>
    </w:p>
    <w:p>
      <w:pPr>
        <w:pStyle w:val="7"/>
        <w:spacing w:before="0" w:beforeAutospacing="0" w:after="0" w:afterAutospacing="0" w:line="360" w:lineRule="auto"/>
        <w:ind w:firstLine="420"/>
        <w:rPr>
          <w:sz w:val="21"/>
          <w:szCs w:val="21"/>
        </w:rPr>
      </w:pPr>
      <w:r>
        <w:rPr>
          <w:rFonts w:hint="eastAsia"/>
          <w:sz w:val="21"/>
          <w:szCs w:val="21"/>
        </w:rPr>
        <w:t xml:space="preserve">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等投资所需账户、复核基金管理人计算的基金资产净值和基金份额净值、根据基金管理人指令办理清算交收、相关信息披露和监督基金投资运作等行为。 </w:t>
      </w:r>
    </w:p>
    <w:p>
      <w:pPr>
        <w:pStyle w:val="7"/>
        <w:spacing w:before="0" w:beforeAutospacing="0" w:after="0" w:afterAutospacing="0" w:line="360" w:lineRule="auto"/>
        <w:ind w:firstLine="420"/>
        <w:rPr>
          <w:sz w:val="21"/>
          <w:szCs w:val="21"/>
        </w:rPr>
      </w:pPr>
      <w:r>
        <w:rPr>
          <w:rFonts w:hint="eastAsia"/>
          <w:sz w:val="21"/>
          <w:szCs w:val="21"/>
        </w:rPr>
        <w:t xml:space="preserve">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 </w:t>
      </w:r>
    </w:p>
    <w:p>
      <w:pPr>
        <w:pStyle w:val="7"/>
        <w:spacing w:before="0" w:beforeAutospacing="0" w:after="0" w:afterAutospacing="0" w:line="360" w:lineRule="auto"/>
        <w:ind w:firstLine="420"/>
        <w:rPr>
          <w:sz w:val="21"/>
          <w:szCs w:val="21"/>
        </w:rPr>
      </w:pPr>
      <w:r>
        <w:rPr>
          <w:rFonts w:hint="eastAsia"/>
          <w:sz w:val="21"/>
          <w:szCs w:val="21"/>
        </w:rPr>
        <w:t xml:space="preserve">3、基金托管人应积极配合基金管理人的核查行为，包括但不限于：提交相关资料以供基金管理人核查托管财产的完整性和真实性，在规定时间内答复基金管理人并改正。 </w:t>
      </w:r>
    </w:p>
    <w:p>
      <w:pPr>
        <w:pStyle w:val="7"/>
        <w:spacing w:before="0" w:beforeAutospacing="0" w:after="0" w:afterAutospacing="0" w:line="360" w:lineRule="auto"/>
        <w:ind w:firstLine="420"/>
        <w:rPr>
          <w:sz w:val="21"/>
          <w:szCs w:val="21"/>
        </w:rPr>
      </w:pPr>
      <w:r>
        <w:rPr>
          <w:rStyle w:val="11"/>
          <w:rFonts w:hint="eastAsia"/>
          <w:sz w:val="21"/>
          <w:szCs w:val="21"/>
        </w:rPr>
        <w:t>四、基金财产的保管</w:t>
      </w:r>
    </w:p>
    <w:p>
      <w:pPr>
        <w:pStyle w:val="7"/>
        <w:spacing w:before="0" w:beforeAutospacing="0" w:after="0" w:afterAutospacing="0" w:line="360" w:lineRule="auto"/>
        <w:ind w:firstLine="420"/>
        <w:rPr>
          <w:sz w:val="21"/>
          <w:szCs w:val="21"/>
        </w:rPr>
      </w:pPr>
      <w:r>
        <w:rPr>
          <w:rFonts w:hint="eastAsia"/>
          <w:sz w:val="21"/>
          <w:szCs w:val="21"/>
        </w:rPr>
        <w:t xml:space="preserve">（一）基金财产保管的原则 </w:t>
      </w:r>
    </w:p>
    <w:p>
      <w:pPr>
        <w:pStyle w:val="7"/>
        <w:spacing w:before="0" w:beforeAutospacing="0" w:after="0" w:afterAutospacing="0" w:line="360" w:lineRule="auto"/>
        <w:ind w:firstLine="420"/>
        <w:rPr>
          <w:sz w:val="21"/>
          <w:szCs w:val="21"/>
        </w:rPr>
      </w:pPr>
      <w:r>
        <w:rPr>
          <w:rFonts w:hint="eastAsia"/>
          <w:sz w:val="21"/>
          <w:szCs w:val="21"/>
        </w:rPr>
        <w:t xml:space="preserve">1、基金财产应独立于基金管理人、基金托管人的固有财产。 </w:t>
      </w:r>
    </w:p>
    <w:p>
      <w:pPr>
        <w:pStyle w:val="7"/>
        <w:spacing w:before="0" w:beforeAutospacing="0" w:after="0" w:afterAutospacing="0" w:line="360" w:lineRule="auto"/>
        <w:ind w:firstLine="420"/>
        <w:rPr>
          <w:sz w:val="21"/>
          <w:szCs w:val="21"/>
        </w:rPr>
      </w:pPr>
      <w:r>
        <w:rPr>
          <w:rFonts w:hint="eastAsia"/>
          <w:sz w:val="21"/>
          <w:szCs w:val="21"/>
        </w:rPr>
        <w:t xml:space="preserve">2、基金托管人应安全保管基金财产，未经基金管理人的合法合规指令或法律法规、《基金合同》及本协议另有规定，不得自行运用、处分、分配基金的任何财产。 </w:t>
      </w:r>
    </w:p>
    <w:p>
      <w:pPr>
        <w:pStyle w:val="7"/>
        <w:spacing w:before="0" w:beforeAutospacing="0" w:after="0" w:afterAutospacing="0" w:line="360" w:lineRule="auto"/>
        <w:ind w:firstLine="420"/>
        <w:rPr>
          <w:sz w:val="21"/>
          <w:szCs w:val="21"/>
        </w:rPr>
      </w:pPr>
      <w:r>
        <w:rPr>
          <w:rFonts w:hint="eastAsia"/>
          <w:sz w:val="21"/>
          <w:szCs w:val="21"/>
        </w:rPr>
        <w:t xml:space="preserve">3、基金托管人按照规定开设基金财产的资金账户和证券账户等投资所需账户。 </w:t>
      </w:r>
    </w:p>
    <w:p>
      <w:pPr>
        <w:pStyle w:val="7"/>
        <w:spacing w:before="0" w:beforeAutospacing="0" w:after="0" w:afterAutospacing="0" w:line="360" w:lineRule="auto"/>
        <w:ind w:firstLine="420"/>
        <w:rPr>
          <w:sz w:val="21"/>
          <w:szCs w:val="21"/>
        </w:rPr>
      </w:pPr>
      <w:r>
        <w:rPr>
          <w:rFonts w:hint="eastAsia"/>
          <w:sz w:val="21"/>
          <w:szCs w:val="21"/>
        </w:rPr>
        <w:t xml:space="preserve">4、基金托管人对所托管的不同基金财产分别设置账户，确保基金财产的完整与独立。 </w:t>
      </w:r>
    </w:p>
    <w:p>
      <w:pPr>
        <w:pStyle w:val="7"/>
        <w:spacing w:before="0" w:beforeAutospacing="0" w:after="0" w:afterAutospacing="0" w:line="360" w:lineRule="auto"/>
        <w:ind w:firstLine="420"/>
        <w:rPr>
          <w:sz w:val="21"/>
          <w:szCs w:val="21"/>
        </w:rPr>
      </w:pPr>
      <w:r>
        <w:rPr>
          <w:rFonts w:hint="eastAsia"/>
          <w:sz w:val="21"/>
          <w:szCs w:val="21"/>
        </w:rPr>
        <w:t xml:space="preserve">5、除依据《基金法》、《运作办法》、《基金合同》及其他有关法律法规规定外，基金托管人不得委托第三人托管基金财产。 </w:t>
      </w:r>
    </w:p>
    <w:p>
      <w:pPr>
        <w:pStyle w:val="7"/>
        <w:spacing w:before="0" w:beforeAutospacing="0" w:after="0" w:afterAutospacing="0" w:line="360" w:lineRule="auto"/>
        <w:ind w:firstLine="420"/>
        <w:rPr>
          <w:sz w:val="21"/>
          <w:szCs w:val="21"/>
        </w:rPr>
      </w:pPr>
      <w:r>
        <w:rPr>
          <w:rFonts w:hint="eastAsia"/>
          <w:sz w:val="21"/>
          <w:szCs w:val="21"/>
        </w:rPr>
        <w:t xml:space="preserve">（二）基金合同生效前募集资金的验资和入账 </w:t>
      </w:r>
    </w:p>
    <w:p>
      <w:pPr>
        <w:pStyle w:val="7"/>
        <w:spacing w:before="0" w:beforeAutospacing="0" w:after="0" w:afterAutospacing="0" w:line="360" w:lineRule="auto"/>
        <w:ind w:firstLine="420"/>
        <w:rPr>
          <w:sz w:val="21"/>
          <w:szCs w:val="21"/>
        </w:rPr>
      </w:pPr>
      <w:r>
        <w:rPr>
          <w:rFonts w:hint="eastAsia"/>
          <w:sz w:val="21"/>
          <w:szCs w:val="21"/>
        </w:rPr>
        <w:t xml:space="preserve">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 </w:t>
      </w:r>
    </w:p>
    <w:p>
      <w:pPr>
        <w:pStyle w:val="7"/>
        <w:spacing w:before="0" w:beforeAutospacing="0" w:after="0" w:afterAutospacing="0" w:line="360" w:lineRule="auto"/>
        <w:ind w:firstLine="420"/>
        <w:rPr>
          <w:sz w:val="21"/>
          <w:szCs w:val="21"/>
        </w:rPr>
      </w:pPr>
      <w:r>
        <w:rPr>
          <w:rFonts w:hint="eastAsia"/>
          <w:sz w:val="21"/>
          <w:szCs w:val="21"/>
        </w:rPr>
        <w:t xml:space="preserve">2、基金管理人应将属于本基金财产的全部资金划入在基金托管人处为本基金开立的基金银行账户中，并确保划入的资金与验资确认金额相一致。 </w:t>
      </w:r>
    </w:p>
    <w:p>
      <w:pPr>
        <w:pStyle w:val="7"/>
        <w:spacing w:before="0" w:beforeAutospacing="0" w:after="0" w:afterAutospacing="0" w:line="360" w:lineRule="auto"/>
        <w:ind w:firstLine="420"/>
        <w:rPr>
          <w:sz w:val="21"/>
          <w:szCs w:val="21"/>
        </w:rPr>
      </w:pPr>
      <w:r>
        <w:rPr>
          <w:rFonts w:hint="eastAsia"/>
          <w:sz w:val="21"/>
          <w:szCs w:val="21"/>
        </w:rPr>
        <w:t xml:space="preserve">（三）基金的银行账户的开设和管理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1、基金托管人应负责本基金的银行账户的开设和管理。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 </w:t>
      </w:r>
    </w:p>
    <w:p>
      <w:pPr>
        <w:pStyle w:val="7"/>
        <w:spacing w:before="0" w:beforeAutospacing="0" w:after="0" w:afterAutospacing="0" w:line="360" w:lineRule="auto"/>
        <w:ind w:firstLine="420"/>
        <w:rPr>
          <w:sz w:val="21"/>
          <w:szCs w:val="21"/>
        </w:rPr>
      </w:pPr>
      <w:r>
        <w:rPr>
          <w:rFonts w:hint="eastAsia"/>
          <w:sz w:val="21"/>
          <w:szCs w:val="21"/>
        </w:rPr>
        <w:t xml:space="preserve">3、本基金银行账户的开立和使用，限于满足开展本基金业务的需要。基金托管人和基金管理人不得假借本基金的名义开立其他任何银行账户；亦不得使用本基金的银行账户进行本基金业务以外的活动。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4、基金银行账户的管理应符合法律法规的有关规定。 </w:t>
      </w:r>
    </w:p>
    <w:p>
      <w:pPr>
        <w:pStyle w:val="7"/>
        <w:spacing w:before="0" w:beforeAutospacing="0" w:after="0" w:afterAutospacing="0" w:line="360" w:lineRule="auto"/>
        <w:ind w:firstLine="420"/>
        <w:rPr>
          <w:sz w:val="21"/>
          <w:szCs w:val="21"/>
        </w:rPr>
      </w:pPr>
      <w:r>
        <w:rPr>
          <w:rFonts w:hint="eastAsia"/>
          <w:sz w:val="21"/>
          <w:szCs w:val="21"/>
        </w:rPr>
        <w:t xml:space="preserve">（四）基金进行定期存款投资的账户开设和管理 </w:t>
      </w:r>
    </w:p>
    <w:p>
      <w:pPr>
        <w:pStyle w:val="7"/>
        <w:spacing w:before="0" w:beforeAutospacing="0" w:after="0" w:afterAutospacing="0" w:line="360" w:lineRule="auto"/>
        <w:ind w:firstLine="420"/>
        <w:rPr>
          <w:sz w:val="21"/>
          <w:szCs w:val="21"/>
        </w:rPr>
      </w:pPr>
      <w:r>
        <w:rPr>
          <w:rFonts w:hint="eastAsia"/>
          <w:sz w:val="21"/>
          <w:szCs w:val="21"/>
        </w:rPr>
        <w:t xml:space="preserve">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 </w:t>
      </w:r>
    </w:p>
    <w:p>
      <w:pPr>
        <w:pStyle w:val="7"/>
        <w:spacing w:before="0" w:beforeAutospacing="0" w:after="0" w:afterAutospacing="0" w:line="360" w:lineRule="auto"/>
        <w:ind w:firstLine="420"/>
        <w:rPr>
          <w:sz w:val="21"/>
          <w:szCs w:val="21"/>
        </w:rPr>
      </w:pPr>
      <w:r>
        <w:rPr>
          <w:rFonts w:hint="eastAsia"/>
          <w:sz w:val="21"/>
          <w:szCs w:val="21"/>
        </w:rPr>
        <w:t xml:space="preserve">（五）基金证券账户、结算备付金账户及其他投资账户的开设和管理 </w:t>
      </w:r>
    </w:p>
    <w:p>
      <w:pPr>
        <w:pStyle w:val="7"/>
        <w:spacing w:before="0" w:beforeAutospacing="0" w:after="0" w:afterAutospacing="0" w:line="360" w:lineRule="auto"/>
        <w:ind w:firstLine="420"/>
        <w:rPr>
          <w:sz w:val="21"/>
          <w:szCs w:val="21"/>
        </w:rPr>
      </w:pPr>
      <w:r>
        <w:rPr>
          <w:rFonts w:hint="eastAsia"/>
          <w:sz w:val="21"/>
          <w:szCs w:val="21"/>
        </w:rPr>
        <w:t xml:space="preserve">1、基金托管人应当代表本基金，以基金托管人和本基金联名的方式在中国证券登记结算有限责任公司开设证券账户。 </w:t>
      </w:r>
    </w:p>
    <w:p>
      <w:pPr>
        <w:pStyle w:val="7"/>
        <w:spacing w:before="0" w:beforeAutospacing="0" w:after="0" w:afterAutospacing="0" w:line="360" w:lineRule="auto"/>
        <w:ind w:firstLine="420"/>
        <w:rPr>
          <w:sz w:val="21"/>
          <w:szCs w:val="21"/>
        </w:rPr>
      </w:pPr>
      <w:r>
        <w:rPr>
          <w:rFonts w:hint="eastAsia"/>
          <w:sz w:val="21"/>
          <w:szCs w:val="21"/>
        </w:rPr>
        <w:t xml:space="preserve">2、本基金证券账户的开立和使用，限于满足开展本基金业务的需要。基金托管人和基金管理人不得出借或转让本基金的证券账户，亦不得使用本基金的证券账户进行本基金业务以外的活动。 </w:t>
      </w:r>
    </w:p>
    <w:p>
      <w:pPr>
        <w:pStyle w:val="7"/>
        <w:spacing w:before="0" w:beforeAutospacing="0" w:after="0" w:afterAutospacing="0" w:line="360" w:lineRule="auto"/>
        <w:ind w:firstLine="420"/>
        <w:rPr>
          <w:sz w:val="21"/>
          <w:szCs w:val="21"/>
        </w:rPr>
      </w:pPr>
      <w:r>
        <w:rPr>
          <w:rFonts w:hint="eastAsia"/>
          <w:sz w:val="21"/>
          <w:szCs w:val="21"/>
        </w:rPr>
        <w:t xml:space="preserve">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 </w:t>
      </w:r>
    </w:p>
    <w:p>
      <w:pPr>
        <w:pStyle w:val="7"/>
        <w:spacing w:before="0" w:beforeAutospacing="0" w:after="0" w:afterAutospacing="0" w:line="360" w:lineRule="auto"/>
        <w:ind w:firstLine="420"/>
        <w:rPr>
          <w:sz w:val="21"/>
          <w:szCs w:val="21"/>
        </w:rPr>
      </w:pPr>
      <w:r>
        <w:rPr>
          <w:rFonts w:hint="eastAsia"/>
          <w:sz w:val="21"/>
          <w:szCs w:val="21"/>
        </w:rPr>
        <w:t xml:space="preserve">4、在本托管协议生效日之后，本基金被允许从事其他投资品种的投资业务的，涉及相关账户的开设、使用的，若无相关规定，则基金托管人应当比照并遵守上述关于账户开设、使用的规定。 </w:t>
      </w:r>
    </w:p>
    <w:p>
      <w:pPr>
        <w:pStyle w:val="7"/>
        <w:spacing w:before="0" w:beforeAutospacing="0" w:after="0" w:afterAutospacing="0" w:line="360" w:lineRule="auto"/>
        <w:ind w:firstLine="420"/>
        <w:rPr>
          <w:sz w:val="21"/>
          <w:szCs w:val="21"/>
        </w:rPr>
      </w:pPr>
      <w:r>
        <w:rPr>
          <w:rFonts w:hint="eastAsia"/>
          <w:sz w:val="21"/>
          <w:szCs w:val="21"/>
        </w:rPr>
        <w:t xml:space="preserve">（六）债券托管专户的开设和管理 </w:t>
      </w:r>
    </w:p>
    <w:p>
      <w:pPr>
        <w:pStyle w:val="7"/>
        <w:spacing w:before="0" w:beforeAutospacing="0" w:after="0" w:afterAutospacing="0" w:line="360" w:lineRule="auto"/>
        <w:ind w:firstLine="420"/>
        <w:rPr>
          <w:sz w:val="21"/>
          <w:szCs w:val="21"/>
        </w:rPr>
      </w:pPr>
      <w:r>
        <w:rPr>
          <w:rFonts w:hint="eastAsia"/>
          <w:sz w:val="21"/>
          <w:szCs w:val="21"/>
        </w:rPr>
        <w:t xml:space="preserve">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金进行银行间债券市场债券和资金的清算。在上述手续办理完毕之后，由基金托管人负责向中国人民银行报备。 </w:t>
      </w:r>
    </w:p>
    <w:p>
      <w:pPr>
        <w:pStyle w:val="7"/>
        <w:spacing w:before="0" w:beforeAutospacing="0" w:after="0" w:afterAutospacing="0" w:line="360" w:lineRule="auto"/>
        <w:ind w:firstLine="420"/>
        <w:rPr>
          <w:sz w:val="21"/>
          <w:szCs w:val="21"/>
        </w:rPr>
      </w:pPr>
      <w:r>
        <w:rPr>
          <w:rFonts w:hint="eastAsia"/>
          <w:sz w:val="21"/>
          <w:szCs w:val="21"/>
        </w:rPr>
        <w:t xml:space="preserve">（七）基金财产投资的有关有价凭证的保管 </w:t>
      </w:r>
    </w:p>
    <w:p>
      <w:pPr>
        <w:pStyle w:val="7"/>
        <w:spacing w:before="0" w:beforeAutospacing="0" w:after="0" w:afterAutospacing="0" w:line="360" w:lineRule="auto"/>
        <w:ind w:firstLine="420"/>
        <w:rPr>
          <w:sz w:val="21"/>
          <w:szCs w:val="21"/>
        </w:rPr>
      </w:pPr>
      <w:r>
        <w:rPr>
          <w:rFonts w:hint="eastAsia"/>
          <w:sz w:val="21"/>
          <w:szCs w:val="21"/>
        </w:rPr>
        <w:t xml:space="preserve">基金财产投资的实物证券、银行定期存款存单等有价凭证由基金托管人负责妥善保管。基金托管人对其以外机构实际有效控制的有价凭证不承担责任。 </w:t>
      </w:r>
    </w:p>
    <w:p>
      <w:pPr>
        <w:pStyle w:val="7"/>
        <w:spacing w:before="0" w:beforeAutospacing="0" w:after="0" w:afterAutospacing="0" w:line="360" w:lineRule="auto"/>
        <w:ind w:firstLine="420"/>
        <w:rPr>
          <w:sz w:val="21"/>
          <w:szCs w:val="21"/>
        </w:rPr>
      </w:pPr>
      <w:r>
        <w:rPr>
          <w:rFonts w:hint="eastAsia"/>
          <w:sz w:val="21"/>
          <w:szCs w:val="21"/>
        </w:rPr>
        <w:t xml:space="preserve">（八）与基金财产有关的重大合同及有关凭证的保管 </w:t>
      </w:r>
    </w:p>
    <w:p>
      <w:pPr>
        <w:pStyle w:val="7"/>
        <w:spacing w:before="0" w:beforeAutospacing="0" w:after="0" w:afterAutospacing="0" w:line="360" w:lineRule="auto"/>
        <w:ind w:firstLine="420"/>
        <w:rPr>
          <w:sz w:val="21"/>
          <w:szCs w:val="21"/>
        </w:rPr>
      </w:pPr>
      <w:r>
        <w:rPr>
          <w:rFonts w:hint="eastAsia"/>
          <w:sz w:val="21"/>
          <w:szCs w:val="21"/>
        </w:rPr>
        <w:t xml:space="preserve">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法律法规或监管部门另有规定的，从其规定。 </w:t>
      </w:r>
    </w:p>
    <w:p>
      <w:pPr>
        <w:pStyle w:val="7"/>
        <w:spacing w:before="0" w:beforeAutospacing="0" w:after="0" w:afterAutospacing="0" w:line="360" w:lineRule="auto"/>
        <w:ind w:firstLine="420"/>
        <w:rPr>
          <w:sz w:val="21"/>
          <w:szCs w:val="21"/>
        </w:rPr>
      </w:pPr>
      <w:r>
        <w:rPr>
          <w:rFonts w:hint="eastAsia"/>
          <w:sz w:val="21"/>
          <w:szCs w:val="21"/>
        </w:rPr>
        <w:t xml:space="preserve">对于无法取得二份以上的正本的，基金管理人应向基金托管人提供加盖公章的合同传真件，未经双方协商或未在合同约定范围内，合同原件不得转移。 </w:t>
      </w:r>
    </w:p>
    <w:p>
      <w:pPr>
        <w:pStyle w:val="7"/>
        <w:spacing w:before="0" w:beforeAutospacing="0" w:after="0" w:afterAutospacing="0" w:line="360" w:lineRule="auto"/>
        <w:ind w:firstLine="420"/>
        <w:rPr>
          <w:sz w:val="21"/>
          <w:szCs w:val="21"/>
        </w:rPr>
      </w:pPr>
      <w:r>
        <w:rPr>
          <w:rStyle w:val="11"/>
          <w:rFonts w:hint="eastAsia"/>
          <w:sz w:val="21"/>
          <w:szCs w:val="21"/>
        </w:rPr>
        <w:t>五、基金资产净值计算和会计核算</w:t>
      </w:r>
    </w:p>
    <w:p>
      <w:pPr>
        <w:pStyle w:val="7"/>
        <w:spacing w:before="0" w:beforeAutospacing="0" w:after="0" w:afterAutospacing="0" w:line="360" w:lineRule="auto"/>
        <w:ind w:firstLine="420"/>
        <w:rPr>
          <w:sz w:val="21"/>
          <w:szCs w:val="21"/>
        </w:rPr>
      </w:pPr>
      <w:r>
        <w:rPr>
          <w:rFonts w:hint="eastAsia"/>
          <w:sz w:val="21"/>
          <w:szCs w:val="21"/>
        </w:rPr>
        <w:t xml:space="preserve">（一）基金资产净值的计算和复核 </w:t>
      </w:r>
    </w:p>
    <w:p>
      <w:pPr>
        <w:pStyle w:val="7"/>
        <w:spacing w:before="0" w:beforeAutospacing="0" w:after="0" w:afterAutospacing="0" w:line="360" w:lineRule="auto"/>
        <w:ind w:firstLine="420"/>
        <w:rPr>
          <w:sz w:val="21"/>
          <w:szCs w:val="21"/>
        </w:rPr>
      </w:pPr>
      <w:r>
        <w:rPr>
          <w:rFonts w:hint="eastAsia"/>
          <w:sz w:val="21"/>
          <w:szCs w:val="21"/>
        </w:rPr>
        <w:t xml:space="preserve">1、基金资产净值是指基金资产总值减去负债后的价值。基金份额净值是指计算日基金资产净值除以计算日该基金份额总数后的价值。 </w:t>
      </w:r>
    </w:p>
    <w:p>
      <w:pPr>
        <w:pStyle w:val="7"/>
        <w:spacing w:before="0" w:beforeAutospacing="0" w:after="0" w:afterAutospacing="0" w:line="360" w:lineRule="auto"/>
        <w:ind w:firstLine="420"/>
        <w:rPr>
          <w:sz w:val="21"/>
          <w:szCs w:val="21"/>
        </w:rPr>
      </w:pPr>
      <w:r>
        <w:rPr>
          <w:rFonts w:hint="eastAsia"/>
          <w:sz w:val="21"/>
          <w:szCs w:val="21"/>
        </w:rPr>
        <w:t xml:space="preserve">2、基金管理人应每个估值日对基金财产估值，但基金管理人根据法律法规或《基金合同》的规定暂停估值时除外。估值原则应符合《基金合同》、《证券投资基金会计核算业务指引》及其他法律法规的规定。基金净值信息由基金管理人负责计算，基金托管人复核。基金管理人应于每个工作日结束后计算得出当日的该基金份额净值，并在盖章后以双方约定的方式发送给基金托管人。基金托管人应对净值计算结果进行复核，并以双方约定的方式将复核结果传送给基金管理人，由基金管理人按规定对外公布。月末、年中和年末估值复核与基金会计账目的核对同时进行。 </w:t>
      </w:r>
    </w:p>
    <w:p>
      <w:pPr>
        <w:pStyle w:val="7"/>
        <w:spacing w:before="0" w:beforeAutospacing="0" w:after="0" w:afterAutospacing="0" w:line="360" w:lineRule="auto"/>
        <w:ind w:firstLine="420"/>
        <w:rPr>
          <w:sz w:val="21"/>
          <w:szCs w:val="21"/>
        </w:rPr>
      </w:pPr>
      <w:r>
        <w:rPr>
          <w:rFonts w:hint="eastAsia"/>
          <w:sz w:val="21"/>
          <w:szCs w:val="21"/>
        </w:rPr>
        <w:t xml:space="preserve">3、当相关法律法规或《基金合同》规定的估值方法不能客观反映基金财产公允价值时，基金管理人可根据具体情况，并与基金托管人商定后，按最能反映公允价值的价格估值，所造成的误差不作为基金资产估值错误处理。 </w:t>
      </w:r>
    </w:p>
    <w:p>
      <w:pPr>
        <w:pStyle w:val="7"/>
        <w:spacing w:before="0" w:beforeAutospacing="0" w:after="0" w:afterAutospacing="0" w:line="360" w:lineRule="auto"/>
        <w:ind w:firstLine="420"/>
        <w:rPr>
          <w:sz w:val="21"/>
          <w:szCs w:val="21"/>
        </w:rPr>
      </w:pPr>
      <w:r>
        <w:rPr>
          <w:rFonts w:hint="eastAsia"/>
          <w:sz w:val="21"/>
          <w:szCs w:val="21"/>
        </w:rPr>
        <w:t xml:space="preserve">4、基金管理人、基金托管人发现基金估值违反《基金合同》订明的估值方法、程序以及相关法律法规的规定或者未能充分维护基金份额持有人利益时，双方应及时进行协商和纠正。 </w:t>
      </w:r>
    </w:p>
    <w:p>
      <w:pPr>
        <w:pStyle w:val="7"/>
        <w:spacing w:before="0" w:beforeAutospacing="0" w:after="0" w:afterAutospacing="0" w:line="360" w:lineRule="auto"/>
        <w:ind w:firstLine="420"/>
        <w:rPr>
          <w:sz w:val="21"/>
          <w:szCs w:val="21"/>
        </w:rPr>
      </w:pPr>
      <w:r>
        <w:rPr>
          <w:rFonts w:hint="eastAsia"/>
          <w:sz w:val="21"/>
          <w:szCs w:val="21"/>
        </w:rPr>
        <w:t xml:space="preserve">5、当基金资产的估值导致基金份额净值小数点后四位内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在报中国证监会备案的同时并及时进行公告。如法律法规或监管机关对前述内容另有规定的，按其规定处理。 </w:t>
      </w:r>
    </w:p>
    <w:p>
      <w:pPr>
        <w:pStyle w:val="7"/>
        <w:spacing w:before="0" w:beforeAutospacing="0" w:after="0" w:afterAutospacing="0" w:line="360" w:lineRule="auto"/>
        <w:ind w:firstLine="420"/>
        <w:rPr>
          <w:sz w:val="21"/>
          <w:szCs w:val="21"/>
        </w:rPr>
      </w:pPr>
      <w:r>
        <w:rPr>
          <w:rFonts w:hint="eastAsia"/>
          <w:sz w:val="21"/>
          <w:szCs w:val="21"/>
        </w:rPr>
        <w:t xml:space="preserve">6、除本协议和基金合同另有约定外，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 </w:t>
      </w:r>
    </w:p>
    <w:p>
      <w:pPr>
        <w:pStyle w:val="7"/>
        <w:spacing w:before="0" w:beforeAutospacing="0" w:after="0" w:afterAutospacing="0" w:line="360" w:lineRule="auto"/>
        <w:ind w:firstLine="420"/>
        <w:rPr>
          <w:sz w:val="21"/>
          <w:szCs w:val="21"/>
        </w:rPr>
      </w:pPr>
      <w:r>
        <w:rPr>
          <w:rFonts w:hint="eastAsia"/>
          <w:sz w:val="21"/>
          <w:szCs w:val="21"/>
        </w:rPr>
        <w:t xml:space="preserve">7、 由于证券、期货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 </w:t>
      </w:r>
    </w:p>
    <w:p>
      <w:pPr>
        <w:pStyle w:val="7"/>
        <w:spacing w:before="0" w:beforeAutospacing="0" w:after="0" w:afterAutospacing="0" w:line="360" w:lineRule="auto"/>
        <w:ind w:firstLine="420"/>
        <w:rPr>
          <w:sz w:val="21"/>
          <w:szCs w:val="21"/>
        </w:rPr>
      </w:pPr>
      <w:r>
        <w:rPr>
          <w:rFonts w:hint="eastAsia"/>
          <w:sz w:val="21"/>
          <w:szCs w:val="21"/>
        </w:rPr>
        <w:t xml:space="preserve">8、如果基金托管人的复核结果与基金管理人的计算结果存在差异，且双方经协商未能达成一致，基金管理人可以按照其对基金份额净值的计算结果对外予以公布，基金托管人可以将相关情况报中国证监会备案。 </w:t>
      </w:r>
    </w:p>
    <w:p>
      <w:pPr>
        <w:pStyle w:val="7"/>
        <w:spacing w:before="0" w:beforeAutospacing="0" w:after="0" w:afterAutospacing="0" w:line="360" w:lineRule="auto"/>
        <w:ind w:firstLine="420"/>
        <w:rPr>
          <w:sz w:val="21"/>
          <w:szCs w:val="21"/>
        </w:rPr>
      </w:pPr>
      <w:r>
        <w:rPr>
          <w:rFonts w:hint="eastAsia"/>
          <w:sz w:val="21"/>
          <w:szCs w:val="21"/>
        </w:rPr>
        <w:t xml:space="preserve">（二）基金会计核算 </w:t>
      </w:r>
    </w:p>
    <w:p>
      <w:pPr>
        <w:pStyle w:val="7"/>
        <w:spacing w:before="0" w:beforeAutospacing="0" w:after="0" w:afterAutospacing="0" w:line="360" w:lineRule="auto"/>
        <w:ind w:firstLine="420"/>
        <w:rPr>
          <w:sz w:val="21"/>
          <w:szCs w:val="21"/>
        </w:rPr>
      </w:pPr>
      <w:r>
        <w:rPr>
          <w:rFonts w:hint="eastAsia"/>
          <w:sz w:val="21"/>
          <w:szCs w:val="21"/>
        </w:rPr>
        <w:t xml:space="preserve">1、基金账册的建立 </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 </w:t>
      </w:r>
    </w:p>
    <w:p>
      <w:pPr>
        <w:pStyle w:val="7"/>
        <w:spacing w:before="0" w:beforeAutospacing="0" w:after="0" w:afterAutospacing="0" w:line="360" w:lineRule="auto"/>
        <w:ind w:firstLine="420"/>
        <w:rPr>
          <w:sz w:val="21"/>
          <w:szCs w:val="21"/>
        </w:rPr>
      </w:pPr>
      <w:r>
        <w:rPr>
          <w:rFonts w:hint="eastAsia"/>
          <w:sz w:val="21"/>
          <w:szCs w:val="21"/>
        </w:rPr>
        <w:t xml:space="preserve">2、会计数据和财务指标的核对 </w:t>
      </w:r>
    </w:p>
    <w:p>
      <w:pPr>
        <w:pStyle w:val="7"/>
        <w:spacing w:before="0" w:beforeAutospacing="0" w:after="0" w:afterAutospacing="0" w:line="360" w:lineRule="auto"/>
        <w:ind w:firstLine="420"/>
        <w:rPr>
          <w:sz w:val="21"/>
          <w:szCs w:val="21"/>
        </w:rPr>
      </w:pPr>
      <w:r>
        <w:rPr>
          <w:rFonts w:hint="eastAsia"/>
          <w:sz w:val="21"/>
          <w:szCs w:val="21"/>
        </w:rPr>
        <w:t xml:space="preserve">基金管理人和基金托管人应定期就会计数据和财务指标进行核对。如发现存在不符，双方应及时查明原因并纠正。 </w:t>
      </w:r>
    </w:p>
    <w:p>
      <w:pPr>
        <w:pStyle w:val="7"/>
        <w:spacing w:before="0" w:beforeAutospacing="0" w:after="0" w:afterAutospacing="0" w:line="360" w:lineRule="auto"/>
        <w:ind w:firstLine="420"/>
        <w:rPr>
          <w:sz w:val="21"/>
          <w:szCs w:val="21"/>
        </w:rPr>
      </w:pPr>
      <w:r>
        <w:rPr>
          <w:rFonts w:hint="eastAsia"/>
          <w:sz w:val="21"/>
          <w:szCs w:val="21"/>
        </w:rPr>
        <w:t xml:space="preserve">3、基金财务报表和定期报告的编制和复核 </w:t>
      </w:r>
    </w:p>
    <w:p>
      <w:pPr>
        <w:pStyle w:val="7"/>
        <w:spacing w:before="0" w:beforeAutospacing="0" w:after="0" w:afterAutospacing="0" w:line="360" w:lineRule="auto"/>
        <w:ind w:firstLine="420"/>
        <w:rPr>
          <w:sz w:val="21"/>
          <w:szCs w:val="21"/>
        </w:rPr>
      </w:pPr>
      <w:r>
        <w:rPr>
          <w:rFonts w:hint="eastAsia"/>
          <w:sz w:val="21"/>
          <w:szCs w:val="21"/>
        </w:rPr>
        <w:t xml:space="preserve">基金财务报表由基金管理人和基金托管人每月分别独立编制。月度报表的编制，应于每月终了后5个工作日内完成；《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应当在每年结束之日起三个月内，编制完成基金年度报告，将年度报告登载在指定网站上，并将年度报告提示性公告登载在指定报刊上。基金管理人应当在上半年结束之日起两个月内，编制完成基金中期报告，将中期报告登载在指定网站上，并将中期报告提示性公告登载在指定报刊上。基金管理人应当在季度结束之日起15个工作日内，编制完成基金季度报告，将季度报告登载在指定网站上，并将季度报告提示性公告登载在指定报刊上。基金合同生效不足两个月的，基金管理人可以不编制当期季度报告、中期报告或者年度报告。 </w:t>
      </w:r>
    </w:p>
    <w:p>
      <w:pPr>
        <w:pStyle w:val="7"/>
        <w:spacing w:before="0" w:beforeAutospacing="0" w:after="0" w:afterAutospacing="0" w:line="360" w:lineRule="auto"/>
        <w:ind w:firstLine="420"/>
        <w:rPr>
          <w:sz w:val="21"/>
          <w:szCs w:val="21"/>
        </w:rPr>
      </w:pPr>
      <w:r>
        <w:rPr>
          <w:rFonts w:hint="eastAsia"/>
          <w:sz w:val="21"/>
          <w:szCs w:val="21"/>
        </w:rPr>
        <w:t xml:space="preserve">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中期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 </w:t>
      </w:r>
    </w:p>
    <w:p>
      <w:pPr>
        <w:pStyle w:val="7"/>
        <w:spacing w:before="0" w:beforeAutospacing="0" w:after="0" w:afterAutospacing="0" w:line="360" w:lineRule="auto"/>
        <w:ind w:firstLine="420"/>
        <w:rPr>
          <w:sz w:val="21"/>
          <w:szCs w:val="21"/>
        </w:rPr>
      </w:pPr>
      <w:r>
        <w:rPr>
          <w:rFonts w:hint="eastAsia"/>
          <w:sz w:val="21"/>
          <w:szCs w:val="21"/>
        </w:rPr>
        <w:t xml:space="preserve">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或进行电子确认，双方各自留存一份。如果基金管理人与基金托管人不能于应当发布公告之日之前就相关报表达成一致，基金管理人有权按照其编制的报表对外发布公告，基金托管人有权就相关情况报证监会备案。 </w:t>
      </w:r>
    </w:p>
    <w:p>
      <w:pPr>
        <w:pStyle w:val="7"/>
        <w:spacing w:before="0" w:beforeAutospacing="0" w:after="0" w:afterAutospacing="0" w:line="360" w:lineRule="auto"/>
        <w:ind w:firstLine="420"/>
        <w:rPr>
          <w:sz w:val="21"/>
          <w:szCs w:val="21"/>
        </w:rPr>
      </w:pPr>
      <w:r>
        <w:rPr>
          <w:rStyle w:val="11"/>
          <w:rFonts w:hint="eastAsia"/>
          <w:sz w:val="21"/>
          <w:szCs w:val="21"/>
        </w:rPr>
        <w:t>六、基金份额持有人名册的保管</w:t>
      </w:r>
    </w:p>
    <w:p>
      <w:pPr>
        <w:pStyle w:val="7"/>
        <w:spacing w:before="0" w:beforeAutospacing="0" w:after="0" w:afterAutospacing="0" w:line="360" w:lineRule="auto"/>
        <w:ind w:firstLine="420"/>
        <w:rPr>
          <w:sz w:val="21"/>
          <w:szCs w:val="21"/>
        </w:rPr>
      </w:pPr>
      <w:r>
        <w:rPr>
          <w:rFonts w:hint="eastAsia"/>
          <w:sz w:val="21"/>
          <w:szCs w:val="21"/>
        </w:rPr>
        <w:t xml:space="preserve">（一）基金份额持有人名册的内容 </w:t>
      </w:r>
    </w:p>
    <w:p>
      <w:pPr>
        <w:pStyle w:val="7"/>
        <w:spacing w:before="0" w:beforeAutospacing="0" w:after="0" w:afterAutospacing="0" w:line="360" w:lineRule="auto"/>
        <w:ind w:firstLine="420"/>
        <w:rPr>
          <w:sz w:val="21"/>
          <w:szCs w:val="21"/>
        </w:rPr>
      </w:pPr>
      <w:r>
        <w:rPr>
          <w:rFonts w:hint="eastAsia"/>
          <w:sz w:val="21"/>
          <w:szCs w:val="21"/>
        </w:rPr>
        <w:t xml:space="preserve">基金份额持有人名册的内容包括但不限于基金份额持有人的名称和持有的基金份额。 </w:t>
      </w:r>
    </w:p>
    <w:p>
      <w:pPr>
        <w:pStyle w:val="7"/>
        <w:spacing w:before="0" w:beforeAutospacing="0" w:after="0" w:afterAutospacing="0" w:line="360" w:lineRule="auto"/>
        <w:ind w:firstLine="420"/>
        <w:rPr>
          <w:sz w:val="21"/>
          <w:szCs w:val="21"/>
        </w:rPr>
      </w:pPr>
      <w:r>
        <w:rPr>
          <w:rFonts w:hint="eastAsia"/>
          <w:sz w:val="21"/>
          <w:szCs w:val="21"/>
        </w:rPr>
        <w:t xml:space="preserve">基金份额持有人名册包括以下几类： </w:t>
      </w:r>
    </w:p>
    <w:p>
      <w:pPr>
        <w:pStyle w:val="7"/>
        <w:spacing w:before="0" w:beforeAutospacing="0" w:after="0" w:afterAutospacing="0" w:line="360" w:lineRule="auto"/>
        <w:ind w:firstLine="420"/>
        <w:rPr>
          <w:sz w:val="21"/>
          <w:szCs w:val="21"/>
        </w:rPr>
      </w:pPr>
      <w:r>
        <w:rPr>
          <w:rFonts w:hint="eastAsia"/>
          <w:sz w:val="21"/>
          <w:szCs w:val="21"/>
        </w:rPr>
        <w:t xml:space="preserve">1、基金募集期结束时的基金份额持有人名册；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2、基金权益登记日的基金份额持有人名册；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3、基金份额持有人大会登记日的基金份额持有人名册；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4、每半年度最后一个交易日的基金份额持有人名册。 </w:t>
      </w:r>
    </w:p>
    <w:p>
      <w:pPr>
        <w:pStyle w:val="7"/>
        <w:spacing w:before="0" w:beforeAutospacing="0" w:after="0" w:afterAutospacing="0" w:line="360" w:lineRule="auto"/>
        <w:ind w:firstLine="420"/>
        <w:rPr>
          <w:sz w:val="21"/>
          <w:szCs w:val="21"/>
        </w:rPr>
      </w:pPr>
      <w:r>
        <w:rPr>
          <w:rFonts w:hint="eastAsia"/>
          <w:sz w:val="21"/>
          <w:szCs w:val="21"/>
        </w:rPr>
        <w:t xml:space="preserve">（二）基金份额持有人名册的提供 </w:t>
      </w:r>
    </w:p>
    <w:p>
      <w:pPr>
        <w:pStyle w:val="7"/>
        <w:spacing w:before="0" w:beforeAutospacing="0" w:after="0" w:afterAutospacing="0" w:line="360" w:lineRule="auto"/>
        <w:ind w:firstLine="420"/>
        <w:rPr>
          <w:sz w:val="21"/>
          <w:szCs w:val="21"/>
        </w:rPr>
      </w:pPr>
      <w:r>
        <w:rPr>
          <w:rFonts w:hint="eastAsia"/>
          <w:sz w:val="21"/>
          <w:szCs w:val="21"/>
        </w:rPr>
        <w:t xml:space="preserve">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 </w:t>
      </w:r>
    </w:p>
    <w:p>
      <w:pPr>
        <w:pStyle w:val="7"/>
        <w:spacing w:before="0" w:beforeAutospacing="0" w:after="0" w:afterAutospacing="0" w:line="360" w:lineRule="auto"/>
        <w:ind w:firstLine="420"/>
        <w:rPr>
          <w:sz w:val="21"/>
          <w:szCs w:val="21"/>
        </w:rPr>
      </w:pPr>
      <w:r>
        <w:rPr>
          <w:rFonts w:hint="eastAsia"/>
          <w:sz w:val="21"/>
          <w:szCs w:val="21"/>
        </w:rPr>
        <w:t xml:space="preserve">（三）基金份额持有人名册的保管 </w:t>
      </w:r>
    </w:p>
    <w:p>
      <w:pPr>
        <w:pStyle w:val="7"/>
        <w:spacing w:before="0" w:beforeAutospacing="0" w:after="0" w:afterAutospacing="0" w:line="360" w:lineRule="auto"/>
        <w:ind w:firstLine="420"/>
        <w:rPr>
          <w:sz w:val="21"/>
          <w:szCs w:val="21"/>
        </w:rPr>
      </w:pPr>
      <w:r>
        <w:rPr>
          <w:rFonts w:hint="eastAsia"/>
          <w:sz w:val="21"/>
          <w:szCs w:val="21"/>
        </w:rPr>
        <w:t xml:space="preserve">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 </w:t>
      </w:r>
    </w:p>
    <w:p>
      <w:pPr>
        <w:pStyle w:val="7"/>
        <w:spacing w:before="0" w:beforeAutospacing="0" w:after="0" w:afterAutospacing="0" w:line="360" w:lineRule="auto"/>
        <w:ind w:firstLine="420"/>
        <w:rPr>
          <w:sz w:val="21"/>
          <w:szCs w:val="21"/>
        </w:rPr>
      </w:pPr>
      <w:r>
        <w:rPr>
          <w:rFonts w:hint="eastAsia"/>
          <w:sz w:val="21"/>
          <w:szCs w:val="21"/>
        </w:rPr>
        <w:t xml:space="preserve">基金份额持有人名册至少应包括基金份额持有人的名称和持有的基金份额。基金份额持有人名册由基金登记机构根据基金管理人的指令编制和保管，基金管理人和基金托管人应分别保管基金份额持有人名册，基金登记机构保存期不少于20年，法律法规另有规定或有权机关另有要求的除外。如不能妥善保管，则按相关法规承担责任。 </w:t>
      </w:r>
    </w:p>
    <w:p>
      <w:pPr>
        <w:pStyle w:val="7"/>
        <w:spacing w:before="0" w:beforeAutospacing="0" w:after="0" w:afterAutospacing="0" w:line="360" w:lineRule="auto"/>
        <w:ind w:firstLine="420"/>
        <w:rPr>
          <w:sz w:val="21"/>
          <w:szCs w:val="21"/>
        </w:rPr>
      </w:pPr>
      <w:r>
        <w:rPr>
          <w:rFonts w:hint="eastAsia"/>
          <w:sz w:val="21"/>
          <w:szCs w:val="21"/>
        </w:rPr>
        <w:t xml:space="preserve">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 </w:t>
      </w:r>
    </w:p>
    <w:p>
      <w:pPr>
        <w:pStyle w:val="7"/>
        <w:spacing w:before="0" w:beforeAutospacing="0" w:after="0" w:afterAutospacing="0" w:line="360" w:lineRule="auto"/>
        <w:ind w:firstLine="420"/>
        <w:rPr>
          <w:sz w:val="21"/>
          <w:szCs w:val="21"/>
        </w:rPr>
      </w:pPr>
      <w:r>
        <w:rPr>
          <w:rStyle w:val="11"/>
          <w:rFonts w:hint="eastAsia"/>
          <w:sz w:val="21"/>
          <w:szCs w:val="21"/>
        </w:rPr>
        <w:t>七、争议解决方式 </w:t>
      </w:r>
    </w:p>
    <w:p>
      <w:pPr>
        <w:pStyle w:val="7"/>
        <w:spacing w:before="0" w:beforeAutospacing="0" w:after="0" w:afterAutospacing="0" w:line="360" w:lineRule="auto"/>
        <w:ind w:firstLine="420"/>
        <w:rPr>
          <w:sz w:val="21"/>
          <w:szCs w:val="21"/>
        </w:rPr>
      </w:pPr>
      <w:r>
        <w:rPr>
          <w:rFonts w:hint="eastAsia"/>
          <w:sz w:val="21"/>
          <w:szCs w:val="21"/>
        </w:rPr>
        <w:t xml:space="preserve">（一）本协议适用中华人民共和国（不含港澳台地区）法律并从其解释。 </w:t>
      </w:r>
    </w:p>
    <w:p>
      <w:pPr>
        <w:pStyle w:val="7"/>
        <w:spacing w:before="0" w:beforeAutospacing="0" w:after="0" w:afterAutospacing="0" w:line="360" w:lineRule="auto"/>
        <w:ind w:firstLine="420"/>
        <w:rPr>
          <w:sz w:val="21"/>
          <w:szCs w:val="21"/>
        </w:rPr>
      </w:pPr>
      <w:r>
        <w:rPr>
          <w:rFonts w:hint="eastAsia"/>
          <w:sz w:val="21"/>
          <w:szCs w:val="21"/>
        </w:rPr>
        <w:t xml:space="preserve">（二）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仲裁费由败诉方承担。 </w:t>
      </w:r>
    </w:p>
    <w:p>
      <w:pPr>
        <w:pStyle w:val="7"/>
        <w:spacing w:before="0" w:beforeAutospacing="0" w:after="0" w:afterAutospacing="0" w:line="360" w:lineRule="auto"/>
        <w:ind w:firstLine="420"/>
        <w:rPr>
          <w:sz w:val="21"/>
          <w:szCs w:val="21"/>
        </w:rPr>
      </w:pPr>
      <w:r>
        <w:rPr>
          <w:rFonts w:hint="eastAsia"/>
          <w:sz w:val="21"/>
          <w:szCs w:val="21"/>
        </w:rPr>
        <w:t xml:space="preserve">（三）除争议所涉的内容之外，本协议的当事人仍应履行本协议的其他规定。 </w:t>
      </w:r>
    </w:p>
    <w:p>
      <w:pPr>
        <w:pStyle w:val="7"/>
        <w:spacing w:before="0" w:beforeAutospacing="0" w:after="0" w:afterAutospacing="0" w:line="360" w:lineRule="auto"/>
        <w:ind w:firstLine="420"/>
        <w:rPr>
          <w:sz w:val="21"/>
          <w:szCs w:val="21"/>
        </w:rPr>
      </w:pPr>
      <w:r>
        <w:rPr>
          <w:rStyle w:val="11"/>
          <w:rFonts w:hint="eastAsia"/>
          <w:sz w:val="21"/>
          <w:szCs w:val="21"/>
        </w:rPr>
        <w:t>八、托管协议的效力</w:t>
      </w:r>
    </w:p>
    <w:p>
      <w:pPr>
        <w:pStyle w:val="7"/>
        <w:spacing w:before="0" w:beforeAutospacing="0" w:after="0" w:afterAutospacing="0" w:line="360" w:lineRule="auto"/>
        <w:ind w:firstLine="420"/>
        <w:rPr>
          <w:sz w:val="21"/>
          <w:szCs w:val="21"/>
        </w:rPr>
      </w:pPr>
      <w:r>
        <w:rPr>
          <w:rFonts w:hint="eastAsia"/>
          <w:sz w:val="21"/>
          <w:szCs w:val="21"/>
        </w:rPr>
        <w:t xml:space="preserve">（一）基金管理人在向中国证监会申请发售基金份额时提交的基金托管协议草案，应经托管协议双方当事人的法定代表人或授权签字人签字并加盖公章，协议当事人双方根据中国证监会的意见修改托管协议草案。托管协议以中国证监会注册的文本为正式文本。 </w:t>
      </w:r>
    </w:p>
    <w:p>
      <w:pPr>
        <w:pStyle w:val="7"/>
        <w:spacing w:before="0" w:beforeAutospacing="0" w:after="0" w:afterAutospacing="0" w:line="360" w:lineRule="auto"/>
        <w:ind w:firstLine="420"/>
        <w:rPr>
          <w:sz w:val="21"/>
          <w:szCs w:val="21"/>
        </w:rPr>
      </w:pPr>
      <w:r>
        <w:rPr>
          <w:rFonts w:hint="eastAsia"/>
          <w:sz w:val="21"/>
          <w:szCs w:val="21"/>
        </w:rPr>
        <w:t xml:space="preserve">（二）本协议自双方签署之日起成立，自基金合同生效之日起生效。本协议的有效期自其生效之日起至基金财产清算结果报中国证监会备案并公告之日止。 </w:t>
      </w:r>
    </w:p>
    <w:p>
      <w:pPr>
        <w:pStyle w:val="7"/>
        <w:spacing w:before="0" w:beforeAutospacing="0" w:after="0" w:afterAutospacing="0" w:line="360" w:lineRule="auto"/>
        <w:ind w:firstLine="420"/>
        <w:rPr>
          <w:sz w:val="21"/>
          <w:szCs w:val="21"/>
        </w:rPr>
      </w:pPr>
      <w:r>
        <w:rPr>
          <w:rFonts w:hint="eastAsia"/>
          <w:sz w:val="21"/>
          <w:szCs w:val="21"/>
        </w:rPr>
        <w:t xml:space="preserve">（三）本协议自生效之日起对双方当事人具有同等的法律约束力。 </w:t>
      </w:r>
    </w:p>
    <w:p>
      <w:pPr>
        <w:pStyle w:val="7"/>
        <w:spacing w:before="0" w:beforeAutospacing="0" w:after="0" w:afterAutospacing="0" w:line="360" w:lineRule="auto"/>
        <w:ind w:firstLine="420"/>
        <w:rPr>
          <w:sz w:val="21"/>
          <w:szCs w:val="21"/>
        </w:rPr>
      </w:pPr>
      <w:r>
        <w:rPr>
          <w:rFonts w:hint="eastAsia"/>
          <w:sz w:val="21"/>
          <w:szCs w:val="21"/>
        </w:rPr>
        <w:t>（四）本协议正本一式陆份，协议双方各执贰份，上报中国证监会和中国银监会各壹份，</w:t>
      </w:r>
      <w:bookmarkStart w:id="200" w:name="chapter_level1_22_72_section_1_end"/>
      <w:bookmarkEnd w:id="200"/>
      <w:r>
        <w:rPr>
          <w:rFonts w:hint="eastAsia"/>
          <w:sz w:val="21"/>
          <w:szCs w:val="21"/>
        </w:rPr>
        <w:t xml:space="preserve">每份具有同等法律效力。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1" w:name="_Toc113633902"/>
      <w:bookmarkStart w:id="202" w:name="chapter_level1_23_75"/>
      <w:r>
        <w:rPr>
          <w:rFonts w:hint="eastAsia" w:ascii="宋体" w:hAnsi="宋体" w:eastAsia="宋体"/>
          <w:sz w:val="30"/>
        </w:rPr>
        <w:t>第二十部分  对基金份额持有人的服务</w:t>
      </w:r>
      <w:bookmarkEnd w:id="201"/>
      <w:bookmarkEnd w:id="202"/>
    </w:p>
    <w:p>
      <w:pPr>
        <w:pStyle w:val="7"/>
        <w:spacing w:before="0" w:beforeAutospacing="0" w:after="0" w:afterAutospacing="0" w:line="360" w:lineRule="auto"/>
        <w:ind w:firstLine="420"/>
        <w:rPr>
          <w:sz w:val="21"/>
          <w:szCs w:val="21"/>
        </w:rPr>
      </w:pPr>
      <w:bookmarkStart w:id="203" w:name="chapter_level1_23_75_section_1"/>
      <w:bookmarkEnd w:id="203"/>
      <w:r>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或变更服务项目，主要服务内容如下：  </w:t>
      </w:r>
    </w:p>
    <w:p>
      <w:pPr>
        <w:pStyle w:val="7"/>
        <w:spacing w:before="0" w:beforeAutospacing="0" w:after="0" w:afterAutospacing="0" w:line="360" w:lineRule="auto"/>
        <w:ind w:firstLine="420"/>
        <w:rPr>
          <w:sz w:val="21"/>
          <w:szCs w:val="21"/>
        </w:rPr>
      </w:pPr>
      <w:r>
        <w:rPr>
          <w:rStyle w:val="11"/>
          <w:rFonts w:hint="eastAsia"/>
          <w:sz w:val="21"/>
          <w:szCs w:val="21"/>
        </w:rPr>
        <w:t>一、持有人交易资料的寄送服务</w:t>
      </w:r>
    </w:p>
    <w:p>
      <w:pPr>
        <w:pStyle w:val="7"/>
        <w:spacing w:before="0" w:beforeAutospacing="0" w:after="0" w:afterAutospacing="0" w:line="360" w:lineRule="auto"/>
        <w:ind w:firstLine="420"/>
        <w:rPr>
          <w:sz w:val="21"/>
          <w:szCs w:val="21"/>
        </w:rPr>
      </w:pPr>
      <w:r>
        <w:rPr>
          <w:rFonts w:hint="eastAsia"/>
          <w:sz w:val="21"/>
          <w:szCs w:val="21"/>
        </w:rPr>
        <w:t xml:space="preserve">1、交易确认单 </w:t>
      </w:r>
    </w:p>
    <w:p>
      <w:pPr>
        <w:pStyle w:val="7"/>
        <w:spacing w:before="0" w:beforeAutospacing="0" w:after="0" w:afterAutospacing="0" w:line="360" w:lineRule="auto"/>
        <w:ind w:firstLine="420"/>
        <w:rPr>
          <w:sz w:val="21"/>
          <w:szCs w:val="21"/>
        </w:rPr>
      </w:pPr>
      <w:r>
        <w:rPr>
          <w:rFonts w:hint="eastAsia"/>
          <w:sz w:val="21"/>
          <w:szCs w:val="21"/>
        </w:rPr>
        <w:t xml:space="preserve">基金合同生效后正常开放期，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pPr>
        <w:pStyle w:val="7"/>
        <w:spacing w:before="0" w:beforeAutospacing="0" w:after="0" w:afterAutospacing="0" w:line="360" w:lineRule="auto"/>
        <w:ind w:firstLine="420"/>
        <w:rPr>
          <w:sz w:val="21"/>
          <w:szCs w:val="21"/>
        </w:rPr>
      </w:pPr>
      <w:r>
        <w:rPr>
          <w:rStyle w:val="11"/>
          <w:rFonts w:hint="eastAsia"/>
          <w:sz w:val="21"/>
          <w:szCs w:val="21"/>
        </w:rPr>
        <w:t>2、电子对账单</w:t>
      </w:r>
    </w:p>
    <w:p>
      <w:pPr>
        <w:pStyle w:val="7"/>
        <w:spacing w:before="0" w:beforeAutospacing="0" w:after="0" w:afterAutospacing="0" w:line="360" w:lineRule="auto"/>
        <w:ind w:firstLine="420"/>
        <w:rPr>
          <w:sz w:val="21"/>
          <w:szCs w:val="21"/>
        </w:rPr>
      </w:pPr>
      <w:r>
        <w:rPr>
          <w:rFonts w:hint="eastAsia"/>
          <w:sz w:val="21"/>
          <w:szCs w:val="21"/>
        </w:rPr>
        <w:t xml:space="preserve">每月结束后，基金管理人向所有订阅电子邮件对账单的投资者发送电子邮件对账单。 </w:t>
      </w:r>
    </w:p>
    <w:p>
      <w:pPr>
        <w:pStyle w:val="7"/>
        <w:spacing w:before="0" w:beforeAutospacing="0" w:after="0" w:afterAutospacing="0" w:line="360" w:lineRule="auto"/>
        <w:ind w:firstLine="420"/>
        <w:rPr>
          <w:sz w:val="21"/>
          <w:szCs w:val="21"/>
        </w:rPr>
      </w:pPr>
      <w:r>
        <w:rPr>
          <w:rFonts w:hint="eastAsia"/>
          <w:sz w:val="21"/>
          <w:szCs w:val="21"/>
        </w:rPr>
        <w:t>投资者可以登录基金管理人网站（http://www.bosera.com）自助订阅；或发送“订阅电子对账单”邮件到客服邮箱</w:t>
      </w:r>
      <w:r>
        <w:fldChar w:fldCharType="begin"/>
      </w:r>
      <w:r>
        <w:instrText xml:space="preserve"> HYPERLINK "mailto:service@bosera.com" </w:instrText>
      </w:r>
      <w:r>
        <w:fldChar w:fldCharType="separate"/>
      </w:r>
      <w:r>
        <w:rPr>
          <w:rStyle w:val="12"/>
          <w:rFonts w:hint="eastAsia"/>
          <w:sz w:val="21"/>
          <w:szCs w:val="21"/>
        </w:rPr>
        <w:t>service@bosera.com</w:t>
      </w:r>
      <w:r>
        <w:rPr>
          <w:rStyle w:val="12"/>
          <w:rFonts w:hint="eastAsia"/>
          <w:sz w:val="21"/>
          <w:szCs w:val="21"/>
        </w:rPr>
        <w:fldChar w:fldCharType="end"/>
      </w:r>
      <w:r>
        <w:rPr>
          <w:rFonts w:hint="eastAsia"/>
          <w:sz w:val="21"/>
          <w:szCs w:val="21"/>
        </w:rPr>
        <w:t xml:space="preserve">；也可直接拨打博时一线通95105568（免长途话费）订阅。 </w:t>
      </w:r>
    </w:p>
    <w:p>
      <w:pPr>
        <w:pStyle w:val="7"/>
        <w:spacing w:before="0" w:beforeAutospacing="0" w:after="0" w:afterAutospacing="0" w:line="360" w:lineRule="auto"/>
        <w:ind w:firstLine="420"/>
        <w:rPr>
          <w:sz w:val="21"/>
          <w:szCs w:val="21"/>
        </w:rPr>
      </w:pPr>
      <w:r>
        <w:rPr>
          <w:rFonts w:hint="eastAsia"/>
          <w:sz w:val="21"/>
          <w:szCs w:val="21"/>
        </w:rPr>
        <w:t xml:space="preserve">3、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pPr>
        <w:pStyle w:val="7"/>
        <w:spacing w:before="0" w:beforeAutospacing="0" w:after="0" w:afterAutospacing="0" w:line="360" w:lineRule="auto"/>
        <w:ind w:firstLine="420"/>
        <w:rPr>
          <w:sz w:val="21"/>
          <w:szCs w:val="21"/>
        </w:rPr>
      </w:pPr>
      <w:r>
        <w:rPr>
          <w:rStyle w:val="11"/>
          <w:rFonts w:hint="eastAsia"/>
          <w:sz w:val="21"/>
          <w:szCs w:val="21"/>
        </w:rPr>
        <w:t>二、网上理财服务</w:t>
      </w:r>
    </w:p>
    <w:p>
      <w:pPr>
        <w:pStyle w:val="7"/>
        <w:spacing w:before="0" w:beforeAutospacing="0" w:after="0" w:afterAutospacing="0" w:line="360" w:lineRule="auto"/>
        <w:ind w:firstLine="420"/>
        <w:rPr>
          <w:sz w:val="21"/>
          <w:szCs w:val="21"/>
        </w:rPr>
      </w:pPr>
      <w:r>
        <w:rPr>
          <w:rFonts w:hint="eastAsia"/>
          <w:sz w:val="21"/>
          <w:szCs w:val="21"/>
        </w:rPr>
        <w:t xml:space="preserve">通过基金管理人网站，投资者可获得如下服务： </w:t>
      </w:r>
    </w:p>
    <w:p>
      <w:pPr>
        <w:pStyle w:val="7"/>
        <w:spacing w:before="0" w:beforeAutospacing="0" w:after="0" w:afterAutospacing="0" w:line="360" w:lineRule="auto"/>
        <w:ind w:firstLine="420"/>
        <w:rPr>
          <w:sz w:val="21"/>
          <w:szCs w:val="21"/>
        </w:rPr>
      </w:pPr>
      <w:r>
        <w:rPr>
          <w:rFonts w:hint="eastAsia"/>
          <w:sz w:val="21"/>
          <w:szCs w:val="21"/>
        </w:rPr>
        <w:t xml:space="preserve">1、自助开户交易 </w:t>
      </w:r>
    </w:p>
    <w:p>
      <w:pPr>
        <w:pStyle w:val="7"/>
        <w:spacing w:before="0" w:beforeAutospacing="0" w:after="0" w:afterAutospacing="0" w:line="360" w:lineRule="auto"/>
        <w:ind w:firstLine="420"/>
        <w:rPr>
          <w:sz w:val="21"/>
          <w:szCs w:val="21"/>
        </w:rPr>
      </w:pPr>
      <w:r>
        <w:rPr>
          <w:rFonts w:hint="eastAsia"/>
          <w:sz w:val="21"/>
          <w:szCs w:val="21"/>
        </w:rPr>
        <w:t xml:space="preserve">投资者可登录基金管理人网站网上交易系统，与基金管理人达成电子交易的相关协议，接受基金管理人有关服务条款并办理相关手续后，即可自助开户并进行网上交易，如基金认/申购、定投、转换、赎回、赎回转申购及分红方式变更等。具体业务办理情况及业务规则请登录基金管理人网站查询。 </w:t>
      </w:r>
    </w:p>
    <w:p>
      <w:pPr>
        <w:pStyle w:val="7"/>
        <w:spacing w:before="0" w:beforeAutospacing="0" w:after="0" w:afterAutospacing="0" w:line="360" w:lineRule="auto"/>
        <w:ind w:firstLine="420"/>
        <w:rPr>
          <w:sz w:val="21"/>
          <w:szCs w:val="21"/>
        </w:rPr>
      </w:pPr>
      <w:r>
        <w:rPr>
          <w:rFonts w:hint="eastAsia"/>
          <w:sz w:val="21"/>
          <w:szCs w:val="21"/>
        </w:rPr>
        <w:t xml:space="preserve">2、查询服务 </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投资者可以通过基金管理人网站查询所持有基金的基金份额、交易记录等信息，同时可以修改基金账户信息等基本资料。 </w:t>
      </w:r>
    </w:p>
    <w:p>
      <w:pPr>
        <w:pStyle w:val="7"/>
        <w:spacing w:before="0" w:beforeAutospacing="0" w:after="0" w:afterAutospacing="0" w:line="360" w:lineRule="auto"/>
        <w:ind w:firstLine="420"/>
        <w:rPr>
          <w:sz w:val="21"/>
          <w:szCs w:val="21"/>
        </w:rPr>
      </w:pPr>
      <w:r>
        <w:rPr>
          <w:rFonts w:hint="eastAsia"/>
          <w:sz w:val="21"/>
          <w:szCs w:val="21"/>
        </w:rPr>
        <w:t xml:space="preserve">3、信息资讯服务 </w:t>
      </w:r>
    </w:p>
    <w:p>
      <w:pPr>
        <w:pStyle w:val="7"/>
        <w:spacing w:before="0" w:beforeAutospacing="0" w:after="0" w:afterAutospacing="0" w:line="360" w:lineRule="auto"/>
        <w:ind w:firstLine="420"/>
        <w:rPr>
          <w:sz w:val="21"/>
          <w:szCs w:val="21"/>
        </w:rPr>
      </w:pPr>
      <w:r>
        <w:rPr>
          <w:rFonts w:hint="eastAsia"/>
          <w:sz w:val="21"/>
          <w:szCs w:val="21"/>
        </w:rPr>
        <w:t xml:space="preserve">投资者可以利用基金管理人网站获取基金和基金管理人各类信息，包括基金法律文件、基金管理人最新动态、热点问题等。 </w:t>
      </w:r>
    </w:p>
    <w:p>
      <w:pPr>
        <w:pStyle w:val="7"/>
        <w:spacing w:before="0" w:beforeAutospacing="0" w:after="0" w:afterAutospacing="0" w:line="360" w:lineRule="auto"/>
        <w:ind w:firstLine="420"/>
        <w:rPr>
          <w:sz w:val="21"/>
          <w:szCs w:val="21"/>
        </w:rPr>
      </w:pPr>
      <w:r>
        <w:rPr>
          <w:rFonts w:hint="eastAsia"/>
          <w:sz w:val="21"/>
          <w:szCs w:val="21"/>
        </w:rPr>
        <w:t xml:space="preserve">4、在线客服 </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投资者可以通过基金管理人网站首页“在线客服”功能进行在线咨询。也可以在“您问我答”栏目中，直接提出有关本基金的问题和建议。 </w:t>
      </w:r>
    </w:p>
    <w:p>
      <w:pPr>
        <w:pStyle w:val="7"/>
        <w:spacing w:before="0" w:beforeAutospacing="0" w:after="0" w:afterAutospacing="0" w:line="360" w:lineRule="auto"/>
        <w:ind w:firstLine="420"/>
        <w:rPr>
          <w:sz w:val="21"/>
          <w:szCs w:val="21"/>
        </w:rPr>
      </w:pPr>
      <w:r>
        <w:rPr>
          <w:rStyle w:val="11"/>
          <w:rFonts w:hint="eastAsia"/>
          <w:sz w:val="21"/>
          <w:szCs w:val="21"/>
        </w:rPr>
        <w:t>三、短信服务</w:t>
      </w:r>
    </w:p>
    <w:p>
      <w:pPr>
        <w:pStyle w:val="7"/>
        <w:spacing w:before="0" w:beforeAutospacing="0" w:after="0" w:afterAutospacing="0" w:line="360" w:lineRule="auto"/>
        <w:ind w:firstLine="420"/>
        <w:rPr>
          <w:sz w:val="21"/>
          <w:szCs w:val="21"/>
        </w:rPr>
      </w:pPr>
      <w:r>
        <w:rPr>
          <w:rFonts w:hint="eastAsia"/>
          <w:sz w:val="21"/>
          <w:szCs w:val="21"/>
        </w:rPr>
        <w:t xml:space="preserve">基金管理人向订制短信服务的基金份额持有人提供相应短信服务。 </w:t>
      </w:r>
    </w:p>
    <w:p>
      <w:pPr>
        <w:pStyle w:val="7"/>
        <w:spacing w:before="0" w:beforeAutospacing="0" w:after="0" w:afterAutospacing="0" w:line="360" w:lineRule="auto"/>
        <w:ind w:firstLine="420"/>
        <w:rPr>
          <w:sz w:val="21"/>
          <w:szCs w:val="21"/>
        </w:rPr>
      </w:pPr>
      <w:r>
        <w:rPr>
          <w:rStyle w:val="11"/>
          <w:rFonts w:hint="eastAsia"/>
          <w:sz w:val="21"/>
          <w:szCs w:val="21"/>
        </w:rPr>
        <w:t>四、电子邮件服务</w:t>
      </w:r>
    </w:p>
    <w:p>
      <w:pPr>
        <w:pStyle w:val="7"/>
        <w:spacing w:before="0" w:beforeAutospacing="0" w:after="0" w:afterAutospacing="0" w:line="360" w:lineRule="auto"/>
        <w:ind w:firstLine="420"/>
        <w:rPr>
          <w:sz w:val="21"/>
          <w:szCs w:val="21"/>
        </w:rPr>
      </w:pPr>
      <w:bookmarkStart w:id="204" w:name="chapter_level1_23_75_section_1_end"/>
      <w:bookmarkEnd w:id="204"/>
      <w:r>
        <w:rPr>
          <w:rFonts w:hint="eastAsia"/>
          <w:sz w:val="21"/>
          <w:szCs w:val="21"/>
        </w:rPr>
        <w:t xml:space="preserve">基金管理人为投资者提供电子邮件方式的业务咨询、投诉受理、基金份额净值等服务。 </w:t>
      </w:r>
    </w:p>
    <w:p>
      <w:pPr>
        <w:pStyle w:val="7"/>
        <w:spacing w:before="0" w:beforeAutospacing="0" w:after="0" w:afterAutospacing="0" w:line="360" w:lineRule="auto"/>
        <w:ind w:firstLine="420"/>
        <w:rPr>
          <w:sz w:val="21"/>
          <w:szCs w:val="21"/>
        </w:rPr>
      </w:pPr>
      <w:bookmarkStart w:id="205" w:name="chapter_level1_23_75_section_2"/>
      <w:bookmarkEnd w:id="205"/>
      <w:r>
        <w:rPr>
          <w:rStyle w:val="11"/>
          <w:rFonts w:hint="eastAsia"/>
          <w:sz w:val="21"/>
          <w:szCs w:val="21"/>
        </w:rPr>
        <w:t>五、手机理财服务</w:t>
      </w:r>
    </w:p>
    <w:p>
      <w:pPr>
        <w:pStyle w:val="7"/>
        <w:spacing w:before="0" w:beforeAutospacing="0" w:after="0" w:afterAutospacing="0" w:line="360" w:lineRule="auto"/>
        <w:ind w:firstLine="420"/>
        <w:rPr>
          <w:sz w:val="21"/>
          <w:szCs w:val="21"/>
        </w:rPr>
      </w:pPr>
      <w:r>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pPr>
        <w:pStyle w:val="7"/>
        <w:spacing w:before="0" w:beforeAutospacing="0" w:after="0" w:afterAutospacing="0" w:line="360" w:lineRule="auto"/>
        <w:ind w:firstLine="420"/>
        <w:rPr>
          <w:sz w:val="21"/>
          <w:szCs w:val="21"/>
        </w:rPr>
      </w:pPr>
      <w:r>
        <w:rPr>
          <w:rStyle w:val="11"/>
          <w:rFonts w:hint="eastAsia"/>
          <w:sz w:val="21"/>
          <w:szCs w:val="21"/>
        </w:rPr>
        <w:t>六、信息订阅服务</w:t>
      </w:r>
    </w:p>
    <w:p>
      <w:pPr>
        <w:pStyle w:val="7"/>
        <w:spacing w:before="0" w:beforeAutospacing="0" w:after="0" w:afterAutospacing="0" w:line="360" w:lineRule="auto"/>
        <w:ind w:firstLine="420"/>
        <w:rPr>
          <w:sz w:val="21"/>
          <w:szCs w:val="21"/>
        </w:rPr>
      </w:pPr>
      <w:r>
        <w:rPr>
          <w:rFonts w:hint="eastAsia"/>
          <w:sz w:val="21"/>
          <w:szCs w:val="21"/>
        </w:rPr>
        <w:t xml:space="preserve">投资者可以通过基金管理人网站、客服中心提交信息订制的申请，基金管理人将以电子邮件、手机短信的形式定期为投资者发送所订制的信息。 </w:t>
      </w:r>
    </w:p>
    <w:p>
      <w:pPr>
        <w:pStyle w:val="7"/>
        <w:spacing w:before="0" w:beforeAutospacing="0" w:after="0" w:afterAutospacing="0" w:line="360" w:lineRule="auto"/>
        <w:ind w:firstLine="420"/>
        <w:rPr>
          <w:sz w:val="21"/>
          <w:szCs w:val="21"/>
        </w:rPr>
      </w:pPr>
      <w:r>
        <w:rPr>
          <w:rStyle w:val="11"/>
          <w:rFonts w:hint="eastAsia"/>
          <w:sz w:val="21"/>
          <w:szCs w:val="21"/>
        </w:rPr>
        <w:t>七、电话理财服务</w:t>
      </w:r>
    </w:p>
    <w:p>
      <w:pPr>
        <w:pStyle w:val="7"/>
        <w:spacing w:before="0" w:beforeAutospacing="0" w:after="0" w:afterAutospacing="0" w:line="360" w:lineRule="auto"/>
        <w:ind w:firstLine="420"/>
        <w:rPr>
          <w:sz w:val="21"/>
          <w:szCs w:val="21"/>
        </w:rPr>
      </w:pPr>
      <w:r>
        <w:rPr>
          <w:rFonts w:hint="eastAsia"/>
          <w:sz w:val="21"/>
          <w:szCs w:val="21"/>
        </w:rPr>
        <w:t xml:space="preserve">投资者拨打博时一线通：95105568（免长途话费）可享有投资理财交易的一站式综合服务： </w:t>
      </w:r>
    </w:p>
    <w:p>
      <w:pPr>
        <w:pStyle w:val="7"/>
        <w:spacing w:before="0" w:beforeAutospacing="0" w:after="0" w:afterAutospacing="0" w:line="360" w:lineRule="auto"/>
        <w:ind w:firstLine="420"/>
        <w:rPr>
          <w:sz w:val="21"/>
          <w:szCs w:val="21"/>
        </w:rPr>
      </w:pPr>
      <w:r>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pPr>
        <w:pStyle w:val="7"/>
        <w:spacing w:before="0" w:beforeAutospacing="0" w:after="0" w:afterAutospacing="0" w:line="360" w:lineRule="auto"/>
        <w:ind w:firstLine="420"/>
        <w:rPr>
          <w:sz w:val="21"/>
          <w:szCs w:val="21"/>
        </w:rPr>
      </w:pPr>
      <w:r>
        <w:rPr>
          <w:rFonts w:hint="eastAsia"/>
          <w:sz w:val="21"/>
          <w:szCs w:val="21"/>
        </w:rPr>
        <w:t xml:space="preserve">2、电话交易服务：基金管理人直销投资者可通过博时一线通电话交易平台在线办理基金的认购、申购、赎回、转换、变更分红方式、撤单等直销交易业务，其中已开通协议支付账户的投资者还可以在线完成认/申购款项的自动划付。 </w:t>
      </w:r>
    </w:p>
    <w:p>
      <w:pPr>
        <w:pStyle w:val="7"/>
        <w:spacing w:before="0" w:beforeAutospacing="0" w:after="0" w:afterAutospacing="0" w:line="360" w:lineRule="auto"/>
        <w:ind w:firstLine="420"/>
        <w:rPr>
          <w:sz w:val="21"/>
          <w:szCs w:val="21"/>
        </w:rPr>
      </w:pPr>
      <w:r>
        <w:rPr>
          <w:rFonts w:hint="eastAsia"/>
          <w:sz w:val="21"/>
          <w:szCs w:val="21"/>
        </w:rPr>
        <w:t xml:space="preserve">3、人工电话服务：投资者可以获得业务咨询、信息查询、资料修改、投诉受理、信息订制、账户诊断等服务。 </w:t>
      </w:r>
    </w:p>
    <w:p>
      <w:pPr>
        <w:pStyle w:val="7"/>
        <w:spacing w:before="0" w:beforeAutospacing="0" w:after="0" w:afterAutospacing="0" w:line="360" w:lineRule="auto"/>
        <w:ind w:firstLine="420"/>
        <w:rPr>
          <w:sz w:val="21"/>
          <w:szCs w:val="21"/>
        </w:rPr>
      </w:pPr>
      <w:r>
        <w:rPr>
          <w:rFonts w:hint="eastAsia"/>
          <w:sz w:val="21"/>
          <w:szCs w:val="21"/>
        </w:rPr>
        <w:t xml:space="preserve">4、电话留言服务：非人工服务时间或线路繁忙时，投资者可进行电话留言。 </w:t>
      </w:r>
    </w:p>
    <w:p>
      <w:pPr>
        <w:pStyle w:val="7"/>
        <w:spacing w:before="0" w:beforeAutospacing="0" w:after="0" w:afterAutospacing="0" w:line="360" w:lineRule="auto"/>
        <w:ind w:firstLine="420"/>
        <w:rPr>
          <w:sz w:val="21"/>
          <w:szCs w:val="21"/>
        </w:rPr>
      </w:pPr>
      <w:r>
        <w:rPr>
          <w:rStyle w:val="11"/>
          <w:rFonts w:hint="eastAsia"/>
          <w:sz w:val="21"/>
          <w:szCs w:val="21"/>
        </w:rPr>
        <w:t>八、基金管理人联系方式</w:t>
      </w:r>
    </w:p>
    <w:p>
      <w:pPr>
        <w:pStyle w:val="7"/>
        <w:spacing w:before="0" w:beforeAutospacing="0" w:after="0" w:afterAutospacing="0" w:line="360" w:lineRule="auto"/>
        <w:ind w:firstLine="420"/>
        <w:rPr>
          <w:sz w:val="21"/>
          <w:szCs w:val="21"/>
        </w:rPr>
      </w:pPr>
      <w:r>
        <w:rPr>
          <w:rFonts w:hint="eastAsia"/>
          <w:sz w:val="21"/>
          <w:szCs w:val="21"/>
        </w:rPr>
        <w:t xml:space="preserve">公司网址：www.bosera.com </w:t>
      </w:r>
    </w:p>
    <w:p>
      <w:pPr>
        <w:pStyle w:val="7"/>
        <w:spacing w:before="0" w:beforeAutospacing="0" w:after="0" w:afterAutospacing="0" w:line="360" w:lineRule="auto"/>
        <w:ind w:firstLine="420"/>
        <w:rPr>
          <w:sz w:val="21"/>
          <w:szCs w:val="21"/>
        </w:rPr>
      </w:pPr>
      <w:r>
        <w:rPr>
          <w:rFonts w:hint="eastAsia"/>
          <w:sz w:val="21"/>
          <w:szCs w:val="21"/>
        </w:rPr>
        <w:t>电子信箱：</w:t>
      </w:r>
      <w:r>
        <w:fldChar w:fldCharType="begin"/>
      </w:r>
      <w:r>
        <w:instrText xml:space="preserve"> HYPERLINK "mailto:service@bosera.com" </w:instrText>
      </w:r>
      <w:r>
        <w:fldChar w:fldCharType="separate"/>
      </w:r>
      <w:r>
        <w:rPr>
          <w:rStyle w:val="12"/>
          <w:rFonts w:hint="eastAsia"/>
          <w:sz w:val="21"/>
          <w:szCs w:val="21"/>
        </w:rPr>
        <w:t>service@bosera.com</w:t>
      </w:r>
      <w:r>
        <w:rPr>
          <w:rStyle w:val="12"/>
          <w:rFonts w:hint="eastAsia"/>
          <w:sz w:val="21"/>
          <w:szCs w:val="21"/>
        </w:rPr>
        <w:fldChar w:fldCharType="end"/>
      </w:r>
    </w:p>
    <w:p>
      <w:pPr>
        <w:pStyle w:val="7"/>
        <w:spacing w:before="0" w:beforeAutospacing="0" w:after="0" w:afterAutospacing="0" w:line="360" w:lineRule="auto"/>
        <w:ind w:firstLine="420"/>
        <w:rPr>
          <w:sz w:val="21"/>
          <w:szCs w:val="21"/>
        </w:rPr>
      </w:pPr>
      <w:r>
        <w:rPr>
          <w:rFonts w:hint="eastAsia"/>
          <w:sz w:val="21"/>
          <w:szCs w:val="21"/>
        </w:rPr>
        <w:t xml:space="preserve">博时一线通客服电话：95105568（免长途话费） </w:t>
      </w:r>
    </w:p>
    <w:p>
      <w:pPr>
        <w:pStyle w:val="7"/>
        <w:spacing w:before="0" w:beforeAutospacing="0" w:after="0" w:afterAutospacing="0" w:line="360" w:lineRule="auto"/>
        <w:ind w:firstLine="420"/>
        <w:rPr>
          <w:sz w:val="21"/>
          <w:szCs w:val="21"/>
        </w:rPr>
      </w:pPr>
      <w:r>
        <w:rPr>
          <w:rStyle w:val="11"/>
          <w:rFonts w:hint="eastAsia"/>
          <w:sz w:val="21"/>
          <w:szCs w:val="21"/>
        </w:rPr>
        <w:t>九、如本招募说明书存在任何您/贵机构无法理解的内容，请通过上述方式联系基金管</w:t>
      </w:r>
      <w:bookmarkStart w:id="206" w:name="chapter_level1_23_75_section_2_end"/>
      <w:bookmarkEnd w:id="206"/>
      <w:r>
        <w:rPr>
          <w:rStyle w:val="11"/>
          <w:rFonts w:hint="eastAsia"/>
          <w:sz w:val="21"/>
          <w:szCs w:val="21"/>
        </w:rPr>
        <w:t>理人。请确保投资前，您/贵机构已经全面理解了本招募说明书。</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7" w:name="chapter_level1_24_3499"/>
      <w:bookmarkStart w:id="208" w:name="_Toc113633903"/>
      <w:r>
        <w:rPr>
          <w:rFonts w:hint="eastAsia" w:ascii="宋体" w:hAnsi="宋体" w:eastAsia="宋体"/>
          <w:sz w:val="30"/>
        </w:rPr>
        <w:t>第二十一部分 其他应披露的事项</w:t>
      </w:r>
      <w:bookmarkEnd w:id="207"/>
      <w:bookmarkEnd w:id="208"/>
    </w:p>
    <w:p>
      <w:pPr>
        <w:pStyle w:val="7"/>
        <w:spacing w:before="0" w:beforeAutospacing="0" w:after="0" w:afterAutospacing="0" w:line="360" w:lineRule="auto"/>
        <w:ind w:firstLine="420"/>
        <w:rPr>
          <w:sz w:val="21"/>
          <w:szCs w:val="21"/>
        </w:rPr>
      </w:pPr>
      <w:bookmarkStart w:id="209" w:name="chapter_level1_24_3499_section_1"/>
      <w:bookmarkEnd w:id="209"/>
      <w:bookmarkStart w:id="210" w:name="field_0_bsrevealinfo_1_start"/>
      <w:bookmarkEnd w:id="210"/>
      <w:r>
        <w:rPr>
          <w:rFonts w:hint="eastAsia"/>
          <w:sz w:val="21"/>
          <w:szCs w:val="21"/>
        </w:rPr>
        <w:t>（一）、 2022年08月31日，我公司公告了《博时汇悦回报混合型证券投资基金2022年中期报告》；</w:t>
      </w:r>
    </w:p>
    <w:p>
      <w:pPr>
        <w:pStyle w:val="7"/>
        <w:spacing w:before="0" w:beforeAutospacing="0" w:after="0" w:afterAutospacing="0" w:line="360" w:lineRule="auto"/>
        <w:ind w:firstLine="420"/>
        <w:rPr>
          <w:sz w:val="21"/>
          <w:szCs w:val="21"/>
        </w:rPr>
      </w:pPr>
      <w:r>
        <w:rPr>
          <w:rFonts w:hint="eastAsia"/>
          <w:sz w:val="21"/>
          <w:szCs w:val="21"/>
        </w:rPr>
        <w:t>（二）、 2022年08月29日，我公司公告了《博时基金管理有限公司关于直销网上交易开通广发银行快捷开户和支付服务及费率优惠的公告》；</w:t>
      </w:r>
    </w:p>
    <w:p>
      <w:pPr>
        <w:pStyle w:val="7"/>
        <w:spacing w:before="0" w:beforeAutospacing="0" w:after="0" w:afterAutospacing="0" w:line="360" w:lineRule="auto"/>
        <w:ind w:firstLine="420"/>
        <w:rPr>
          <w:sz w:val="21"/>
          <w:szCs w:val="21"/>
        </w:rPr>
      </w:pPr>
      <w:r>
        <w:rPr>
          <w:rFonts w:hint="eastAsia"/>
          <w:sz w:val="21"/>
          <w:szCs w:val="21"/>
        </w:rPr>
        <w:t>（三）、 2022年08月25日，我公司公告了《博时汇悦回报混合型证券投资基金基金产品资料概要更新》；</w:t>
      </w:r>
    </w:p>
    <w:p>
      <w:pPr>
        <w:pStyle w:val="7"/>
        <w:spacing w:before="0" w:beforeAutospacing="0" w:after="0" w:afterAutospacing="0" w:line="360" w:lineRule="auto"/>
        <w:ind w:firstLine="420"/>
        <w:rPr>
          <w:sz w:val="21"/>
          <w:szCs w:val="21"/>
        </w:rPr>
      </w:pPr>
      <w:r>
        <w:rPr>
          <w:rFonts w:hint="eastAsia"/>
          <w:sz w:val="21"/>
          <w:szCs w:val="21"/>
        </w:rPr>
        <w:t>（四）、 2022年08月22日，我公司公告了《博时基金管理有限公司旗下基金在兴业银行钱大掌柜开展费率优惠活动的公告》；</w:t>
      </w:r>
    </w:p>
    <w:p>
      <w:pPr>
        <w:pStyle w:val="7"/>
        <w:spacing w:before="0" w:beforeAutospacing="0" w:after="0" w:afterAutospacing="0" w:line="360" w:lineRule="auto"/>
        <w:ind w:firstLine="420"/>
        <w:rPr>
          <w:sz w:val="21"/>
          <w:szCs w:val="21"/>
        </w:rPr>
      </w:pPr>
      <w:r>
        <w:rPr>
          <w:rFonts w:hint="eastAsia"/>
          <w:sz w:val="21"/>
          <w:szCs w:val="21"/>
        </w:rPr>
        <w:t>（五）、 2022年07月21日，我公司公告了《博时汇悦回报混合型证券投资基金2022年第2季度报告》；</w:t>
      </w:r>
    </w:p>
    <w:p>
      <w:pPr>
        <w:pStyle w:val="7"/>
        <w:spacing w:before="0" w:beforeAutospacing="0" w:after="0" w:afterAutospacing="0" w:line="360" w:lineRule="auto"/>
        <w:ind w:firstLine="420"/>
        <w:rPr>
          <w:sz w:val="21"/>
          <w:szCs w:val="21"/>
        </w:rPr>
      </w:pPr>
      <w:r>
        <w:rPr>
          <w:rFonts w:hint="eastAsia"/>
          <w:sz w:val="21"/>
          <w:szCs w:val="21"/>
        </w:rPr>
        <w:t>（六）、 2022年07月18日，我公司公告了《博时基金管理有限公司关于旗下所有前端收费模式基金在直销柜台实施费率优惠的公告》；</w:t>
      </w:r>
    </w:p>
    <w:p>
      <w:pPr>
        <w:pStyle w:val="7"/>
        <w:spacing w:before="0" w:beforeAutospacing="0" w:after="0" w:afterAutospacing="0" w:line="360" w:lineRule="auto"/>
        <w:ind w:firstLine="420"/>
        <w:rPr>
          <w:sz w:val="21"/>
          <w:szCs w:val="21"/>
        </w:rPr>
      </w:pPr>
      <w:r>
        <w:rPr>
          <w:rFonts w:hint="eastAsia"/>
          <w:sz w:val="21"/>
          <w:szCs w:val="21"/>
        </w:rPr>
        <w:t>（七）、 2022年07月16日，我公司公告了《博时基金管理有限公司关于暂停北京微动利基金销售有限公司办理旗下基金相关销售业务的公告》、《博时基金管理有限公司关于暂停喜鹊财富基金销售有限公司办理旗下基金相关销售业务的公告》；</w:t>
      </w:r>
    </w:p>
    <w:p>
      <w:pPr>
        <w:pStyle w:val="7"/>
        <w:spacing w:before="0" w:beforeAutospacing="0" w:after="0" w:afterAutospacing="0" w:line="360" w:lineRule="auto"/>
        <w:ind w:firstLine="420"/>
        <w:rPr>
          <w:sz w:val="21"/>
          <w:szCs w:val="21"/>
        </w:rPr>
      </w:pPr>
      <w:r>
        <w:rPr>
          <w:rFonts w:hint="eastAsia"/>
          <w:sz w:val="21"/>
          <w:szCs w:val="21"/>
        </w:rPr>
        <w:t>（八）、 2022年07月05日，我公司公告了《博时基金管理有限公司关于部分基金在招赢通平台开展费率优惠活动的公告》；</w:t>
      </w:r>
    </w:p>
    <w:p>
      <w:pPr>
        <w:pStyle w:val="7"/>
        <w:spacing w:before="0" w:beforeAutospacing="0" w:after="0" w:afterAutospacing="0" w:line="360" w:lineRule="auto"/>
        <w:ind w:firstLine="420"/>
        <w:rPr>
          <w:sz w:val="21"/>
          <w:szCs w:val="21"/>
        </w:rPr>
      </w:pPr>
      <w:r>
        <w:rPr>
          <w:rFonts w:hint="eastAsia"/>
          <w:sz w:val="21"/>
          <w:szCs w:val="21"/>
        </w:rPr>
        <w:t>（九）、 2022年06月18日，我公司公告了《博时基金管理有限公司关于旗下基金投资关联方承销期内承销证券的公告》；</w:t>
      </w:r>
    </w:p>
    <w:p>
      <w:pPr>
        <w:pStyle w:val="7"/>
        <w:spacing w:before="0" w:beforeAutospacing="0" w:after="0" w:afterAutospacing="0" w:line="360" w:lineRule="auto"/>
        <w:ind w:firstLine="420"/>
        <w:rPr>
          <w:sz w:val="21"/>
          <w:szCs w:val="21"/>
        </w:rPr>
      </w:pPr>
      <w:r>
        <w:rPr>
          <w:rFonts w:hint="eastAsia"/>
          <w:sz w:val="21"/>
          <w:szCs w:val="21"/>
        </w:rPr>
        <w:t>（十）、 2022年04月30日，我公司公告了《博时基金管理有限公司关于旗下基金持有的长期停牌股票调整估值方法的公告-20220430》；</w:t>
      </w:r>
    </w:p>
    <w:p>
      <w:pPr>
        <w:pStyle w:val="7"/>
        <w:spacing w:before="0" w:beforeAutospacing="0" w:after="0" w:afterAutospacing="0" w:line="360" w:lineRule="auto"/>
        <w:ind w:firstLine="420"/>
        <w:rPr>
          <w:sz w:val="21"/>
          <w:szCs w:val="21"/>
        </w:rPr>
      </w:pPr>
      <w:r>
        <w:rPr>
          <w:rFonts w:hint="eastAsia"/>
          <w:sz w:val="21"/>
          <w:szCs w:val="21"/>
        </w:rPr>
        <w:t>（十一）、 2022年04月22日，我公司公告了《博时汇悦回报混合型证券投资基金2022年第1季度报告》；</w:t>
      </w:r>
    </w:p>
    <w:p>
      <w:pPr>
        <w:pStyle w:val="7"/>
        <w:spacing w:before="0" w:beforeAutospacing="0" w:after="0" w:afterAutospacing="0" w:line="360" w:lineRule="auto"/>
        <w:ind w:firstLine="420"/>
        <w:rPr>
          <w:sz w:val="21"/>
          <w:szCs w:val="21"/>
        </w:rPr>
      </w:pPr>
      <w:r>
        <w:rPr>
          <w:rFonts w:hint="eastAsia"/>
          <w:sz w:val="21"/>
          <w:szCs w:val="21"/>
        </w:rPr>
        <w:t>（十二）、 2022年03月30日，我公司公告了《博时汇悦回报混合型证券投资基金2021年年度报告》；</w:t>
      </w:r>
    </w:p>
    <w:p>
      <w:pPr>
        <w:pStyle w:val="7"/>
        <w:spacing w:before="0" w:beforeAutospacing="0" w:after="0" w:afterAutospacing="0" w:line="360" w:lineRule="auto"/>
        <w:ind w:firstLine="420"/>
        <w:rPr>
          <w:sz w:val="21"/>
          <w:szCs w:val="21"/>
        </w:rPr>
      </w:pPr>
      <w:r>
        <w:rPr>
          <w:rFonts w:hint="eastAsia"/>
          <w:sz w:val="21"/>
          <w:szCs w:val="21"/>
        </w:rPr>
        <w:t>（十三）、 2022年03月14日，我公司公告了《博时基金管理有限公司关于调整直销网上交易定期投资业务影响部分定期投资计划的公告》；</w:t>
      </w:r>
    </w:p>
    <w:p>
      <w:pPr>
        <w:pStyle w:val="7"/>
        <w:spacing w:before="0" w:beforeAutospacing="0" w:after="0" w:afterAutospacing="0" w:line="360" w:lineRule="auto"/>
        <w:ind w:firstLine="420"/>
        <w:rPr>
          <w:sz w:val="21"/>
          <w:szCs w:val="21"/>
        </w:rPr>
      </w:pPr>
      <w:r>
        <w:rPr>
          <w:rFonts w:hint="eastAsia"/>
          <w:sz w:val="21"/>
          <w:szCs w:val="21"/>
        </w:rPr>
        <w:t>（十四）、 2022年02月11日，我公司公告了《博时基金管理有限公司关于部分基金在青岛农商银行直销银行开展费率优惠活动的公告》；</w:t>
      </w:r>
    </w:p>
    <w:p>
      <w:pPr>
        <w:pStyle w:val="7"/>
        <w:spacing w:before="0" w:beforeAutospacing="0" w:after="0" w:afterAutospacing="0" w:line="360" w:lineRule="auto"/>
        <w:ind w:firstLine="420"/>
        <w:rPr>
          <w:sz w:val="21"/>
          <w:szCs w:val="21"/>
        </w:rPr>
      </w:pPr>
      <w:r>
        <w:rPr>
          <w:rFonts w:hint="eastAsia"/>
          <w:sz w:val="21"/>
          <w:szCs w:val="21"/>
        </w:rPr>
        <w:t>（十五）、 2022年01月28日，我公司公告了《博时基金管理有限公司关于公司固有资金投资旗下公募基金的公告》；</w:t>
      </w:r>
    </w:p>
    <w:p>
      <w:pPr>
        <w:pStyle w:val="7"/>
        <w:spacing w:before="0" w:beforeAutospacing="0" w:after="0" w:afterAutospacing="0" w:line="360" w:lineRule="auto"/>
        <w:ind w:firstLine="420"/>
        <w:rPr>
          <w:sz w:val="21"/>
          <w:szCs w:val="21"/>
        </w:rPr>
      </w:pPr>
      <w:r>
        <w:rPr>
          <w:rFonts w:hint="eastAsia"/>
          <w:sz w:val="21"/>
          <w:szCs w:val="21"/>
        </w:rPr>
        <w:t>（十六）、 2022年01月24日，我公司公告了《博时汇悦回报混合型证券投资基金2021年第4季度报告》；</w:t>
      </w:r>
    </w:p>
    <w:p>
      <w:pPr>
        <w:pStyle w:val="7"/>
        <w:spacing w:before="0" w:beforeAutospacing="0" w:after="0" w:afterAutospacing="0" w:line="360" w:lineRule="auto"/>
        <w:ind w:firstLine="420"/>
        <w:rPr>
          <w:sz w:val="21"/>
          <w:szCs w:val="21"/>
        </w:rPr>
      </w:pPr>
      <w:r>
        <w:rPr>
          <w:rFonts w:hint="eastAsia"/>
          <w:sz w:val="21"/>
          <w:szCs w:val="21"/>
        </w:rPr>
        <w:t>（十七）、 2022年01月21日，我公司公告了《博时基金管理有限公司关于旗下基金持有的长期停牌股票调整估值方法的公告-20220121》；</w:t>
      </w:r>
    </w:p>
    <w:p>
      <w:pPr>
        <w:pStyle w:val="7"/>
        <w:spacing w:before="0" w:beforeAutospacing="0" w:after="0" w:afterAutospacing="0" w:line="360" w:lineRule="auto"/>
        <w:ind w:firstLine="420"/>
        <w:rPr>
          <w:sz w:val="21"/>
          <w:szCs w:val="21"/>
        </w:rPr>
      </w:pPr>
      <w:r>
        <w:rPr>
          <w:rFonts w:hint="eastAsia"/>
          <w:sz w:val="21"/>
          <w:szCs w:val="21"/>
        </w:rPr>
        <w:t>（十八）、 2022年01月20日，我公司公告了《关于成立博时财富基金销售有限公司的公告》；</w:t>
      </w:r>
    </w:p>
    <w:p>
      <w:pPr>
        <w:pStyle w:val="7"/>
        <w:spacing w:before="0" w:beforeAutospacing="0" w:after="0" w:afterAutospacing="0" w:line="360" w:lineRule="auto"/>
        <w:ind w:firstLine="420"/>
        <w:rPr>
          <w:sz w:val="21"/>
          <w:szCs w:val="21"/>
        </w:rPr>
      </w:pPr>
      <w:r>
        <w:rPr>
          <w:rFonts w:hint="eastAsia"/>
          <w:sz w:val="21"/>
          <w:szCs w:val="21"/>
        </w:rPr>
        <w:t>（十九）、 2022年01月18日，我公司公告了《博时基金管理有限公司关于旗下基金投资关联方承销期内承销证券的公告》；</w:t>
      </w:r>
    </w:p>
    <w:p>
      <w:pPr>
        <w:pStyle w:val="7"/>
        <w:spacing w:before="0" w:beforeAutospacing="0" w:after="0" w:afterAutospacing="0" w:line="360" w:lineRule="auto"/>
        <w:ind w:firstLine="420"/>
        <w:rPr>
          <w:sz w:val="21"/>
          <w:szCs w:val="21"/>
        </w:rPr>
      </w:pPr>
      <w:r>
        <w:rPr>
          <w:rFonts w:hint="eastAsia"/>
          <w:sz w:val="21"/>
          <w:szCs w:val="21"/>
        </w:rPr>
        <w:t>（二十）、 2022年01月06日，我公司公告了《博时基金管理有限公司关于暂停使用交通银行非快捷支付服务办理直销网上交易部分业务的公告》；</w:t>
      </w:r>
    </w:p>
    <w:p>
      <w:pPr>
        <w:pStyle w:val="7"/>
        <w:spacing w:before="0" w:beforeAutospacing="0" w:after="0" w:afterAutospacing="0" w:line="360" w:lineRule="auto"/>
        <w:ind w:firstLine="420"/>
        <w:rPr>
          <w:sz w:val="21"/>
          <w:szCs w:val="21"/>
        </w:rPr>
      </w:pPr>
      <w:r>
        <w:rPr>
          <w:rFonts w:hint="eastAsia"/>
          <w:sz w:val="21"/>
          <w:szCs w:val="21"/>
        </w:rPr>
        <w:t>（二十一）、 2022年01月04日，我公司公告了《博时基金管理有限公司关于直销网上交易开通交通银行快捷开户和支付服务及费率优惠的公告》；</w:t>
      </w:r>
    </w:p>
    <w:p>
      <w:pPr>
        <w:pStyle w:val="7"/>
        <w:spacing w:before="0" w:beforeAutospacing="0" w:after="0" w:afterAutospacing="0" w:line="360" w:lineRule="auto"/>
        <w:ind w:firstLine="420"/>
        <w:rPr>
          <w:sz w:val="21"/>
          <w:szCs w:val="21"/>
        </w:rPr>
      </w:pPr>
      <w:r>
        <w:rPr>
          <w:rFonts w:hint="eastAsia"/>
          <w:sz w:val="21"/>
          <w:szCs w:val="21"/>
        </w:rPr>
        <w:t>（二十二）、 2022年01月01日，我公司公告了《博时基金管理有限公司关于对投资者在直销网上交易申购、认购及定投基金实施费率优惠的公告》、《博时基金管理有限公司关于旗下公开募集证券投资基金执行新金融工具准则的公告》；</w:t>
      </w:r>
    </w:p>
    <w:p>
      <w:pPr>
        <w:pStyle w:val="7"/>
        <w:spacing w:before="0" w:beforeAutospacing="0" w:after="0" w:afterAutospacing="0" w:line="360" w:lineRule="auto"/>
        <w:ind w:firstLine="420"/>
        <w:rPr>
          <w:sz w:val="21"/>
          <w:szCs w:val="21"/>
        </w:rPr>
      </w:pPr>
      <w:r>
        <w:rPr>
          <w:rFonts w:hint="eastAsia"/>
          <w:sz w:val="21"/>
          <w:szCs w:val="21"/>
        </w:rPr>
        <w:t>（二十三）、 2021年11月26日，我公司公告了《博时基金管理有限公司关于旗下部分公开募集证券投资基金可投资北京证券交易所股票的公告》；</w:t>
      </w:r>
    </w:p>
    <w:p>
      <w:pPr>
        <w:pStyle w:val="7"/>
        <w:spacing w:before="0" w:beforeAutospacing="0" w:after="0" w:afterAutospacing="0" w:line="360" w:lineRule="auto"/>
        <w:ind w:firstLine="420"/>
        <w:rPr>
          <w:sz w:val="21"/>
          <w:szCs w:val="21"/>
        </w:rPr>
      </w:pPr>
      <w:r>
        <w:rPr>
          <w:rFonts w:hint="eastAsia"/>
          <w:sz w:val="21"/>
          <w:szCs w:val="21"/>
        </w:rPr>
        <w:t>（二十四）、 2021年10月27日，我公司公告了《博时汇悦回报混合型证券投资基金2021年第3季度报告》；</w:t>
      </w:r>
    </w:p>
    <w:p>
      <w:pPr>
        <w:pStyle w:val="7"/>
        <w:spacing w:before="0" w:beforeAutospacing="0" w:after="0" w:afterAutospacing="0" w:line="360" w:lineRule="auto"/>
        <w:ind w:firstLine="420"/>
        <w:rPr>
          <w:sz w:val="21"/>
          <w:szCs w:val="21"/>
        </w:rPr>
      </w:pPr>
      <w:r>
        <w:rPr>
          <w:rFonts w:hint="eastAsia"/>
          <w:sz w:val="21"/>
          <w:szCs w:val="21"/>
        </w:rPr>
        <w:t>（二十五）、 2021年10月21日，我公司公告了《关于博时基金管理有限公司旗下部分基金投资非公开发行股票的公告20211021》；</w:t>
      </w:r>
    </w:p>
    <w:p>
      <w:pPr>
        <w:pStyle w:val="7"/>
        <w:spacing w:before="0" w:beforeAutospacing="0" w:after="0" w:afterAutospacing="0" w:line="360" w:lineRule="auto"/>
        <w:ind w:firstLine="420"/>
        <w:rPr>
          <w:sz w:val="21"/>
          <w:szCs w:val="21"/>
        </w:rPr>
      </w:pPr>
      <w:r>
        <w:rPr>
          <w:rFonts w:hint="eastAsia"/>
          <w:sz w:val="21"/>
          <w:szCs w:val="21"/>
        </w:rPr>
        <w:t>（二十六）、 2021年09月30日，我公司公告了《博时基金管理有限公司关于对投资者在直销网上交易申购、认购及定投基金实施费率优惠的公告》、《博时汇悦回报混合型证券投资基金更新招募说明书》；</w:t>
      </w:r>
    </w:p>
    <w:p>
      <w:pPr>
        <w:pStyle w:val="7"/>
        <w:spacing w:before="0" w:beforeAutospacing="0" w:after="0" w:afterAutospacing="0" w:line="360" w:lineRule="auto"/>
        <w:ind w:firstLine="420"/>
        <w:rPr>
          <w:sz w:val="21"/>
          <w:szCs w:val="21"/>
        </w:rPr>
      </w:pPr>
      <w:r>
        <w:rPr>
          <w:rFonts w:hint="eastAsia"/>
          <w:sz w:val="21"/>
          <w:szCs w:val="21"/>
        </w:rPr>
        <w:t>（二十七）、 2021年09月28日，我公司公告了《博时基金管理有限公司关于旗下基金持有的长期停牌股票调整估值方法的公告-20210928》；</w:t>
      </w:r>
    </w:p>
    <w:p>
      <w:pPr>
        <w:pStyle w:val="7"/>
        <w:spacing w:before="0" w:beforeAutospacing="0" w:after="0" w:afterAutospacing="0" w:line="360" w:lineRule="auto"/>
        <w:ind w:firstLine="420"/>
        <w:rPr>
          <w:sz w:val="21"/>
          <w:szCs w:val="21"/>
        </w:rPr>
      </w:pPr>
      <w:r>
        <w:rPr>
          <w:rFonts w:hint="eastAsia"/>
          <w:sz w:val="21"/>
          <w:szCs w:val="21"/>
        </w:rPr>
        <w:t>（二十八）、 2021年08月31日，我公司公告了《博时汇悦回报混合型证券投资基</w:t>
      </w:r>
      <w:bookmarkStart w:id="211" w:name="chapter_level1_24_3499_section_1_end"/>
      <w:bookmarkEnd w:id="211"/>
      <w:r>
        <w:rPr>
          <w:rFonts w:hint="eastAsia"/>
          <w:sz w:val="21"/>
          <w:szCs w:val="21"/>
        </w:rPr>
        <w:t>金2021年中期报告》。</w:t>
      </w:r>
      <w:bookmarkStart w:id="212" w:name="field_0_bsrevealinfo_1_end"/>
      <w:bookmarkEnd w:id="212"/>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13" w:name="chapter_level1_25_77"/>
      <w:bookmarkStart w:id="214" w:name="_Toc113633904"/>
      <w:r>
        <w:rPr>
          <w:rFonts w:hint="eastAsia" w:ascii="宋体" w:hAnsi="宋体" w:eastAsia="宋体"/>
          <w:sz w:val="30"/>
        </w:rPr>
        <w:t>第二十二部分  招募说明书存放及查阅方式</w:t>
      </w:r>
      <w:bookmarkEnd w:id="213"/>
      <w:bookmarkEnd w:id="214"/>
    </w:p>
    <w:p>
      <w:pPr>
        <w:pStyle w:val="7"/>
        <w:spacing w:before="0" w:beforeAutospacing="0" w:after="0" w:afterAutospacing="0" w:line="360" w:lineRule="auto"/>
        <w:ind w:firstLine="420"/>
        <w:rPr>
          <w:sz w:val="21"/>
          <w:szCs w:val="21"/>
        </w:rPr>
      </w:pPr>
      <w:bookmarkStart w:id="215" w:name="chapter_level1_25_77_section_1"/>
      <w:bookmarkEnd w:id="215"/>
      <w:r>
        <w:rPr>
          <w:rFonts w:hint="eastAsia"/>
          <w:sz w:val="21"/>
          <w:szCs w:val="21"/>
        </w:rPr>
        <w:t xml:space="preserve">依法必须披露的信息发布后，基金管理人、基金托管人应当按照相关法律法规规定将信息置备于各自住所，供社会公众查阅、复制。投资人在支付工本费后，可在合理时间内取得上述文件复制件或复印件。对投资人按此种方式所获得的文件及其复印件，基金管理人保证文本的内容与所公告的内容完全一致。   </w:t>
      </w:r>
    </w:p>
    <w:p>
      <w:pPr>
        <w:pStyle w:val="7"/>
        <w:spacing w:before="0" w:beforeAutospacing="0" w:after="0" w:afterAutospacing="0" w:line="360" w:lineRule="auto"/>
        <w:ind w:firstLine="420"/>
        <w:rPr>
          <w:sz w:val="21"/>
          <w:szCs w:val="21"/>
        </w:rPr>
      </w:pPr>
      <w:bookmarkStart w:id="216" w:name="chapter_level1_25_77_section_1_end"/>
      <w:bookmarkEnd w:id="216"/>
      <w:r>
        <w:rPr>
          <w:rFonts w:hint="eastAsia"/>
          <w:sz w:val="21"/>
          <w:szCs w:val="21"/>
        </w:rPr>
        <w:t xml:space="preserve">投资人还可以直接登录基金管理人的网站（www.bosera.com）查阅和下载招募说明书。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17" w:name="chapter_level1_26_332"/>
      <w:bookmarkStart w:id="218" w:name="_Toc113633905"/>
      <w:r>
        <w:rPr>
          <w:rFonts w:hint="eastAsia" w:ascii="宋体" w:hAnsi="宋体" w:eastAsia="宋体"/>
          <w:sz w:val="30"/>
        </w:rPr>
        <w:t>第二十三部分  备查文件</w:t>
      </w:r>
      <w:bookmarkEnd w:id="217"/>
      <w:bookmarkEnd w:id="218"/>
    </w:p>
    <w:p>
      <w:pPr>
        <w:pStyle w:val="7"/>
        <w:spacing w:before="0" w:beforeAutospacing="0" w:after="0" w:afterAutospacing="0" w:line="360" w:lineRule="auto"/>
        <w:ind w:firstLine="420"/>
        <w:rPr>
          <w:sz w:val="21"/>
          <w:szCs w:val="21"/>
        </w:rPr>
      </w:pPr>
      <w:bookmarkStart w:id="219" w:name="chapter_level1_26_332_section_1"/>
      <w:bookmarkEnd w:id="219"/>
      <w:r>
        <w:rPr>
          <w:rFonts w:hint="eastAsia"/>
          <w:sz w:val="21"/>
          <w:szCs w:val="21"/>
        </w:rPr>
        <w:t xml:space="preserve">以下备查文件存放在基金管理人的办公场所，在办公时间可供免费查阅。  </w:t>
      </w:r>
    </w:p>
    <w:p>
      <w:pPr>
        <w:pStyle w:val="7"/>
        <w:spacing w:before="0" w:beforeAutospacing="0" w:after="0" w:afterAutospacing="0" w:line="360" w:lineRule="auto"/>
        <w:ind w:firstLine="420"/>
        <w:rPr>
          <w:sz w:val="21"/>
          <w:szCs w:val="21"/>
        </w:rPr>
      </w:pPr>
      <w:r>
        <w:rPr>
          <w:rFonts w:hint="eastAsia"/>
          <w:sz w:val="21"/>
          <w:szCs w:val="21"/>
        </w:rPr>
        <w:t>（一）中国证监会准予</w:t>
      </w:r>
      <w:bookmarkStart w:id="220" w:name="field_0_productfullname_11"/>
      <w:r>
        <w:rPr>
          <w:rFonts w:hint="eastAsia"/>
          <w:sz w:val="21"/>
          <w:szCs w:val="21"/>
        </w:rPr>
        <w:t>博时汇悦回报混合型证券投资基金</w:t>
      </w:r>
      <w:bookmarkEnd w:id="220"/>
      <w:r>
        <w:rPr>
          <w:rFonts w:hint="eastAsia"/>
          <w:sz w:val="21"/>
          <w:szCs w:val="21"/>
        </w:rPr>
        <w:t xml:space="preserve">募集的文件 </w:t>
      </w:r>
    </w:p>
    <w:p>
      <w:pPr>
        <w:pStyle w:val="7"/>
        <w:spacing w:before="0" w:beforeAutospacing="0" w:after="0" w:afterAutospacing="0" w:line="360" w:lineRule="auto"/>
        <w:ind w:firstLine="420"/>
        <w:rPr>
          <w:sz w:val="21"/>
          <w:szCs w:val="21"/>
        </w:rPr>
      </w:pPr>
      <w:r>
        <w:rPr>
          <w:rFonts w:hint="eastAsia"/>
          <w:sz w:val="21"/>
          <w:szCs w:val="21"/>
        </w:rPr>
        <w:t>（二）《</w:t>
      </w:r>
      <w:bookmarkStart w:id="221" w:name="field_0_productfullname_12"/>
      <w:r>
        <w:rPr>
          <w:rFonts w:hint="eastAsia"/>
          <w:sz w:val="21"/>
          <w:szCs w:val="21"/>
        </w:rPr>
        <w:t>博时汇悦回报混合型证券投资基金</w:t>
      </w:r>
      <w:bookmarkEnd w:id="221"/>
      <w:r>
        <w:rPr>
          <w:rFonts w:hint="eastAsia"/>
          <w:sz w:val="21"/>
          <w:szCs w:val="21"/>
        </w:rPr>
        <w:t xml:space="preserve">基金合同》 </w:t>
      </w:r>
    </w:p>
    <w:p>
      <w:pPr>
        <w:pStyle w:val="7"/>
        <w:spacing w:before="0" w:beforeAutospacing="0" w:after="0" w:afterAutospacing="0" w:line="360" w:lineRule="auto"/>
        <w:ind w:firstLine="420"/>
        <w:rPr>
          <w:sz w:val="21"/>
          <w:szCs w:val="21"/>
        </w:rPr>
      </w:pPr>
      <w:r>
        <w:rPr>
          <w:rFonts w:hint="eastAsia"/>
          <w:sz w:val="21"/>
          <w:szCs w:val="21"/>
        </w:rPr>
        <w:t>（三）《</w:t>
      </w:r>
      <w:bookmarkStart w:id="222" w:name="field_0_productfullname_13"/>
      <w:r>
        <w:rPr>
          <w:rFonts w:hint="eastAsia"/>
          <w:sz w:val="21"/>
          <w:szCs w:val="21"/>
        </w:rPr>
        <w:t>博时汇悦回报混合型证券投资基金</w:t>
      </w:r>
      <w:bookmarkEnd w:id="222"/>
      <w:r>
        <w:rPr>
          <w:rFonts w:hint="eastAsia"/>
          <w:sz w:val="21"/>
          <w:szCs w:val="21"/>
        </w:rPr>
        <w:t xml:space="preserve">托管协议》 </w:t>
      </w:r>
    </w:p>
    <w:p>
      <w:pPr>
        <w:pStyle w:val="7"/>
        <w:spacing w:before="0" w:beforeAutospacing="0" w:after="0" w:afterAutospacing="0" w:line="360" w:lineRule="auto"/>
        <w:ind w:firstLine="420"/>
        <w:rPr>
          <w:sz w:val="21"/>
          <w:szCs w:val="21"/>
        </w:rPr>
      </w:pPr>
      <w:r>
        <w:rPr>
          <w:rFonts w:hint="eastAsia"/>
          <w:sz w:val="21"/>
          <w:szCs w:val="21"/>
        </w:rPr>
        <w:t xml:space="preserve">（四）基金管理人业务资格批件、营业执照 </w:t>
      </w:r>
    </w:p>
    <w:p>
      <w:pPr>
        <w:pStyle w:val="7"/>
        <w:spacing w:before="0" w:beforeAutospacing="0" w:after="0" w:afterAutospacing="0" w:line="360" w:lineRule="auto"/>
        <w:ind w:firstLine="420"/>
        <w:rPr>
          <w:sz w:val="21"/>
          <w:szCs w:val="21"/>
        </w:rPr>
      </w:pPr>
      <w:r>
        <w:rPr>
          <w:rFonts w:hint="eastAsia"/>
          <w:sz w:val="21"/>
          <w:szCs w:val="21"/>
        </w:rPr>
        <w:t xml:space="preserve">（五）基金托管人业务资格批件、营业执照 </w:t>
      </w:r>
    </w:p>
    <w:p>
      <w:pPr>
        <w:pStyle w:val="7"/>
        <w:spacing w:before="0" w:beforeAutospacing="0" w:after="0" w:afterAutospacing="0" w:line="360" w:lineRule="auto"/>
        <w:ind w:firstLine="420"/>
        <w:rPr>
          <w:sz w:val="21"/>
          <w:szCs w:val="21"/>
        </w:rPr>
      </w:pPr>
      <w:r>
        <w:rPr>
          <w:rFonts w:hint="eastAsia"/>
          <w:sz w:val="21"/>
          <w:szCs w:val="21"/>
        </w:rPr>
        <w:t>（六）关于申请募集注册</w:t>
      </w:r>
      <w:bookmarkStart w:id="223" w:name="field_0_productfullname_14"/>
      <w:r>
        <w:rPr>
          <w:rFonts w:hint="eastAsia"/>
          <w:sz w:val="21"/>
          <w:szCs w:val="21"/>
        </w:rPr>
        <w:t>博时汇悦回报混合型证券投资基金</w:t>
      </w:r>
      <w:bookmarkEnd w:id="223"/>
      <w:r>
        <w:rPr>
          <w:rFonts w:hint="eastAsia"/>
          <w:sz w:val="21"/>
          <w:szCs w:val="21"/>
        </w:rPr>
        <w:t xml:space="preserve">之法律意见书 </w:t>
      </w:r>
    </w:p>
    <w:p>
      <w:pPr>
        <w:pStyle w:val="7"/>
        <w:spacing w:before="0" w:beforeAutospacing="0" w:after="0" w:afterAutospacing="0" w:line="360" w:lineRule="auto"/>
        <w:ind w:firstLine="420"/>
        <w:rPr>
          <w:sz w:val="21"/>
          <w:szCs w:val="21"/>
        </w:rPr>
      </w:pPr>
      <w:r>
        <w:rPr>
          <w:rFonts w:hint="eastAsia"/>
          <w:sz w:val="21"/>
          <w:szCs w:val="21"/>
        </w:rPr>
        <w:t xml:space="preserve">（七）中国证监会要求的其他文件 </w:t>
      </w:r>
    </w:p>
    <w:p>
      <w:pPr>
        <w:pStyle w:val="7"/>
        <w:spacing w:before="0" w:beforeAutospacing="0" w:after="0" w:afterAutospacing="0" w:line="360" w:lineRule="auto"/>
        <w:ind w:firstLine="420"/>
        <w:rPr>
          <w:sz w:val="21"/>
          <w:szCs w:val="21"/>
        </w:rPr>
      </w:pPr>
      <w:r>
        <w:rPr>
          <w:rFonts w:hint="eastAsia"/>
          <w:sz w:val="21"/>
          <w:szCs w:val="21"/>
        </w:rPr>
        <w:t xml:space="preserve">查阅方式：投资者可在营业时间免费查阅，也可按工本费购买复印件。 </w:t>
      </w: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rPr>
          <w:sz w:val="21"/>
          <w:szCs w:val="21"/>
        </w:rPr>
      </w:pPr>
    </w:p>
    <w:p>
      <w:pPr>
        <w:pStyle w:val="7"/>
        <w:spacing w:before="0" w:beforeAutospacing="0" w:after="0" w:afterAutospacing="0" w:line="360" w:lineRule="auto"/>
        <w:ind w:firstLine="420"/>
        <w:jc w:val="right"/>
        <w:rPr>
          <w:sz w:val="21"/>
          <w:szCs w:val="21"/>
        </w:rPr>
      </w:pPr>
      <w:bookmarkStart w:id="224" w:name="field_0_managerorgfullname_7"/>
      <w:r>
        <w:rPr>
          <w:rFonts w:hint="eastAsia"/>
          <w:sz w:val="21"/>
          <w:szCs w:val="21"/>
        </w:rPr>
        <w:t>博时基金管理有限公司</w:t>
      </w:r>
      <w:bookmarkEnd w:id="224"/>
      <w:r>
        <w:rPr>
          <w:rFonts w:hint="eastAsia"/>
          <w:sz w:val="21"/>
          <w:szCs w:val="21"/>
        </w:rPr>
        <w:t xml:space="preserve">  </w:t>
      </w:r>
    </w:p>
    <w:p>
      <w:pPr>
        <w:pStyle w:val="7"/>
        <w:spacing w:before="0" w:beforeAutospacing="0" w:after="0" w:afterAutospacing="0" w:line="360" w:lineRule="auto"/>
        <w:ind w:firstLine="420"/>
        <w:jc w:val="right"/>
        <w:rPr>
          <w:sz w:val="21"/>
          <w:szCs w:val="21"/>
        </w:rPr>
      </w:pPr>
      <w:bookmarkStart w:id="225" w:name="chapter_level1_26_332_section_1_end"/>
      <w:bookmarkEnd w:id="225"/>
      <w:bookmarkStart w:id="226" w:name="field_0_commitmenttime_1"/>
      <w:r>
        <w:rPr>
          <w:sz w:val="21"/>
          <w:szCs w:val="21"/>
        </w:rPr>
        <w:t>2023年</w:t>
      </w:r>
      <w:r>
        <w:rPr>
          <w:rFonts w:hint="eastAsia"/>
          <w:sz w:val="21"/>
          <w:szCs w:val="21"/>
        </w:rPr>
        <w:t>7</w:t>
      </w:r>
      <w:r>
        <w:rPr>
          <w:sz w:val="21"/>
          <w:szCs w:val="21"/>
        </w:rPr>
        <w:t>月</w:t>
      </w:r>
      <w:r>
        <w:rPr>
          <w:rFonts w:hint="eastAsia"/>
          <w:sz w:val="21"/>
          <w:szCs w:val="21"/>
          <w:lang w:val="en-US" w:eastAsia="zh-CN"/>
        </w:rPr>
        <w:t>10</w:t>
      </w:r>
      <w:bookmarkStart w:id="228" w:name="_GoBack"/>
      <w:bookmarkEnd w:id="228"/>
      <w:r>
        <w:rPr>
          <w:sz w:val="21"/>
          <w:szCs w:val="21"/>
        </w:rPr>
        <w:t>日</w:t>
      </w:r>
      <w:bookmarkEnd w:id="226"/>
      <w:r>
        <w:rPr>
          <w:rFonts w:hint="eastAsia"/>
          <w:sz w:val="21"/>
          <w:szCs w:val="21"/>
        </w:rPr>
        <w:t xml:space="preserve">  </w:t>
      </w:r>
    </w:p>
    <w:p>
      <w:pPr>
        <w:rPr>
          <w:rFonts w:ascii="宋体" w:hAnsi="宋体" w:eastAsia="宋体"/>
        </w:rPr>
      </w:pPr>
      <w:bookmarkStart w:id="227" w:name="end"/>
      <w:bookmarkEnd w:id="227"/>
    </w:p>
    <w:sectPr>
      <w:headerReference r:id="rId3" w:type="default"/>
      <w:footerReference r:id="rId4"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77</w:t>
    </w:r>
    <w:r>
      <w:fldChar w:fldCharType="end"/>
    </w:r>
    <w:r>
      <w:rPr>
        <w:rFonts w:hint="eastAsia"/>
      </w:rPr>
      <w:t>页 共</w:t>
    </w:r>
    <w:r>
      <w:fldChar w:fldCharType="begin"/>
    </w:r>
    <w:r>
      <w:instrText xml:space="preserve"> NumPages \* MERGEFORMAT </w:instrText>
    </w:r>
    <w:r>
      <w:fldChar w:fldCharType="separate"/>
    </w:r>
    <w:r>
      <w:t>137</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Fonts w:hint="eastAsia"/>
      </w:rPr>
      <w:drawing>
        <wp:inline distT="0" distB="0" distL="0" distR="0">
          <wp:extent cx="1280160" cy="322580"/>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1280160" cy="323088"/>
                  </a:xfrm>
                  <a:prstGeom prst="rect">
                    <a:avLst/>
                  </a:prstGeom>
                </pic:spPr>
              </pic:pic>
            </a:graphicData>
          </a:graphic>
        </wp:inline>
      </w:drawing>
    </w:r>
  </w:p>
  <w:p>
    <w:pPr>
      <w:pStyle w:val="5"/>
      <w:jc w:val="right"/>
    </w:pPr>
    <w:r>
      <w:rPr>
        <w:rFonts w:hint="eastAsia"/>
      </w:rPr>
      <w:t>博时汇悦回报混合型证券投资基金更新招募说明书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C8"/>
    <w:rsid w:val="00096675"/>
    <w:rsid w:val="000C4C2D"/>
    <w:rsid w:val="001C2FA1"/>
    <w:rsid w:val="001F434D"/>
    <w:rsid w:val="002B33D6"/>
    <w:rsid w:val="00625979"/>
    <w:rsid w:val="006572C8"/>
    <w:rsid w:val="007D7EF7"/>
    <w:rsid w:val="00814901"/>
    <w:rsid w:val="00AB2024"/>
    <w:rsid w:val="00B7621E"/>
    <w:rsid w:val="00B93B33"/>
    <w:rsid w:val="00C749AE"/>
    <w:rsid w:val="00D422DF"/>
    <w:rsid w:val="00E02283"/>
    <w:rsid w:val="00EC5C31"/>
    <w:rsid w:val="07CE066A"/>
    <w:rsid w:val="0BB96458"/>
    <w:rsid w:val="20D12A70"/>
    <w:rsid w:val="45E25594"/>
    <w:rsid w:val="4C1246FC"/>
    <w:rsid w:val="4E300771"/>
    <w:rsid w:val="5CCC3D37"/>
    <w:rsid w:val="608D7966"/>
    <w:rsid w:val="63C816D2"/>
    <w:rsid w:val="666C194C"/>
    <w:rsid w:val="74243964"/>
    <w:rsid w:val="79422903"/>
    <w:rsid w:val="7EC806B0"/>
    <w:rsid w:val="7F6C7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uiPriority w:val="39"/>
    <w:pPr>
      <w:ind w:left="420" w:left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标题 2 字符"/>
    <w:basedOn w:val="10"/>
    <w:link w:val="2"/>
    <w:qFormat/>
    <w:uiPriority w:val="9"/>
    <w:rPr>
      <w:rFonts w:asciiTheme="majorHAnsi" w:hAnsiTheme="majorHAnsi" w:eastAsiaTheme="majorEastAsia" w:cstheme="majorBidi"/>
      <w:b/>
      <w:bCs/>
      <w:sz w:val="32"/>
      <w:szCs w:val="32"/>
    </w:rPr>
  </w:style>
  <w:style w:type="character" w:customStyle="1" w:styleId="14">
    <w:name w:val="页眉 字符"/>
    <w:basedOn w:val="10"/>
    <w:link w:val="5"/>
    <w:qFormat/>
    <w:uiPriority w:val="99"/>
    <w:rPr>
      <w:sz w:val="18"/>
      <w:szCs w:val="18"/>
    </w:rPr>
  </w:style>
  <w:style w:type="character" w:customStyle="1" w:styleId="15">
    <w:name w:val="页脚 字符"/>
    <w:basedOn w:val="10"/>
    <w:link w:val="4"/>
    <w:qFormat/>
    <w:uiPriority w:val="99"/>
    <w:rPr>
      <w:sz w:val="18"/>
      <w:szCs w:val="18"/>
    </w:rPr>
  </w:style>
  <w:style w:type="character" w:customStyle="1" w:styleId="16">
    <w:name w:val="批注框文本 字符"/>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137</Pages>
  <Words>15729</Words>
  <Characters>89661</Characters>
  <Lines>747</Lines>
  <Paragraphs>210</Paragraphs>
  <TotalTime>6</TotalTime>
  <ScaleCrop>false</ScaleCrop>
  <LinksUpToDate>false</LinksUpToDate>
  <CharactersWithSpaces>105180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2023-04-13T05:19:00Z</dcterms:created>
  <dc:creator>BSKMadminDev</dc:creator>
  <cp:lastModifiedBy>tangl</cp:lastModifiedBy>
  <dcterms:modified xsi:type="dcterms:W3CDTF">2023-07-08T14:05:40Z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3F74D725AB5643ABB7CF52D45142FD3F</vt:lpwstr>
  </property>
</Properties>
</file>