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博时新兴成长混合型证券投资基金基金产品资料概要更新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proofErr w:type="gramStart"/>
      <w:r>
        <w:rPr>
          <w:rFonts w:ascii="方正黑体简体" w:eastAsia="方正黑体简体" w:cs="黑体" w:hint="eastAsia"/>
          <w:kern w:val="0"/>
          <w:sz w:val="28"/>
          <w:szCs w:val="28"/>
        </w:rPr>
        <w:t>作出</w:t>
      </w:r>
      <w:proofErr w:type="gramEnd"/>
      <w:r>
        <w:rPr>
          <w:rFonts w:ascii="方正黑体简体" w:eastAsia="方正黑体简体" w:cs="黑体" w:hint="eastAsia"/>
          <w:kern w:val="0"/>
          <w:sz w:val="28"/>
          <w:szCs w:val="28"/>
        </w:rPr>
        <w:t>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博时新兴成长混合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050009</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交通银行股份有限公司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2007-07-06</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曾鹏</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2013-01-18</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2005-03-01</w:t>
            </w:r>
          </w:p>
        </w:tc>
      </w:tr>
    </w:tbl>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敬请投资者阅读更新的《招募说明书》第十四章了解详细情况。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基于中国经济正处于长期稳定增长周期，本基金通过深入研究并积极投资于全市场各类行业中的新兴高速成长企业，力争为基金份额持有人获得超越业绩比较基准的投资回报。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2208447D"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本基金的投资范围为具有良好流动性的金融工具，包括国内依法公开发行上市的股票（</w:t>
            </w:r>
            <w:proofErr w:type="gramStart"/>
            <w:r>
              <w:rPr>
                <w:rFonts w:ascii="方正仿宋简体" w:eastAsia="方正仿宋简体" w:hAnsiTheme="minorEastAsia" w:cs="仿宋_GB2312" w:hint="eastAsia"/>
                <w:kern w:val="0"/>
                <w:szCs w:val="24"/>
              </w:rPr>
              <w:t>含存托</w:t>
            </w:r>
            <w:proofErr w:type="gramEnd"/>
            <w:r>
              <w:rPr>
                <w:rFonts w:ascii="方正仿宋简体" w:eastAsia="方正仿宋简体" w:hAnsiTheme="minorEastAsia" w:cs="仿宋_GB2312" w:hint="eastAsia"/>
                <w:kern w:val="0"/>
                <w:szCs w:val="24"/>
              </w:rPr>
              <w:t>凭证）和债券，以及法律法规或中国证监会允许基金投资的其他金融工具。</w:t>
            </w:r>
          </w:p>
          <w:p w14:paraId="2DAF31F5"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本基金投资组合中股票（</w:t>
            </w:r>
            <w:proofErr w:type="gramStart"/>
            <w:r>
              <w:rPr>
                <w:rFonts w:ascii="方正仿宋简体" w:eastAsia="方正仿宋简体" w:hAnsiTheme="minorEastAsia" w:cs="仿宋_GB2312" w:hint="eastAsia"/>
                <w:kern w:val="0"/>
                <w:szCs w:val="24"/>
              </w:rPr>
              <w:t>含存托</w:t>
            </w:r>
            <w:proofErr w:type="gramEnd"/>
            <w:r>
              <w:rPr>
                <w:rFonts w:ascii="方正仿宋简体" w:eastAsia="方正仿宋简体" w:hAnsiTheme="minorEastAsia" w:cs="仿宋_GB2312" w:hint="eastAsia"/>
                <w:kern w:val="0"/>
                <w:szCs w:val="24"/>
              </w:rPr>
              <w:t>凭证）投资比例为基金资产的60-95%（权证投资比例不得超过基金资产的3%并计入股票投资比例）；债券投资比例为基金资产的0-35%，债券投资范围主要包括国债、金融债、次级债、中央银行票据、企业债、短期融资</w:t>
            </w:r>
            <w:proofErr w:type="gramStart"/>
            <w:r>
              <w:rPr>
                <w:rFonts w:ascii="方正仿宋简体" w:eastAsia="方正仿宋简体" w:hAnsiTheme="minorEastAsia" w:cs="仿宋_GB2312" w:hint="eastAsia"/>
                <w:kern w:val="0"/>
                <w:szCs w:val="24"/>
              </w:rPr>
              <w:t>券</w:t>
            </w:r>
            <w:proofErr w:type="gramEnd"/>
            <w:r>
              <w:rPr>
                <w:rFonts w:ascii="方正仿宋简体" w:eastAsia="方正仿宋简体" w:hAnsiTheme="minorEastAsia" w:cs="仿宋_GB2312" w:hint="eastAsia"/>
                <w:kern w:val="0"/>
                <w:szCs w:val="24"/>
              </w:rPr>
              <w:t>、可转换债券、资产证券化产品等；现金以及到期日在一年以内的政府债券投资比例合计不低于基金资产净值的5%，其中，现金不包括结算备付金、存出保证金、应收申购款等。</w:t>
            </w:r>
          </w:p>
          <w:p w14:paraId="351C43B2"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因基金规模或市场变化等因素导致本基金投资组合不符合上述规定的，基金管理人将在合理期限内做出调整以符合上述规定。法律、法规另有规定的，从其规定。</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策略主要包括资产配置策略、行业配置策略、个股选择策略、债券投资策略和其他投资策略。具体来看，资产配置策略将通过“自上而下”的宏观分析，以及定性分析与定量分析相补充的方法，在股票、债券和现金等资产类之间进行配置；行业配置策略在整体的资产配置策略确定后，本基金将进行行业配置。本基金将深入分析不同行业的属性特征，及其在产业链上所处的相对位置、确定本基金重点投资的行业；个股选择，本基金重点投资于预期利润或收入具有良好增长潜力的新兴成长型上市公司；债券投资策略，本基金的债券组合将通过信用、久期和凸性等的灵活配置，进行积极主动的操作，力争获取超越于所对应的债券基准的收益；其它投资策略，本基金在对权证或其他金融衍生品进行投资时，将通过对衍生品标的证券基本面的研究，结合期权定价模型寻求其合理估值水平。</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沪深300指数收益率×80%＋中国债券总指数收益率×20%。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本基金为混合型基金，预期风险和预期收益高于货币市场基金、债券型基金，低于股票型基金，属于证券投资基金中的中高风险/收益品种</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41B83413"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 xml:space="preserve">注：基金的过往业绩不代表未来表现。 </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50万元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4AF03FA1" w14:textId="77777777" w:rsidTr="0074096A">
        <w:trPr>
          <w:trHeight w:val="454"/>
        </w:trPr>
        <w:tc>
          <w:tcPr>
            <w:tcW w:w="1371" w:type="pct"/>
            <w:vMerge/>
            <w:vAlign w:val="center"/>
          </w:tcPr>
          <w:p w14:paraId="185DC64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608C57A0"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50万元 ≤ M &lt; 100万元</w:t>
            </w:r>
          </w:p>
        </w:tc>
        <w:tc>
          <w:tcPr>
            <w:tcW w:w="1164" w:type="pct"/>
            <w:vAlign w:val="center"/>
          </w:tcPr>
          <w:p w14:paraId="030A7A0F"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43F93843" w14:textId="77777777" w:rsidR="005D6F21" w:rsidRDefault="005D6F21">
            <w:pPr>
              <w:spacing w:line="320" w:lineRule="exact"/>
              <w:jc w:val="center"/>
              <w:rPr>
                <w:rFonts w:ascii="方正仿宋简体" w:eastAsia="方正仿宋简体" w:hAnsi="宋体"/>
                <w:color w:val="0000FF"/>
                <w:kern w:val="0"/>
              </w:rPr>
            </w:pPr>
          </w:p>
        </w:tc>
      </w:tr>
      <w:tr w:rsidR="005D6F21" w14:paraId="1108935A" w14:textId="77777777" w:rsidTr="0074096A">
        <w:trPr>
          <w:trHeight w:val="454"/>
        </w:trPr>
        <w:tc>
          <w:tcPr>
            <w:tcW w:w="1371" w:type="pct"/>
            <w:vMerge/>
            <w:vAlign w:val="center"/>
          </w:tcPr>
          <w:p w14:paraId="7DC5D36F"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94D4243"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13F3BE6A"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0.60%  </w:t>
            </w:r>
          </w:p>
        </w:tc>
        <w:tc>
          <w:tcPr>
            <w:tcW w:w="503" w:type="pct"/>
            <w:vAlign w:val="center"/>
          </w:tcPr>
          <w:p w14:paraId="08DC9338" w14:textId="77777777" w:rsidR="005D6F21" w:rsidRDefault="005D6F21">
            <w:pPr>
              <w:spacing w:line="320" w:lineRule="exact"/>
              <w:jc w:val="center"/>
              <w:rPr>
                <w:rFonts w:ascii="方正仿宋简体" w:eastAsia="方正仿宋简体" w:hAnsi="宋体"/>
                <w:color w:val="0000FF"/>
                <w:kern w:val="0"/>
              </w:rPr>
            </w:pPr>
          </w:p>
        </w:tc>
      </w:tr>
      <w:tr w:rsidR="005D6F21" w14:paraId="618B31C8" w14:textId="77777777" w:rsidTr="0074096A">
        <w:trPr>
          <w:trHeight w:val="454"/>
        </w:trPr>
        <w:tc>
          <w:tcPr>
            <w:tcW w:w="1371" w:type="pct"/>
            <w:vMerge/>
            <w:vAlign w:val="center"/>
          </w:tcPr>
          <w:p w14:paraId="1109AC8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3B2C7FCD"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500万元</w:t>
            </w:r>
          </w:p>
        </w:tc>
        <w:tc>
          <w:tcPr>
            <w:tcW w:w="1164" w:type="pct"/>
            <w:vAlign w:val="center"/>
          </w:tcPr>
          <w:p w14:paraId="352F9D43"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7EB0D93F"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w:t>
            </w:r>
            <w:r>
              <w:rPr>
                <w:rFonts w:ascii="方正仿宋简体" w:eastAsia="方正仿宋简体" w:hAnsi="宋体" w:hint="eastAsia"/>
                <w:kern w:val="0"/>
              </w:rPr>
              <w:lastRenderedPageBreak/>
              <w:t>资产</w:t>
            </w:r>
          </w:p>
        </w:tc>
      </w:tr>
      <w:tr w:rsidR="005D6F21" w14:paraId="4925E8A7" w14:textId="77777777" w:rsidTr="0074096A">
        <w:trPr>
          <w:trHeight w:val="454"/>
        </w:trPr>
        <w:tc>
          <w:tcPr>
            <w:tcW w:w="1371" w:type="pct"/>
            <w:vMerge/>
            <w:vAlign w:val="center"/>
          </w:tcPr>
          <w:p w14:paraId="3401B513"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赎回费</w:t>
            </w:r>
          </w:p>
        </w:tc>
        <w:tc>
          <w:tcPr>
            <w:tcW w:w="1962" w:type="pct"/>
            <w:vAlign w:val="center"/>
          </w:tcPr>
          <w:p w14:paraId="408C7790"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365天 </w:t>
            </w:r>
          </w:p>
        </w:tc>
        <w:tc>
          <w:tcPr>
            <w:tcW w:w="1164" w:type="pct"/>
            <w:vAlign w:val="center"/>
          </w:tcPr>
          <w:p w14:paraId="67D3AB19"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3E57CB7A"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2197A69C" w14:textId="77777777" w:rsidTr="0074096A">
        <w:trPr>
          <w:trHeight w:val="454"/>
        </w:trPr>
        <w:tc>
          <w:tcPr>
            <w:tcW w:w="1371" w:type="pct"/>
            <w:vMerge/>
            <w:vAlign w:val="center"/>
          </w:tcPr>
          <w:p w14:paraId="4E5B26A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19E5F822"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365天 ≤ N &lt; 730天 </w:t>
            </w:r>
          </w:p>
        </w:tc>
        <w:tc>
          <w:tcPr>
            <w:tcW w:w="1164" w:type="pct"/>
            <w:vAlign w:val="center"/>
          </w:tcPr>
          <w:p w14:paraId="266CFDAE"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3E4CC112"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214D6B46" w14:textId="77777777" w:rsidTr="0074096A">
        <w:trPr>
          <w:trHeight w:val="454"/>
        </w:trPr>
        <w:tc>
          <w:tcPr>
            <w:tcW w:w="1371" w:type="pct"/>
            <w:vMerge/>
            <w:vAlign w:val="center"/>
          </w:tcPr>
          <w:p w14:paraId="51DF64B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0226D915"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730天 </w:t>
            </w:r>
          </w:p>
        </w:tc>
        <w:tc>
          <w:tcPr>
            <w:tcW w:w="1164" w:type="pct"/>
            <w:vAlign w:val="center"/>
          </w:tcPr>
          <w:p w14:paraId="2762BAFE"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11AC7D3E"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基金的证券交易费用； 基金合同生效以后的信息披露费用； 基金份额持有人大会费用； 基金合同生效以后的会计师费和律师费等。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bookmarkStart w:id="0" w:name="_GoBack"/>
      <w:bookmarkEnd w:id="0"/>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3219154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0752FFA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新兴高速成长的企业股票，新兴高速成长的公司一般处于发展中前期，经营稳定性相对较低，抵抗市场和行业波动的能力相对较弱，从而在个股投资决策中给基金带来一定的不确定性，因而存在个股选择风险。</w:t>
      </w:r>
    </w:p>
    <w:p w14:paraId="16261A2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（2）权证等金融衍生品投资风险</w:t>
      </w:r>
    </w:p>
    <w:p w14:paraId="4EC659BB"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A6D35A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可能投资的股票权证资产的主要风险包括价格波动风险、市场流动性风险、强制平仓风险、合约到期风险、行权失败风险、交易违约风险等。影响权证价格的因素较多，有时会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权失败而失去交易机会。</w:t>
      </w:r>
    </w:p>
    <w:p w14:paraId="3AB0E00D"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（3）资产支持证券投资风险</w:t>
      </w:r>
    </w:p>
    <w:p w14:paraId="2E90210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本基金可能投资的资产支持证券（ABS）是一种债券性质的金融工具，其向投资者支付的本息来自于基础资产</w:t>
      </w:r>
      <w:r>
        <w:rPr>
          <w:rFonts w:ascii="方正仿宋简体" w:eastAsia="方正仿宋简体" w:hAnsi="方正仿宋简体" w:cs="方正仿宋简体" w:hint="eastAsia"/>
          <w:iCs/>
        </w:rPr>
        <w:lastRenderedPageBreak/>
        <w:t>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6A4FB5E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（4）投资于存托凭证的风险</w:t>
      </w:r>
    </w:p>
    <w:p w14:paraId="0F0226C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0965B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中国证监会对本基金募集的核准，并不表明其对本基金的价值和收益作出实质性判断或保证，也不表明投资于本基金没有风险。</w:t>
      </w:r>
    </w:p>
    <w:p w14:paraId="0335117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25EAB6BA"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3870CA8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5A16561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25F0866C"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1761923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1532E53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5C8FCF9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争议解决方式：本基金合同的当事人之间因基金合同产生的或与本基金合同有关的争议可首先通过友好协商或调解解决。自一方书面要求协商解决争议之日起60日内如果争议未能以协商或调解方式解决，则任何一方有权将争议提交中国国际经济贸易仲裁委员会，根据提交仲裁时有效的仲裁规则进行仲裁，仲裁地点为上海。仲裁裁决是终局的，对仲裁各方当事人均具有约束力。</w:t>
      </w:r>
    </w:p>
    <w:p w14:paraId="141B833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重大事件：本基金由裕华证券投资基金转型而来。基金转型获裕华证券投资基金基金份额持有人大会决议通过，经中国证监会2007年06月22日证监基金字[2007]174号文核准。自2007年7月6日起，《裕华证券投资基金基金合同》修订为混合型《博时新兴成长混合型证券投资基金基金合同》。</w:t>
      </w:r>
    </w:p>
    <w:p w14:paraId="7E8580A9" w14:textId="77777777" w:rsidR="005D6F21" w:rsidRDefault="005D6F21">
      <w:pPr>
        <w:spacing w:line="320" w:lineRule="exact"/>
        <w:ind w:firstLine="420"/>
        <w:rPr>
          <w:rFonts w:ascii="方正仿宋简体" w:eastAsia="方正仿宋简体" w:hAnsi="方正仿宋简体" w:cs="方正仿宋简体"/>
          <w:iCs/>
        </w:rPr>
      </w:pPr>
    </w:p>
    <w:p w14:paraId="62A5CFA0"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p>
    <w:sectPr w:rsidR="005D6F21" w:rsidSect="00461A7D">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057C" w14:textId="77777777" w:rsidR="008C100F" w:rsidRDefault="008C100F" w:rsidP="0092395F">
      <w:r>
        <w:separator/>
      </w:r>
    </w:p>
  </w:endnote>
  <w:endnote w:type="continuationSeparator" w:id="0">
    <w:p w14:paraId="3BCBFEAF" w14:textId="77777777" w:rsidR="008C100F" w:rsidRDefault="008C100F"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77777777" w:rsidR="00461A7D" w:rsidRDefault="00461A7D"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4335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43358">
              <w:rPr>
                <w:b/>
                <w:bCs/>
                <w:noProof/>
              </w:rPr>
              <w:t>4</w:t>
            </w:r>
            <w:r>
              <w:rPr>
                <w:b/>
                <w:bCs/>
                <w:sz w:val="24"/>
                <w:szCs w:val="24"/>
              </w:rPr>
              <w:fldChar w:fldCharType="end"/>
            </w:r>
          </w:p>
        </w:sdtContent>
      </w:sdt>
    </w:sdtContent>
  </w:sdt>
  <w:p w14:paraId="30F8E9BC" w14:textId="77777777" w:rsidR="00461A7D" w:rsidRDefault="00461A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35FD" w14:textId="77777777" w:rsidR="008C100F" w:rsidRDefault="008C100F" w:rsidP="0092395F">
      <w:r>
        <w:separator/>
      </w:r>
    </w:p>
  </w:footnote>
  <w:footnote w:type="continuationSeparator" w:id="0">
    <w:p w14:paraId="2BD63D16" w14:textId="77777777" w:rsidR="008C100F" w:rsidRDefault="008C100F"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00F"/>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358"/>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6518E"/>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9C99-7AB4-4052-A49C-9154D2D8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3622</Characters>
  <Application>Microsoft Office Word</Application>
  <DocSecurity>0</DocSecurity>
  <Lines>30</Lines>
  <Paragraphs>8</Paragraphs>
  <ScaleCrop>false</ScaleCrop>
  <Company>shenduxitong</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zhaiq</cp:lastModifiedBy>
  <cp:revision>4</cp:revision>
  <dcterms:created xsi:type="dcterms:W3CDTF">2020-09-04T09:43:00Z</dcterms:created>
  <dcterms:modified xsi:type="dcterms:W3CDTF">2020-10-15T07:51:00Z</dcterms:modified>
</cp:coreProperties>
</file>