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lang w:val="en-US" w:eastAsia="zh-CN"/>
        </w:rPr>
      </w:pPr>
      <w:r>
        <w:rPr>
          <w:rFonts w:hint="eastAsia"/>
          <w:b/>
          <w:bCs/>
          <w:sz w:val="30"/>
          <w:szCs w:val="30"/>
          <w:lang w:val="en-US" w:eastAsia="zh-CN"/>
        </w:rPr>
        <w:t>和合期货沪金周报（20191111--20191115）</w:t>
      </w:r>
    </w:p>
    <w:p>
      <w:pPr>
        <w:jc w:val="both"/>
        <w:rPr>
          <w:rFonts w:hint="eastAsia"/>
          <w:b/>
          <w:bCs/>
          <w:sz w:val="28"/>
          <w:szCs w:val="28"/>
          <w:lang w:val="en-US" w:eastAsia="zh-CN"/>
        </w:rPr>
      </w:pPr>
      <w:r>
        <w:drawing>
          <wp:anchor distT="0" distB="0" distL="114300" distR="114300" simplePos="0" relativeHeight="251659264" behindDoc="0" locked="0" layoutInCell="1" allowOverlap="1">
            <wp:simplePos x="0" y="0"/>
            <wp:positionH relativeFrom="column">
              <wp:posOffset>337185</wp:posOffset>
            </wp:positionH>
            <wp:positionV relativeFrom="paragraph">
              <wp:posOffset>318770</wp:posOffset>
            </wp:positionV>
            <wp:extent cx="2040255" cy="1021715"/>
            <wp:effectExtent l="0" t="0" r="17145" b="6985"/>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4"/>
                    <a:stretch>
                      <a:fillRect/>
                    </a:stretch>
                  </pic:blipFill>
                  <pic:spPr>
                    <a:xfrm>
                      <a:off x="0" y="0"/>
                      <a:ext cx="2040255" cy="1021715"/>
                    </a:xfrm>
                    <a:prstGeom prst="rect">
                      <a:avLst/>
                    </a:prstGeom>
                    <a:noFill/>
                    <a:ln w="9525">
                      <a:noFill/>
                    </a:ln>
                  </pic:spPr>
                </pic:pic>
              </a:graphicData>
            </a:graphic>
          </wp:anchor>
        </w:drawing>
      </w:r>
    </w:p>
    <w:p>
      <w:pPr>
        <w:spacing w:line="240" w:lineRule="auto"/>
        <w:ind w:firstLine="900" w:firstLineChars="500"/>
        <w:jc w:val="left"/>
        <w:rPr>
          <w:rFonts w:hint="eastAsia" w:ascii="微软雅黑" w:hAnsi="微软雅黑" w:eastAsia="微软雅黑" w:cs="微软雅黑"/>
          <w:b w:val="0"/>
          <w:i w:val="0"/>
          <w:caps w:val="0"/>
          <w:color w:val="auto"/>
          <w:spacing w:val="0"/>
          <w:sz w:val="18"/>
          <w:szCs w:val="18"/>
          <w:shd w:val="clear" w:fill="FFFFFF"/>
        </w:rPr>
      </w:pPr>
      <w:r>
        <w:rPr>
          <w:rFonts w:hint="eastAsia" w:ascii="微软雅黑" w:hAnsi="微软雅黑" w:eastAsia="微软雅黑" w:cs="微软雅黑"/>
          <w:b w:val="0"/>
          <w:i w:val="0"/>
          <w:caps w:val="0"/>
          <w:color w:val="auto"/>
          <w:spacing w:val="0"/>
          <w:sz w:val="18"/>
          <w:szCs w:val="18"/>
          <w:shd w:val="clear" w:fill="FFFFFF"/>
          <w:lang w:eastAsia="zh-CN"/>
        </w:rPr>
        <w:t>段晓强</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从业资格证号：</w:t>
      </w:r>
      <w:r>
        <w:rPr>
          <w:rFonts w:hint="eastAsia" w:ascii="微软雅黑" w:hAnsi="微软雅黑" w:eastAsia="微软雅黑" w:cs="微软雅黑"/>
          <w:b w:val="0"/>
          <w:i w:val="0"/>
          <w:caps w:val="0"/>
          <w:color w:val="auto"/>
          <w:spacing w:val="0"/>
          <w:sz w:val="18"/>
          <w:szCs w:val="18"/>
          <w:shd w:val="clear" w:fill="FFFFFF"/>
          <w:lang w:val="en-US" w:eastAsia="zh-CN"/>
        </w:rPr>
        <w:t>F3037792</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投询资格证号：</w:t>
      </w:r>
      <w:r>
        <w:rPr>
          <w:rFonts w:hint="eastAsia" w:ascii="微软雅黑" w:hAnsi="微软雅黑" w:eastAsia="微软雅黑" w:cs="微软雅黑"/>
          <w:b w:val="0"/>
          <w:i w:val="0"/>
          <w:caps w:val="0"/>
          <w:color w:val="auto"/>
          <w:spacing w:val="0"/>
          <w:sz w:val="18"/>
          <w:szCs w:val="18"/>
          <w:shd w:val="clear" w:fill="FFFFFF"/>
          <w:lang w:val="en-US" w:eastAsia="zh-CN"/>
        </w:rPr>
        <w:t xml:space="preserve">Z0014851 </w:t>
      </w:r>
    </w:p>
    <w:p>
      <w:pPr>
        <w:spacing w:line="240" w:lineRule="auto"/>
        <w:ind w:firstLine="900" w:firstLineChars="500"/>
        <w:jc w:val="left"/>
        <w:rPr>
          <w:rFonts w:hint="eastAsia" w:ascii="微软雅黑" w:hAnsi="微软雅黑" w:eastAsia="微软雅黑" w:cs="微软雅黑"/>
          <w:b w:val="0"/>
          <w:i w:val="0"/>
          <w:caps w:val="0"/>
          <w:color w:val="auto"/>
          <w:spacing w:val="0"/>
          <w:sz w:val="18"/>
          <w:szCs w:val="18"/>
          <w:shd w:val="clear" w:fill="FFFFFF"/>
        </w:rPr>
      </w:pPr>
      <w:r>
        <w:rPr>
          <w:rFonts w:hint="eastAsia" w:ascii="微软雅黑" w:hAnsi="微软雅黑" w:eastAsia="微软雅黑" w:cs="微软雅黑"/>
          <w:b w:val="0"/>
          <w:i w:val="0"/>
          <w:caps w:val="0"/>
          <w:color w:val="auto"/>
          <w:spacing w:val="0"/>
          <w:sz w:val="18"/>
          <w:szCs w:val="18"/>
          <w:shd w:val="clear" w:fill="FFFFFF"/>
        </w:rPr>
        <w:t>电话：0351-7342558</w:t>
      </w:r>
    </w:p>
    <w:p>
      <w:pPr>
        <w:spacing w:line="240" w:lineRule="auto"/>
        <w:ind w:firstLine="900" w:firstLineChars="500"/>
        <w:jc w:val="left"/>
        <w:rPr>
          <w:rFonts w:ascii="微软雅黑" w:hAnsi="微软雅黑" w:eastAsia="微软雅黑" w:cs="微软雅黑"/>
          <w:b w:val="0"/>
          <w:i w:val="0"/>
          <w:caps w:val="0"/>
          <w:color w:val="auto"/>
          <w:spacing w:val="0"/>
          <w:sz w:val="16"/>
          <w:szCs w:val="16"/>
          <w:shd w:val="clear" w:fill="FFFFFF"/>
        </w:rPr>
      </w:pPr>
      <w:r>
        <w:rPr>
          <w:rFonts w:hint="eastAsia" w:ascii="微软雅黑" w:hAnsi="微软雅黑" w:eastAsia="微软雅黑" w:cs="微软雅黑"/>
          <w:b w:val="0"/>
          <w:i w:val="0"/>
          <w:caps w:val="0"/>
          <w:color w:val="auto"/>
          <w:spacing w:val="0"/>
          <w:sz w:val="18"/>
          <w:szCs w:val="18"/>
          <w:shd w:val="clear" w:fill="FFFFFF"/>
        </w:rPr>
        <w:t>邮箱</w:t>
      </w:r>
      <w:r>
        <w:rPr>
          <w:rFonts w:ascii="微软雅黑" w:hAnsi="微软雅黑" w:eastAsia="微软雅黑" w:cs="微软雅黑"/>
          <w:b w:val="0"/>
          <w:i w:val="0"/>
          <w:caps w:val="0"/>
          <w:color w:val="auto"/>
          <w:spacing w:val="0"/>
          <w:sz w:val="18"/>
          <w:szCs w:val="18"/>
          <w:shd w:val="clear" w:fill="FFFFFF"/>
        </w:rPr>
        <w:t>：</w:t>
      </w:r>
      <w:r>
        <w:rPr>
          <w:rStyle w:val="7"/>
          <w:rFonts w:hint="eastAsia" w:ascii="宋体" w:hAnsi="宋体" w:eastAsia="宋体" w:cs="宋体"/>
          <w:sz w:val="18"/>
          <w:szCs w:val="18"/>
          <w:lang w:val="en-US" w:eastAsia="zh-CN"/>
        </w:rPr>
        <w:fldChar w:fldCharType="begin"/>
      </w:r>
      <w:r>
        <w:rPr>
          <w:rStyle w:val="7"/>
          <w:rFonts w:hint="eastAsia" w:ascii="宋体" w:hAnsi="宋体" w:eastAsia="宋体" w:cs="宋体"/>
          <w:sz w:val="18"/>
          <w:szCs w:val="18"/>
          <w:lang w:val="en-US" w:eastAsia="zh-CN"/>
        </w:rPr>
        <w:instrText xml:space="preserve"> HYPERLINK "mailto:yangxiaoxia@hhqh.com.cn" </w:instrText>
      </w:r>
      <w:r>
        <w:rPr>
          <w:rStyle w:val="7"/>
          <w:rFonts w:hint="eastAsia" w:ascii="宋体" w:hAnsi="宋体" w:eastAsia="宋体" w:cs="宋体"/>
          <w:sz w:val="18"/>
          <w:szCs w:val="18"/>
          <w:lang w:val="en-US" w:eastAsia="zh-CN"/>
        </w:rPr>
        <w:fldChar w:fldCharType="separate"/>
      </w:r>
      <w:r>
        <w:rPr>
          <w:rStyle w:val="7"/>
          <w:rFonts w:hint="eastAsia" w:ascii="宋体" w:hAnsi="宋体" w:eastAsia="宋体" w:cs="宋体"/>
          <w:sz w:val="18"/>
          <w:szCs w:val="18"/>
          <w:lang w:val="en-US" w:eastAsia="zh-CN"/>
        </w:rPr>
        <w:t>duanxiaoqiang@hhqh.com.cn</w:t>
      </w:r>
      <w:r>
        <w:rPr>
          <w:rStyle w:val="7"/>
          <w:rFonts w:hint="eastAsia" w:ascii="宋体" w:hAnsi="宋体" w:eastAsia="宋体" w:cs="宋体"/>
          <w:sz w:val="18"/>
          <w:szCs w:val="18"/>
          <w:lang w:val="en-US" w:eastAsia="zh-CN"/>
        </w:rPr>
        <w:fldChar w:fldCharType="end"/>
      </w:r>
    </w:p>
    <w:p>
      <w:pPr>
        <w:spacing w:line="240" w:lineRule="auto"/>
        <w:ind w:firstLine="900" w:firstLineChars="500"/>
        <w:jc w:val="left"/>
        <w:rPr>
          <w:rFonts w:hint="eastAsia" w:ascii="宋体" w:hAnsi="宋体" w:eastAsia="宋体" w:cs="宋体"/>
          <w:sz w:val="18"/>
          <w:szCs w:val="18"/>
          <w:lang w:val="en-US" w:eastAsia="zh-CN"/>
        </w:rPr>
      </w:pPr>
    </w:p>
    <w:p>
      <w:pPr>
        <w:spacing w:line="240" w:lineRule="auto"/>
        <w:jc w:val="left"/>
        <w:rPr>
          <w:rFonts w:hint="eastAsia" w:ascii="宋体" w:hAnsi="宋体" w:eastAsia="宋体" w:cs="宋体"/>
          <w:sz w:val="18"/>
          <w:szCs w:val="18"/>
          <w:lang w:val="en-US" w:eastAsia="zh-CN"/>
        </w:rPr>
      </w:pPr>
    </w:p>
    <w:p>
      <w:pPr>
        <w:numPr>
          <w:ilvl w:val="0"/>
          <w:numId w:val="1"/>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沪金期货合约本周走势及成交情况</w:t>
      </w:r>
    </w:p>
    <w:p>
      <w:pPr>
        <w:numPr>
          <w:ilvl w:val="0"/>
          <w:numId w:val="2"/>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沪金主力本周震荡</w:t>
      </w:r>
    </w:p>
    <w:p>
      <w:pPr>
        <w:numPr>
          <w:ilvl w:val="0"/>
          <w:numId w:val="0"/>
        </w:numPr>
        <w:jc w:val="left"/>
      </w:pPr>
      <w:r>
        <w:drawing>
          <wp:inline distT="0" distB="0" distL="114300" distR="114300">
            <wp:extent cx="5729605" cy="3485515"/>
            <wp:effectExtent l="0" t="0" r="4445"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729605" cy="3485515"/>
                    </a:xfrm>
                    <a:prstGeom prst="rect">
                      <a:avLst/>
                    </a:prstGeom>
                    <a:noFill/>
                    <a:ln>
                      <a:noFill/>
                    </a:ln>
                  </pic:spPr>
                </pic:pic>
              </a:graphicData>
            </a:graphic>
          </wp:inline>
        </w:drawing>
      </w:r>
    </w:p>
    <w:p>
      <w:pPr>
        <w:numPr>
          <w:ilvl w:val="0"/>
          <w:numId w:val="0"/>
        </w:numPr>
        <w:jc w:val="left"/>
        <w:rPr>
          <w:rFonts w:hint="eastAsia"/>
          <w:lang w:val="en-US" w:eastAsia="zh-CN"/>
        </w:rPr>
      </w:pP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cstheme="minorBidi"/>
          <w:kern w:val="2"/>
          <w:sz w:val="21"/>
          <w:szCs w:val="24"/>
          <w:lang w:val="en-US" w:eastAsia="zh-CN" w:bidi="ar-SA"/>
        </w:rPr>
        <w:t>2</w:t>
      </w:r>
      <w:r>
        <w:rPr>
          <w:rFonts w:hint="eastAsia" w:ascii="微软雅黑" w:hAnsi="微软雅黑" w:eastAsia="微软雅黑" w:cs="微软雅黑"/>
          <w:b w:val="0"/>
          <w:i w:val="0"/>
          <w:caps w:val="0"/>
          <w:color w:val="4D4D4D"/>
          <w:spacing w:val="0"/>
          <w:sz w:val="21"/>
          <w:szCs w:val="21"/>
          <w:lang w:val="en-US" w:eastAsia="zh-CN"/>
        </w:rPr>
        <w:t>，沪金本周成交情况</w:t>
      </w: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11月11日--11月15日，沪金指数总成交量193.7万手，较上周减少28.7万手，总持仓量47.2万手，较上周减仓2.4万手，沪金主力本周震荡，主力合约收盘价331.9，与上周收盘价微跌0.06%。</w:t>
      </w:r>
      <w:bookmarkStart w:id="0" w:name="_GoBack"/>
      <w:bookmarkEnd w:id="0"/>
    </w:p>
    <w:p>
      <w:pPr>
        <w:numPr>
          <w:ilvl w:val="0"/>
          <w:numId w:val="1"/>
        </w:numPr>
        <w:jc w:val="left"/>
        <w:rPr>
          <w:rFonts w:hint="eastAsia" w:ascii="微软雅黑" w:hAnsi="微软雅黑" w:eastAsia="微软雅黑" w:cs="微软雅黑"/>
          <w:b/>
          <w:bCs/>
          <w:i w:val="0"/>
          <w:caps w:val="0"/>
          <w:color w:val="4D4D4D"/>
          <w:spacing w:val="0"/>
          <w:sz w:val="21"/>
          <w:szCs w:val="21"/>
          <w:lang w:val="en-US" w:eastAsia="zh-CN"/>
        </w:rPr>
      </w:pPr>
      <w:r>
        <w:rPr>
          <w:rFonts w:hint="eastAsia" w:ascii="微软雅黑" w:hAnsi="微软雅黑" w:eastAsia="微软雅黑" w:cs="微软雅黑"/>
          <w:b/>
          <w:bCs/>
          <w:sz w:val="24"/>
          <w:szCs w:val="24"/>
          <w:lang w:val="en-US" w:eastAsia="zh-CN"/>
        </w:rPr>
        <w:t>影响因素分析</w:t>
      </w:r>
    </w:p>
    <w:p>
      <w:pPr>
        <w:numPr>
          <w:ilvl w:val="0"/>
          <w:numId w:val="0"/>
        </w:numPr>
        <w:ind w:firstLine="420"/>
        <w:jc w:val="left"/>
        <w:rPr>
          <w:rFonts w:hint="eastAsia" w:ascii="微软雅黑" w:hAnsi="微软雅黑" w:eastAsia="微软雅黑" w:cs="微软雅黑"/>
          <w:b/>
          <w:bCs/>
          <w:i w:val="0"/>
          <w:caps w:val="0"/>
          <w:color w:val="4D4D4D"/>
          <w:spacing w:val="0"/>
          <w:sz w:val="21"/>
          <w:szCs w:val="21"/>
          <w:lang w:val="en-US" w:eastAsia="zh-CN"/>
        </w:rPr>
      </w:pPr>
      <w:r>
        <w:rPr>
          <w:rFonts w:hint="eastAsia" w:ascii="微软雅黑" w:hAnsi="微软雅黑" w:eastAsia="微软雅黑" w:cs="微软雅黑"/>
          <w:b/>
          <w:bCs/>
          <w:i w:val="0"/>
          <w:caps w:val="0"/>
          <w:color w:val="4D4D4D"/>
          <w:spacing w:val="0"/>
          <w:sz w:val="21"/>
          <w:szCs w:val="21"/>
          <w:lang w:val="en-US" w:eastAsia="zh-CN"/>
        </w:rPr>
        <w:t>1、宏观面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美国联邦储备委员会（FED）主席鲍威尔周四表示，美国经济面临严重衰退的风险很遥远，部分原因在于创纪录长时间的经济扩张没有出现过热现象。鲍威尔连续第二天在国会作证时，重申了他的观点，即目前的经济增长看起来是可持续的，几乎没有迹象表明经济会立即出现下滑，尽管旷日持久的贸易争端仍在继续，企业投资放缓且海外经济疲软。“今时今日，美国经济是个亮点，”鲍威尔对众议院预算委员会表示，“我们以2%的速度增长，正好在这个范围内，比任何其他发达经济体的增长率都高。这种趋势没有理由不能继续下去。”当被问及是否有任何过剩会威胁到经济扩张时，鲍威尔表示：“看看目前的经济形势，没有哪个领域会从繁荣转衰退。这是一幅相当可持续的图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美国经济扩张已进入第11个年头，尽管今年的增速较2018年有所放缓，因特朗普领导的共和党政府当时开展的减税措施加速了经济活动。今年第三季美国经济环比成长年率为1.9%，低于上年同期的3.4%。不过美国制造业活动近期已受到打击，因为两国之间针锋相对的互征关税，以及海外市场需求疲软，都加剧了不确定性。过去两个季度，企业投资一直是国内生产总值（GDP）增长的净拖累。当被问及制造业下滑是否可能拖累整体经济时，鲍威尔表示，联储官员并未看到这种迹象。“我们对这一风险进行了非常密切的监测，我们还没有看到那样的迹象，”鲍威尔称，“贡献经济总量70%的消费者状况良好，信心高，失业率低，且薪资上涨。这就是目前推动我们经济增长的因素，而且这些因素似乎还在继续发挥作用。”</w:t>
      </w:r>
    </w:p>
    <w:p>
      <w:pPr>
        <w:bidi w:val="0"/>
        <w:ind w:firstLine="411" w:firstLineChars="0"/>
        <w:jc w:val="left"/>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本周三，新西兰央行并未如市场预期降息，而是选择维持利率不变。无独有偶，当天，美联储主席鲍威尔也暗示，短期内将不再降息。他表示，与过去相比，美联储没有降息空间，新常态是低利率、低通胀和低经济增速。综合来看，在即将到来的12月，包括美联储在内的多家早先激进降息的央行可能会更倾向于静观其变，数月以来高歌猛进的全球降息潮或将暂告段落。欧洲央行和日本央行也同样会在未来陷入观望状态。一是原欧洲央行行长德拉吉在9月份推行的降息和量化宽松已经引发多个成员国的不满甚至反对，新上任的欧洲央行行长拉加德可能会把协调内部矛盾、恢复和谐作为首要任务。二是超级货币宽松从来都不是“万灵丹”。欧洲和日本在多年的超级货币宽松之后，其“火力”正日趋走弱，未来可用的政策并不多。已疲于耗用有限刺激措施的日本央行在最近一轮全球宽松潮中并未降息，多少说明该央行更愿意尽可能长时间地按兵不动。</w:t>
      </w:r>
    </w:p>
    <w:p>
      <w:pPr>
        <w:bidi w:val="0"/>
        <w:ind w:firstLine="411" w:firstLineChars="0"/>
        <w:jc w:val="left"/>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贸易方面的相关最新进展也值得留意，中国商务部新闻发言人高峰14日在商务部例行新闻发布会上表示，中方多次强调，贸易战由加税而起，也应由取消加税而止，这是双方达成协议的重要条件。高峰指出，取消加税，符合生产者和消费者利益，符合两国利益，也符合世界利益，是双方而不是单方的利益所在。如果双方达成第一阶段协议，关税取消的幅度应充分体现第一阶段协议的重要性，而其重要性应该由双方共同估量。双方正在就此进行深入讨论。中方愿与美方共同努力，在平等和相互尊重的基础上，妥善解决彼此核心关切，为达成第一阶段协议创造条件。</w:t>
      </w:r>
    </w:p>
    <w:p>
      <w:pPr>
        <w:numPr>
          <w:ilvl w:val="0"/>
          <w:numId w:val="0"/>
        </w:numPr>
        <w:ind w:firstLine="420"/>
        <w:jc w:val="left"/>
        <w:rPr>
          <w:rFonts w:hint="eastAsia" w:ascii="微软雅黑" w:hAnsi="微软雅黑" w:eastAsia="微软雅黑" w:cs="微软雅黑"/>
          <w:b/>
          <w:bCs/>
          <w:i w:val="0"/>
          <w:caps w:val="0"/>
          <w:color w:val="4D4D4D"/>
          <w:spacing w:val="0"/>
          <w:sz w:val="21"/>
          <w:szCs w:val="21"/>
          <w:lang w:val="en-US" w:eastAsia="zh-CN"/>
        </w:rPr>
      </w:pPr>
      <w:r>
        <w:rPr>
          <w:rFonts w:hint="eastAsia" w:ascii="微软雅黑" w:hAnsi="微软雅黑" w:eastAsia="微软雅黑" w:cs="微软雅黑"/>
          <w:b/>
          <w:bCs/>
          <w:i w:val="0"/>
          <w:caps w:val="0"/>
          <w:color w:val="4D4D4D"/>
          <w:spacing w:val="0"/>
          <w:sz w:val="21"/>
          <w:szCs w:val="21"/>
          <w:lang w:val="en-US" w:eastAsia="zh-CN"/>
        </w:rPr>
        <w:t>2、供需端及资金面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20" w:firstLineChars="200"/>
        <w:textAlignment w:val="auto"/>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世界黄金协会（WGC）周二（11月12日）发布了一份新的消费者研究报告，根据对1.8万人的调查反馈，重点介绍了从事零售投资和珠宝市场从业者的黄金机会。该报告研究了包括中国，印度，北美，德国和俄罗斯在内的一系列市场，并重点介绍了人们对全球黄金的态度和见解：人们如何以及为何购买黄金，以及他们不购买的原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420" w:firstLineChars="200"/>
        <w:textAlignment w:val="auto"/>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最新报告显示，黄金仍然是主流投资选择，全球46%的散户投资者选择黄金产品，继储蓄账户（78%）和人寿保险（54%）之后，黄金的购买量一直位居第三。至于珠宝，调查显示，消费者更喜欢黄金珠宝而不是其他金属制成的珠宝，其中56%的参与者购买了高级黄金珠宝，而铂金珠宝的参与者为34%。此外，超过三分之一（38%）的散户投资者和时尚爱好者过去从未购买过黄金，但正在为这一想法做准备。根据WGC的数据，如果可以转换成未开发的需求来源，这表明黄金市场具有巨大的增长潜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420" w:firstLineChars="200"/>
        <w:textAlignment w:val="auto"/>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人们对黄金充满信心并忠诚于黄金，因为超过三分之二（67%）的散户投资者认为黄金是抵御通货膨胀和货币波动的良好保障，而61%的人更信任黄金而不是法定货币。尽管人们对黄金充满信心，但过去从未购买过黄金但对未来购买黄金持开放态度的人之间存在一些不信任感，分别占潜在投资和珠宝消费总额的48%和28%，以缺乏信任为主要障碍。 WGC补充说，这可能对假冒伪劣的金条和金币，产品纯度或某些零售商的信誉不信任。另一个关键发现是，黄金可以在年轻消费者中产生更深的共鸣。千禧一代对黄金的态度与上一代人并没有太大不同，但是年轻的Z世代观众中存在一些感性的疑虑，尤其是在中国的珠宝市场。例如，在中国年龄在18至24岁之间的时尚买家中，有40%的人认为黄金可以带来好运，而年龄在55至65岁之间的人中，这一比例为88%。</w:t>
      </w:r>
    </w:p>
    <w:p>
      <w:pPr>
        <w:keepNext w:val="0"/>
        <w:keepLines w:val="0"/>
        <w:pageBreakBefore w:val="0"/>
        <w:widowControl w:val="0"/>
        <w:numPr>
          <w:ilvl w:val="0"/>
          <w:numId w:val="3"/>
        </w:numPr>
        <w:kinsoku/>
        <w:wordWrap/>
        <w:overflowPunct/>
        <w:topLinePunct w:val="0"/>
        <w:autoSpaceDE/>
        <w:autoSpaceDN/>
        <w:bidi w:val="0"/>
        <w:adjustRightInd/>
        <w:snapToGrid/>
        <w:ind w:firstLine="420" w:firstLineChars="200"/>
        <w:jc w:val="left"/>
        <w:textAlignment w:val="auto"/>
        <w:outlineLvl w:val="9"/>
        <w:rPr>
          <w:rFonts w:hint="eastAsia" w:ascii="微软雅黑" w:hAnsi="微软雅黑" w:eastAsia="微软雅黑" w:cs="微软雅黑"/>
          <w:b/>
          <w:bCs/>
          <w:i w:val="0"/>
          <w:caps w:val="0"/>
          <w:color w:val="4D4D4D"/>
          <w:spacing w:val="0"/>
          <w:sz w:val="21"/>
          <w:szCs w:val="21"/>
          <w:lang w:val="en-US" w:eastAsia="zh-CN"/>
        </w:rPr>
      </w:pPr>
      <w:r>
        <w:rPr>
          <w:rFonts w:hint="eastAsia" w:ascii="微软雅黑" w:hAnsi="微软雅黑" w:eastAsia="微软雅黑" w:cs="微软雅黑"/>
          <w:b/>
          <w:bCs/>
          <w:i w:val="0"/>
          <w:caps w:val="0"/>
          <w:color w:val="4D4D4D"/>
          <w:spacing w:val="0"/>
          <w:sz w:val="21"/>
          <w:szCs w:val="21"/>
          <w:lang w:val="en-US" w:eastAsia="zh-CN"/>
        </w:rPr>
        <w:t>美元指数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420" w:firstLineChars="200"/>
        <w:textAlignment w:val="auto"/>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北京时间本周五21：30，美国将公布10月零售销售数据。这是日内最受关注的经济数据，也料将成为本周市场的压轴大戏。分析人士指出，美国零售销售可能会在10月反弹，9月曾意外出现下滑。调查显示，美国10月零售销售月率料上升0.2%，此前9月为下降0.3%。调查并显示，美国10月核心零售销售月率上升0.4%，上月为下降0.1%。由于美联储强调利率决定将取决于经济数据，而消费支出占美国经济产出的70%左右，美国零售销售数据经常在金融市场掀起“惊涛巨浪”，因此被称为“恐怖数据”。分析师指出，假如美国零售销售数据表现优于预期，这可能进一步打压美联储年内降息的预期，从而推动美元反弹。反之则料将进一步打压美元。</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微软雅黑" w:hAnsi="微软雅黑" w:eastAsia="微软雅黑" w:cs="微软雅黑"/>
          <w:b w:val="0"/>
          <w:i w:val="0"/>
          <w:caps w:val="0"/>
          <w:color w:val="4D4D4D"/>
          <w:spacing w:val="0"/>
          <w:kern w:val="2"/>
          <w:sz w:val="21"/>
          <w:szCs w:val="21"/>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right="0"/>
        <w:jc w:val="both"/>
        <w:rPr>
          <w:rFonts w:hint="eastAsia" w:ascii="微软雅黑" w:hAnsi="微软雅黑" w:eastAsia="微软雅黑" w:cs="微软雅黑"/>
          <w:b w:val="0"/>
          <w:i w:val="0"/>
          <w:caps w:val="0"/>
          <w:color w:val="4D4D4D"/>
          <w:spacing w:val="0"/>
          <w:kern w:val="2"/>
          <w:sz w:val="21"/>
          <w:szCs w:val="21"/>
          <w:lang w:val="en-US" w:eastAsia="zh-CN" w:bidi="ar-SA"/>
        </w:rPr>
      </w:pPr>
      <w:r>
        <w:drawing>
          <wp:inline distT="0" distB="0" distL="114300" distR="114300">
            <wp:extent cx="5271770" cy="2824480"/>
            <wp:effectExtent l="0" t="0" r="5080"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271770" cy="2824480"/>
                    </a:xfrm>
                    <a:prstGeom prst="rect">
                      <a:avLst/>
                    </a:prstGeom>
                    <a:noFill/>
                    <a:ln>
                      <a:noFill/>
                    </a:ln>
                  </pic:spPr>
                </pic:pic>
              </a:graphicData>
            </a:graphic>
          </wp:inline>
        </w:drawing>
      </w:r>
    </w:p>
    <w:p>
      <w:pPr>
        <w:numPr>
          <w:ilvl w:val="0"/>
          <w:numId w:val="4"/>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后市行情研判</w:t>
      </w:r>
    </w:p>
    <w:p>
      <w:pPr>
        <w:bidi w:val="0"/>
        <w:ind w:firstLine="420" w:firstLineChars="200"/>
        <w:jc w:val="left"/>
        <w:rPr>
          <w:rFonts w:hint="eastAsia"/>
          <w:lang w:val="en-US" w:eastAsia="zh-CN"/>
        </w:rPr>
      </w:pPr>
      <w:r>
        <w:rPr>
          <w:rFonts w:hint="eastAsia" w:ascii="微软雅黑" w:hAnsi="微软雅黑" w:eastAsia="微软雅黑" w:cs="微软雅黑"/>
          <w:b w:val="0"/>
          <w:i w:val="0"/>
          <w:caps w:val="0"/>
          <w:color w:val="4D4D4D"/>
          <w:spacing w:val="0"/>
          <w:sz w:val="21"/>
          <w:szCs w:val="21"/>
          <w:lang w:val="en-US" w:eastAsia="zh-CN"/>
        </w:rPr>
        <w:t>美国10月ISM非制造业PMI为54.7，高于前值52.6和预期53.2，美元指数上升，同时，中美两国非常接近达成部分贸易协议的预期之下，全球风险情绪依然乐观，有报道称，中国目前正在推动美国对中国进口商品进一步削减关税以便达成协议。大周期看COMEX金已在1070--1370之间运行5年多，破位五年新高意义重大，在6月--9月期间大幅上涨之后，又有1个月多的回调整理，日线形态看起来整理较为充分，且回调到60日线的位置，从大周期技术形态看黄金牛市已经开始，目前看调整到位企稳的迹象，6日夜盘内外盘黄金大幅下跌，显示多头上涨动能不足，可能还需一到两周的时间调整，目前待机观望为好</w:t>
      </w:r>
      <w:r>
        <w:rPr>
          <w:rFonts w:hint="eastAsia"/>
          <w:lang w:val="en-US" w:eastAsia="zh-CN"/>
        </w:rPr>
        <w:t>。</w:t>
      </w:r>
    </w:p>
    <w:p>
      <w:pPr>
        <w:bidi w:val="0"/>
        <w:ind w:firstLine="420" w:firstLineChars="200"/>
        <w:jc w:val="left"/>
        <w:rPr>
          <w:rFonts w:hint="eastAsia"/>
          <w:lang w:val="en-US" w:eastAsia="zh-CN"/>
        </w:rPr>
      </w:pPr>
    </w:p>
    <w:p>
      <w:pPr>
        <w:numPr>
          <w:ilvl w:val="0"/>
          <w:numId w:val="4"/>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交易策略建议</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default"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eastAsia="zh-CN"/>
        </w:rPr>
        <w:t>建议观望</w:t>
      </w:r>
      <w:r>
        <w:rPr>
          <w:rFonts w:hint="eastAsia" w:ascii="微软雅黑" w:hAnsi="微软雅黑" w:eastAsia="微软雅黑" w:cs="微软雅黑"/>
          <w:b w:val="0"/>
          <w:i w:val="0"/>
          <w:caps w:val="0"/>
          <w:color w:val="4D4D4D"/>
          <w:spacing w:val="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4"/>
          <w:szCs w:val="24"/>
        </w:rPr>
      </w:pPr>
      <w:r>
        <w:rPr>
          <w:rFonts w:hint="eastAsia"/>
          <w:b/>
          <w:bCs/>
          <w:sz w:val="24"/>
          <w:szCs w:val="24"/>
        </w:rPr>
        <w:t>风险揭示</w:t>
      </w:r>
      <w:r>
        <w:rPr>
          <w:rFonts w:hint="eastAsia"/>
          <w:sz w:val="24"/>
          <w:szCs w:val="24"/>
        </w:rPr>
        <w:t>：</w:t>
      </w:r>
      <w:r>
        <w:rPr>
          <w:rFonts w:hint="eastAsia"/>
          <w:sz w:val="21"/>
          <w:szCs w:val="21"/>
        </w:rPr>
        <w:t>您应当客观评估自身财务状况、交易经验，确定自身的风险偏好、风险承受能力和服务需求，自行决定是否采纳期货公司提供的报告中所给出的建议。您应当充分了解期货市场变化的不确定性和投资风险，任何有关期货行情的预测都可能与实际情况有差异，若您据此入市操作，您需要</w:t>
      </w:r>
      <w:r>
        <w:rPr>
          <w:rFonts w:hint="eastAsia"/>
          <w:sz w:val="21"/>
          <w:szCs w:val="21"/>
          <w:lang w:val="en-US" w:eastAsia="zh-CN"/>
        </w:rPr>
        <w:t>自行</w:t>
      </w:r>
      <w:r>
        <w:rPr>
          <w:rFonts w:hint="eastAsia"/>
          <w:sz w:val="21"/>
          <w:szCs w:val="21"/>
        </w:rPr>
        <w:t xml:space="preserve">承担由此带来的风险和损失。 </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1"/>
          <w:szCs w:val="21"/>
        </w:rPr>
      </w:pPr>
      <w:r>
        <w:rPr>
          <w:rFonts w:hint="eastAsia"/>
          <w:b/>
          <w:bCs/>
          <w:sz w:val="24"/>
          <w:szCs w:val="24"/>
        </w:rPr>
        <w:t>免责声明</w:t>
      </w:r>
      <w:r>
        <w:rPr>
          <w:rFonts w:hint="eastAsia"/>
          <w:sz w:val="24"/>
          <w:szCs w:val="24"/>
        </w:rPr>
        <w:t>：</w:t>
      </w:r>
      <w:r>
        <w:rPr>
          <w:rFonts w:hint="eastAsia"/>
          <w:sz w:val="21"/>
          <w:szCs w:val="21"/>
        </w:rPr>
        <w:t>本报告的信息均来源于公开资料，本公司对这些信息的准确性和完整性不作任何保证，文中的观点、结论和建议仅供参考，不</w:t>
      </w:r>
      <w:r>
        <w:rPr>
          <w:rFonts w:hint="eastAsia"/>
          <w:sz w:val="21"/>
          <w:szCs w:val="21"/>
          <w:lang w:val="en-US" w:eastAsia="zh-CN"/>
        </w:rPr>
        <w:t>代表</w:t>
      </w:r>
      <w:r>
        <w:rPr>
          <w:rFonts w:hint="eastAsia"/>
          <w:sz w:val="21"/>
          <w:szCs w:val="21"/>
        </w:rPr>
        <w:t xml:space="preserve">作者对价格涨跌或市场走势的确定性判断，投资者据此做出的任何投资决策与本公司和作者无关。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本报告所载的资料、意见及推测仅反映本公司于发布日的判断，在不同时期，本公司可发出与本报告所载资料、意见及推测不一致的报告，投资者应当自行关注相应的更新或修改。</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和合期货投询部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联系电话：0351-7342558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公司网址</w:t>
      </w:r>
      <w:r>
        <w:rPr>
          <w:rFonts w:hint="eastAsia"/>
          <w:sz w:val="24"/>
          <w:szCs w:val="24"/>
        </w:rPr>
        <w:t>：</w:t>
      </w:r>
      <w:r>
        <w:rPr>
          <w:rFonts w:hint="eastAsia"/>
          <w:sz w:val="24"/>
          <w:szCs w:val="24"/>
        </w:rPr>
        <w:fldChar w:fldCharType="begin"/>
      </w:r>
      <w:r>
        <w:rPr>
          <w:rFonts w:hint="eastAsia"/>
          <w:sz w:val="24"/>
          <w:szCs w:val="24"/>
        </w:rPr>
        <w:instrText xml:space="preserve"> HYPERLINK "http://www.hhqh.com.cn" </w:instrText>
      </w:r>
      <w:r>
        <w:rPr>
          <w:rFonts w:hint="eastAsia"/>
          <w:sz w:val="24"/>
          <w:szCs w:val="24"/>
        </w:rPr>
        <w:fldChar w:fldCharType="separate"/>
      </w:r>
      <w:r>
        <w:rPr>
          <w:rStyle w:val="7"/>
          <w:rFonts w:hint="eastAsia"/>
          <w:sz w:val="24"/>
          <w:szCs w:val="24"/>
        </w:rPr>
        <w:t>http://www.hhqh.com.cn</w:t>
      </w:r>
      <w:r>
        <w:rPr>
          <w:rFonts w:hint="eastAsia"/>
          <w:sz w:val="24"/>
          <w:szCs w:val="24"/>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lang w:val="en-US" w:eastAsia="zh-CN"/>
        </w:rPr>
      </w:pPr>
      <w:r>
        <w:rPr>
          <w:rFonts w:hint="eastAsia"/>
          <w:sz w:val="21"/>
          <w:szCs w:val="21"/>
        </w:rPr>
        <w:t xml:space="preserve">和合期货有限公司经营范围包括：商品期货经纪业务、金融期货经纪业务、期货投资咨询业务、公开募集证券投资基金销售业务。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F512EC"/>
    <w:multiLevelType w:val="singleLevel"/>
    <w:tmpl w:val="E0F512EC"/>
    <w:lvl w:ilvl="0" w:tentative="0">
      <w:start w:val="3"/>
      <w:numFmt w:val="decimal"/>
      <w:suff w:val="nothing"/>
      <w:lvlText w:val="%1、"/>
      <w:lvlJc w:val="left"/>
    </w:lvl>
  </w:abstractNum>
  <w:abstractNum w:abstractNumId="1">
    <w:nsid w:val="55C203B4"/>
    <w:multiLevelType w:val="singleLevel"/>
    <w:tmpl w:val="55C203B4"/>
    <w:lvl w:ilvl="0" w:tentative="0">
      <w:start w:val="1"/>
      <w:numFmt w:val="decimal"/>
      <w:suff w:val="nothing"/>
      <w:lvlText w:val="%1，"/>
      <w:lvlJc w:val="left"/>
    </w:lvl>
  </w:abstractNum>
  <w:abstractNum w:abstractNumId="2">
    <w:nsid w:val="5A2F7C6E"/>
    <w:multiLevelType w:val="singleLevel"/>
    <w:tmpl w:val="5A2F7C6E"/>
    <w:lvl w:ilvl="0" w:tentative="0">
      <w:start w:val="1"/>
      <w:numFmt w:val="chineseCounting"/>
      <w:suff w:val="nothing"/>
      <w:lvlText w:val="%1、"/>
      <w:lvlJc w:val="left"/>
    </w:lvl>
  </w:abstractNum>
  <w:abstractNum w:abstractNumId="3">
    <w:nsid w:val="5A4F34D4"/>
    <w:multiLevelType w:val="singleLevel"/>
    <w:tmpl w:val="5A4F34D4"/>
    <w:lvl w:ilvl="0" w:tentative="0">
      <w:start w:val="3"/>
      <w:numFmt w:val="chineseCounting"/>
      <w:suff w:val="nothing"/>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A83D92"/>
    <w:rsid w:val="002E21AD"/>
    <w:rsid w:val="00483A08"/>
    <w:rsid w:val="00521071"/>
    <w:rsid w:val="009871F3"/>
    <w:rsid w:val="00B66139"/>
    <w:rsid w:val="00C54EAE"/>
    <w:rsid w:val="00D0722E"/>
    <w:rsid w:val="00F00FEE"/>
    <w:rsid w:val="00FC169F"/>
    <w:rsid w:val="010C42C7"/>
    <w:rsid w:val="01392B0F"/>
    <w:rsid w:val="014870AA"/>
    <w:rsid w:val="015E4CA1"/>
    <w:rsid w:val="01646F2C"/>
    <w:rsid w:val="01BB34FD"/>
    <w:rsid w:val="01D71DF5"/>
    <w:rsid w:val="020140FD"/>
    <w:rsid w:val="02281719"/>
    <w:rsid w:val="026B59D8"/>
    <w:rsid w:val="026D1A34"/>
    <w:rsid w:val="029C69FE"/>
    <w:rsid w:val="02B85F59"/>
    <w:rsid w:val="02D23F71"/>
    <w:rsid w:val="02D505AD"/>
    <w:rsid w:val="03AA48C1"/>
    <w:rsid w:val="03EE08BD"/>
    <w:rsid w:val="03FA6F49"/>
    <w:rsid w:val="040B6B0B"/>
    <w:rsid w:val="042727BB"/>
    <w:rsid w:val="04476EFE"/>
    <w:rsid w:val="044B6262"/>
    <w:rsid w:val="045C30A8"/>
    <w:rsid w:val="04823098"/>
    <w:rsid w:val="04925E8B"/>
    <w:rsid w:val="049919A9"/>
    <w:rsid w:val="04DB7491"/>
    <w:rsid w:val="04E8388C"/>
    <w:rsid w:val="050B0DD2"/>
    <w:rsid w:val="05346D95"/>
    <w:rsid w:val="05762BAA"/>
    <w:rsid w:val="058A1290"/>
    <w:rsid w:val="058E2349"/>
    <w:rsid w:val="059416D0"/>
    <w:rsid w:val="059F0D22"/>
    <w:rsid w:val="05AD1CD4"/>
    <w:rsid w:val="05AD20AF"/>
    <w:rsid w:val="05AE1562"/>
    <w:rsid w:val="05D03FF7"/>
    <w:rsid w:val="069739C4"/>
    <w:rsid w:val="06AD17D6"/>
    <w:rsid w:val="06B32EA3"/>
    <w:rsid w:val="06B453F3"/>
    <w:rsid w:val="07F51A10"/>
    <w:rsid w:val="081F5AD8"/>
    <w:rsid w:val="08BD2AC1"/>
    <w:rsid w:val="08EB045B"/>
    <w:rsid w:val="08FF77DD"/>
    <w:rsid w:val="09373DB8"/>
    <w:rsid w:val="093E2357"/>
    <w:rsid w:val="09580960"/>
    <w:rsid w:val="096D2D08"/>
    <w:rsid w:val="099C3EE5"/>
    <w:rsid w:val="09A1576E"/>
    <w:rsid w:val="09B71AC8"/>
    <w:rsid w:val="09CC425C"/>
    <w:rsid w:val="09EC5CF0"/>
    <w:rsid w:val="09F54BDE"/>
    <w:rsid w:val="09FF321F"/>
    <w:rsid w:val="09FF7BAA"/>
    <w:rsid w:val="0A577107"/>
    <w:rsid w:val="0A610D98"/>
    <w:rsid w:val="0AB41BF1"/>
    <w:rsid w:val="0ADC3B71"/>
    <w:rsid w:val="0B0F23B0"/>
    <w:rsid w:val="0B5D76C3"/>
    <w:rsid w:val="0B8E0352"/>
    <w:rsid w:val="0B9C2D2D"/>
    <w:rsid w:val="0BB34ED6"/>
    <w:rsid w:val="0C125218"/>
    <w:rsid w:val="0C752B0A"/>
    <w:rsid w:val="0C8A5083"/>
    <w:rsid w:val="0CA24803"/>
    <w:rsid w:val="0CB31C8E"/>
    <w:rsid w:val="0D00104A"/>
    <w:rsid w:val="0D19309C"/>
    <w:rsid w:val="0D760DA5"/>
    <w:rsid w:val="0DBD2C3A"/>
    <w:rsid w:val="0DC07822"/>
    <w:rsid w:val="0DE64D7D"/>
    <w:rsid w:val="0DF27EEE"/>
    <w:rsid w:val="0DF55C52"/>
    <w:rsid w:val="0E1E5A86"/>
    <w:rsid w:val="0E293EC7"/>
    <w:rsid w:val="0E3D0928"/>
    <w:rsid w:val="0E7574D5"/>
    <w:rsid w:val="0E785E97"/>
    <w:rsid w:val="0E98627A"/>
    <w:rsid w:val="0E9C3837"/>
    <w:rsid w:val="0EE974B1"/>
    <w:rsid w:val="0EF10518"/>
    <w:rsid w:val="0F1D01EA"/>
    <w:rsid w:val="0F713DA7"/>
    <w:rsid w:val="0FE07546"/>
    <w:rsid w:val="0FE34637"/>
    <w:rsid w:val="0FE8094C"/>
    <w:rsid w:val="100E1DA6"/>
    <w:rsid w:val="1016671D"/>
    <w:rsid w:val="10175806"/>
    <w:rsid w:val="105F5B59"/>
    <w:rsid w:val="107F44C1"/>
    <w:rsid w:val="109A3390"/>
    <w:rsid w:val="10C419B8"/>
    <w:rsid w:val="10DE43B6"/>
    <w:rsid w:val="10F94CEB"/>
    <w:rsid w:val="110C7FE1"/>
    <w:rsid w:val="116D7277"/>
    <w:rsid w:val="11C36ADF"/>
    <w:rsid w:val="11FD5DA1"/>
    <w:rsid w:val="12622A1B"/>
    <w:rsid w:val="12683500"/>
    <w:rsid w:val="127653EF"/>
    <w:rsid w:val="12AC347B"/>
    <w:rsid w:val="12C05EE2"/>
    <w:rsid w:val="12CF12D3"/>
    <w:rsid w:val="12EE1C00"/>
    <w:rsid w:val="130E0195"/>
    <w:rsid w:val="13732C69"/>
    <w:rsid w:val="137A3C31"/>
    <w:rsid w:val="13A343B9"/>
    <w:rsid w:val="13C447B9"/>
    <w:rsid w:val="13DA0690"/>
    <w:rsid w:val="14136341"/>
    <w:rsid w:val="143911B5"/>
    <w:rsid w:val="143C068A"/>
    <w:rsid w:val="143D5560"/>
    <w:rsid w:val="146760F6"/>
    <w:rsid w:val="149804D9"/>
    <w:rsid w:val="149E5691"/>
    <w:rsid w:val="14E87709"/>
    <w:rsid w:val="14EE011D"/>
    <w:rsid w:val="151B3D07"/>
    <w:rsid w:val="153E1A0D"/>
    <w:rsid w:val="158D682B"/>
    <w:rsid w:val="159549F8"/>
    <w:rsid w:val="162635CD"/>
    <w:rsid w:val="16315468"/>
    <w:rsid w:val="16437067"/>
    <w:rsid w:val="164863CF"/>
    <w:rsid w:val="169D79CA"/>
    <w:rsid w:val="16B90F0B"/>
    <w:rsid w:val="16BC7D70"/>
    <w:rsid w:val="16BF3C01"/>
    <w:rsid w:val="16E05358"/>
    <w:rsid w:val="174B02B4"/>
    <w:rsid w:val="17734C1B"/>
    <w:rsid w:val="178D0443"/>
    <w:rsid w:val="17947A97"/>
    <w:rsid w:val="17D253AE"/>
    <w:rsid w:val="17DE05E5"/>
    <w:rsid w:val="17DF7C83"/>
    <w:rsid w:val="180A7E0A"/>
    <w:rsid w:val="18197C08"/>
    <w:rsid w:val="184A6C7E"/>
    <w:rsid w:val="184E12C2"/>
    <w:rsid w:val="186758A9"/>
    <w:rsid w:val="18844BE8"/>
    <w:rsid w:val="18F764C0"/>
    <w:rsid w:val="1900255E"/>
    <w:rsid w:val="1918415D"/>
    <w:rsid w:val="193D5052"/>
    <w:rsid w:val="193F006E"/>
    <w:rsid w:val="197E68F0"/>
    <w:rsid w:val="197F3BEB"/>
    <w:rsid w:val="19884A23"/>
    <w:rsid w:val="19B243E1"/>
    <w:rsid w:val="19BA4B2A"/>
    <w:rsid w:val="19CB1947"/>
    <w:rsid w:val="19D72C29"/>
    <w:rsid w:val="19DC3A41"/>
    <w:rsid w:val="1A2E5237"/>
    <w:rsid w:val="1A546931"/>
    <w:rsid w:val="1A596CA3"/>
    <w:rsid w:val="1A74628A"/>
    <w:rsid w:val="1A88189D"/>
    <w:rsid w:val="1AAB20AA"/>
    <w:rsid w:val="1AC4628E"/>
    <w:rsid w:val="1AD17BE6"/>
    <w:rsid w:val="1B105259"/>
    <w:rsid w:val="1B1349E7"/>
    <w:rsid w:val="1BA343CB"/>
    <w:rsid w:val="1BA776A5"/>
    <w:rsid w:val="1BAA2B0D"/>
    <w:rsid w:val="1BAF70F7"/>
    <w:rsid w:val="1BDB0BB5"/>
    <w:rsid w:val="1BF74BA9"/>
    <w:rsid w:val="1C0923F0"/>
    <w:rsid w:val="1C7E19B5"/>
    <w:rsid w:val="1C840AFA"/>
    <w:rsid w:val="1C874347"/>
    <w:rsid w:val="1C98669B"/>
    <w:rsid w:val="1CB57863"/>
    <w:rsid w:val="1CD02EFF"/>
    <w:rsid w:val="1CD96876"/>
    <w:rsid w:val="1CDB4604"/>
    <w:rsid w:val="1D0A115D"/>
    <w:rsid w:val="1D82318A"/>
    <w:rsid w:val="1DB358B9"/>
    <w:rsid w:val="1DF553F0"/>
    <w:rsid w:val="1E145052"/>
    <w:rsid w:val="1E192E44"/>
    <w:rsid w:val="1E4A354C"/>
    <w:rsid w:val="1E8954AA"/>
    <w:rsid w:val="1E9F77B8"/>
    <w:rsid w:val="1EE63450"/>
    <w:rsid w:val="1F0A7F43"/>
    <w:rsid w:val="1F1108A2"/>
    <w:rsid w:val="1F3A70D4"/>
    <w:rsid w:val="1F3C21F2"/>
    <w:rsid w:val="1F513F92"/>
    <w:rsid w:val="1F78214C"/>
    <w:rsid w:val="1FA6272C"/>
    <w:rsid w:val="2045461A"/>
    <w:rsid w:val="205C2195"/>
    <w:rsid w:val="20A73FA0"/>
    <w:rsid w:val="210636F1"/>
    <w:rsid w:val="213026EA"/>
    <w:rsid w:val="21381B57"/>
    <w:rsid w:val="217B32B4"/>
    <w:rsid w:val="217F4412"/>
    <w:rsid w:val="21DC5984"/>
    <w:rsid w:val="21F37908"/>
    <w:rsid w:val="221E5B15"/>
    <w:rsid w:val="22370D57"/>
    <w:rsid w:val="22514DCC"/>
    <w:rsid w:val="2259690C"/>
    <w:rsid w:val="226C150F"/>
    <w:rsid w:val="22702FD4"/>
    <w:rsid w:val="227A6DAE"/>
    <w:rsid w:val="22985BD3"/>
    <w:rsid w:val="229E1153"/>
    <w:rsid w:val="22AE584D"/>
    <w:rsid w:val="22CA4D76"/>
    <w:rsid w:val="22D067F6"/>
    <w:rsid w:val="23104C50"/>
    <w:rsid w:val="232813DF"/>
    <w:rsid w:val="233C77FA"/>
    <w:rsid w:val="234D2400"/>
    <w:rsid w:val="23620D82"/>
    <w:rsid w:val="23847642"/>
    <w:rsid w:val="238D2473"/>
    <w:rsid w:val="23DB5C03"/>
    <w:rsid w:val="24533F2C"/>
    <w:rsid w:val="24714DD3"/>
    <w:rsid w:val="24770AA1"/>
    <w:rsid w:val="247C3339"/>
    <w:rsid w:val="24C42C6A"/>
    <w:rsid w:val="24D57A24"/>
    <w:rsid w:val="24EC6B9C"/>
    <w:rsid w:val="24F26185"/>
    <w:rsid w:val="250801D0"/>
    <w:rsid w:val="257E7A9D"/>
    <w:rsid w:val="25A34410"/>
    <w:rsid w:val="25B36B59"/>
    <w:rsid w:val="25BA2A27"/>
    <w:rsid w:val="25D94CE2"/>
    <w:rsid w:val="25DF0F74"/>
    <w:rsid w:val="262C35EC"/>
    <w:rsid w:val="26464F32"/>
    <w:rsid w:val="264A62A0"/>
    <w:rsid w:val="26753F1F"/>
    <w:rsid w:val="269C0F46"/>
    <w:rsid w:val="26B36E11"/>
    <w:rsid w:val="26CA25D3"/>
    <w:rsid w:val="26D60C64"/>
    <w:rsid w:val="26F576C2"/>
    <w:rsid w:val="26FC232B"/>
    <w:rsid w:val="272C6D34"/>
    <w:rsid w:val="273A3462"/>
    <w:rsid w:val="27901CBD"/>
    <w:rsid w:val="2795590D"/>
    <w:rsid w:val="27C468ED"/>
    <w:rsid w:val="27D23E36"/>
    <w:rsid w:val="280543D5"/>
    <w:rsid w:val="28326B2F"/>
    <w:rsid w:val="287B299D"/>
    <w:rsid w:val="28B81774"/>
    <w:rsid w:val="28CB12ED"/>
    <w:rsid w:val="29023876"/>
    <w:rsid w:val="291B7FB4"/>
    <w:rsid w:val="2928539C"/>
    <w:rsid w:val="29305382"/>
    <w:rsid w:val="294473FB"/>
    <w:rsid w:val="29770DF6"/>
    <w:rsid w:val="299B03F6"/>
    <w:rsid w:val="29E3172C"/>
    <w:rsid w:val="29E6660B"/>
    <w:rsid w:val="2A2D031F"/>
    <w:rsid w:val="2A5B5A37"/>
    <w:rsid w:val="2A872DB5"/>
    <w:rsid w:val="2A965D69"/>
    <w:rsid w:val="2A9A3A80"/>
    <w:rsid w:val="2AC016D6"/>
    <w:rsid w:val="2AE503C8"/>
    <w:rsid w:val="2B074050"/>
    <w:rsid w:val="2B3C3400"/>
    <w:rsid w:val="2B4B1E53"/>
    <w:rsid w:val="2B8C12AF"/>
    <w:rsid w:val="2B965A04"/>
    <w:rsid w:val="2B972F58"/>
    <w:rsid w:val="2B994434"/>
    <w:rsid w:val="2BF3467E"/>
    <w:rsid w:val="2C19271C"/>
    <w:rsid w:val="2C2110E9"/>
    <w:rsid w:val="2C4D08C4"/>
    <w:rsid w:val="2C6F56A4"/>
    <w:rsid w:val="2C70600F"/>
    <w:rsid w:val="2CA32BFA"/>
    <w:rsid w:val="2CC84F24"/>
    <w:rsid w:val="2CD36583"/>
    <w:rsid w:val="2CD45691"/>
    <w:rsid w:val="2CFA1D4B"/>
    <w:rsid w:val="2D3223DC"/>
    <w:rsid w:val="2D404B77"/>
    <w:rsid w:val="2D7327E9"/>
    <w:rsid w:val="2DC81517"/>
    <w:rsid w:val="2E1474B1"/>
    <w:rsid w:val="2E27387C"/>
    <w:rsid w:val="2E334D02"/>
    <w:rsid w:val="2E464A4A"/>
    <w:rsid w:val="2E7D3A5B"/>
    <w:rsid w:val="2EB15411"/>
    <w:rsid w:val="2EF93A7D"/>
    <w:rsid w:val="2F0342EA"/>
    <w:rsid w:val="2F384A5A"/>
    <w:rsid w:val="2F4E12E8"/>
    <w:rsid w:val="2F5666D4"/>
    <w:rsid w:val="2F8F7C04"/>
    <w:rsid w:val="2FD35B85"/>
    <w:rsid w:val="2FDF6846"/>
    <w:rsid w:val="3005791C"/>
    <w:rsid w:val="300B67AC"/>
    <w:rsid w:val="305842E5"/>
    <w:rsid w:val="30B100AB"/>
    <w:rsid w:val="30BC01A9"/>
    <w:rsid w:val="30CE374B"/>
    <w:rsid w:val="314321AB"/>
    <w:rsid w:val="317536A9"/>
    <w:rsid w:val="31A23DFF"/>
    <w:rsid w:val="31F77A21"/>
    <w:rsid w:val="323064F7"/>
    <w:rsid w:val="324C654A"/>
    <w:rsid w:val="32850A0A"/>
    <w:rsid w:val="32CD0C82"/>
    <w:rsid w:val="33317B93"/>
    <w:rsid w:val="338C1475"/>
    <w:rsid w:val="338C7D9C"/>
    <w:rsid w:val="339A3FEC"/>
    <w:rsid w:val="33C6443A"/>
    <w:rsid w:val="33CC0A13"/>
    <w:rsid w:val="33F7104E"/>
    <w:rsid w:val="340111F7"/>
    <w:rsid w:val="34BA7F70"/>
    <w:rsid w:val="34C81915"/>
    <w:rsid w:val="34DC598B"/>
    <w:rsid w:val="34DD0795"/>
    <w:rsid w:val="351C1E24"/>
    <w:rsid w:val="35377BEE"/>
    <w:rsid w:val="35585F86"/>
    <w:rsid w:val="356B3483"/>
    <w:rsid w:val="357D246A"/>
    <w:rsid w:val="35831E58"/>
    <w:rsid w:val="3590372E"/>
    <w:rsid w:val="35C555AD"/>
    <w:rsid w:val="35C8033D"/>
    <w:rsid w:val="363E57A4"/>
    <w:rsid w:val="363F4EB1"/>
    <w:rsid w:val="3640467A"/>
    <w:rsid w:val="36616030"/>
    <w:rsid w:val="36A408B5"/>
    <w:rsid w:val="36BE5B3F"/>
    <w:rsid w:val="36C4096A"/>
    <w:rsid w:val="36DE372D"/>
    <w:rsid w:val="36F937E5"/>
    <w:rsid w:val="370011B7"/>
    <w:rsid w:val="37021AB4"/>
    <w:rsid w:val="37356611"/>
    <w:rsid w:val="374D6B67"/>
    <w:rsid w:val="377865DA"/>
    <w:rsid w:val="37793F03"/>
    <w:rsid w:val="378321F3"/>
    <w:rsid w:val="37835B5D"/>
    <w:rsid w:val="37CA5B57"/>
    <w:rsid w:val="37CC05D4"/>
    <w:rsid w:val="38121B30"/>
    <w:rsid w:val="381C0590"/>
    <w:rsid w:val="38221859"/>
    <w:rsid w:val="38262BF4"/>
    <w:rsid w:val="38400619"/>
    <w:rsid w:val="3843495D"/>
    <w:rsid w:val="38671A7B"/>
    <w:rsid w:val="38765608"/>
    <w:rsid w:val="38915E58"/>
    <w:rsid w:val="38AC7CCE"/>
    <w:rsid w:val="38E0557E"/>
    <w:rsid w:val="38E14D72"/>
    <w:rsid w:val="38F3017B"/>
    <w:rsid w:val="391B495D"/>
    <w:rsid w:val="397305AD"/>
    <w:rsid w:val="39A969E4"/>
    <w:rsid w:val="39CB4AE8"/>
    <w:rsid w:val="39DD7517"/>
    <w:rsid w:val="39E02262"/>
    <w:rsid w:val="39EB7C2F"/>
    <w:rsid w:val="3A00426F"/>
    <w:rsid w:val="3A344BDE"/>
    <w:rsid w:val="3A39710C"/>
    <w:rsid w:val="3A3B0C5B"/>
    <w:rsid w:val="3A6A4F87"/>
    <w:rsid w:val="3ABD0F85"/>
    <w:rsid w:val="3AF73A70"/>
    <w:rsid w:val="3AFC2D57"/>
    <w:rsid w:val="3B654901"/>
    <w:rsid w:val="3BBC220E"/>
    <w:rsid w:val="3BD346F6"/>
    <w:rsid w:val="3C015BF7"/>
    <w:rsid w:val="3C184D02"/>
    <w:rsid w:val="3C41283C"/>
    <w:rsid w:val="3C4D178D"/>
    <w:rsid w:val="3CAD453B"/>
    <w:rsid w:val="3CB02EF0"/>
    <w:rsid w:val="3CBF00DD"/>
    <w:rsid w:val="3CC109CF"/>
    <w:rsid w:val="3CC9526F"/>
    <w:rsid w:val="3CE800B0"/>
    <w:rsid w:val="3CED551D"/>
    <w:rsid w:val="3D032117"/>
    <w:rsid w:val="3D6F4A6C"/>
    <w:rsid w:val="3DA36CF2"/>
    <w:rsid w:val="3DA54D61"/>
    <w:rsid w:val="3DAF2025"/>
    <w:rsid w:val="3DB23178"/>
    <w:rsid w:val="3DB555BE"/>
    <w:rsid w:val="3DED37F1"/>
    <w:rsid w:val="3DF004B0"/>
    <w:rsid w:val="3E901D15"/>
    <w:rsid w:val="3EAC0DA8"/>
    <w:rsid w:val="3EAF50DB"/>
    <w:rsid w:val="3EFD7535"/>
    <w:rsid w:val="3F0354F5"/>
    <w:rsid w:val="3F2912E2"/>
    <w:rsid w:val="3F40078F"/>
    <w:rsid w:val="3F5F08DD"/>
    <w:rsid w:val="3F6C425E"/>
    <w:rsid w:val="3F701419"/>
    <w:rsid w:val="3F7E47B8"/>
    <w:rsid w:val="3F824A44"/>
    <w:rsid w:val="3FE80DF8"/>
    <w:rsid w:val="40415C5F"/>
    <w:rsid w:val="40A26DC3"/>
    <w:rsid w:val="414401FF"/>
    <w:rsid w:val="41821EF2"/>
    <w:rsid w:val="419F392B"/>
    <w:rsid w:val="41F44601"/>
    <w:rsid w:val="42055F98"/>
    <w:rsid w:val="42153DA7"/>
    <w:rsid w:val="42427610"/>
    <w:rsid w:val="4290542D"/>
    <w:rsid w:val="429B164B"/>
    <w:rsid w:val="429C3783"/>
    <w:rsid w:val="42F350D7"/>
    <w:rsid w:val="42F65A32"/>
    <w:rsid w:val="43362C42"/>
    <w:rsid w:val="43800C88"/>
    <w:rsid w:val="43944AAA"/>
    <w:rsid w:val="43BE06C5"/>
    <w:rsid w:val="43C00BFE"/>
    <w:rsid w:val="44062D55"/>
    <w:rsid w:val="440A1991"/>
    <w:rsid w:val="442D1AA1"/>
    <w:rsid w:val="447737F5"/>
    <w:rsid w:val="449E4F2A"/>
    <w:rsid w:val="44AC35A8"/>
    <w:rsid w:val="44B64DFA"/>
    <w:rsid w:val="44B73C97"/>
    <w:rsid w:val="45181F9E"/>
    <w:rsid w:val="453D228A"/>
    <w:rsid w:val="454F6971"/>
    <w:rsid w:val="458271C9"/>
    <w:rsid w:val="45A97824"/>
    <w:rsid w:val="45B81E14"/>
    <w:rsid w:val="45E44FA6"/>
    <w:rsid w:val="46294AB6"/>
    <w:rsid w:val="4658160F"/>
    <w:rsid w:val="46976B40"/>
    <w:rsid w:val="46AA112C"/>
    <w:rsid w:val="46EB161E"/>
    <w:rsid w:val="47113F99"/>
    <w:rsid w:val="47191BB7"/>
    <w:rsid w:val="47202075"/>
    <w:rsid w:val="47744883"/>
    <w:rsid w:val="478120A2"/>
    <w:rsid w:val="480A12AB"/>
    <w:rsid w:val="48212370"/>
    <w:rsid w:val="48262752"/>
    <w:rsid w:val="48374E13"/>
    <w:rsid w:val="48902F11"/>
    <w:rsid w:val="48AA424A"/>
    <w:rsid w:val="48B40240"/>
    <w:rsid w:val="48CC34D6"/>
    <w:rsid w:val="490654E5"/>
    <w:rsid w:val="49136D4D"/>
    <w:rsid w:val="49373A01"/>
    <w:rsid w:val="493858CA"/>
    <w:rsid w:val="497C7BAE"/>
    <w:rsid w:val="49800A26"/>
    <w:rsid w:val="49BA0B9D"/>
    <w:rsid w:val="49D67D8F"/>
    <w:rsid w:val="4A545785"/>
    <w:rsid w:val="4A6A4F3E"/>
    <w:rsid w:val="4AED367F"/>
    <w:rsid w:val="4B593B0E"/>
    <w:rsid w:val="4B680E11"/>
    <w:rsid w:val="4B7A363D"/>
    <w:rsid w:val="4B992EB3"/>
    <w:rsid w:val="4BAE6766"/>
    <w:rsid w:val="4BC34A15"/>
    <w:rsid w:val="4BD65659"/>
    <w:rsid w:val="4C295750"/>
    <w:rsid w:val="4C2F42D7"/>
    <w:rsid w:val="4C581D95"/>
    <w:rsid w:val="4C716A27"/>
    <w:rsid w:val="4C895BFA"/>
    <w:rsid w:val="4CA92E45"/>
    <w:rsid w:val="4CCA563E"/>
    <w:rsid w:val="4CE05D9B"/>
    <w:rsid w:val="4D0F79B5"/>
    <w:rsid w:val="4D2427F2"/>
    <w:rsid w:val="4D633607"/>
    <w:rsid w:val="4D6C382D"/>
    <w:rsid w:val="4D797437"/>
    <w:rsid w:val="4D8001CD"/>
    <w:rsid w:val="4DB51058"/>
    <w:rsid w:val="4E093563"/>
    <w:rsid w:val="4E480923"/>
    <w:rsid w:val="4E5F735F"/>
    <w:rsid w:val="4E6C1D03"/>
    <w:rsid w:val="4EAF4447"/>
    <w:rsid w:val="4EF57618"/>
    <w:rsid w:val="4F0B044F"/>
    <w:rsid w:val="4F20663F"/>
    <w:rsid w:val="4F2F769C"/>
    <w:rsid w:val="4F3F41A7"/>
    <w:rsid w:val="4F4E0134"/>
    <w:rsid w:val="4F7D0426"/>
    <w:rsid w:val="4FC313D1"/>
    <w:rsid w:val="4FC4300E"/>
    <w:rsid w:val="4FC5252D"/>
    <w:rsid w:val="4FEC0643"/>
    <w:rsid w:val="4FED251D"/>
    <w:rsid w:val="50361FB0"/>
    <w:rsid w:val="50883F38"/>
    <w:rsid w:val="509E0607"/>
    <w:rsid w:val="50A24EB2"/>
    <w:rsid w:val="50D130A3"/>
    <w:rsid w:val="50EF31FE"/>
    <w:rsid w:val="50F7031F"/>
    <w:rsid w:val="5146103E"/>
    <w:rsid w:val="51746907"/>
    <w:rsid w:val="51E509C5"/>
    <w:rsid w:val="52120B08"/>
    <w:rsid w:val="52144085"/>
    <w:rsid w:val="52632956"/>
    <w:rsid w:val="526F326C"/>
    <w:rsid w:val="52894186"/>
    <w:rsid w:val="529B4691"/>
    <w:rsid w:val="52B63898"/>
    <w:rsid w:val="52CA0037"/>
    <w:rsid w:val="52DE594F"/>
    <w:rsid w:val="52FF18C8"/>
    <w:rsid w:val="53115174"/>
    <w:rsid w:val="5331008D"/>
    <w:rsid w:val="53524FF4"/>
    <w:rsid w:val="53BC13D0"/>
    <w:rsid w:val="53C4107D"/>
    <w:rsid w:val="53D05B73"/>
    <w:rsid w:val="53E540B3"/>
    <w:rsid w:val="54161E68"/>
    <w:rsid w:val="542169FD"/>
    <w:rsid w:val="543C07DB"/>
    <w:rsid w:val="54523C02"/>
    <w:rsid w:val="548F0B33"/>
    <w:rsid w:val="54A856C3"/>
    <w:rsid w:val="54E6473B"/>
    <w:rsid w:val="54E95C65"/>
    <w:rsid w:val="550F4487"/>
    <w:rsid w:val="5519306D"/>
    <w:rsid w:val="55234DA3"/>
    <w:rsid w:val="555341A1"/>
    <w:rsid w:val="556325BD"/>
    <w:rsid w:val="55675B3D"/>
    <w:rsid w:val="55A12E1F"/>
    <w:rsid w:val="55A96B25"/>
    <w:rsid w:val="55E0224D"/>
    <w:rsid w:val="55F2026A"/>
    <w:rsid w:val="55F50A72"/>
    <w:rsid w:val="561138AC"/>
    <w:rsid w:val="56291208"/>
    <w:rsid w:val="56607D80"/>
    <w:rsid w:val="56771CA5"/>
    <w:rsid w:val="56927ABB"/>
    <w:rsid w:val="56A93874"/>
    <w:rsid w:val="56CA400F"/>
    <w:rsid w:val="56F77F5B"/>
    <w:rsid w:val="57190B68"/>
    <w:rsid w:val="57394328"/>
    <w:rsid w:val="57534272"/>
    <w:rsid w:val="57991FA4"/>
    <w:rsid w:val="57E203F7"/>
    <w:rsid w:val="57E57181"/>
    <w:rsid w:val="58117104"/>
    <w:rsid w:val="58151AAE"/>
    <w:rsid w:val="585E02FE"/>
    <w:rsid w:val="585F320F"/>
    <w:rsid w:val="58A52423"/>
    <w:rsid w:val="58AA2B59"/>
    <w:rsid w:val="58B968E3"/>
    <w:rsid w:val="58DA4A46"/>
    <w:rsid w:val="58E52550"/>
    <w:rsid w:val="58ED08D6"/>
    <w:rsid w:val="58F21BDD"/>
    <w:rsid w:val="58FE3A5A"/>
    <w:rsid w:val="590204B6"/>
    <w:rsid w:val="59165D64"/>
    <w:rsid w:val="593A3F96"/>
    <w:rsid w:val="594128E9"/>
    <w:rsid w:val="5960236F"/>
    <w:rsid w:val="5977430B"/>
    <w:rsid w:val="59A07D3A"/>
    <w:rsid w:val="59C205B0"/>
    <w:rsid w:val="59EE7A02"/>
    <w:rsid w:val="5A07343E"/>
    <w:rsid w:val="5A506D99"/>
    <w:rsid w:val="5A554AB6"/>
    <w:rsid w:val="5A582C18"/>
    <w:rsid w:val="5A902370"/>
    <w:rsid w:val="5A922B0F"/>
    <w:rsid w:val="5A9B5929"/>
    <w:rsid w:val="5AA02E3B"/>
    <w:rsid w:val="5AC2374C"/>
    <w:rsid w:val="5AC94F3E"/>
    <w:rsid w:val="5ACF1D2D"/>
    <w:rsid w:val="5B0D7008"/>
    <w:rsid w:val="5B611422"/>
    <w:rsid w:val="5B691527"/>
    <w:rsid w:val="5B6F3C5A"/>
    <w:rsid w:val="5BA61EEA"/>
    <w:rsid w:val="5C1A0FE5"/>
    <w:rsid w:val="5C271ADC"/>
    <w:rsid w:val="5C3D7F7B"/>
    <w:rsid w:val="5CEB32A0"/>
    <w:rsid w:val="5CF94866"/>
    <w:rsid w:val="5D007A33"/>
    <w:rsid w:val="5D2A1C2F"/>
    <w:rsid w:val="5D461671"/>
    <w:rsid w:val="5D5A4586"/>
    <w:rsid w:val="5D8C1883"/>
    <w:rsid w:val="5DB30B9D"/>
    <w:rsid w:val="5DB95EBF"/>
    <w:rsid w:val="5DBF6298"/>
    <w:rsid w:val="5DD83019"/>
    <w:rsid w:val="5DE366FE"/>
    <w:rsid w:val="5DE45F08"/>
    <w:rsid w:val="5E0B5EE7"/>
    <w:rsid w:val="5E397C2C"/>
    <w:rsid w:val="5E8C33BF"/>
    <w:rsid w:val="5EC83DAF"/>
    <w:rsid w:val="5F15667D"/>
    <w:rsid w:val="5F1F7123"/>
    <w:rsid w:val="5F5104AA"/>
    <w:rsid w:val="5F8838C9"/>
    <w:rsid w:val="5FA12E02"/>
    <w:rsid w:val="5FAA1962"/>
    <w:rsid w:val="5FFB27F0"/>
    <w:rsid w:val="60014DF8"/>
    <w:rsid w:val="60111022"/>
    <w:rsid w:val="60B05454"/>
    <w:rsid w:val="60C97A99"/>
    <w:rsid w:val="60DF0FD8"/>
    <w:rsid w:val="60E27EF9"/>
    <w:rsid w:val="60F95FC0"/>
    <w:rsid w:val="61383115"/>
    <w:rsid w:val="61427F38"/>
    <w:rsid w:val="614F29D5"/>
    <w:rsid w:val="61581B6F"/>
    <w:rsid w:val="61676299"/>
    <w:rsid w:val="618A235E"/>
    <w:rsid w:val="61A14A4A"/>
    <w:rsid w:val="61DD0913"/>
    <w:rsid w:val="6204790F"/>
    <w:rsid w:val="622C584E"/>
    <w:rsid w:val="62323E8F"/>
    <w:rsid w:val="62750F02"/>
    <w:rsid w:val="629A457C"/>
    <w:rsid w:val="62C3341A"/>
    <w:rsid w:val="62D06075"/>
    <w:rsid w:val="62F5247F"/>
    <w:rsid w:val="63184203"/>
    <w:rsid w:val="635E5659"/>
    <w:rsid w:val="63AD3599"/>
    <w:rsid w:val="63B52FB9"/>
    <w:rsid w:val="63BF5CFF"/>
    <w:rsid w:val="63D61992"/>
    <w:rsid w:val="63DB05BB"/>
    <w:rsid w:val="640E0DDD"/>
    <w:rsid w:val="64567B28"/>
    <w:rsid w:val="6461713D"/>
    <w:rsid w:val="649F1D8C"/>
    <w:rsid w:val="64CC5C9D"/>
    <w:rsid w:val="64D83CC3"/>
    <w:rsid w:val="64ED4488"/>
    <w:rsid w:val="651B76B8"/>
    <w:rsid w:val="65300A13"/>
    <w:rsid w:val="654112A6"/>
    <w:rsid w:val="6548029F"/>
    <w:rsid w:val="656C0AFB"/>
    <w:rsid w:val="658F5F10"/>
    <w:rsid w:val="660769D1"/>
    <w:rsid w:val="66207B0A"/>
    <w:rsid w:val="665B5D08"/>
    <w:rsid w:val="66867DDA"/>
    <w:rsid w:val="668A1A52"/>
    <w:rsid w:val="66A5101C"/>
    <w:rsid w:val="66AA4C94"/>
    <w:rsid w:val="671B1B0C"/>
    <w:rsid w:val="67337E5D"/>
    <w:rsid w:val="674C7013"/>
    <w:rsid w:val="676F126A"/>
    <w:rsid w:val="67DE0F95"/>
    <w:rsid w:val="67F37EDB"/>
    <w:rsid w:val="680B1397"/>
    <w:rsid w:val="68167808"/>
    <w:rsid w:val="683001F0"/>
    <w:rsid w:val="68392BA3"/>
    <w:rsid w:val="68781AFC"/>
    <w:rsid w:val="68821947"/>
    <w:rsid w:val="68AD3B3A"/>
    <w:rsid w:val="68DA7AF4"/>
    <w:rsid w:val="68F364C8"/>
    <w:rsid w:val="68FD4B97"/>
    <w:rsid w:val="69561D0F"/>
    <w:rsid w:val="695E1D64"/>
    <w:rsid w:val="69627890"/>
    <w:rsid w:val="698974AD"/>
    <w:rsid w:val="69C3239E"/>
    <w:rsid w:val="69D266F8"/>
    <w:rsid w:val="69DB69F6"/>
    <w:rsid w:val="6A2F5528"/>
    <w:rsid w:val="6A2F6D7C"/>
    <w:rsid w:val="6A4246A9"/>
    <w:rsid w:val="6A4D7241"/>
    <w:rsid w:val="6A9F5A43"/>
    <w:rsid w:val="6AD34A4C"/>
    <w:rsid w:val="6AE16E39"/>
    <w:rsid w:val="6B1040FE"/>
    <w:rsid w:val="6B1159CD"/>
    <w:rsid w:val="6B2B154F"/>
    <w:rsid w:val="6B466A65"/>
    <w:rsid w:val="6B4D52CB"/>
    <w:rsid w:val="6B544264"/>
    <w:rsid w:val="6B603DE4"/>
    <w:rsid w:val="6B682BB7"/>
    <w:rsid w:val="6B6B00C0"/>
    <w:rsid w:val="6B6F7A13"/>
    <w:rsid w:val="6B917004"/>
    <w:rsid w:val="6B9C1C3E"/>
    <w:rsid w:val="6BA51484"/>
    <w:rsid w:val="6BAB2EC0"/>
    <w:rsid w:val="6BB22C57"/>
    <w:rsid w:val="6BB3398C"/>
    <w:rsid w:val="6BBC65B5"/>
    <w:rsid w:val="6BDB046F"/>
    <w:rsid w:val="6BE440C5"/>
    <w:rsid w:val="6C192462"/>
    <w:rsid w:val="6C195084"/>
    <w:rsid w:val="6C362D8F"/>
    <w:rsid w:val="6C564C00"/>
    <w:rsid w:val="6C572E33"/>
    <w:rsid w:val="6C63232D"/>
    <w:rsid w:val="6CCD2567"/>
    <w:rsid w:val="6CDA0C21"/>
    <w:rsid w:val="6CEB692D"/>
    <w:rsid w:val="6CF3796B"/>
    <w:rsid w:val="6D9623B3"/>
    <w:rsid w:val="6DA92A43"/>
    <w:rsid w:val="6DB42220"/>
    <w:rsid w:val="6E1E1F3B"/>
    <w:rsid w:val="6E1F5290"/>
    <w:rsid w:val="6E264EC0"/>
    <w:rsid w:val="6E8231C5"/>
    <w:rsid w:val="6EA16D50"/>
    <w:rsid w:val="6EFF7323"/>
    <w:rsid w:val="6F720F70"/>
    <w:rsid w:val="6FB431D5"/>
    <w:rsid w:val="70115922"/>
    <w:rsid w:val="70420AEF"/>
    <w:rsid w:val="705B4CF7"/>
    <w:rsid w:val="70711724"/>
    <w:rsid w:val="708010DD"/>
    <w:rsid w:val="70AF1800"/>
    <w:rsid w:val="70BF48E4"/>
    <w:rsid w:val="70D6429A"/>
    <w:rsid w:val="70F21DD4"/>
    <w:rsid w:val="710D5594"/>
    <w:rsid w:val="71155ED6"/>
    <w:rsid w:val="71220303"/>
    <w:rsid w:val="713A2A4A"/>
    <w:rsid w:val="714C1108"/>
    <w:rsid w:val="71741AF0"/>
    <w:rsid w:val="718835F1"/>
    <w:rsid w:val="71FA4ECB"/>
    <w:rsid w:val="72212E4E"/>
    <w:rsid w:val="72286993"/>
    <w:rsid w:val="727F5E73"/>
    <w:rsid w:val="729D341F"/>
    <w:rsid w:val="72A86AC0"/>
    <w:rsid w:val="72C74F40"/>
    <w:rsid w:val="731400E7"/>
    <w:rsid w:val="732130DD"/>
    <w:rsid w:val="732654B2"/>
    <w:rsid w:val="732C3F5E"/>
    <w:rsid w:val="73330C6D"/>
    <w:rsid w:val="7337228B"/>
    <w:rsid w:val="73424C47"/>
    <w:rsid w:val="73772C6A"/>
    <w:rsid w:val="743701A6"/>
    <w:rsid w:val="74454085"/>
    <w:rsid w:val="74C46E32"/>
    <w:rsid w:val="74CD1C04"/>
    <w:rsid w:val="74D55468"/>
    <w:rsid w:val="74E47914"/>
    <w:rsid w:val="74E62298"/>
    <w:rsid w:val="74FD04FA"/>
    <w:rsid w:val="7505209A"/>
    <w:rsid w:val="753C60D4"/>
    <w:rsid w:val="755545C9"/>
    <w:rsid w:val="758013DA"/>
    <w:rsid w:val="759E1D7E"/>
    <w:rsid w:val="75E53E6D"/>
    <w:rsid w:val="76096671"/>
    <w:rsid w:val="76777E16"/>
    <w:rsid w:val="76BC0EF4"/>
    <w:rsid w:val="76C609CD"/>
    <w:rsid w:val="76EA2CCC"/>
    <w:rsid w:val="76F42C87"/>
    <w:rsid w:val="77067C25"/>
    <w:rsid w:val="772261EC"/>
    <w:rsid w:val="77376EEC"/>
    <w:rsid w:val="777058BE"/>
    <w:rsid w:val="77782790"/>
    <w:rsid w:val="77A83D92"/>
    <w:rsid w:val="77DB1282"/>
    <w:rsid w:val="77FA4965"/>
    <w:rsid w:val="784A3707"/>
    <w:rsid w:val="784E22AF"/>
    <w:rsid w:val="79180EE9"/>
    <w:rsid w:val="79247BD9"/>
    <w:rsid w:val="7940721D"/>
    <w:rsid w:val="7968355A"/>
    <w:rsid w:val="79934DA3"/>
    <w:rsid w:val="79961F5B"/>
    <w:rsid w:val="79AD3993"/>
    <w:rsid w:val="79DB45EE"/>
    <w:rsid w:val="79EA093C"/>
    <w:rsid w:val="79F17398"/>
    <w:rsid w:val="7A1940EF"/>
    <w:rsid w:val="7A272796"/>
    <w:rsid w:val="7A344E29"/>
    <w:rsid w:val="7A3C34AA"/>
    <w:rsid w:val="7A4A3E1E"/>
    <w:rsid w:val="7A525091"/>
    <w:rsid w:val="7A697BB4"/>
    <w:rsid w:val="7A7B5D31"/>
    <w:rsid w:val="7A9B40EA"/>
    <w:rsid w:val="7AA860A3"/>
    <w:rsid w:val="7AE91501"/>
    <w:rsid w:val="7B1B13C5"/>
    <w:rsid w:val="7B515D85"/>
    <w:rsid w:val="7B537191"/>
    <w:rsid w:val="7B724636"/>
    <w:rsid w:val="7B9F42D5"/>
    <w:rsid w:val="7BA42D41"/>
    <w:rsid w:val="7BD83419"/>
    <w:rsid w:val="7BE93BF1"/>
    <w:rsid w:val="7BEC59CF"/>
    <w:rsid w:val="7C125EEB"/>
    <w:rsid w:val="7C246CC4"/>
    <w:rsid w:val="7C296053"/>
    <w:rsid w:val="7C793AF7"/>
    <w:rsid w:val="7CA20962"/>
    <w:rsid w:val="7CC82865"/>
    <w:rsid w:val="7D026F86"/>
    <w:rsid w:val="7D20564A"/>
    <w:rsid w:val="7D216515"/>
    <w:rsid w:val="7D58657C"/>
    <w:rsid w:val="7D663C27"/>
    <w:rsid w:val="7D6A7FA9"/>
    <w:rsid w:val="7D7B077F"/>
    <w:rsid w:val="7D7E59F1"/>
    <w:rsid w:val="7D9C6D51"/>
    <w:rsid w:val="7DED7B69"/>
    <w:rsid w:val="7DF30130"/>
    <w:rsid w:val="7E2D38E3"/>
    <w:rsid w:val="7E402ECD"/>
    <w:rsid w:val="7E4107B6"/>
    <w:rsid w:val="7E655543"/>
    <w:rsid w:val="7E7019B7"/>
    <w:rsid w:val="7E8671AF"/>
    <w:rsid w:val="7EC652CA"/>
    <w:rsid w:val="7F192509"/>
    <w:rsid w:val="7F2C6422"/>
    <w:rsid w:val="7F6C3707"/>
    <w:rsid w:val="7FBF51CF"/>
    <w:rsid w:val="7FCF7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2018-08-03T07:36:00Z</dcterms:created>
  <dc:creator>Administrator</dc:creator>
  <cp:lastModifiedBy>Administrator</cp:lastModifiedBy>
  <dcterms:modified xsi:type="dcterms:W3CDTF">2019-11-15T08:45:44Z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