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28"/>
          <w:szCs w:val="28"/>
        </w:rPr>
        <w:t>股指期货月报（20190</w:t>
      </w:r>
      <w:r>
        <w:rPr>
          <w:rFonts w:hint="default"/>
          <w:sz w:val="28"/>
          <w:szCs w:val="28"/>
          <w:lang w:val="en-US" w:eastAsia="zh-CN"/>
        </w:rPr>
        <w:t>7</w:t>
      </w:r>
      <w:r>
        <w:rPr>
          <w:rFonts w:hint="eastAsia"/>
          <w:sz w:val="28"/>
          <w:szCs w:val="28"/>
        </w:rPr>
        <w:t>01-0</w:t>
      </w:r>
      <w:r>
        <w:rPr>
          <w:rFonts w:hint="default"/>
          <w:sz w:val="28"/>
          <w:szCs w:val="28"/>
          <w:lang w:val="en-US" w:eastAsia="zh-CN"/>
        </w:rPr>
        <w:t>7</w:t>
      </w:r>
      <w:r>
        <w:rPr>
          <w:rFonts w:hint="eastAsia"/>
          <w:sz w:val="28"/>
          <w:szCs w:val="28"/>
        </w:rPr>
        <w:t>3</w:t>
      </w:r>
      <w:r>
        <w:rPr>
          <w:rFonts w:hint="eastAsia"/>
          <w:sz w:val="28"/>
          <w:szCs w:val="28"/>
          <w:lang w:val="en-US" w:eastAsia="zh-CN"/>
        </w:rPr>
        <w:t>1</w:t>
      </w:r>
      <w:r>
        <w:rPr>
          <w:rFonts w:hint="eastAsia"/>
          <w:sz w:val="28"/>
          <w:szCs w:val="28"/>
        </w:rPr>
        <w:t>）</w:t>
      </w:r>
    </w:p>
    <w:p/>
    <w:p/>
    <w:p>
      <w:pPr>
        <w:jc w:val="left"/>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6350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郭冬岩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从业资格证号：F3024504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投询资格证号：Z0013837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电话： 0351-7342558</w:t>
      </w:r>
    </w:p>
    <w:p>
      <w:pPr>
        <w:ind w:firstLine="540" w:firstLineChars="300"/>
        <w:rPr>
          <w:rStyle w:val="7"/>
          <w:rFonts w:ascii="宋体" w:hAnsi="宋体" w:cs="宋体"/>
          <w:sz w:val="18"/>
          <w:szCs w:val="18"/>
          <w:u w:val="none"/>
        </w:rPr>
      </w:pPr>
      <w:r>
        <w:rPr>
          <w:rFonts w:hint="eastAsia" w:ascii="微软雅黑" w:hAnsi="微软雅黑" w:eastAsia="微软雅黑" w:cs="微软雅黑"/>
          <w:sz w:val="18"/>
          <w:szCs w:val="18"/>
          <w:shd w:val="clear" w:color="auto" w:fill="FFFFFF"/>
        </w:rPr>
        <w:t>邮箱</w:t>
      </w:r>
      <w:r>
        <w:rPr>
          <w:rFonts w:ascii="微软雅黑" w:hAnsi="微软雅黑" w:eastAsia="微软雅黑" w:cs="微软雅黑"/>
          <w:sz w:val="18"/>
          <w:szCs w:val="18"/>
          <w:shd w:val="clear" w:color="auto" w:fill="FFFFFF"/>
        </w:rPr>
        <w:t>：</w:t>
      </w:r>
      <w:r>
        <w:fldChar w:fldCharType="begin"/>
      </w:r>
      <w:r>
        <w:instrText xml:space="preserve"> HYPERLINK "mailto:guodongyan@hhqh.com" </w:instrText>
      </w:r>
      <w:r>
        <w:fldChar w:fldCharType="separate"/>
      </w:r>
      <w:r>
        <w:rPr>
          <w:rStyle w:val="7"/>
          <w:rFonts w:hint="eastAsia" w:ascii="宋体" w:hAnsi="宋体" w:eastAsia="宋体" w:cs="宋体"/>
          <w:sz w:val="18"/>
          <w:szCs w:val="18"/>
        </w:rPr>
        <w:t>guodongyan@hhqh.com</w:t>
      </w:r>
      <w:r>
        <w:rPr>
          <w:rStyle w:val="7"/>
          <w:rFonts w:hint="eastAsia" w:ascii="宋体" w:hAnsi="宋体" w:eastAsia="宋体" w:cs="宋体"/>
          <w:sz w:val="18"/>
          <w:szCs w:val="18"/>
        </w:rPr>
        <w:fldChar w:fldCharType="end"/>
      </w:r>
      <w:r>
        <w:rPr>
          <w:rStyle w:val="7"/>
          <w:rFonts w:hint="eastAsia" w:ascii="宋体" w:hAnsi="宋体" w:cs="宋体"/>
          <w:sz w:val="18"/>
          <w:szCs w:val="18"/>
        </w:rPr>
        <w:t>.cn</w:t>
      </w:r>
      <w:r>
        <w:rPr>
          <w:rStyle w:val="7"/>
          <w:rFonts w:hint="eastAsia" w:ascii="宋体" w:hAnsi="宋体" w:cs="宋体"/>
          <w:sz w:val="18"/>
          <w:szCs w:val="18"/>
          <w:u w:val="none"/>
        </w:rPr>
        <w:t xml:space="preserve"> </w:t>
      </w:r>
    </w:p>
    <w:p>
      <w:pPr>
        <w:rPr>
          <w:rStyle w:val="7"/>
          <w:rFonts w:ascii="宋体" w:hAnsi="宋体" w:cs="宋体"/>
          <w:sz w:val="18"/>
          <w:szCs w:val="18"/>
          <w:u w:val="none"/>
        </w:rPr>
      </w:pPr>
    </w:p>
    <w:p>
      <w:pPr>
        <w:jc w:val="left"/>
        <w:rPr>
          <w:rStyle w:val="7"/>
          <w:rFonts w:hint="eastAsia" w:ascii="微软雅黑" w:hAnsi="微软雅黑" w:eastAsia="微软雅黑" w:cs="微软雅黑"/>
          <w:b/>
          <w:color w:val="4D4D4D"/>
          <w:sz w:val="24"/>
          <w:u w:val="none"/>
        </w:rPr>
      </w:pPr>
      <w:r>
        <w:rPr>
          <w:rFonts w:hint="eastAsia" w:ascii="微软雅黑" w:hAnsi="微软雅黑" w:eastAsia="微软雅黑" w:cs="微软雅黑"/>
          <w:b/>
          <w:color w:val="4D4D4D"/>
          <w:sz w:val="24"/>
        </w:rPr>
        <w:t>一、月末交易日期货主力合约成交情况</w:t>
      </w:r>
    </w:p>
    <w:p>
      <w:pPr>
        <w:ind w:firstLine="420" w:firstLineChars="200"/>
        <w:jc w:val="left"/>
        <w:rPr>
          <w:rStyle w:val="7"/>
          <w:rFonts w:ascii="微软雅黑" w:hAnsi="微软雅黑" w:eastAsia="微软雅黑" w:cs="微软雅黑"/>
          <w:b/>
          <w:color w:val="4D4D4D"/>
          <w:szCs w:val="21"/>
          <w:u w:val="none"/>
        </w:rPr>
      </w:pPr>
      <w:r>
        <w:rPr>
          <w:rFonts w:hint="default" w:ascii="微软雅黑" w:hAnsi="微软雅黑" w:eastAsia="微软雅黑" w:cs="微软雅黑"/>
          <w:b/>
          <w:color w:val="4D4D4D"/>
          <w:szCs w:val="21"/>
          <w:lang w:val="en-US" w:eastAsia="zh-CN"/>
        </w:rPr>
        <w:t>7</w:t>
      </w:r>
      <w:r>
        <w:rPr>
          <w:rFonts w:hint="eastAsia" w:ascii="微软雅黑" w:hAnsi="微软雅黑" w:eastAsia="微软雅黑" w:cs="微软雅黑"/>
          <w:b/>
          <w:color w:val="4D4D4D"/>
          <w:szCs w:val="21"/>
        </w:rPr>
        <w:t>月3</w:t>
      </w:r>
      <w:r>
        <w:rPr>
          <w:rFonts w:hint="eastAsia" w:ascii="微软雅黑" w:hAnsi="微软雅黑" w:eastAsia="微软雅黑" w:cs="微软雅黑"/>
          <w:b/>
          <w:color w:val="4D4D4D"/>
          <w:szCs w:val="21"/>
          <w:lang w:val="en-US" w:eastAsia="zh-CN"/>
        </w:rPr>
        <w:t>1</w:t>
      </w:r>
      <w:r>
        <w:rPr>
          <w:rFonts w:hint="eastAsia" w:ascii="微软雅黑" w:hAnsi="微软雅黑" w:eastAsia="微软雅黑" w:cs="微软雅黑"/>
          <w:b/>
          <w:color w:val="4D4D4D"/>
          <w:szCs w:val="21"/>
        </w:rPr>
        <w:t>日收盘，沪深300股指主力（IF190</w:t>
      </w:r>
      <w:r>
        <w:rPr>
          <w:rFonts w:hint="eastAsia" w:ascii="微软雅黑" w:hAnsi="微软雅黑" w:eastAsia="微软雅黑" w:cs="微软雅黑"/>
          <w:b/>
          <w:color w:val="4D4D4D"/>
          <w:szCs w:val="21"/>
          <w:lang w:val="en-US" w:eastAsia="zh-CN"/>
        </w:rPr>
        <w:t>8</w:t>
      </w:r>
      <w:r>
        <w:rPr>
          <w:rFonts w:hint="eastAsia" w:ascii="微软雅黑" w:hAnsi="微软雅黑" w:eastAsia="微软雅黑" w:cs="微软雅黑"/>
          <w:b/>
          <w:color w:val="4D4D4D"/>
          <w:szCs w:val="21"/>
        </w:rPr>
        <w:t>）合约收盘价3</w:t>
      </w:r>
      <w:r>
        <w:rPr>
          <w:rFonts w:hint="eastAsia" w:ascii="微软雅黑" w:hAnsi="微软雅黑" w:eastAsia="微软雅黑" w:cs="微软雅黑"/>
          <w:b/>
          <w:color w:val="4D4D4D"/>
          <w:szCs w:val="21"/>
          <w:lang w:val="en-US" w:eastAsia="zh-CN"/>
        </w:rPr>
        <w:t>838.0</w:t>
      </w:r>
      <w:r>
        <w:rPr>
          <w:rFonts w:hint="eastAsia" w:ascii="微软雅黑" w:hAnsi="微软雅黑" w:eastAsia="微软雅黑" w:cs="微软雅黑"/>
          <w:b/>
          <w:color w:val="4D4D4D"/>
          <w:szCs w:val="21"/>
        </w:rPr>
        <w:t>点、</w:t>
      </w:r>
      <w:r>
        <w:rPr>
          <w:rFonts w:hint="eastAsia" w:ascii="微软雅黑" w:hAnsi="微软雅黑" w:eastAsia="微软雅黑" w:cs="微软雅黑"/>
          <w:b/>
          <w:color w:val="4D4D4D"/>
          <w:szCs w:val="21"/>
          <w:lang w:val="en-US" w:eastAsia="zh-CN"/>
        </w:rPr>
        <w:t>下</w:t>
      </w:r>
      <w:r>
        <w:rPr>
          <w:rFonts w:hint="eastAsia" w:ascii="微软雅黑" w:hAnsi="微软雅黑" w:eastAsia="微软雅黑" w:cs="微软雅黑"/>
          <w:b/>
          <w:color w:val="4D4D4D"/>
          <w:szCs w:val="21"/>
        </w:rPr>
        <w:t>跌0.</w:t>
      </w:r>
      <w:r>
        <w:rPr>
          <w:rFonts w:hint="eastAsia" w:ascii="微软雅黑" w:hAnsi="微软雅黑" w:eastAsia="微软雅黑" w:cs="微软雅黑"/>
          <w:b/>
          <w:color w:val="4D4D4D"/>
          <w:szCs w:val="21"/>
          <w:lang w:val="en-US" w:eastAsia="zh-CN"/>
        </w:rPr>
        <w:t>66</w:t>
      </w:r>
      <w:r>
        <w:rPr>
          <w:rFonts w:hint="eastAsia" w:ascii="微软雅黑" w:hAnsi="微软雅黑" w:eastAsia="微软雅黑" w:cs="微软雅黑"/>
          <w:b/>
          <w:color w:val="4D4D4D"/>
          <w:szCs w:val="21"/>
        </w:rPr>
        <w:t>%,成交量</w:t>
      </w:r>
      <w:r>
        <w:rPr>
          <w:rFonts w:hint="eastAsia" w:ascii="微软雅黑" w:hAnsi="微软雅黑" w:eastAsia="微软雅黑" w:cs="微软雅黑"/>
          <w:b/>
          <w:color w:val="4D4D4D"/>
          <w:szCs w:val="21"/>
          <w:lang w:val="en-US" w:eastAsia="zh-CN"/>
        </w:rPr>
        <w:t>6.42</w:t>
      </w:r>
      <w:r>
        <w:rPr>
          <w:rFonts w:hint="eastAsia" w:ascii="微软雅黑" w:hAnsi="微软雅黑" w:eastAsia="微软雅黑" w:cs="微软雅黑"/>
          <w:b/>
          <w:color w:val="4D4D4D"/>
          <w:szCs w:val="21"/>
        </w:rPr>
        <w:t>万手，持仓量</w:t>
      </w:r>
      <w:r>
        <w:rPr>
          <w:rFonts w:hint="eastAsia" w:ascii="微软雅黑" w:hAnsi="微软雅黑" w:eastAsia="微软雅黑" w:cs="微软雅黑"/>
          <w:b/>
          <w:color w:val="4D4D4D"/>
          <w:szCs w:val="21"/>
          <w:lang w:val="en-US" w:eastAsia="zh-CN"/>
        </w:rPr>
        <w:t>6.49</w:t>
      </w:r>
      <w:r>
        <w:rPr>
          <w:rFonts w:hint="eastAsia" w:ascii="微软雅黑" w:hAnsi="微软雅黑" w:eastAsia="微软雅黑" w:cs="微软雅黑"/>
          <w:b/>
          <w:color w:val="4D4D4D"/>
          <w:szCs w:val="21"/>
        </w:rPr>
        <w:t>万手；上证50（IH190</w:t>
      </w:r>
      <w:r>
        <w:rPr>
          <w:rFonts w:hint="eastAsia" w:ascii="微软雅黑" w:hAnsi="微软雅黑" w:eastAsia="微软雅黑" w:cs="微软雅黑"/>
          <w:b/>
          <w:color w:val="4D4D4D"/>
          <w:szCs w:val="21"/>
          <w:lang w:val="en-US" w:eastAsia="zh-CN"/>
        </w:rPr>
        <w:t>8</w:t>
      </w:r>
      <w:r>
        <w:rPr>
          <w:rFonts w:hint="eastAsia" w:ascii="微软雅黑" w:hAnsi="微软雅黑" w:eastAsia="微软雅黑" w:cs="微软雅黑"/>
          <w:b/>
          <w:color w:val="4D4D4D"/>
          <w:szCs w:val="21"/>
        </w:rPr>
        <w:t>）合约收盘价2</w:t>
      </w:r>
      <w:r>
        <w:rPr>
          <w:rFonts w:hint="eastAsia" w:ascii="微软雅黑" w:hAnsi="微软雅黑" w:eastAsia="微软雅黑" w:cs="微软雅黑"/>
          <w:b/>
          <w:color w:val="4D4D4D"/>
          <w:szCs w:val="21"/>
          <w:lang w:val="en-US" w:eastAsia="zh-CN"/>
        </w:rPr>
        <w:t>914.2</w:t>
      </w:r>
      <w:r>
        <w:rPr>
          <w:rFonts w:hint="eastAsia" w:ascii="微软雅黑" w:hAnsi="微软雅黑" w:eastAsia="微软雅黑" w:cs="微软雅黑"/>
          <w:b/>
          <w:color w:val="4D4D4D"/>
          <w:szCs w:val="21"/>
        </w:rPr>
        <w:t>点，</w:t>
      </w:r>
      <w:r>
        <w:rPr>
          <w:rFonts w:hint="eastAsia" w:ascii="微软雅黑" w:hAnsi="微软雅黑" w:eastAsia="微软雅黑" w:cs="微软雅黑"/>
          <w:b/>
          <w:color w:val="4D4D4D"/>
          <w:szCs w:val="21"/>
          <w:lang w:val="en-US" w:eastAsia="zh-CN"/>
        </w:rPr>
        <w:t>下</w:t>
      </w:r>
      <w:r>
        <w:rPr>
          <w:rFonts w:hint="eastAsia" w:ascii="微软雅黑" w:hAnsi="微软雅黑" w:eastAsia="微软雅黑" w:cs="微软雅黑"/>
          <w:b/>
          <w:color w:val="4D4D4D"/>
          <w:szCs w:val="21"/>
        </w:rPr>
        <w:t>跌0.</w:t>
      </w:r>
      <w:r>
        <w:rPr>
          <w:rFonts w:hint="eastAsia" w:ascii="微软雅黑" w:hAnsi="微软雅黑" w:eastAsia="微软雅黑" w:cs="微软雅黑"/>
          <w:b/>
          <w:color w:val="4D4D4D"/>
          <w:szCs w:val="21"/>
          <w:lang w:val="en-US" w:eastAsia="zh-CN"/>
        </w:rPr>
        <w:t>97</w:t>
      </w:r>
      <w:r>
        <w:rPr>
          <w:rFonts w:hint="eastAsia" w:ascii="微软雅黑" w:hAnsi="微软雅黑" w:eastAsia="微软雅黑" w:cs="微软雅黑"/>
          <w:b/>
          <w:color w:val="4D4D4D"/>
          <w:szCs w:val="21"/>
        </w:rPr>
        <w:t>%，成交量</w:t>
      </w:r>
      <w:r>
        <w:rPr>
          <w:rFonts w:hint="eastAsia" w:ascii="微软雅黑" w:hAnsi="微软雅黑" w:eastAsia="微软雅黑" w:cs="微软雅黑"/>
          <w:b/>
          <w:color w:val="4D4D4D"/>
          <w:szCs w:val="21"/>
          <w:lang w:val="en-US" w:eastAsia="zh-CN"/>
        </w:rPr>
        <w:t>2.63</w:t>
      </w:r>
      <w:r>
        <w:rPr>
          <w:rFonts w:hint="eastAsia" w:ascii="微软雅黑" w:hAnsi="微软雅黑" w:eastAsia="微软雅黑" w:cs="微软雅黑"/>
          <w:b/>
          <w:color w:val="4D4D4D"/>
          <w:szCs w:val="21"/>
        </w:rPr>
        <w:t>万手，持仓量</w:t>
      </w:r>
      <w:r>
        <w:rPr>
          <w:rFonts w:hint="eastAsia" w:ascii="微软雅黑" w:hAnsi="微软雅黑" w:eastAsia="微软雅黑" w:cs="微软雅黑"/>
          <w:b/>
          <w:color w:val="4D4D4D"/>
          <w:szCs w:val="21"/>
          <w:lang w:val="en-US" w:eastAsia="zh-CN"/>
        </w:rPr>
        <w:t>2.77</w:t>
      </w:r>
      <w:r>
        <w:rPr>
          <w:rFonts w:hint="eastAsia" w:ascii="微软雅黑" w:hAnsi="微软雅黑" w:eastAsia="微软雅黑" w:cs="微软雅黑"/>
          <w:b/>
          <w:color w:val="4D4D4D"/>
          <w:szCs w:val="21"/>
        </w:rPr>
        <w:t>万手；中证500（IC190</w:t>
      </w:r>
      <w:r>
        <w:rPr>
          <w:rFonts w:hint="eastAsia" w:ascii="微软雅黑" w:hAnsi="微软雅黑" w:eastAsia="微软雅黑" w:cs="微软雅黑"/>
          <w:b/>
          <w:color w:val="4D4D4D"/>
          <w:szCs w:val="21"/>
          <w:lang w:val="en-US" w:eastAsia="zh-CN"/>
        </w:rPr>
        <w:t>8</w:t>
      </w:r>
      <w:r>
        <w:rPr>
          <w:rFonts w:hint="eastAsia" w:ascii="微软雅黑" w:hAnsi="微软雅黑" w:eastAsia="微软雅黑" w:cs="微软雅黑"/>
          <w:b/>
          <w:color w:val="4D4D4D"/>
          <w:szCs w:val="21"/>
        </w:rPr>
        <w:t>）合约收盘</w:t>
      </w:r>
      <w:r>
        <w:rPr>
          <w:rFonts w:hint="eastAsia" w:ascii="微软雅黑" w:hAnsi="微软雅黑" w:eastAsia="微软雅黑" w:cs="微软雅黑"/>
          <w:b/>
          <w:color w:val="4D4D4D"/>
          <w:szCs w:val="21"/>
          <w:lang w:val="en-US" w:eastAsia="zh-CN"/>
        </w:rPr>
        <w:t>4874.0</w:t>
      </w:r>
      <w:r>
        <w:rPr>
          <w:rFonts w:hint="eastAsia" w:ascii="微软雅黑" w:hAnsi="微软雅黑" w:eastAsia="微软雅黑" w:cs="微软雅黑"/>
          <w:b/>
          <w:color w:val="4D4D4D"/>
          <w:szCs w:val="21"/>
        </w:rPr>
        <w:t>点，</w:t>
      </w:r>
      <w:r>
        <w:rPr>
          <w:rFonts w:hint="eastAsia" w:ascii="微软雅黑" w:hAnsi="微软雅黑" w:eastAsia="微软雅黑" w:cs="微软雅黑"/>
          <w:b/>
          <w:color w:val="4D4D4D"/>
          <w:szCs w:val="21"/>
          <w:lang w:val="en-US" w:eastAsia="zh-CN"/>
        </w:rPr>
        <w:t>下</w:t>
      </w:r>
      <w:r>
        <w:rPr>
          <w:rFonts w:hint="eastAsia" w:ascii="微软雅黑" w:hAnsi="微软雅黑" w:eastAsia="微软雅黑" w:cs="微软雅黑"/>
          <w:b/>
          <w:color w:val="4D4D4D"/>
          <w:szCs w:val="21"/>
        </w:rPr>
        <w:t>跌</w:t>
      </w:r>
      <w:r>
        <w:rPr>
          <w:rFonts w:hint="eastAsia" w:ascii="微软雅黑" w:hAnsi="微软雅黑" w:eastAsia="微软雅黑" w:cs="微软雅黑"/>
          <w:b/>
          <w:color w:val="4D4D4D"/>
          <w:szCs w:val="21"/>
          <w:lang w:val="en-US" w:eastAsia="zh-CN"/>
        </w:rPr>
        <w:t>0.16</w:t>
      </w:r>
      <w:r>
        <w:rPr>
          <w:rFonts w:hint="eastAsia" w:ascii="微软雅黑" w:hAnsi="微软雅黑" w:eastAsia="微软雅黑" w:cs="微软雅黑"/>
          <w:b/>
          <w:color w:val="4D4D4D"/>
          <w:szCs w:val="21"/>
        </w:rPr>
        <w:t>%，成交量</w:t>
      </w:r>
      <w:r>
        <w:rPr>
          <w:rFonts w:hint="eastAsia" w:ascii="微软雅黑" w:hAnsi="微软雅黑" w:eastAsia="微软雅黑" w:cs="微软雅黑"/>
          <w:b/>
          <w:color w:val="4D4D4D"/>
          <w:szCs w:val="21"/>
          <w:lang w:val="en-US" w:eastAsia="zh-CN"/>
        </w:rPr>
        <w:t>4.93</w:t>
      </w:r>
      <w:r>
        <w:rPr>
          <w:rFonts w:hint="eastAsia" w:ascii="微软雅黑" w:hAnsi="微软雅黑" w:eastAsia="微软雅黑" w:cs="微软雅黑"/>
          <w:b/>
          <w:color w:val="4D4D4D"/>
          <w:szCs w:val="21"/>
        </w:rPr>
        <w:t>万手，持仓量</w:t>
      </w:r>
      <w:r>
        <w:rPr>
          <w:rFonts w:hint="eastAsia" w:ascii="微软雅黑" w:hAnsi="微软雅黑" w:eastAsia="微软雅黑" w:cs="微软雅黑"/>
          <w:b/>
          <w:color w:val="4D4D4D"/>
          <w:szCs w:val="21"/>
          <w:lang w:val="en-US" w:eastAsia="zh-CN"/>
        </w:rPr>
        <w:t>6.48</w:t>
      </w:r>
      <w:r>
        <w:rPr>
          <w:rFonts w:hint="eastAsia" w:ascii="微软雅黑" w:hAnsi="微软雅黑" w:eastAsia="微软雅黑" w:cs="微软雅黑"/>
          <w:b/>
          <w:color w:val="4D4D4D"/>
          <w:szCs w:val="21"/>
        </w:rPr>
        <w:t>万手。</w:t>
      </w:r>
    </w:p>
    <w:p>
      <w:pPr>
        <w:jc w:val="left"/>
        <w:rPr>
          <w:rFonts w:ascii="微软雅黑" w:hAnsi="微软雅黑" w:eastAsia="微软雅黑" w:cs="微软雅黑"/>
          <w:b/>
          <w:color w:val="4D4D4D"/>
          <w:sz w:val="24"/>
        </w:rPr>
      </w:pPr>
      <w:r>
        <w:rPr>
          <w:rFonts w:hint="eastAsia" w:ascii="微软雅黑" w:hAnsi="微软雅黑" w:eastAsia="微软雅黑" w:cs="微软雅黑"/>
          <w:b/>
          <w:color w:val="4D4D4D"/>
          <w:sz w:val="24"/>
        </w:rPr>
        <w:t>二、本月股指及期货主力合约成交情况</w:t>
      </w:r>
    </w:p>
    <w:p>
      <w:pPr>
        <w:ind w:left="42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IF本月表现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沪深300指数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3</w:t>
            </w:r>
            <w:r>
              <w:rPr>
                <w:rFonts w:hint="eastAsia" w:ascii="微软雅黑" w:hAnsi="微软雅黑" w:eastAsia="微软雅黑" w:cs="微软雅黑"/>
                <w:b/>
                <w:color w:val="4D4D4D"/>
                <w:szCs w:val="21"/>
                <w:lang w:val="en-US" w:eastAsia="zh-CN"/>
              </w:rPr>
              <w:t>835.36</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9.77</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0.26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IF190</w:t>
            </w:r>
            <w:r>
              <w:rPr>
                <w:rFonts w:hint="default" w:ascii="微软雅黑" w:hAnsi="微软雅黑" w:eastAsia="微软雅黑" w:cs="微软雅黑"/>
                <w:b/>
                <w:color w:val="4D4D4D"/>
                <w:szCs w:val="21"/>
                <w:lang w:val="en-US" w:eastAsia="zh-CN"/>
              </w:rPr>
              <w:t>8</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3</w:t>
            </w:r>
            <w:r>
              <w:rPr>
                <w:rFonts w:hint="eastAsia" w:ascii="微软雅黑" w:hAnsi="微软雅黑" w:eastAsia="微软雅黑" w:cs="微软雅黑"/>
                <w:b/>
                <w:color w:val="4D4D4D"/>
                <w:szCs w:val="21"/>
                <w:lang w:val="en-US" w:eastAsia="zh-CN"/>
              </w:rPr>
              <w:t>838.0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rPr>
            </w:pPr>
            <w:r>
              <w:rPr>
                <w:rFonts w:hint="eastAsia" w:ascii="微软雅黑" w:hAnsi="微软雅黑" w:eastAsia="微软雅黑" w:cs="微软雅黑"/>
                <w:b/>
                <w:color w:val="4D4D4D"/>
                <w:szCs w:val="21"/>
                <w:lang w:val="en-US" w:eastAsia="zh-CN"/>
              </w:rPr>
              <w:t>- 13.8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0.36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3</w:t>
            </w:r>
            <w:r>
              <w:rPr>
                <w:rFonts w:hint="eastAsia" w:ascii="微软雅黑" w:hAnsi="微软雅黑" w:eastAsia="微软雅黑" w:cs="微软雅黑"/>
                <w:b/>
                <w:color w:val="4D4D4D"/>
                <w:szCs w:val="21"/>
                <w:lang w:val="en-US" w:eastAsia="zh-CN"/>
              </w:rPr>
              <w:t>833.8</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rPr>
            </w:pPr>
            <w:r>
              <w:rPr>
                <w:rFonts w:hint="eastAsia" w:ascii="微软雅黑" w:hAnsi="微软雅黑" w:eastAsia="微软雅黑" w:cs="微软雅黑"/>
                <w:b/>
                <w:color w:val="4D4D4D"/>
                <w:szCs w:val="21"/>
                <w:lang w:val="en-US" w:eastAsia="zh-CN"/>
              </w:rPr>
              <w:t>- 14.6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0.38</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IH本月表现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上证50指数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2912.66</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- 17.94</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0.61</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IH190</w:t>
            </w:r>
            <w:r>
              <w:rPr>
                <w:rFonts w:hint="default" w:ascii="微软雅黑" w:hAnsi="微软雅黑" w:eastAsia="微软雅黑" w:cs="微软雅黑"/>
                <w:b/>
                <w:color w:val="4D4D4D"/>
                <w:szCs w:val="21"/>
                <w:lang w:val="en-US" w:eastAsia="zh-CN"/>
              </w:rPr>
              <w:t>8</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2914.2</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rPr>
            </w:pPr>
            <w:r>
              <w:rPr>
                <w:rFonts w:hint="eastAsia" w:ascii="微软雅黑" w:hAnsi="微软雅黑" w:eastAsia="微软雅黑" w:cs="微软雅黑"/>
                <w:b/>
                <w:color w:val="4D4D4D"/>
                <w:szCs w:val="21"/>
                <w:lang w:val="en-US" w:eastAsia="zh-CN"/>
              </w:rPr>
              <w:t>- 20.2</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0.69</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w:t>
            </w:r>
            <w:r>
              <w:rPr>
                <w:rFonts w:hint="eastAsia" w:ascii="微软雅黑" w:hAnsi="微软雅黑" w:eastAsia="微软雅黑" w:cs="微软雅黑"/>
                <w:b/>
                <w:color w:val="4D4D4D"/>
                <w:szCs w:val="21"/>
                <w:lang w:val="en-US" w:eastAsia="zh-CN"/>
              </w:rPr>
              <w:t>913.6</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rPr>
            </w:pPr>
            <w:r>
              <w:rPr>
                <w:rFonts w:hint="eastAsia" w:ascii="微软雅黑" w:hAnsi="微软雅黑" w:eastAsia="微软雅黑" w:cs="微软雅黑"/>
                <w:b/>
                <w:color w:val="4D4D4D"/>
                <w:szCs w:val="21"/>
                <w:lang w:val="en-US" w:eastAsia="zh-CN"/>
              </w:rPr>
              <w:t>- 19.2</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0.65</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IC本月表现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中证500指数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4903.20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 xml:space="preserve"> 47.28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0.96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IC190</w:t>
            </w:r>
            <w:r>
              <w:rPr>
                <w:rFonts w:hint="default" w:ascii="微软雅黑" w:hAnsi="微软雅黑" w:eastAsia="微软雅黑" w:cs="微软雅黑"/>
                <w:b/>
                <w:color w:val="4D4D4D"/>
                <w:szCs w:val="21"/>
                <w:lang w:val="en-US" w:eastAsia="zh-CN"/>
              </w:rPr>
              <w:t>8</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4874.0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5.2</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0.11</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4815.0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10.4</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0.22</w:t>
            </w:r>
            <w:r>
              <w:rPr>
                <w:rFonts w:hint="eastAsia" w:ascii="微软雅黑" w:hAnsi="微软雅黑" w:eastAsia="微软雅黑" w:cs="微软雅黑"/>
                <w:b/>
                <w:color w:val="4D4D4D"/>
                <w:szCs w:val="21"/>
              </w:rPr>
              <w:t>%</w:t>
            </w:r>
          </w:p>
        </w:tc>
      </w:tr>
    </w:tbl>
    <w:p>
      <w:pPr>
        <w:numPr>
          <w:ilvl w:val="0"/>
          <w:numId w:val="1"/>
        </w:numPr>
        <w:jc w:val="left"/>
        <w:rPr>
          <w:rFonts w:ascii="微软雅黑" w:hAnsi="微软雅黑" w:eastAsia="微软雅黑" w:cs="微软雅黑"/>
          <w:b/>
          <w:color w:val="4D4D4D"/>
          <w:sz w:val="24"/>
        </w:rPr>
      </w:pPr>
      <w:r>
        <w:rPr>
          <w:rFonts w:ascii="微软雅黑" w:hAnsi="微软雅黑" w:eastAsia="微软雅黑" w:cs="微软雅黑"/>
          <w:b w:val="0"/>
          <w:bCs/>
          <w:color w:val="4D4D4D"/>
          <w:sz w:val="28"/>
          <w:szCs w:val="28"/>
        </w:rPr>
        <w:t>宏观经济面</w:t>
      </w:r>
    </w:p>
    <w:p>
      <w:pPr>
        <w:numPr>
          <w:ilvl w:val="0"/>
          <w:numId w:val="0"/>
        </w:numPr>
        <w:jc w:val="left"/>
        <w:rPr>
          <w:rFonts w:hint="eastAsia" w:ascii="微软雅黑" w:hAnsi="微软雅黑" w:eastAsia="微软雅黑" w:cs="微软雅黑"/>
          <w:b w:val="0"/>
          <w:bCs/>
          <w:color w:val="4D4D4D"/>
          <w:sz w:val="24"/>
        </w:rPr>
      </w:pPr>
      <w:r>
        <w:rPr>
          <w:rFonts w:hint="eastAsia" w:ascii="微软雅黑" w:hAnsi="微软雅黑" w:eastAsia="微软雅黑" w:cs="微软雅黑"/>
          <w:b w:val="0"/>
          <w:bCs/>
          <w:color w:val="4D4D4D"/>
          <w:sz w:val="24"/>
          <w:lang w:eastAsia="zh-CN"/>
        </w:rPr>
        <w:t>（</w:t>
      </w:r>
      <w:r>
        <w:rPr>
          <w:rFonts w:hint="eastAsia" w:ascii="微软雅黑" w:hAnsi="微软雅黑" w:eastAsia="微软雅黑" w:cs="微软雅黑"/>
          <w:b w:val="0"/>
          <w:bCs/>
          <w:color w:val="4D4D4D"/>
          <w:sz w:val="24"/>
          <w:lang w:val="en-US" w:eastAsia="zh-CN"/>
        </w:rPr>
        <w:t>一</w:t>
      </w:r>
      <w:r>
        <w:rPr>
          <w:rFonts w:hint="eastAsia" w:ascii="微软雅黑" w:hAnsi="微软雅黑" w:eastAsia="微软雅黑" w:cs="微软雅黑"/>
          <w:b w:val="0"/>
          <w:bCs/>
          <w:color w:val="4D4D4D"/>
          <w:sz w:val="24"/>
          <w:lang w:eastAsia="zh-CN"/>
        </w:rPr>
        <w:t>）</w:t>
      </w:r>
      <w:r>
        <w:rPr>
          <w:rFonts w:hint="default" w:ascii="微软雅黑" w:hAnsi="微软雅黑" w:eastAsia="微软雅黑" w:cs="微软雅黑"/>
          <w:b w:val="0"/>
          <w:bCs/>
          <w:color w:val="4D4D4D"/>
          <w:sz w:val="24"/>
          <w:lang w:val="en-US"/>
        </w:rPr>
        <w:t>7</w:t>
      </w:r>
      <w:r>
        <w:rPr>
          <w:rFonts w:hint="eastAsia" w:ascii="微软雅黑" w:hAnsi="微软雅黑" w:eastAsia="微软雅黑" w:cs="微软雅黑"/>
          <w:b w:val="0"/>
          <w:bCs/>
          <w:color w:val="4D4D4D"/>
          <w:sz w:val="24"/>
        </w:rPr>
        <w:t>月官方制造业PMI为49.</w:t>
      </w:r>
      <w:r>
        <w:rPr>
          <w:rFonts w:hint="default" w:ascii="微软雅黑" w:hAnsi="微软雅黑" w:eastAsia="微软雅黑" w:cs="微软雅黑"/>
          <w:b w:val="0"/>
          <w:bCs/>
          <w:color w:val="4D4D4D"/>
          <w:sz w:val="24"/>
          <w:lang w:val="en-US"/>
        </w:rPr>
        <w:t>7</w:t>
      </w:r>
      <w:r>
        <w:rPr>
          <w:rFonts w:hint="eastAsia" w:ascii="微软雅黑" w:hAnsi="微软雅黑" w:eastAsia="微软雅黑" w:cs="微软雅黑"/>
          <w:b w:val="0"/>
          <w:bCs/>
          <w:color w:val="4D4D4D"/>
          <w:sz w:val="24"/>
        </w:rPr>
        <w:t xml:space="preserve">% </w:t>
      </w:r>
    </w:p>
    <w:p>
      <w:pPr>
        <w:numPr>
          <w:ilvl w:val="0"/>
          <w:numId w:val="0"/>
        </w:numPr>
        <w:jc w:val="left"/>
        <w:rPr>
          <w:rFonts w:hint="eastAsia" w:ascii="微软雅黑" w:hAnsi="微软雅黑" w:eastAsia="微软雅黑" w:cs="微软雅黑"/>
          <w:b w:val="0"/>
          <w:bCs/>
          <w:color w:val="4D4D4D"/>
          <w:sz w:val="24"/>
        </w:rPr>
      </w:pPr>
      <w:r>
        <w:drawing>
          <wp:inline distT="0" distB="0" distL="114300" distR="114300">
            <wp:extent cx="5396230" cy="2901315"/>
            <wp:effectExtent l="0" t="0" r="13970" b="133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396230" cy="2901315"/>
                    </a:xfrm>
                    <a:prstGeom prst="rect">
                      <a:avLst/>
                    </a:prstGeom>
                    <a:noFill/>
                    <a:ln>
                      <a:noFill/>
                    </a:ln>
                  </pic:spPr>
                </pic:pic>
              </a:graphicData>
            </a:graphic>
          </wp:inline>
        </w:drawing>
      </w:r>
    </w:p>
    <w:p>
      <w:pPr>
        <w:numPr>
          <w:ilvl w:val="0"/>
          <w:numId w:val="0"/>
        </w:numPr>
        <w:ind w:firstLine="480" w:firstLineChars="200"/>
        <w:jc w:val="left"/>
        <w:rPr>
          <w:rFonts w:hint="eastAsia" w:ascii="微软雅黑" w:hAnsi="微软雅黑" w:eastAsia="微软雅黑" w:cs="微软雅黑"/>
          <w:b w:val="0"/>
          <w:bCs/>
          <w:color w:val="4D4D4D"/>
          <w:sz w:val="24"/>
        </w:rPr>
      </w:pPr>
      <w:r>
        <w:rPr>
          <w:rFonts w:hint="eastAsia" w:ascii="微软雅黑" w:hAnsi="微软雅黑" w:eastAsia="微软雅黑" w:cs="微软雅黑"/>
          <w:b w:val="0"/>
          <w:bCs/>
          <w:color w:val="4D4D4D"/>
          <w:sz w:val="24"/>
        </w:rPr>
        <w:t>2019年7月份，中国制造业采购经理指数(PMI)为49.7%，比上月提高0.3个百分点，制造业景气水平有所回升。从企业规模看，大型企业PMI为50.7%，高于上月0.8个百分点，升至扩张区间；中、小型企业PMI为48.7%和48.2%，分别比上月回落0.4和0.1个百分点，位于临界点以下。</w:t>
      </w:r>
    </w:p>
    <w:p>
      <w:pPr>
        <w:numPr>
          <w:ilvl w:val="0"/>
          <w:numId w:val="0"/>
        </w:numPr>
        <w:ind w:firstLine="240" w:firstLineChars="100"/>
        <w:jc w:val="left"/>
        <w:rPr>
          <w:rFonts w:hint="eastAsia" w:ascii="微软雅黑" w:hAnsi="微软雅黑" w:eastAsia="微软雅黑" w:cs="微软雅黑"/>
          <w:b w:val="0"/>
          <w:bCs/>
          <w:color w:val="4D4D4D"/>
          <w:sz w:val="24"/>
        </w:rPr>
      </w:pPr>
      <w:r>
        <w:rPr>
          <w:rFonts w:hint="eastAsia" w:ascii="微软雅黑" w:hAnsi="微软雅黑" w:eastAsia="微软雅黑" w:cs="微软雅黑"/>
          <w:b w:val="0"/>
          <w:bCs/>
          <w:color w:val="4D4D4D"/>
          <w:sz w:val="24"/>
        </w:rPr>
        <w:t>　从分类指数看，在构成制造业PMI的5个分类指数中，生产指数和供应商配送时间指数高于临界点，新订单指数、原材料库存指数和从业人员指数低于临界点。生产指数为52.1%，比上月回升0.8个百分点，位于临界点之上，表明制造业生产总体扩张加快。新订单指数为49.8%，比上月回升0.2个百分点，位于临界点之下，表明制造业产品订货量降幅有所收窄。原材料库存指数为48.0%，比上月下降0.2个百分点，位于临界点之下，表明制造业主要原材料库存量减少。</w:t>
      </w:r>
    </w:p>
    <w:p>
      <w:pPr>
        <w:numPr>
          <w:ilvl w:val="0"/>
          <w:numId w:val="0"/>
        </w:numPr>
        <w:ind w:firstLine="480" w:firstLineChars="200"/>
        <w:jc w:val="left"/>
        <w:rPr>
          <w:rFonts w:hint="eastAsia" w:ascii="微软雅黑" w:hAnsi="微软雅黑" w:eastAsia="微软雅黑" w:cs="微软雅黑"/>
          <w:b w:val="0"/>
          <w:bCs/>
          <w:color w:val="4D4D4D"/>
          <w:sz w:val="24"/>
        </w:rPr>
      </w:pPr>
      <w:r>
        <w:rPr>
          <w:rFonts w:hint="eastAsia" w:ascii="微软雅黑" w:hAnsi="微软雅黑" w:eastAsia="微软雅黑" w:cs="微软雅黑"/>
          <w:b w:val="0"/>
          <w:bCs/>
          <w:color w:val="4D4D4D"/>
          <w:sz w:val="24"/>
        </w:rPr>
        <w:t>从业人员指数为47.1%，比上月回升0.2个百分点，位于临界点之下，表明制造业企业用工景气度小幅回升</w:t>
      </w:r>
      <w:r>
        <w:rPr>
          <w:rFonts w:hint="eastAsia" w:ascii="微软雅黑" w:hAnsi="微软雅黑" w:eastAsia="微软雅黑" w:cs="微软雅黑"/>
          <w:b w:val="0"/>
          <w:bCs/>
          <w:color w:val="4D4D4D"/>
          <w:sz w:val="24"/>
          <w:lang w:eastAsia="zh-CN"/>
        </w:rPr>
        <w:t>。</w:t>
      </w:r>
      <w:r>
        <w:rPr>
          <w:rFonts w:hint="eastAsia" w:ascii="微软雅黑" w:hAnsi="微软雅黑" w:eastAsia="微软雅黑" w:cs="微软雅黑"/>
          <w:b w:val="0"/>
          <w:bCs/>
          <w:color w:val="4D4D4D"/>
          <w:sz w:val="24"/>
        </w:rPr>
        <w:t>供应商配送时间指数为50.1%，比上月微落0.1个百分点，位于临界点之上，表明制造业原材料供应商交货时间略有加快。</w:t>
      </w:r>
    </w:p>
    <w:p>
      <w:pPr>
        <w:numPr>
          <w:ilvl w:val="0"/>
          <w:numId w:val="0"/>
        </w:numPr>
        <w:ind w:firstLine="480" w:firstLineChars="200"/>
        <w:jc w:val="left"/>
        <w:rPr>
          <w:rFonts w:hint="eastAsia" w:ascii="微软雅黑" w:hAnsi="微软雅黑" w:eastAsia="微软雅黑" w:cs="微软雅黑"/>
          <w:b w:val="0"/>
          <w:bCs/>
          <w:color w:val="4D4D4D"/>
          <w:sz w:val="24"/>
          <w:lang w:eastAsia="zh-CN"/>
        </w:rPr>
      </w:pPr>
      <w:r>
        <w:rPr>
          <w:rFonts w:hint="eastAsia" w:ascii="微软雅黑" w:hAnsi="微软雅黑" w:eastAsia="微软雅黑" w:cs="微软雅黑"/>
          <w:b w:val="0"/>
          <w:bCs/>
          <w:color w:val="4D4D4D"/>
          <w:sz w:val="24"/>
          <w:lang w:eastAsia="zh-CN"/>
        </w:rPr>
        <w:t>（</w:t>
      </w:r>
      <w:r>
        <w:rPr>
          <w:rFonts w:hint="eastAsia" w:ascii="微软雅黑" w:hAnsi="微软雅黑" w:eastAsia="微软雅黑" w:cs="微软雅黑"/>
          <w:b w:val="0"/>
          <w:bCs/>
          <w:color w:val="4D4D4D"/>
          <w:sz w:val="24"/>
          <w:lang w:val="en-US" w:eastAsia="zh-CN"/>
        </w:rPr>
        <w:t>综合来看，PMI指数虽仍处于荣枯线50以下，但环比亦有所上升，经济运行保持稳定仍有较好基础。大型企业的基础作用仍较为良好，生产增速加快，接单也保持增加；中小微企业相对较差。企业生产经营活动预期指数为53.6%，比上月上升0.2个百分点，减税降费、定向降准等政策措施加快落地，进一步减轻了企业负担，对稳定企业信心发挥了重要作用。）</w:t>
      </w:r>
    </w:p>
    <w:p>
      <w:pPr>
        <w:ind w:firstLine="480" w:firstLineChars="200"/>
        <w:jc w:val="left"/>
        <w:rPr>
          <w:rStyle w:val="6"/>
          <w:rFonts w:hint="eastAsia" w:ascii="微软雅黑" w:hAnsi="微软雅黑" w:eastAsia="微软雅黑"/>
          <w:b w:val="0"/>
          <w:bCs w:val="0"/>
          <w:color w:val="000000"/>
          <w:sz w:val="24"/>
          <w:szCs w:val="24"/>
          <w:shd w:val="clear" w:color="auto" w:fill="FFFFFF"/>
          <w:lang w:val="en-US" w:eastAsia="zh-CN"/>
        </w:rPr>
      </w:pPr>
      <w:r>
        <w:rPr>
          <w:rStyle w:val="6"/>
          <w:rFonts w:hint="eastAsia" w:ascii="微软雅黑" w:hAnsi="微软雅黑" w:eastAsia="微软雅黑"/>
          <w:color w:val="000000"/>
          <w:sz w:val="24"/>
          <w:szCs w:val="24"/>
          <w:shd w:val="clear" w:color="auto" w:fill="FFFFFF"/>
        </w:rPr>
        <w:t>（</w:t>
      </w:r>
      <w:r>
        <w:rPr>
          <w:rStyle w:val="6"/>
          <w:rFonts w:hint="eastAsia" w:ascii="微软雅黑" w:hAnsi="微软雅黑" w:eastAsia="微软雅黑"/>
          <w:color w:val="000000"/>
          <w:sz w:val="24"/>
          <w:szCs w:val="24"/>
          <w:shd w:val="clear" w:color="auto" w:fill="FFFFFF"/>
          <w:lang w:val="en-US" w:eastAsia="zh-CN"/>
        </w:rPr>
        <w:t>二</w:t>
      </w:r>
      <w:r>
        <w:rPr>
          <w:rStyle w:val="6"/>
          <w:rFonts w:hint="eastAsia" w:ascii="微软雅黑" w:hAnsi="微软雅黑" w:eastAsia="微软雅黑"/>
          <w:color w:val="000000"/>
          <w:sz w:val="24"/>
          <w:szCs w:val="24"/>
          <w:shd w:val="clear" w:color="auto" w:fill="FFFFFF"/>
        </w:rPr>
        <w:t>）</w:t>
      </w:r>
      <w:r>
        <w:rPr>
          <w:rStyle w:val="6"/>
          <w:rFonts w:hint="eastAsia" w:ascii="微软雅黑" w:hAnsi="微软雅黑" w:eastAsia="微软雅黑"/>
          <w:b w:val="0"/>
          <w:bCs w:val="0"/>
          <w:color w:val="000000"/>
          <w:sz w:val="24"/>
          <w:szCs w:val="24"/>
          <w:shd w:val="clear" w:color="auto" w:fill="FFFFFF"/>
          <w:lang w:val="en-US" w:eastAsia="zh-CN"/>
        </w:rPr>
        <w:t>市场</w:t>
      </w:r>
      <w:r>
        <w:rPr>
          <w:rStyle w:val="6"/>
          <w:rFonts w:hint="eastAsia" w:ascii="微软雅黑" w:hAnsi="微软雅黑" w:eastAsia="微软雅黑"/>
          <w:b w:val="0"/>
          <w:bCs w:val="0"/>
          <w:color w:val="000000"/>
          <w:sz w:val="24"/>
          <w:szCs w:val="24"/>
          <w:shd w:val="clear" w:color="auto" w:fill="FFFFFF"/>
        </w:rPr>
        <w:t>流动性</w:t>
      </w:r>
      <w:r>
        <w:rPr>
          <w:rStyle w:val="6"/>
          <w:rFonts w:hint="eastAsia" w:ascii="微软雅黑" w:hAnsi="微软雅黑" w:eastAsia="微软雅黑"/>
          <w:b w:val="0"/>
          <w:bCs w:val="0"/>
          <w:color w:val="000000"/>
          <w:sz w:val="24"/>
          <w:szCs w:val="24"/>
          <w:shd w:val="clear" w:color="auto" w:fill="FFFFFF"/>
          <w:lang w:val="en-US" w:eastAsia="zh-CN"/>
        </w:rPr>
        <w:t>平稳</w:t>
      </w:r>
    </w:p>
    <w:p>
      <w:pPr>
        <w:jc w:val="left"/>
      </w:pPr>
      <w:r>
        <w:drawing>
          <wp:inline distT="0" distB="0" distL="114300" distR="114300">
            <wp:extent cx="4543425" cy="2782570"/>
            <wp:effectExtent l="0" t="0" r="9525"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4543425" cy="2782570"/>
                    </a:xfrm>
                    <a:prstGeom prst="rect">
                      <a:avLst/>
                    </a:prstGeom>
                    <a:noFill/>
                    <a:ln>
                      <a:noFill/>
                    </a:ln>
                  </pic:spPr>
                </pic:pic>
              </a:graphicData>
            </a:graphic>
          </wp:inline>
        </w:drawing>
      </w:r>
    </w:p>
    <w:p>
      <w:pPr>
        <w:jc w:val="left"/>
        <w:rPr>
          <w:rFonts w:hint="eastAsia"/>
          <w:lang w:val="en-US" w:eastAsia="zh-CN"/>
        </w:rPr>
      </w:pPr>
      <w:r>
        <w:rPr>
          <w:rFonts w:hint="eastAsia"/>
          <w:lang w:eastAsia="zh-CN"/>
        </w:rPr>
        <w:t>（</w:t>
      </w:r>
      <w:r>
        <w:rPr>
          <w:rFonts w:hint="eastAsia"/>
          <w:lang w:val="en-US" w:eastAsia="zh-CN"/>
        </w:rPr>
        <w:t>数据来源：东方财富网）</w:t>
      </w:r>
    </w:p>
    <w:p>
      <w:pPr>
        <w:jc w:val="left"/>
        <w:rPr>
          <w:rFonts w:hint="default" w:ascii="微软雅黑" w:hAnsi="微软雅黑" w:eastAsia="微软雅黑" w:cs="微软雅黑"/>
          <w:sz w:val="24"/>
          <w:szCs w:val="24"/>
          <w:lang w:val="en-US" w:eastAsia="zh-CN"/>
        </w:rPr>
      </w:pPr>
      <w:r>
        <w:rPr>
          <w:rFonts w:hint="eastAsia"/>
          <w:lang w:val="en-US" w:eastAsia="zh-CN"/>
        </w:rPr>
        <w:t xml:space="preserve">   </w:t>
      </w:r>
      <w:r>
        <w:rPr>
          <w:rFonts w:hint="eastAsia" w:ascii="微软雅黑" w:hAnsi="微软雅黑" w:eastAsia="微软雅黑" w:cs="微软雅黑"/>
          <w:sz w:val="24"/>
          <w:szCs w:val="24"/>
          <w:lang w:val="en-US" w:eastAsia="zh-CN"/>
        </w:rPr>
        <w:t xml:space="preserve"> 7月31日当天，截至A股收盘，统计数据显示北向资金合计净流出4.99亿元。其中沪股通净流出6.21亿元，深股通净流入1.22亿元。但结合7月整月来看，北向资金还是呈现净流入态势。</w:t>
      </w:r>
    </w:p>
    <w:p>
      <w:pPr>
        <w:jc w:val="left"/>
        <w:rPr>
          <w:rFonts w:hint="default" w:ascii="微软雅黑" w:hAnsi="微软雅黑" w:eastAsia="微软雅黑" w:cs="微软雅黑"/>
          <w:b/>
          <w:color w:val="4D4D4D"/>
          <w:sz w:val="28"/>
          <w:szCs w:val="28"/>
          <w:lang w:val="en-US" w:eastAsia="zh-CN"/>
        </w:rPr>
      </w:pPr>
      <w:r>
        <w:rPr>
          <w:rFonts w:hint="eastAsia" w:ascii="微软雅黑" w:hAnsi="微软雅黑" w:eastAsia="微软雅黑" w:cs="微软雅黑"/>
          <w:b w:val="0"/>
          <w:bCs/>
          <w:color w:val="4D4D4D"/>
          <w:sz w:val="28"/>
          <w:szCs w:val="28"/>
        </w:rPr>
        <w:t>四</w:t>
      </w:r>
      <w:r>
        <w:rPr>
          <w:rFonts w:hint="eastAsia" w:ascii="微软雅黑" w:hAnsi="微软雅黑" w:eastAsia="微软雅黑" w:cs="微软雅黑"/>
          <w:b/>
          <w:color w:val="4D4D4D"/>
          <w:sz w:val="28"/>
          <w:szCs w:val="28"/>
        </w:rPr>
        <w:t>、</w:t>
      </w:r>
      <w:r>
        <w:rPr>
          <w:rFonts w:hint="eastAsia" w:ascii="微软雅黑" w:hAnsi="微软雅黑" w:eastAsia="微软雅黑" w:cs="微软雅黑"/>
          <w:b w:val="0"/>
          <w:bCs/>
          <w:color w:val="4D4D4D"/>
          <w:sz w:val="28"/>
          <w:szCs w:val="28"/>
        </w:rPr>
        <w:t>市场</w:t>
      </w:r>
      <w:r>
        <w:rPr>
          <w:rFonts w:hint="eastAsia" w:ascii="微软雅黑" w:hAnsi="微软雅黑" w:eastAsia="微软雅黑" w:cs="微软雅黑"/>
          <w:b w:val="0"/>
          <w:bCs/>
          <w:color w:val="4D4D4D"/>
          <w:sz w:val="28"/>
          <w:szCs w:val="28"/>
          <w:lang w:val="en-US" w:eastAsia="zh-CN"/>
        </w:rPr>
        <w:t>事件点评</w:t>
      </w:r>
    </w:p>
    <w:p>
      <w:pPr>
        <w:ind w:firstLine="480" w:firstLineChars="200"/>
        <w:jc w:val="left"/>
        <w:rPr>
          <w:rStyle w:val="6"/>
          <w:rFonts w:hint="eastAsia" w:ascii="微软雅黑" w:hAnsi="微软雅黑" w:eastAsia="微软雅黑"/>
          <w:b w:val="0"/>
          <w:bCs w:val="0"/>
          <w:color w:val="000000"/>
          <w:sz w:val="24"/>
          <w:szCs w:val="24"/>
          <w:shd w:val="clear" w:color="auto" w:fill="FFFFFF"/>
        </w:rPr>
      </w:pPr>
      <w:r>
        <w:rPr>
          <w:rStyle w:val="6"/>
          <w:rFonts w:hint="eastAsia" w:ascii="微软雅黑" w:hAnsi="微软雅黑" w:eastAsia="微软雅黑"/>
          <w:b w:val="0"/>
          <w:bCs w:val="0"/>
          <w:color w:val="000000"/>
          <w:sz w:val="24"/>
          <w:szCs w:val="24"/>
          <w:shd w:val="clear" w:color="auto" w:fill="FFFFFF"/>
        </w:rPr>
        <w:t>中共中央政治局2019年7月30日召开会议，分析研究当前经济形势和经济工作。</w:t>
      </w:r>
    </w:p>
    <w:p>
      <w:pPr>
        <w:jc w:val="left"/>
        <w:rPr>
          <w:rStyle w:val="6"/>
          <w:rFonts w:hint="eastAsia" w:ascii="微软雅黑" w:hAnsi="微软雅黑" w:eastAsia="微软雅黑"/>
          <w:b w:val="0"/>
          <w:bCs w:val="0"/>
          <w:color w:val="000000"/>
          <w:sz w:val="24"/>
          <w:szCs w:val="24"/>
          <w:shd w:val="clear" w:color="auto" w:fill="FFFFFF"/>
        </w:rPr>
      </w:pPr>
      <w:r>
        <w:rPr>
          <w:rStyle w:val="6"/>
          <w:rFonts w:hint="eastAsia" w:ascii="微软雅黑" w:hAnsi="微软雅黑" w:eastAsia="微软雅黑"/>
          <w:b w:val="0"/>
          <w:bCs w:val="0"/>
          <w:color w:val="000000"/>
          <w:sz w:val="24"/>
          <w:szCs w:val="24"/>
          <w:shd w:val="clear" w:color="auto" w:fill="FFFFFF"/>
        </w:rPr>
        <w:t>　1、此次会议政策定调再度转向中性偏宽松方向，整体符合市场预期。与4.19政治局会议相比，政策基调边际宽松。1)经济下行压力加大：当前会议判断“国内经济下行压力加大，必须增强忧患意识”，前次会议判断“国内经济存在下行压力……必须保持定力”；2)政策基调转松：本次会议重提“六稳”、“保持流动性合理充裕”等论述；3)信用稳：本次会议强调继续“推进金融供给侧结构性改革”，并“引导金融机构增加对制造业、民营企业的中长期融资”，未提“去杠杆”；4)无须担心处置风险的风险：本次会议强调“把握好风险处置节奏和力度”、未提“坚决打好三大攻坚战”；5)房地产调控偏严厉：延续“房住不炒”，且明确强调“不将房地产作为短期刺激经济的手段”。</w:t>
      </w:r>
    </w:p>
    <w:p>
      <w:pPr>
        <w:ind w:firstLine="420"/>
        <w:jc w:val="left"/>
        <w:rPr>
          <w:rStyle w:val="6"/>
          <w:rFonts w:hint="eastAsia" w:ascii="微软雅黑" w:hAnsi="微软雅黑" w:eastAsia="微软雅黑"/>
          <w:b w:val="0"/>
          <w:bCs w:val="0"/>
          <w:color w:val="000000"/>
          <w:sz w:val="24"/>
          <w:szCs w:val="24"/>
          <w:shd w:val="clear" w:color="auto" w:fill="FFFFFF"/>
        </w:rPr>
      </w:pPr>
      <w:r>
        <w:rPr>
          <w:rStyle w:val="6"/>
          <w:rFonts w:hint="eastAsia" w:ascii="微软雅黑" w:hAnsi="微软雅黑" w:eastAsia="微软雅黑"/>
          <w:b w:val="0"/>
          <w:bCs w:val="0"/>
          <w:color w:val="000000"/>
          <w:sz w:val="24"/>
          <w:szCs w:val="24"/>
          <w:shd w:val="clear" w:color="auto" w:fill="FFFFFF"/>
        </w:rPr>
        <w:t>2、当前A股面临宽货币稳信用的组合。A股市场做多组合一共有三类：最佳：货币信用双宽；次优：稳货币宽信用；再次：宽货币稳信用。当前A股市场的两大要点是：1)金融供给侧改革推进。本次会议政策定调完全符合金融供给侧改革的四大内涵：优化金融结构、降低融资成本、扩大金融开放、防范金融风险。金融供给侧改革有助于从降低广谱利率(改善制造业民企的融资条件)和修复长期风险偏好(把握好风险处置节奏和力度)两方面驱动“金融供给侧慢牛”，今年和去年相比最大的不同是稳信用而非紧信用，堵偏门(房地产融资条件收紧)同时开正门(用改革办法扩大消费、稳定制造业投资、实施补短板工程、加快新型基建)；6月美联储表态打开“预防式降息”周期将有助于增大中国货币政策腾挪空间。本次货币政策表述相较4.19政治局会议仅增添“保持流动性合理充裕”将降低市场对于中国央行跟随7月底美联储降息的预期，需要见到三大制约因素减轻(通胀、房价、汇率)，预计降低融资成本更直接政策在</w:t>
      </w:r>
      <w:r>
        <w:rPr>
          <w:rStyle w:val="6"/>
          <w:rFonts w:hint="eastAsia" w:ascii="微软雅黑" w:hAnsi="微软雅黑" w:eastAsia="微软雅黑"/>
          <w:b w:val="0"/>
          <w:bCs w:val="0"/>
          <w:color w:val="000000"/>
          <w:sz w:val="24"/>
          <w:szCs w:val="24"/>
          <w:shd w:val="clear" w:color="auto" w:fill="FFFFFF"/>
          <w:lang w:val="en-US" w:eastAsia="zh-CN"/>
        </w:rPr>
        <w:t>2019年四季度</w:t>
      </w:r>
      <w:r>
        <w:rPr>
          <w:rStyle w:val="6"/>
          <w:rFonts w:hint="eastAsia" w:ascii="微软雅黑" w:hAnsi="微软雅黑" w:eastAsia="微软雅黑"/>
          <w:b w:val="0"/>
          <w:bCs w:val="0"/>
          <w:color w:val="000000"/>
          <w:sz w:val="24"/>
          <w:szCs w:val="24"/>
          <w:shd w:val="clear" w:color="auto" w:fill="FFFFFF"/>
        </w:rPr>
        <w:t>前期。</w:t>
      </w:r>
    </w:p>
    <w:p>
      <w:pPr>
        <w:ind w:firstLine="420"/>
        <w:jc w:val="left"/>
        <w:rPr>
          <w:rFonts w:hint="eastAsia" w:ascii="微软雅黑" w:hAnsi="微软雅黑" w:eastAsia="微软雅黑" w:cs="微软雅黑"/>
          <w:b w:val="0"/>
          <w:bCs/>
          <w:color w:val="4D4D4D"/>
          <w:sz w:val="28"/>
          <w:szCs w:val="28"/>
        </w:rPr>
      </w:pPr>
      <w:r>
        <w:rPr>
          <w:rFonts w:hint="eastAsia" w:ascii="微软雅黑" w:hAnsi="微软雅黑" w:eastAsia="微软雅黑" w:cs="微软雅黑"/>
          <w:b/>
          <w:color w:val="4D4D4D"/>
          <w:sz w:val="24"/>
        </w:rPr>
        <w:t>五、</w:t>
      </w:r>
      <w:r>
        <w:rPr>
          <w:rFonts w:hint="eastAsia" w:ascii="微软雅黑" w:hAnsi="微软雅黑" w:eastAsia="微软雅黑" w:cs="微软雅黑"/>
          <w:b w:val="0"/>
          <w:bCs/>
          <w:color w:val="4D4D4D"/>
          <w:sz w:val="28"/>
          <w:szCs w:val="28"/>
        </w:rPr>
        <w:t>技术面看市</w:t>
      </w:r>
    </w:p>
    <w:p>
      <w:pPr>
        <w:jc w:val="left"/>
        <w:rPr>
          <w:rFonts w:hint="eastAsia" w:ascii="微软雅黑" w:hAnsi="微软雅黑" w:eastAsia="微软雅黑" w:cs="微软雅黑"/>
          <w:b w:val="0"/>
          <w:bCs/>
          <w:color w:val="4D4D4D"/>
          <w:sz w:val="24"/>
          <w:szCs w:val="24"/>
          <w:lang w:val="en-US" w:eastAsia="zh-CN"/>
        </w:rPr>
      </w:pPr>
      <w:r>
        <w:rPr>
          <w:rFonts w:hint="eastAsia" w:ascii="微软雅黑" w:hAnsi="微软雅黑" w:eastAsia="微软雅黑" w:cs="微软雅黑"/>
          <w:b/>
          <w:color w:val="4D4D4D"/>
          <w:sz w:val="24"/>
        </w:rPr>
        <w:t xml:space="preserve">  </w:t>
      </w:r>
      <w:r>
        <w:rPr>
          <w:rFonts w:hint="eastAsia" w:ascii="微软雅黑" w:hAnsi="微软雅黑" w:eastAsia="微软雅黑" w:cs="微软雅黑"/>
          <w:b/>
          <w:color w:val="4D4D4D"/>
          <w:sz w:val="24"/>
          <w:szCs w:val="24"/>
        </w:rPr>
        <w:t xml:space="preserve"> </w:t>
      </w:r>
      <w:r>
        <w:rPr>
          <w:rFonts w:hint="eastAsia" w:ascii="微软雅黑" w:hAnsi="微软雅黑" w:eastAsia="微软雅黑" w:cs="微软雅黑"/>
          <w:b w:val="0"/>
          <w:bCs/>
          <w:color w:val="4D4D4D"/>
          <w:sz w:val="24"/>
          <w:szCs w:val="24"/>
          <w:lang w:val="en-US" w:eastAsia="zh-CN"/>
        </w:rPr>
        <w:t>综合分析，经济虽然较弱，但上市公司盈利并不很糟糕；本轮贴现率下行驱动估值扩张盖过盈利探底。中央政治局会议定调张弛有度，即有助于减轻市场对于信用紧缩的担忧，亦打消市场对于需求端刺激大水漫灌的期待。触发二季度调整的三因素已有不同程度修复，政策：宽货币稳信用；实体：企业盈利不迟于三季度见底；海外：虽然英国硬脱欧风险增加但全球央行宽松。受益于广谱利率下行和盈利预期改善及金融供给侧改革供给端受益的头部券商都值得关注。中长期来看，随着企业盈利可能在3-4季度的回升，及外资的持续流入，仍然乐观看好未来指数的表现。</w:t>
      </w:r>
    </w:p>
    <w:p>
      <w:pPr>
        <w:jc w:val="left"/>
        <w:rPr>
          <w:rFonts w:hint="eastAsia" w:ascii="微软雅黑" w:hAnsi="微软雅黑" w:eastAsia="微软雅黑" w:cs="微软雅黑"/>
          <w:b w:val="0"/>
          <w:bCs/>
          <w:color w:val="4D4D4D"/>
          <w:sz w:val="24"/>
          <w:szCs w:val="24"/>
          <w:lang w:val="en-US" w:eastAsia="zh-CN"/>
        </w:rPr>
      </w:pPr>
      <w:r>
        <w:drawing>
          <wp:inline distT="0" distB="0" distL="114300" distR="114300">
            <wp:extent cx="5268595" cy="2219325"/>
            <wp:effectExtent l="0" t="0" r="8255"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5268595" cy="2219325"/>
                    </a:xfrm>
                    <a:prstGeom prst="rect">
                      <a:avLst/>
                    </a:prstGeom>
                    <a:noFill/>
                    <a:ln>
                      <a:noFill/>
                    </a:ln>
                  </pic:spPr>
                </pic:pic>
              </a:graphicData>
            </a:graphic>
          </wp:inline>
        </w:drawing>
      </w:r>
    </w:p>
    <w:p>
      <w:pPr>
        <w:jc w:val="left"/>
      </w:pPr>
    </w:p>
    <w:p>
      <w:pPr>
        <w:ind w:firstLine="480" w:firstLineChars="200"/>
        <w:jc w:val="left"/>
        <w:rPr>
          <w:rFonts w:hint="eastAsia"/>
          <w:lang w:val="en-US" w:eastAsia="zh-CN"/>
        </w:rPr>
      </w:pPr>
      <w:r>
        <w:rPr>
          <w:rFonts w:hint="eastAsia" w:ascii="微软雅黑" w:hAnsi="微软雅黑" w:eastAsia="微软雅黑" w:cs="微软雅黑"/>
          <w:sz w:val="24"/>
          <w:szCs w:val="24"/>
          <w:lang w:val="en-US" w:eastAsia="zh-CN"/>
        </w:rPr>
        <w:t>从上图长期来看沪指A股指数，我们发现作为黄线EXMPA呈现稳步向上走势，指数回调到黄线后期也都稳步上涨，所以说长期，我们仍然看好大A股的指数表现。</w:t>
      </w:r>
    </w:p>
    <w:p>
      <w:pPr>
        <w:jc w:val="left"/>
        <w:rPr>
          <w:rFonts w:hint="eastAsia"/>
          <w:lang w:val="en-US" w:eastAsia="zh-CN"/>
        </w:rPr>
      </w:pPr>
      <w:r>
        <w:drawing>
          <wp:inline distT="0" distB="0" distL="114300" distR="114300">
            <wp:extent cx="5200015" cy="2610485"/>
            <wp:effectExtent l="0" t="0" r="635" b="1841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00015" cy="2610485"/>
                    </a:xfrm>
                    <a:prstGeom prst="rect">
                      <a:avLst/>
                    </a:prstGeom>
                    <a:noFill/>
                    <a:ln>
                      <a:noFill/>
                    </a:ln>
                  </pic:spPr>
                </pic:pic>
              </a:graphicData>
            </a:graphic>
          </wp:inline>
        </w:drawing>
      </w:r>
    </w:p>
    <w:p>
      <w:p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短期上证指数下降压力线明显，但同时指数回调到位，倾向于指数震荡概率较大，突破下降压力位的时间点可能在9-10月份，因此，如果下周上涨突破，暂时当做多头陷阱对待。</w:t>
      </w:r>
    </w:p>
    <w:p>
      <w:pPr>
        <w:jc w:val="left"/>
        <w:rPr>
          <w:rFonts w:hint="eastAsia" w:ascii="微软雅黑" w:hAnsi="微软雅黑" w:eastAsia="微软雅黑" w:cs="微软雅黑"/>
          <w:b/>
          <w:color w:val="4D4D4D"/>
          <w:sz w:val="24"/>
          <w:szCs w:val="24"/>
        </w:rPr>
      </w:pPr>
      <w:r>
        <w:rPr>
          <w:rFonts w:hint="eastAsia" w:ascii="微软雅黑" w:hAnsi="微软雅黑" w:eastAsia="微软雅黑" w:cs="微软雅黑"/>
          <w:b/>
          <w:color w:val="4D4D4D"/>
          <w:sz w:val="24"/>
        </w:rPr>
        <w:t>六、</w:t>
      </w:r>
      <w:r>
        <w:rPr>
          <w:rFonts w:hint="eastAsia" w:ascii="微软雅黑" w:hAnsi="微软雅黑" w:eastAsia="微软雅黑" w:cs="微软雅黑"/>
          <w:b/>
          <w:color w:val="4D4D4D"/>
          <w:sz w:val="24"/>
          <w:szCs w:val="24"/>
        </w:rPr>
        <w:t>交易策略建议</w:t>
      </w:r>
    </w:p>
    <w:p>
      <w:pPr>
        <w:ind w:firstLine="480" w:firstLineChars="200"/>
        <w:jc w:val="left"/>
        <w:rPr>
          <w:rFonts w:ascii="微软雅黑" w:hAnsi="微软雅黑" w:eastAsia="微软雅黑" w:cs="微软雅黑"/>
          <w:b/>
          <w:color w:val="4D4D4D"/>
          <w:sz w:val="24"/>
          <w:szCs w:val="24"/>
        </w:rPr>
      </w:pPr>
      <w:r>
        <w:rPr>
          <w:rFonts w:hint="eastAsia" w:ascii="微软雅黑" w:hAnsi="微软雅黑" w:eastAsia="微软雅黑" w:cs="微软雅黑"/>
          <w:b/>
          <w:color w:val="4D4D4D"/>
          <w:sz w:val="24"/>
          <w:szCs w:val="24"/>
        </w:rPr>
        <w:t>基于以上看法</w:t>
      </w:r>
      <w:r>
        <w:rPr>
          <w:rFonts w:hint="eastAsia" w:ascii="微软雅黑" w:hAnsi="微软雅黑" w:eastAsia="微软雅黑" w:cs="微软雅黑"/>
          <w:b/>
          <w:color w:val="4D4D4D"/>
          <w:sz w:val="24"/>
          <w:szCs w:val="24"/>
          <w:lang w:val="en-US" w:eastAsia="zh-CN"/>
        </w:rPr>
        <w:t>短期保持</w:t>
      </w:r>
      <w:r>
        <w:rPr>
          <w:rFonts w:hint="eastAsia" w:ascii="微软雅黑" w:hAnsi="微软雅黑" w:eastAsia="微软雅黑" w:cs="微软雅黑"/>
          <w:b/>
          <w:color w:val="4D4D4D"/>
          <w:sz w:val="24"/>
          <w:szCs w:val="24"/>
        </w:rPr>
        <w:t>小仓位</w:t>
      </w:r>
      <w:bookmarkStart w:id="0" w:name="_GoBack"/>
      <w:bookmarkEnd w:id="0"/>
      <w:r>
        <w:rPr>
          <w:rFonts w:hint="eastAsia" w:ascii="微软雅黑" w:hAnsi="微软雅黑" w:eastAsia="微软雅黑" w:cs="微软雅黑"/>
          <w:b/>
          <w:color w:val="4D4D4D"/>
          <w:sz w:val="24"/>
          <w:szCs w:val="24"/>
        </w:rPr>
        <w:t>多单继续持有</w:t>
      </w:r>
      <w:r>
        <w:rPr>
          <w:rFonts w:hint="eastAsia" w:ascii="微软雅黑" w:hAnsi="微软雅黑" w:eastAsia="微软雅黑" w:cs="微软雅黑"/>
          <w:b/>
          <w:color w:val="4D4D4D"/>
          <w:sz w:val="24"/>
          <w:szCs w:val="24"/>
          <w:lang w:eastAsia="zh-CN"/>
        </w:rPr>
        <w:t>，</w:t>
      </w:r>
      <w:r>
        <w:rPr>
          <w:rFonts w:hint="eastAsia" w:ascii="微软雅黑" w:hAnsi="微软雅黑" w:eastAsia="微软雅黑" w:cs="微软雅黑"/>
          <w:b/>
          <w:color w:val="4D4D4D"/>
          <w:sz w:val="24"/>
          <w:szCs w:val="24"/>
          <w:lang w:val="en-US" w:eastAsia="zh-CN"/>
        </w:rPr>
        <w:t>前期获利多单不补回</w:t>
      </w:r>
      <w:r>
        <w:rPr>
          <w:rFonts w:hint="eastAsia" w:ascii="微软雅黑" w:hAnsi="微软雅黑" w:eastAsia="微软雅黑" w:cs="微软雅黑"/>
          <w:b/>
          <w:color w:val="4D4D4D"/>
          <w:sz w:val="24"/>
          <w:szCs w:val="24"/>
        </w:rPr>
        <w:t>。</w:t>
      </w:r>
    </w:p>
    <w:p/>
    <w:p/>
    <w:p>
      <w:pPr>
        <w:spacing w:line="440" w:lineRule="exact"/>
        <w:ind w:firstLine="482" w:firstLineChars="200"/>
        <w:rPr>
          <w:sz w:val="24"/>
        </w:rPr>
      </w:pPr>
      <w:r>
        <w:rPr>
          <w:rFonts w:hint="eastAsia"/>
          <w:b/>
          <w:bCs/>
          <w:sz w:val="24"/>
        </w:rPr>
        <w:t>风险揭示</w:t>
      </w:r>
      <w:r>
        <w:rPr>
          <w:rFonts w:hint="eastAsia"/>
          <w:sz w:val="24"/>
        </w:rPr>
        <w:t>：</w:t>
      </w:r>
      <w:r>
        <w:rPr>
          <w:rFonts w:hint="eastAsia"/>
          <w:szCs w:val="21"/>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spacing w:line="440" w:lineRule="exact"/>
        <w:ind w:firstLine="482" w:firstLineChars="200"/>
        <w:rPr>
          <w:szCs w:val="21"/>
        </w:rPr>
      </w:pPr>
      <w:r>
        <w:rPr>
          <w:rFonts w:hint="eastAsia"/>
          <w:b/>
          <w:bCs/>
          <w:sz w:val="24"/>
        </w:rPr>
        <w:t>免责声明</w:t>
      </w:r>
      <w:r>
        <w:rPr>
          <w:rFonts w:hint="eastAsia"/>
          <w:sz w:val="24"/>
        </w:rPr>
        <w:t>：</w:t>
      </w:r>
      <w:r>
        <w:rPr>
          <w:rFonts w:hint="eastAsia"/>
          <w:szCs w:val="21"/>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spacing w:line="440" w:lineRule="exact"/>
        <w:ind w:firstLine="420" w:firstLineChars="200"/>
        <w:rPr>
          <w:sz w:val="24"/>
        </w:rPr>
      </w:pPr>
      <w:r>
        <w:rPr>
          <w:rFonts w:hint="eastAsia"/>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rPr>
        <w:t xml:space="preserve"> </w:t>
      </w:r>
    </w:p>
    <w:p>
      <w:pPr>
        <w:spacing w:line="440" w:lineRule="exact"/>
        <w:ind w:firstLine="480" w:firstLineChars="200"/>
        <w:rPr>
          <w:sz w:val="24"/>
        </w:rPr>
      </w:pPr>
      <w:r>
        <w:rPr>
          <w:rFonts w:hint="eastAsia"/>
          <w:sz w:val="24"/>
        </w:rPr>
        <w:t xml:space="preserve"> </w:t>
      </w:r>
    </w:p>
    <w:p>
      <w:pPr>
        <w:spacing w:line="440" w:lineRule="exact"/>
        <w:ind w:firstLine="480" w:firstLineChars="200"/>
        <w:rPr>
          <w:sz w:val="24"/>
        </w:rPr>
      </w:pPr>
    </w:p>
    <w:p>
      <w:pPr>
        <w:spacing w:line="440" w:lineRule="exact"/>
        <w:ind w:firstLine="420" w:firstLineChars="200"/>
        <w:rPr>
          <w:szCs w:val="21"/>
        </w:rPr>
      </w:pPr>
      <w:r>
        <w:rPr>
          <w:rFonts w:hint="eastAsia"/>
          <w:szCs w:val="21"/>
        </w:rPr>
        <w:t xml:space="preserve">和合期货投询部 </w:t>
      </w:r>
    </w:p>
    <w:p>
      <w:pPr>
        <w:spacing w:line="440" w:lineRule="exact"/>
        <w:ind w:firstLine="420" w:firstLineChars="200"/>
        <w:rPr>
          <w:szCs w:val="21"/>
        </w:rPr>
      </w:pPr>
      <w:r>
        <w:rPr>
          <w:rFonts w:hint="eastAsia"/>
          <w:szCs w:val="21"/>
        </w:rPr>
        <w:t xml:space="preserve">联系电话：0351-7342558 </w:t>
      </w:r>
    </w:p>
    <w:p>
      <w:pPr>
        <w:spacing w:line="440" w:lineRule="exact"/>
        <w:ind w:firstLine="420" w:firstLineChars="200"/>
        <w:rPr>
          <w:sz w:val="24"/>
        </w:rPr>
      </w:pPr>
      <w:r>
        <w:rPr>
          <w:rFonts w:hint="eastAsia"/>
          <w:szCs w:val="21"/>
        </w:rPr>
        <w:t>公司网址</w:t>
      </w:r>
      <w:r>
        <w:rPr>
          <w:rFonts w:hint="eastAsia"/>
          <w:sz w:val="24"/>
        </w:rPr>
        <w:t>：</w:t>
      </w:r>
      <w:r>
        <w:fldChar w:fldCharType="begin"/>
      </w:r>
      <w:r>
        <w:instrText xml:space="preserve"> HYPERLINK "http://www.hhqh.com.cn" </w:instrText>
      </w:r>
      <w:r>
        <w:fldChar w:fldCharType="separate"/>
      </w:r>
      <w:r>
        <w:rPr>
          <w:rStyle w:val="7"/>
          <w:rFonts w:hint="eastAsia"/>
          <w:sz w:val="24"/>
        </w:rPr>
        <w:t>http://www.hhqh.com.cn</w:t>
      </w:r>
      <w:r>
        <w:rPr>
          <w:rStyle w:val="7"/>
          <w:rFonts w:hint="eastAsia"/>
          <w:sz w:val="24"/>
        </w:rPr>
        <w:fldChar w:fldCharType="end"/>
      </w:r>
    </w:p>
    <w:p>
      <w:pPr>
        <w:spacing w:line="440" w:lineRule="exact"/>
        <w:ind w:firstLine="480" w:firstLineChars="200"/>
        <w:rPr>
          <w:sz w:val="24"/>
        </w:rPr>
      </w:pPr>
    </w:p>
    <w:p>
      <w:pPr>
        <w:jc w:val="left"/>
      </w:pPr>
      <w:r>
        <w:rPr>
          <w:rFonts w:hint="eastAsia"/>
          <w:szCs w:val="21"/>
        </w:rPr>
        <w:t>和合期货有限公司经营范围包括：商品期货经纪业务、金融期货经纪业务、期货投资咨询业务、公开募集证券投资基金销售业务。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2F918"/>
    <w:multiLevelType w:val="singleLevel"/>
    <w:tmpl w:val="8C52F91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14839"/>
    <w:rsid w:val="00091592"/>
    <w:rsid w:val="00121EC6"/>
    <w:rsid w:val="001500C8"/>
    <w:rsid w:val="00152D45"/>
    <w:rsid w:val="001B48ED"/>
    <w:rsid w:val="001F61EF"/>
    <w:rsid w:val="00202D39"/>
    <w:rsid w:val="00223A09"/>
    <w:rsid w:val="00300F6C"/>
    <w:rsid w:val="004A2738"/>
    <w:rsid w:val="004C6E9F"/>
    <w:rsid w:val="004D230E"/>
    <w:rsid w:val="005D425A"/>
    <w:rsid w:val="00624DC0"/>
    <w:rsid w:val="00630903"/>
    <w:rsid w:val="00672BF5"/>
    <w:rsid w:val="006939BA"/>
    <w:rsid w:val="006A645B"/>
    <w:rsid w:val="006B097A"/>
    <w:rsid w:val="00707C04"/>
    <w:rsid w:val="00727182"/>
    <w:rsid w:val="0076192B"/>
    <w:rsid w:val="00767117"/>
    <w:rsid w:val="0079113F"/>
    <w:rsid w:val="00852147"/>
    <w:rsid w:val="00897C5D"/>
    <w:rsid w:val="008D37BE"/>
    <w:rsid w:val="009172AF"/>
    <w:rsid w:val="00982BBE"/>
    <w:rsid w:val="009C2BEE"/>
    <w:rsid w:val="00AD0CE2"/>
    <w:rsid w:val="00B62602"/>
    <w:rsid w:val="00C23A5B"/>
    <w:rsid w:val="00C452D2"/>
    <w:rsid w:val="00CE2C1A"/>
    <w:rsid w:val="00CE451A"/>
    <w:rsid w:val="00DA5F6B"/>
    <w:rsid w:val="00DF0122"/>
    <w:rsid w:val="00E43761"/>
    <w:rsid w:val="00EC2EF8"/>
    <w:rsid w:val="00ED2CDC"/>
    <w:rsid w:val="00EE5366"/>
    <w:rsid w:val="00F92AF5"/>
    <w:rsid w:val="00FC14A9"/>
    <w:rsid w:val="00FE152C"/>
    <w:rsid w:val="0B514839"/>
    <w:rsid w:val="0BC64009"/>
    <w:rsid w:val="170B26C9"/>
    <w:rsid w:val="3AB972A5"/>
    <w:rsid w:val="60226589"/>
    <w:rsid w:val="795B0DE3"/>
    <w:rsid w:val="7C5B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2068</Characters>
  <Lines>17</Lines>
  <Paragraphs>4</Paragraphs>
  <TotalTime>4</TotalTime>
  <ScaleCrop>false</ScaleCrop>
  <LinksUpToDate>false</LinksUpToDate>
  <CharactersWithSpaces>2426</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2019-04-08T08:31:00Z</dcterms:created>
  <dc:creator>Administrator</dc:creator>
  <cp:lastModifiedBy>圆</cp:lastModifiedBy>
  <dcterms:modified xsi:type="dcterms:W3CDTF">2019-07-31T08:21:22Z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