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sz w:val="28"/>
          <w:szCs w:val="28"/>
        </w:rPr>
        <w:t>股指期货</w:t>
      </w:r>
      <w:r>
        <w:rPr>
          <w:rFonts w:hint="eastAsia"/>
          <w:sz w:val="28"/>
          <w:szCs w:val="28"/>
          <w:lang w:val="en-US" w:eastAsia="zh-CN"/>
        </w:rPr>
        <w:t>半年</w:t>
      </w:r>
      <w:r>
        <w:rPr>
          <w:rFonts w:hint="eastAsia"/>
          <w:sz w:val="28"/>
          <w:szCs w:val="28"/>
        </w:rPr>
        <w:t>报（</w:t>
      </w:r>
      <w:r>
        <w:rPr>
          <w:rFonts w:hint="eastAsia"/>
          <w:sz w:val="28"/>
          <w:szCs w:val="28"/>
          <w:lang w:eastAsia="zh-CN"/>
        </w:rPr>
        <w:t>2019.6.28</w:t>
      </w:r>
      <w:r>
        <w:rPr>
          <w:rFonts w:hint="eastAsia"/>
          <w:sz w:val="28"/>
          <w:szCs w:val="28"/>
        </w:rPr>
        <w:t>）</w:t>
      </w:r>
    </w:p>
    <w:p/>
    <w:p/>
    <w:p>
      <w:pPr>
        <w:jc w:val="left"/>
      </w:pPr>
      <w:r>
        <w:drawing>
          <wp:anchor distT="0" distB="0" distL="114300" distR="114300" simplePos="0" relativeHeight="251658240" behindDoc="0" locked="0" layoutInCell="1" allowOverlap="1">
            <wp:simplePos x="0" y="0"/>
            <wp:positionH relativeFrom="column">
              <wp:posOffset>286385</wp:posOffset>
            </wp:positionH>
            <wp:positionV relativeFrom="paragraph">
              <wp:posOffset>6350</wp:posOffset>
            </wp:positionV>
            <wp:extent cx="2040255" cy="1021715"/>
            <wp:effectExtent l="0" t="0" r="17145"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郭冬岩     </w:t>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从业资格证号：F3024504    </w:t>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 xml:space="preserve">投询资格证号：Z0013837    </w:t>
      </w:r>
    </w:p>
    <w:p>
      <w:pPr>
        <w:wordWrap w:val="0"/>
        <w:spacing w:line="240" w:lineRule="atLeast"/>
        <w:ind w:firstLine="540" w:firstLineChars="300"/>
        <w:rPr>
          <w:rFonts w:ascii="微软雅黑" w:hAnsi="微软雅黑" w:eastAsia="微软雅黑" w:cs="微软雅黑"/>
          <w:sz w:val="18"/>
          <w:szCs w:val="18"/>
          <w:shd w:val="clear" w:color="auto" w:fill="FFFFFF"/>
        </w:rPr>
      </w:pPr>
      <w:r>
        <w:rPr>
          <w:rFonts w:hint="eastAsia" w:ascii="微软雅黑" w:hAnsi="微软雅黑" w:eastAsia="微软雅黑" w:cs="微软雅黑"/>
          <w:sz w:val="18"/>
          <w:szCs w:val="18"/>
          <w:shd w:val="clear" w:color="auto" w:fill="FFFFFF"/>
        </w:rPr>
        <w:t>电话： 0351-7342558</w:t>
      </w:r>
    </w:p>
    <w:p>
      <w:pPr>
        <w:ind w:firstLine="540" w:firstLineChars="300"/>
        <w:rPr>
          <w:rStyle w:val="7"/>
          <w:rFonts w:ascii="宋体" w:hAnsi="宋体" w:cs="宋体"/>
          <w:sz w:val="18"/>
          <w:szCs w:val="18"/>
          <w:u w:val="none"/>
        </w:rPr>
      </w:pPr>
      <w:r>
        <w:rPr>
          <w:rFonts w:hint="eastAsia" w:ascii="微软雅黑" w:hAnsi="微软雅黑" w:eastAsia="微软雅黑" w:cs="微软雅黑"/>
          <w:sz w:val="18"/>
          <w:szCs w:val="18"/>
          <w:shd w:val="clear" w:color="auto" w:fill="FFFFFF"/>
        </w:rPr>
        <w:t>邮箱</w:t>
      </w:r>
      <w:r>
        <w:rPr>
          <w:rFonts w:ascii="微软雅黑" w:hAnsi="微软雅黑" w:eastAsia="微软雅黑" w:cs="微软雅黑"/>
          <w:sz w:val="18"/>
          <w:szCs w:val="18"/>
          <w:shd w:val="clear" w:color="auto" w:fill="FFFFFF"/>
        </w:rPr>
        <w:t>：</w:t>
      </w:r>
      <w:r>
        <w:fldChar w:fldCharType="begin"/>
      </w:r>
      <w:r>
        <w:instrText xml:space="preserve"> HYPERLINK "mailto:guodongyan@hhqh.com" </w:instrText>
      </w:r>
      <w:r>
        <w:fldChar w:fldCharType="separate"/>
      </w:r>
      <w:r>
        <w:rPr>
          <w:rStyle w:val="7"/>
          <w:rFonts w:hint="eastAsia" w:ascii="宋体" w:hAnsi="宋体" w:eastAsia="宋体" w:cs="宋体"/>
          <w:sz w:val="18"/>
          <w:szCs w:val="18"/>
        </w:rPr>
        <w:t>guodongyan@hhqh.com</w:t>
      </w:r>
      <w:r>
        <w:rPr>
          <w:rStyle w:val="7"/>
          <w:rFonts w:hint="eastAsia" w:ascii="宋体" w:hAnsi="宋体" w:eastAsia="宋体" w:cs="宋体"/>
          <w:sz w:val="18"/>
          <w:szCs w:val="18"/>
        </w:rPr>
        <w:fldChar w:fldCharType="end"/>
      </w:r>
      <w:r>
        <w:rPr>
          <w:rStyle w:val="7"/>
          <w:rFonts w:hint="eastAsia" w:ascii="宋体" w:hAnsi="宋体" w:cs="宋体"/>
          <w:sz w:val="18"/>
          <w:szCs w:val="18"/>
        </w:rPr>
        <w:t>.cn</w:t>
      </w:r>
      <w:r>
        <w:rPr>
          <w:rStyle w:val="7"/>
          <w:rFonts w:hint="eastAsia" w:ascii="宋体" w:hAnsi="宋体" w:cs="宋体"/>
          <w:sz w:val="18"/>
          <w:szCs w:val="18"/>
          <w:u w:val="none"/>
        </w:rPr>
        <w:t xml:space="preserve"> </w:t>
      </w:r>
    </w:p>
    <w:p>
      <w:pPr>
        <w:rPr>
          <w:rStyle w:val="7"/>
          <w:rFonts w:ascii="宋体" w:hAnsi="宋体" w:cs="宋体"/>
          <w:sz w:val="18"/>
          <w:szCs w:val="18"/>
          <w:u w:val="none"/>
        </w:rPr>
      </w:pPr>
    </w:p>
    <w:p>
      <w:pPr>
        <w:jc w:val="left"/>
        <w:rPr>
          <w:rStyle w:val="7"/>
          <w:rFonts w:hint="eastAsia" w:ascii="微软雅黑" w:hAnsi="微软雅黑" w:eastAsia="微软雅黑" w:cs="微软雅黑"/>
          <w:b/>
          <w:color w:val="4D4D4D"/>
          <w:sz w:val="24"/>
          <w:u w:val="none"/>
        </w:rPr>
      </w:pPr>
      <w:r>
        <w:rPr>
          <w:rFonts w:hint="eastAsia" w:ascii="微软雅黑" w:hAnsi="微软雅黑" w:eastAsia="微软雅黑" w:cs="微软雅黑"/>
          <w:b/>
          <w:color w:val="4D4D4D"/>
          <w:sz w:val="24"/>
        </w:rPr>
        <w:t>一、</w:t>
      </w:r>
      <w:r>
        <w:rPr>
          <w:rFonts w:hint="eastAsia" w:ascii="微软雅黑" w:hAnsi="微软雅黑" w:eastAsia="微软雅黑" w:cs="微软雅黑"/>
          <w:b/>
          <w:color w:val="4D4D4D"/>
          <w:sz w:val="24"/>
          <w:lang w:val="en-US" w:eastAsia="zh-CN"/>
        </w:rPr>
        <w:t>6</w:t>
      </w:r>
      <w:r>
        <w:rPr>
          <w:rFonts w:hint="eastAsia" w:ascii="微软雅黑" w:hAnsi="微软雅黑" w:eastAsia="微软雅黑" w:cs="微软雅黑"/>
          <w:b/>
          <w:color w:val="4D4D4D"/>
          <w:sz w:val="24"/>
        </w:rPr>
        <w:t>月</w:t>
      </w:r>
      <w:r>
        <w:rPr>
          <w:rFonts w:hint="eastAsia" w:ascii="微软雅黑" w:hAnsi="微软雅黑" w:eastAsia="微软雅黑" w:cs="微软雅黑"/>
          <w:b/>
          <w:color w:val="4D4D4D"/>
          <w:sz w:val="24"/>
          <w:lang w:val="en-US" w:eastAsia="zh-CN"/>
        </w:rPr>
        <w:t>最后</w:t>
      </w:r>
      <w:r>
        <w:rPr>
          <w:rFonts w:hint="eastAsia" w:ascii="微软雅黑" w:hAnsi="微软雅黑" w:eastAsia="微软雅黑" w:cs="微软雅黑"/>
          <w:b/>
          <w:color w:val="4D4D4D"/>
          <w:sz w:val="24"/>
        </w:rPr>
        <w:t>交易日期货主力合约成交情况</w:t>
      </w:r>
    </w:p>
    <w:p>
      <w:pPr>
        <w:ind w:firstLine="420" w:firstLineChars="200"/>
        <w:jc w:val="left"/>
        <w:rPr>
          <w:rStyle w:val="7"/>
          <w:rFonts w:ascii="微软雅黑" w:hAnsi="微软雅黑" w:eastAsia="微软雅黑" w:cs="微软雅黑"/>
          <w:b/>
          <w:color w:val="4D4D4D"/>
          <w:szCs w:val="21"/>
          <w:u w:val="none"/>
        </w:rPr>
      </w:pPr>
      <w:r>
        <w:rPr>
          <w:rFonts w:hint="eastAsia" w:ascii="微软雅黑" w:hAnsi="微软雅黑" w:eastAsia="微软雅黑" w:cs="微软雅黑"/>
          <w:b/>
          <w:color w:val="4D4D4D"/>
          <w:szCs w:val="21"/>
          <w:lang w:val="en-US" w:eastAsia="zh-CN"/>
        </w:rPr>
        <w:t>6</w:t>
      </w:r>
      <w:r>
        <w:rPr>
          <w:rFonts w:hint="eastAsia" w:ascii="微软雅黑" w:hAnsi="微软雅黑" w:eastAsia="微软雅黑" w:cs="微软雅黑"/>
          <w:b/>
          <w:color w:val="4D4D4D"/>
          <w:szCs w:val="21"/>
        </w:rPr>
        <w:t>月</w:t>
      </w:r>
      <w:r>
        <w:rPr>
          <w:rFonts w:hint="eastAsia" w:ascii="微软雅黑" w:hAnsi="微软雅黑" w:eastAsia="微软雅黑" w:cs="微软雅黑"/>
          <w:b/>
          <w:color w:val="4D4D4D"/>
          <w:szCs w:val="21"/>
          <w:lang w:val="en-US" w:eastAsia="zh-CN"/>
        </w:rPr>
        <w:t>28</w:t>
      </w:r>
      <w:r>
        <w:rPr>
          <w:rFonts w:hint="eastAsia" w:ascii="微软雅黑" w:hAnsi="微软雅黑" w:eastAsia="微软雅黑" w:cs="微软雅黑"/>
          <w:b/>
          <w:color w:val="4D4D4D"/>
          <w:szCs w:val="21"/>
        </w:rPr>
        <w:t>日收盘，沪深300股指主力（IF190</w:t>
      </w:r>
      <w:r>
        <w:rPr>
          <w:rFonts w:hint="eastAsia" w:ascii="微软雅黑" w:hAnsi="微软雅黑" w:eastAsia="微软雅黑" w:cs="微软雅黑"/>
          <w:b/>
          <w:color w:val="4D4D4D"/>
          <w:szCs w:val="21"/>
          <w:lang w:val="en-US" w:eastAsia="zh-CN"/>
        </w:rPr>
        <w:t>7</w:t>
      </w:r>
      <w:r>
        <w:rPr>
          <w:rFonts w:hint="eastAsia" w:ascii="微软雅黑" w:hAnsi="微软雅黑" w:eastAsia="微软雅黑" w:cs="微软雅黑"/>
          <w:b/>
          <w:color w:val="4D4D4D"/>
          <w:szCs w:val="21"/>
        </w:rPr>
        <w:t>）合约收盘价3</w:t>
      </w:r>
      <w:r>
        <w:rPr>
          <w:rFonts w:hint="eastAsia" w:ascii="微软雅黑" w:hAnsi="微软雅黑" w:eastAsia="微软雅黑" w:cs="微软雅黑"/>
          <w:b/>
          <w:color w:val="4D4D4D"/>
          <w:szCs w:val="21"/>
          <w:lang w:val="en-US" w:eastAsia="zh-CN"/>
        </w:rPr>
        <w:t>817.6</w:t>
      </w:r>
      <w:r>
        <w:rPr>
          <w:rFonts w:hint="eastAsia" w:ascii="微软雅黑" w:hAnsi="微软雅黑" w:eastAsia="微软雅黑" w:cs="微软雅黑"/>
          <w:b/>
          <w:color w:val="4D4D4D"/>
          <w:szCs w:val="21"/>
        </w:rPr>
        <w:t>点、微</w:t>
      </w:r>
      <w:r>
        <w:rPr>
          <w:rFonts w:hint="eastAsia" w:ascii="微软雅黑" w:hAnsi="微软雅黑" w:eastAsia="微软雅黑" w:cs="微软雅黑"/>
          <w:b/>
          <w:color w:val="4D4D4D"/>
          <w:szCs w:val="21"/>
          <w:lang w:val="en-US" w:eastAsia="zh-CN"/>
        </w:rPr>
        <w:t>涨</w:t>
      </w:r>
      <w:r>
        <w:rPr>
          <w:rFonts w:hint="eastAsia" w:ascii="微软雅黑" w:hAnsi="微软雅黑" w:eastAsia="微软雅黑" w:cs="微软雅黑"/>
          <w:b/>
          <w:color w:val="4D4D4D"/>
          <w:szCs w:val="21"/>
        </w:rPr>
        <w:t>0.</w:t>
      </w:r>
      <w:r>
        <w:rPr>
          <w:rFonts w:hint="eastAsia" w:ascii="微软雅黑" w:hAnsi="微软雅黑" w:eastAsia="微软雅黑" w:cs="微软雅黑"/>
          <w:b/>
          <w:color w:val="4D4D4D"/>
          <w:szCs w:val="21"/>
          <w:lang w:val="en-US" w:eastAsia="zh-CN"/>
        </w:rPr>
        <w:t>3</w:t>
      </w:r>
      <w:r>
        <w:rPr>
          <w:rFonts w:hint="eastAsia" w:ascii="微软雅黑" w:hAnsi="微软雅黑" w:eastAsia="微软雅黑" w:cs="微软雅黑"/>
          <w:b/>
          <w:color w:val="4D4D4D"/>
          <w:szCs w:val="21"/>
        </w:rPr>
        <w:t>8%,成交量8.</w:t>
      </w:r>
      <w:r>
        <w:rPr>
          <w:rFonts w:hint="eastAsia" w:ascii="微软雅黑" w:hAnsi="微软雅黑" w:eastAsia="微软雅黑" w:cs="微软雅黑"/>
          <w:b/>
          <w:color w:val="4D4D4D"/>
          <w:szCs w:val="21"/>
          <w:lang w:val="en-US" w:eastAsia="zh-CN"/>
        </w:rPr>
        <w:t>70</w:t>
      </w:r>
      <w:r>
        <w:rPr>
          <w:rFonts w:hint="eastAsia" w:ascii="微软雅黑" w:hAnsi="微软雅黑" w:eastAsia="微软雅黑" w:cs="微软雅黑"/>
          <w:b/>
          <w:color w:val="4D4D4D"/>
          <w:szCs w:val="21"/>
        </w:rPr>
        <w:t>万手，持仓量7.</w:t>
      </w:r>
      <w:r>
        <w:rPr>
          <w:rFonts w:hint="eastAsia" w:ascii="微软雅黑" w:hAnsi="微软雅黑" w:eastAsia="微软雅黑" w:cs="微软雅黑"/>
          <w:b/>
          <w:color w:val="4D4D4D"/>
          <w:szCs w:val="21"/>
          <w:lang w:val="en-US" w:eastAsia="zh-CN"/>
        </w:rPr>
        <w:t>85</w:t>
      </w:r>
      <w:r>
        <w:rPr>
          <w:rFonts w:hint="eastAsia" w:ascii="微软雅黑" w:hAnsi="微软雅黑" w:eastAsia="微软雅黑" w:cs="微软雅黑"/>
          <w:b/>
          <w:color w:val="4D4D4D"/>
          <w:szCs w:val="21"/>
        </w:rPr>
        <w:t>万手；上证50（IH190</w:t>
      </w:r>
      <w:r>
        <w:rPr>
          <w:rFonts w:hint="eastAsia" w:ascii="微软雅黑" w:hAnsi="微软雅黑" w:eastAsia="微软雅黑" w:cs="微软雅黑"/>
          <w:b/>
          <w:color w:val="4D4D4D"/>
          <w:szCs w:val="21"/>
          <w:lang w:val="en-US" w:eastAsia="zh-CN"/>
        </w:rPr>
        <w:t>7</w:t>
      </w:r>
      <w:r>
        <w:rPr>
          <w:rFonts w:hint="eastAsia" w:ascii="微软雅黑" w:hAnsi="微软雅黑" w:eastAsia="微软雅黑" w:cs="微软雅黑"/>
          <w:b/>
          <w:color w:val="4D4D4D"/>
          <w:szCs w:val="21"/>
        </w:rPr>
        <w:t>）合约收盘价29</w:t>
      </w:r>
      <w:r>
        <w:rPr>
          <w:rFonts w:hint="eastAsia" w:ascii="微软雅黑" w:hAnsi="微软雅黑" w:eastAsia="微软雅黑" w:cs="微软雅黑"/>
          <w:b/>
          <w:color w:val="4D4D4D"/>
          <w:szCs w:val="21"/>
          <w:lang w:val="en-US" w:eastAsia="zh-CN"/>
        </w:rPr>
        <w:t>19.0</w:t>
      </w:r>
      <w:r>
        <w:rPr>
          <w:rFonts w:hint="eastAsia" w:ascii="微软雅黑" w:hAnsi="微软雅黑" w:eastAsia="微软雅黑" w:cs="微软雅黑"/>
          <w:b/>
          <w:color w:val="4D4D4D"/>
          <w:szCs w:val="21"/>
        </w:rPr>
        <w:t>点，微</w:t>
      </w:r>
      <w:r>
        <w:rPr>
          <w:rFonts w:hint="eastAsia" w:ascii="微软雅黑" w:hAnsi="微软雅黑" w:eastAsia="微软雅黑" w:cs="微软雅黑"/>
          <w:b/>
          <w:color w:val="4D4D4D"/>
          <w:szCs w:val="21"/>
          <w:lang w:val="en-US" w:eastAsia="zh-CN"/>
        </w:rPr>
        <w:t>涨</w:t>
      </w:r>
      <w:r>
        <w:rPr>
          <w:rFonts w:hint="eastAsia" w:ascii="微软雅黑" w:hAnsi="微软雅黑" w:eastAsia="微软雅黑" w:cs="微软雅黑"/>
          <w:b/>
          <w:color w:val="4D4D4D"/>
          <w:szCs w:val="21"/>
        </w:rPr>
        <w:t>0.</w:t>
      </w:r>
      <w:r>
        <w:rPr>
          <w:rFonts w:hint="eastAsia" w:ascii="微软雅黑" w:hAnsi="微软雅黑" w:eastAsia="微软雅黑" w:cs="微软雅黑"/>
          <w:b/>
          <w:color w:val="4D4D4D"/>
          <w:szCs w:val="21"/>
          <w:lang w:val="en-US" w:eastAsia="zh-CN"/>
        </w:rPr>
        <w:t>28</w:t>
      </w:r>
      <w:r>
        <w:rPr>
          <w:rFonts w:hint="eastAsia" w:ascii="微软雅黑" w:hAnsi="微软雅黑" w:eastAsia="微软雅黑" w:cs="微软雅黑"/>
          <w:b/>
          <w:color w:val="4D4D4D"/>
          <w:szCs w:val="21"/>
        </w:rPr>
        <w:t>%，成交量3.</w:t>
      </w:r>
      <w:r>
        <w:rPr>
          <w:rFonts w:hint="eastAsia" w:ascii="微软雅黑" w:hAnsi="微软雅黑" w:eastAsia="微软雅黑" w:cs="微软雅黑"/>
          <w:b/>
          <w:color w:val="4D4D4D"/>
          <w:szCs w:val="21"/>
          <w:lang w:val="en-US" w:eastAsia="zh-CN"/>
        </w:rPr>
        <w:t>49</w:t>
      </w:r>
      <w:r>
        <w:rPr>
          <w:rFonts w:hint="eastAsia" w:ascii="微软雅黑" w:hAnsi="微软雅黑" w:eastAsia="微软雅黑" w:cs="微软雅黑"/>
          <w:b/>
          <w:color w:val="4D4D4D"/>
          <w:szCs w:val="21"/>
        </w:rPr>
        <w:t>万手，持仓量3.</w:t>
      </w:r>
      <w:r>
        <w:rPr>
          <w:rFonts w:hint="eastAsia" w:ascii="微软雅黑" w:hAnsi="微软雅黑" w:eastAsia="微软雅黑" w:cs="微软雅黑"/>
          <w:b/>
          <w:color w:val="4D4D4D"/>
          <w:szCs w:val="21"/>
          <w:lang w:val="en-US" w:eastAsia="zh-CN"/>
        </w:rPr>
        <w:t>80</w:t>
      </w:r>
      <w:r>
        <w:rPr>
          <w:rFonts w:hint="eastAsia" w:ascii="微软雅黑" w:hAnsi="微软雅黑" w:eastAsia="微软雅黑" w:cs="微软雅黑"/>
          <w:b/>
          <w:color w:val="4D4D4D"/>
          <w:szCs w:val="21"/>
        </w:rPr>
        <w:t>万手；中证500（IC190</w:t>
      </w:r>
      <w:r>
        <w:rPr>
          <w:rFonts w:hint="eastAsia" w:ascii="微软雅黑" w:hAnsi="微软雅黑" w:eastAsia="微软雅黑" w:cs="微软雅黑"/>
          <w:b/>
          <w:color w:val="4D4D4D"/>
          <w:szCs w:val="21"/>
          <w:lang w:val="en-US" w:eastAsia="zh-CN"/>
        </w:rPr>
        <w:t>7</w:t>
      </w:r>
      <w:r>
        <w:rPr>
          <w:rFonts w:hint="eastAsia" w:ascii="微软雅黑" w:hAnsi="微软雅黑" w:eastAsia="微软雅黑" w:cs="微软雅黑"/>
          <w:b/>
          <w:color w:val="4D4D4D"/>
          <w:szCs w:val="21"/>
        </w:rPr>
        <w:t>）合约收盘</w:t>
      </w:r>
      <w:r>
        <w:rPr>
          <w:rFonts w:hint="eastAsia" w:ascii="微软雅黑" w:hAnsi="微软雅黑" w:eastAsia="微软雅黑" w:cs="微软雅黑"/>
          <w:b/>
          <w:color w:val="4D4D4D"/>
          <w:szCs w:val="21"/>
          <w:lang w:val="en-US" w:eastAsia="zh-CN"/>
        </w:rPr>
        <w:t>4920.0</w:t>
      </w:r>
      <w:r>
        <w:rPr>
          <w:rFonts w:hint="eastAsia" w:ascii="微软雅黑" w:hAnsi="微软雅黑" w:eastAsia="微软雅黑" w:cs="微软雅黑"/>
          <w:b/>
          <w:color w:val="4D4D4D"/>
          <w:szCs w:val="21"/>
        </w:rPr>
        <w:t>点，微跌0.</w:t>
      </w:r>
      <w:r>
        <w:rPr>
          <w:rFonts w:hint="eastAsia" w:ascii="微软雅黑" w:hAnsi="微软雅黑" w:eastAsia="微软雅黑" w:cs="微软雅黑"/>
          <w:b/>
          <w:color w:val="4D4D4D"/>
          <w:szCs w:val="21"/>
          <w:lang w:val="en-US" w:eastAsia="zh-CN"/>
        </w:rPr>
        <w:t>59</w:t>
      </w:r>
      <w:r>
        <w:rPr>
          <w:rFonts w:hint="eastAsia" w:ascii="微软雅黑" w:hAnsi="微软雅黑" w:eastAsia="微软雅黑" w:cs="微软雅黑"/>
          <w:b/>
          <w:color w:val="4D4D4D"/>
          <w:szCs w:val="21"/>
        </w:rPr>
        <w:t>%，成交量</w:t>
      </w:r>
      <w:r>
        <w:rPr>
          <w:rFonts w:hint="eastAsia" w:ascii="微软雅黑" w:hAnsi="微软雅黑" w:eastAsia="微软雅黑" w:cs="微软雅黑"/>
          <w:b/>
          <w:color w:val="4D4D4D"/>
          <w:szCs w:val="21"/>
          <w:lang w:val="en-US" w:eastAsia="zh-CN"/>
        </w:rPr>
        <w:t>7.05</w:t>
      </w:r>
      <w:r>
        <w:rPr>
          <w:rFonts w:hint="eastAsia" w:ascii="微软雅黑" w:hAnsi="微软雅黑" w:eastAsia="微软雅黑" w:cs="微软雅黑"/>
          <w:b/>
          <w:color w:val="4D4D4D"/>
          <w:szCs w:val="21"/>
        </w:rPr>
        <w:t>万手，持仓量</w:t>
      </w:r>
      <w:r>
        <w:rPr>
          <w:rFonts w:hint="eastAsia" w:ascii="微软雅黑" w:hAnsi="微软雅黑" w:eastAsia="微软雅黑" w:cs="微软雅黑"/>
          <w:b/>
          <w:color w:val="4D4D4D"/>
          <w:szCs w:val="21"/>
          <w:lang w:val="en-US" w:eastAsia="zh-CN"/>
        </w:rPr>
        <w:t>7.31</w:t>
      </w:r>
      <w:r>
        <w:rPr>
          <w:rFonts w:hint="eastAsia" w:ascii="微软雅黑" w:hAnsi="微软雅黑" w:eastAsia="微软雅黑" w:cs="微软雅黑"/>
          <w:b/>
          <w:color w:val="4D4D4D"/>
          <w:szCs w:val="21"/>
        </w:rPr>
        <w:t>万手。</w:t>
      </w:r>
    </w:p>
    <w:p>
      <w:pPr>
        <w:jc w:val="left"/>
        <w:rPr>
          <w:rFonts w:ascii="微软雅黑" w:hAnsi="微软雅黑" w:eastAsia="微软雅黑" w:cs="微软雅黑"/>
          <w:b/>
          <w:color w:val="4D4D4D"/>
          <w:sz w:val="24"/>
        </w:rPr>
      </w:pPr>
      <w:r>
        <w:rPr>
          <w:rFonts w:hint="eastAsia" w:ascii="微软雅黑" w:hAnsi="微软雅黑" w:eastAsia="微软雅黑" w:cs="微软雅黑"/>
          <w:b/>
          <w:color w:val="4D4D4D"/>
          <w:sz w:val="24"/>
        </w:rPr>
        <w:t>二、</w:t>
      </w:r>
      <w:r>
        <w:rPr>
          <w:rFonts w:hint="eastAsia" w:ascii="微软雅黑" w:hAnsi="微软雅黑" w:eastAsia="微软雅黑" w:cs="微软雅黑"/>
          <w:b/>
          <w:color w:val="4D4D4D"/>
          <w:sz w:val="24"/>
          <w:lang w:val="en-US" w:eastAsia="zh-CN"/>
        </w:rPr>
        <w:t>6</w:t>
      </w:r>
      <w:r>
        <w:rPr>
          <w:rFonts w:hint="eastAsia" w:ascii="微软雅黑" w:hAnsi="微软雅黑" w:eastAsia="微软雅黑" w:cs="微软雅黑"/>
          <w:b/>
          <w:color w:val="4D4D4D"/>
          <w:sz w:val="24"/>
        </w:rPr>
        <w:t>月股指及期货主力合约成交情况</w:t>
      </w:r>
    </w:p>
    <w:p>
      <w:pPr>
        <w:ind w:left="42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IF</w:t>
      </w:r>
      <w:r>
        <w:rPr>
          <w:rFonts w:hint="eastAsia" w:ascii="微软雅黑" w:hAnsi="微软雅黑" w:eastAsia="微软雅黑" w:cs="微软雅黑"/>
          <w:b/>
          <w:color w:val="4D4D4D"/>
          <w:szCs w:val="21"/>
          <w:lang w:val="en-US" w:eastAsia="zh-CN"/>
        </w:rPr>
        <w:t xml:space="preserve"> 6</w:t>
      </w:r>
      <w:r>
        <w:rPr>
          <w:rFonts w:hint="eastAsia" w:ascii="微软雅黑" w:hAnsi="微软雅黑" w:eastAsia="微软雅黑" w:cs="微软雅黑"/>
          <w:b/>
          <w:color w:val="4D4D4D"/>
          <w:szCs w:val="21"/>
        </w:rPr>
        <w:t>月</w:t>
      </w:r>
      <w:r>
        <w:rPr>
          <w:rFonts w:hint="eastAsia" w:ascii="微软雅黑" w:hAnsi="微软雅黑" w:eastAsia="微软雅黑" w:cs="微软雅黑"/>
          <w:b/>
          <w:color w:val="4D4D4D"/>
          <w:szCs w:val="21"/>
          <w:lang w:val="en-US" w:eastAsia="zh-CN"/>
        </w:rPr>
        <w:t>份</w:t>
      </w:r>
      <w:r>
        <w:rPr>
          <w:rFonts w:hint="eastAsia" w:ascii="微软雅黑" w:hAnsi="微软雅黑" w:eastAsia="微软雅黑" w:cs="微软雅黑"/>
          <w:b/>
          <w:color w:val="4D4D4D"/>
          <w:szCs w:val="21"/>
        </w:rPr>
        <w:t>表现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月收盘价</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沪深300指数</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3825.59</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195.80</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5.39</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rPr>
              <w:t>IF190</w:t>
            </w:r>
            <w:r>
              <w:rPr>
                <w:rFonts w:hint="eastAsia" w:ascii="微软雅黑" w:hAnsi="微软雅黑" w:eastAsia="微软雅黑" w:cs="微软雅黑"/>
                <w:b/>
                <w:color w:val="4D4D4D"/>
                <w:szCs w:val="21"/>
                <w:lang w:val="en-US" w:eastAsia="zh-CN"/>
              </w:rPr>
              <w:t>7</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3817.6</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247.8</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6.94</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IF加权</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3812.4</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228.2</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6.37</w:t>
            </w:r>
            <w:r>
              <w:rPr>
                <w:rFonts w:hint="eastAsia" w:ascii="微软雅黑" w:hAnsi="微软雅黑" w:eastAsia="微软雅黑" w:cs="微软雅黑"/>
                <w:b/>
                <w:color w:val="4D4D4D"/>
                <w:szCs w:val="21"/>
              </w:rPr>
              <w:t>%</w:t>
            </w:r>
          </w:p>
        </w:tc>
      </w:tr>
    </w:tbl>
    <w:p>
      <w:pPr>
        <w:ind w:firstLine="420" w:firstLineChars="20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IH</w:t>
      </w:r>
      <w:r>
        <w:rPr>
          <w:rFonts w:hint="eastAsia" w:ascii="微软雅黑" w:hAnsi="微软雅黑" w:eastAsia="微软雅黑" w:cs="微软雅黑"/>
          <w:b/>
          <w:color w:val="4D4D4D"/>
          <w:szCs w:val="21"/>
          <w:lang w:val="en-US" w:eastAsia="zh-CN"/>
        </w:rPr>
        <w:t xml:space="preserve"> 6</w:t>
      </w:r>
      <w:r>
        <w:rPr>
          <w:rFonts w:hint="eastAsia" w:ascii="微软雅黑" w:hAnsi="微软雅黑" w:eastAsia="微软雅黑" w:cs="微软雅黑"/>
          <w:b/>
          <w:color w:val="4D4D4D"/>
          <w:szCs w:val="21"/>
        </w:rPr>
        <w:t>月</w:t>
      </w:r>
      <w:r>
        <w:rPr>
          <w:rFonts w:hint="eastAsia" w:ascii="微软雅黑" w:hAnsi="微软雅黑" w:eastAsia="微软雅黑" w:cs="微软雅黑"/>
          <w:b/>
          <w:color w:val="4D4D4D"/>
          <w:szCs w:val="21"/>
          <w:lang w:val="en-US" w:eastAsia="zh-CN"/>
        </w:rPr>
        <w:t>份</w:t>
      </w:r>
      <w:r>
        <w:rPr>
          <w:rFonts w:hint="eastAsia" w:ascii="微软雅黑" w:hAnsi="微软雅黑" w:eastAsia="微软雅黑" w:cs="微软雅黑"/>
          <w:b/>
          <w:color w:val="4D4D4D"/>
          <w:szCs w:val="21"/>
        </w:rPr>
        <w:t>表现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月收盘价</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上证50指数</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29</w:t>
            </w:r>
            <w:r>
              <w:rPr>
                <w:rFonts w:hint="eastAsia" w:ascii="微软雅黑" w:hAnsi="微软雅黑" w:eastAsia="微软雅黑" w:cs="微软雅黑"/>
                <w:b/>
                <w:color w:val="4D4D4D"/>
                <w:szCs w:val="21"/>
                <w:lang w:val="en-US" w:eastAsia="zh-CN"/>
              </w:rPr>
              <w:t>30.60</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201.65</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FF0000"/>
                <w:szCs w:val="21"/>
                <w:lang w:val="en-US" w:eastAsia="zh-CN"/>
              </w:rPr>
              <w:t>7.39</w:t>
            </w:r>
            <w:r>
              <w:rPr>
                <w:rFonts w:hint="eastAsia" w:ascii="微软雅黑" w:hAnsi="微软雅黑" w:eastAsia="微软雅黑" w:cs="微软雅黑"/>
                <w:b/>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rPr>
              <w:t>IH190</w:t>
            </w:r>
            <w:r>
              <w:rPr>
                <w:rFonts w:hint="eastAsia" w:ascii="微软雅黑" w:hAnsi="微软雅黑" w:eastAsia="微软雅黑" w:cs="微软雅黑"/>
                <w:b/>
                <w:color w:val="4D4D4D"/>
                <w:szCs w:val="21"/>
                <w:lang w:val="en-US" w:eastAsia="zh-CN"/>
              </w:rPr>
              <w:t>7</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29</w:t>
            </w:r>
            <w:r>
              <w:rPr>
                <w:rFonts w:hint="eastAsia" w:ascii="微软雅黑" w:hAnsi="微软雅黑" w:eastAsia="微软雅黑" w:cs="微软雅黑"/>
                <w:b/>
                <w:color w:val="4D4D4D"/>
                <w:szCs w:val="21"/>
                <w:lang w:val="en-US" w:eastAsia="zh-CN"/>
              </w:rPr>
              <w:t>19.0</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235.0</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8.76</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IH加权</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29</w:t>
            </w:r>
            <w:r>
              <w:rPr>
                <w:rFonts w:hint="eastAsia" w:ascii="微软雅黑" w:hAnsi="微软雅黑" w:eastAsia="微软雅黑" w:cs="微软雅黑"/>
                <w:b/>
                <w:color w:val="4D4D4D"/>
                <w:szCs w:val="21"/>
                <w:lang w:val="en-US" w:eastAsia="zh-CN"/>
              </w:rPr>
              <w:t>15.8</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213.6</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7.90</w:t>
            </w:r>
            <w:r>
              <w:rPr>
                <w:rFonts w:hint="eastAsia" w:ascii="微软雅黑" w:hAnsi="微软雅黑" w:eastAsia="微软雅黑" w:cs="微软雅黑"/>
                <w:b/>
                <w:color w:val="4D4D4D"/>
                <w:szCs w:val="21"/>
              </w:rPr>
              <w:t>%</w:t>
            </w:r>
          </w:p>
        </w:tc>
      </w:tr>
    </w:tbl>
    <w:p>
      <w:pPr>
        <w:ind w:firstLine="420" w:firstLineChars="20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IC</w:t>
      </w:r>
      <w:r>
        <w:rPr>
          <w:rFonts w:hint="eastAsia" w:ascii="微软雅黑" w:hAnsi="微软雅黑" w:eastAsia="微软雅黑" w:cs="微软雅黑"/>
          <w:b/>
          <w:color w:val="4D4D4D"/>
          <w:szCs w:val="21"/>
          <w:lang w:val="en-US" w:eastAsia="zh-CN"/>
        </w:rPr>
        <w:t xml:space="preserve"> 6</w:t>
      </w:r>
      <w:r>
        <w:rPr>
          <w:rFonts w:hint="eastAsia" w:ascii="微软雅黑" w:hAnsi="微软雅黑" w:eastAsia="微软雅黑" w:cs="微软雅黑"/>
          <w:b/>
          <w:color w:val="4D4D4D"/>
          <w:szCs w:val="21"/>
        </w:rPr>
        <w:t>月</w:t>
      </w:r>
      <w:r>
        <w:rPr>
          <w:rFonts w:hint="eastAsia" w:ascii="微软雅黑" w:hAnsi="微软雅黑" w:eastAsia="微软雅黑" w:cs="微软雅黑"/>
          <w:b/>
          <w:color w:val="4D4D4D"/>
          <w:szCs w:val="21"/>
          <w:lang w:val="en-US" w:eastAsia="zh-CN"/>
        </w:rPr>
        <w:t>份</w:t>
      </w:r>
      <w:r>
        <w:rPr>
          <w:rFonts w:hint="eastAsia" w:ascii="微软雅黑" w:hAnsi="微软雅黑" w:eastAsia="微软雅黑" w:cs="微软雅黑"/>
          <w:b/>
          <w:color w:val="4D4D4D"/>
          <w:szCs w:val="21"/>
        </w:rPr>
        <w:t>表现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left"/>
              <w:rPr>
                <w:rFonts w:ascii="微软雅黑" w:hAnsi="微软雅黑" w:eastAsia="微软雅黑" w:cs="微软雅黑"/>
                <w:b/>
                <w:color w:val="4D4D4D"/>
                <w:szCs w:val="21"/>
              </w:rPr>
            </w:pP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月收盘价</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月涨跌幅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中证500指数</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4950.48</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38.48</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0.78</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tcPr>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rPr>
              <w:t>IC190</w:t>
            </w:r>
            <w:r>
              <w:rPr>
                <w:rFonts w:hint="eastAsia" w:ascii="微软雅黑" w:hAnsi="微软雅黑" w:eastAsia="微软雅黑" w:cs="微软雅黑"/>
                <w:b/>
                <w:color w:val="4D4D4D"/>
                <w:szCs w:val="21"/>
                <w:lang w:val="en-US" w:eastAsia="zh-CN"/>
              </w:rPr>
              <w:t>7</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4920.0</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174</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3.67</w:t>
            </w:r>
            <w:r>
              <w:rPr>
                <w:rFonts w:hint="eastAsia" w:ascii="微软雅黑" w:hAnsi="微软雅黑" w:eastAsia="微软雅黑" w:cs="微软雅黑"/>
                <w:b/>
                <w:color w:val="4D4D4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IC加权</w:t>
            </w:r>
          </w:p>
        </w:tc>
        <w:tc>
          <w:tcPr>
            <w:tcW w:w="2130"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4863.8</w:t>
            </w:r>
            <w:r>
              <w:rPr>
                <w:rFonts w:hint="eastAsia" w:ascii="微软雅黑" w:hAnsi="微软雅黑" w:eastAsia="微软雅黑" w:cs="微软雅黑"/>
                <w:b/>
                <w:color w:val="4D4D4D"/>
                <w:szCs w:val="21"/>
              </w:rPr>
              <w:t>点</w:t>
            </w:r>
          </w:p>
        </w:tc>
        <w:tc>
          <w:tcPr>
            <w:tcW w:w="2131" w:type="dxa"/>
          </w:tcPr>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108.8</w:t>
            </w:r>
          </w:p>
        </w:tc>
        <w:tc>
          <w:tcPr>
            <w:tcW w:w="2131" w:type="dxa"/>
          </w:tcPr>
          <w:p>
            <w:pPr>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2.29</w:t>
            </w:r>
            <w:r>
              <w:rPr>
                <w:rFonts w:hint="eastAsia" w:ascii="微软雅黑" w:hAnsi="微软雅黑" w:eastAsia="微软雅黑" w:cs="微软雅黑"/>
                <w:b/>
                <w:color w:val="4D4D4D"/>
                <w:szCs w:val="21"/>
              </w:rPr>
              <w:t>%</w:t>
            </w:r>
          </w:p>
        </w:tc>
      </w:tr>
    </w:tbl>
    <w:p>
      <w:pPr>
        <w:ind w:firstLine="420" w:firstLineChars="20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从</w:t>
      </w:r>
      <w:r>
        <w:rPr>
          <w:rFonts w:hint="eastAsia" w:ascii="微软雅黑" w:hAnsi="微软雅黑" w:eastAsia="微软雅黑" w:cs="微软雅黑"/>
          <w:b/>
          <w:color w:val="4D4D4D"/>
          <w:szCs w:val="21"/>
          <w:lang w:val="en-US" w:eastAsia="zh-CN"/>
        </w:rPr>
        <w:t>6</w:t>
      </w:r>
      <w:r>
        <w:rPr>
          <w:rFonts w:hint="eastAsia" w:ascii="微软雅黑" w:hAnsi="微软雅黑" w:eastAsia="微软雅黑" w:cs="微软雅黑"/>
          <w:b/>
          <w:color w:val="4D4D4D"/>
          <w:szCs w:val="21"/>
        </w:rPr>
        <w:t>月</w:t>
      </w:r>
      <w:r>
        <w:rPr>
          <w:rFonts w:hint="eastAsia" w:ascii="微软雅黑" w:hAnsi="微软雅黑" w:eastAsia="微软雅黑" w:cs="微软雅黑"/>
          <w:b/>
          <w:color w:val="4D4D4D"/>
          <w:szCs w:val="21"/>
          <w:lang w:val="en-US" w:eastAsia="zh-CN"/>
        </w:rPr>
        <w:t>份的</w:t>
      </w:r>
      <w:r>
        <w:rPr>
          <w:rFonts w:hint="eastAsia" w:ascii="微软雅黑" w:hAnsi="微软雅黑" w:eastAsia="微软雅黑" w:cs="微软雅黑"/>
          <w:b/>
          <w:color w:val="4D4D4D"/>
          <w:szCs w:val="21"/>
        </w:rPr>
        <w:t>三大期指相对强弱表现来看，中证 500&lt;&lt;沪深 300&lt;上证 50，上证50（IH）沪深300(IF)</w:t>
      </w:r>
      <w:r>
        <w:rPr>
          <w:rFonts w:hint="eastAsia" w:ascii="微软雅黑" w:hAnsi="微软雅黑" w:eastAsia="微软雅黑" w:cs="微软雅黑"/>
          <w:b/>
          <w:color w:val="4D4D4D"/>
          <w:szCs w:val="21"/>
          <w:lang w:val="en-US" w:eastAsia="zh-CN"/>
        </w:rPr>
        <w:t>中证500（IC）</w:t>
      </w:r>
      <w:r>
        <w:rPr>
          <w:rFonts w:hint="eastAsia" w:ascii="微软雅黑" w:hAnsi="微软雅黑" w:eastAsia="微软雅黑" w:cs="微软雅黑"/>
          <w:b/>
          <w:color w:val="4D4D4D"/>
          <w:szCs w:val="21"/>
        </w:rPr>
        <w:t>均以上涨报收，</w:t>
      </w:r>
      <w:r>
        <w:rPr>
          <w:rFonts w:hint="eastAsia" w:ascii="微软雅黑" w:hAnsi="微软雅黑" w:eastAsia="微软雅黑" w:cs="微软雅黑"/>
          <w:b/>
          <w:color w:val="4D4D4D"/>
          <w:szCs w:val="21"/>
          <w:lang w:val="en-US" w:eastAsia="zh-CN"/>
        </w:rPr>
        <w:t>但以大盘蓝筹为主的上证50指数涨幅明显大于中小盘为标的的中证500指数</w:t>
      </w:r>
      <w:r>
        <w:rPr>
          <w:rFonts w:hint="eastAsia" w:ascii="微软雅黑" w:hAnsi="微软雅黑" w:eastAsia="微软雅黑" w:cs="微软雅黑"/>
          <w:b/>
          <w:color w:val="4D4D4D"/>
          <w:szCs w:val="21"/>
        </w:rPr>
        <w:t>，</w:t>
      </w:r>
      <w:r>
        <w:rPr>
          <w:rFonts w:hint="eastAsia" w:ascii="微软雅黑" w:hAnsi="微软雅黑" w:eastAsia="微软雅黑" w:cs="微软雅黑"/>
          <w:b/>
          <w:color w:val="4D4D4D"/>
          <w:szCs w:val="21"/>
          <w:lang w:val="en-US" w:eastAsia="zh-CN"/>
        </w:rPr>
        <w:t>市场在6月份预期外资流入等情况下，低估值的大盘股涨幅较多，逐步接近前期4月份高点，套利方面可以考虑抛IH1907同时，买入IC1907</w:t>
      </w:r>
      <w:r>
        <w:rPr>
          <w:rFonts w:hint="eastAsia" w:ascii="微软雅黑" w:hAnsi="微软雅黑" w:eastAsia="微软雅黑" w:cs="微软雅黑"/>
          <w:b/>
          <w:color w:val="4D4D4D"/>
          <w:szCs w:val="21"/>
        </w:rPr>
        <w:t>。</w:t>
      </w:r>
    </w:p>
    <w:p>
      <w:pPr>
        <w:jc w:val="left"/>
        <w:rPr>
          <w:rFonts w:ascii="微软雅黑" w:hAnsi="微软雅黑" w:eastAsia="微软雅黑" w:cs="微软雅黑"/>
          <w:b/>
          <w:color w:val="4D4D4D"/>
          <w:sz w:val="24"/>
        </w:rPr>
      </w:pPr>
      <w:r>
        <w:rPr>
          <w:rFonts w:hint="eastAsia" w:ascii="微软雅黑" w:hAnsi="微软雅黑" w:eastAsia="微软雅黑" w:cs="微软雅黑"/>
          <w:b/>
          <w:color w:val="4D4D4D"/>
          <w:sz w:val="24"/>
        </w:rPr>
        <w:t>三、</w:t>
      </w:r>
      <w:r>
        <w:rPr>
          <w:rFonts w:ascii="微软雅黑" w:hAnsi="微软雅黑" w:eastAsia="微软雅黑" w:cs="微软雅黑"/>
          <w:b/>
          <w:color w:val="4D4D4D"/>
          <w:sz w:val="24"/>
        </w:rPr>
        <w:t>宏观经济面</w:t>
      </w:r>
    </w:p>
    <w:p>
      <w:pPr>
        <w:ind w:firstLine="420" w:firstLineChars="200"/>
        <w:jc w:val="left"/>
        <w:rPr>
          <w:rStyle w:val="6"/>
          <w:rFonts w:hint="eastAsia" w:ascii="微软雅黑" w:hAnsi="微软雅黑" w:eastAsia="微软雅黑"/>
          <w:color w:val="000000"/>
          <w:szCs w:val="21"/>
          <w:shd w:val="clear" w:color="auto" w:fill="FFFFFF"/>
        </w:rPr>
      </w:pPr>
      <w:r>
        <w:rPr>
          <w:rStyle w:val="6"/>
          <w:rFonts w:hint="eastAsia" w:ascii="微软雅黑" w:hAnsi="微软雅黑" w:eastAsia="微软雅黑"/>
          <w:color w:val="000000"/>
          <w:szCs w:val="21"/>
          <w:shd w:val="clear" w:color="auto" w:fill="FFFFFF"/>
        </w:rPr>
        <w:t>（一）上半年经济形势回顾</w:t>
      </w:r>
    </w:p>
    <w:p>
      <w:pPr>
        <w:ind w:firstLine="420" w:firstLineChars="200"/>
        <w:jc w:val="left"/>
        <w:rPr>
          <w:rFonts w:hint="eastAsia" w:ascii="微软雅黑" w:hAnsi="微软雅黑" w:eastAsia="微软雅黑" w:cs="微软雅黑"/>
          <w:b/>
          <w:color w:val="4D4D4D"/>
          <w:szCs w:val="21"/>
        </w:rPr>
      </w:pPr>
      <w:r>
        <w:rPr>
          <w:rFonts w:hint="eastAsia" w:ascii="微软雅黑" w:hAnsi="微软雅黑" w:eastAsia="微软雅黑" w:cs="微软雅黑"/>
          <w:b/>
          <w:color w:val="4D4D4D"/>
          <w:szCs w:val="21"/>
        </w:rPr>
        <w:t>上半年，中国经济发展的外部环境面临更多更大的不确定性，贸易摩擦此起彼伏，全球产业链、价值链和供应链遭受重创，世界贸易哀鸿遍野</w:t>
      </w:r>
      <w:r>
        <w:rPr>
          <w:rFonts w:hint="eastAsia" w:ascii="微软雅黑" w:hAnsi="微软雅黑" w:eastAsia="微软雅黑" w:cs="微软雅黑"/>
          <w:b/>
          <w:color w:val="4D4D4D"/>
          <w:szCs w:val="21"/>
          <w:lang w:val="en-US" w:eastAsia="zh-CN"/>
        </w:rPr>
        <w:t xml:space="preserve"> </w:t>
      </w:r>
      <w:r>
        <w:rPr>
          <w:rFonts w:hint="eastAsia" w:ascii="微软雅黑" w:hAnsi="微软雅黑" w:eastAsia="微软雅黑" w:cs="微软雅黑"/>
          <w:b/>
          <w:color w:val="4D4D4D"/>
          <w:szCs w:val="21"/>
        </w:rPr>
        <w:t>。但在中国“六稳”等政策作用下，</w:t>
      </w:r>
    </w:p>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lang w:val="en-US" w:eastAsia="zh-CN"/>
        </w:rPr>
        <w:t>我国</w:t>
      </w:r>
      <w:r>
        <w:rPr>
          <w:rFonts w:hint="eastAsia" w:ascii="微软雅黑" w:hAnsi="微软雅黑" w:eastAsia="微软雅黑" w:cs="微软雅黑"/>
          <w:b/>
          <w:color w:val="4D4D4D"/>
          <w:szCs w:val="21"/>
        </w:rPr>
        <w:t>经济运行总体平稳，呈现增长放缓、通胀上行、就业稳定和国际收支平衡</w:t>
      </w:r>
      <w:r>
        <w:rPr>
          <w:rFonts w:hint="eastAsia" w:ascii="微软雅黑" w:hAnsi="微软雅黑" w:eastAsia="微软雅黑" w:cs="微软雅黑"/>
          <w:b/>
          <w:color w:val="4D4D4D"/>
          <w:szCs w:val="21"/>
          <w:lang w:eastAsia="zh-CN"/>
        </w:rPr>
        <w:t>性增强四大特点。一是经济增长稳中趋降，内需较为稳定但外需大减。一季度GDP 增长 6.4%，好于市场预期。但进入 4、5 月份以来，受中美贸易摩擦升级、全球经济减速、政策有所收紧和市场预期改变等因素的影响，中国经济景气再度回落，下行压力增大，预计二季度 GDP 增长 6.2%左右，低于一季度 6.4%的增长。与上年需求减弱但供给较好不同，今年上半年供给和需求呈同步放缓态势。从供给端看，工业、服务业和农业三大产业齐放缓；从需求端看，消费和投资增长小幅放缓，而出口减速比较明显。二是就业状况总体稳定，城镇调查失业率小幅上升。前 5 个月，城镇新增就业人数 597 万人，比去年同期减少了16 万人。城镇调查失业率和 31 个大城市调查失业率均有上升，5 月份均为 5%。三是通胀小幅回升，PPI 和 CPI 负“剪刀差”扩大。前 5 个月 CPI 累计上涨 2.2%，涨幅同比扩大 0.2 个百分点。据测算，在前 5 个月 CPI 上涨 2.2%中，翘尾因素为 1.5%左右，新涨价因素为 0.7%左右。食品价格上涨是 CPI 抬升的主因，前 5个月拉动 CPI 上涨 2.17 个百分点。与 CPI 不断走高相反，受需求减弱和高基数的影响，PPI 涨幅明显收窄，前 5 个月累计仅上涨 0.4%，同比放缓 3.3 个百分点。PPI 和 CPI 的“剪刀差”由去年 5 月份的正 2.3%变为今年 5 月的负 2.1%，也印证了宏观经济景气处在下行通道。四是国际收支平衡性持续提高，经常项目和资本项目出现分化。一季度，国际收支总差额占 GDP 的比重降为 0.32%，比去年同期回落 1.76 个百分点。经常项目差额占 GDP 的比重由 2018 年一季度的-1.1%提高到 1.85%，扭转了 1998 年以来持续下降的态势；资本和金融账户</w:t>
      </w:r>
    </w:p>
    <w:p>
      <w:pPr>
        <w:jc w:val="left"/>
        <w:rPr>
          <w:rFonts w:hint="eastAsia" w:ascii="微软雅黑" w:hAnsi="微软雅黑" w:eastAsia="微软雅黑" w:cs="微软雅黑"/>
          <w:b/>
          <w:color w:val="4D4D4D"/>
          <w:szCs w:val="21"/>
          <w:lang w:eastAsia="zh-CN"/>
        </w:rPr>
      </w:pPr>
      <w:r>
        <w:rPr>
          <w:rFonts w:hint="eastAsia" w:ascii="微软雅黑" w:hAnsi="微软雅黑" w:eastAsia="微软雅黑" w:cs="微软雅黑"/>
          <w:b/>
          <w:color w:val="4D4D4D"/>
          <w:szCs w:val="21"/>
          <w:lang w:eastAsia="zh-CN"/>
        </w:rPr>
        <w:t>差额占 GDP 的比重由上年一季度的 3.17%转变为-1.54%。前 5 个月，贸易顺差累计为 1304.7 亿美元，比去年同期增加了 361 亿美元。</w:t>
      </w:r>
    </w:p>
    <w:p>
      <w:pPr>
        <w:jc w:val="left"/>
        <w:rPr>
          <w:rFonts w:hint="eastAsia"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(PPI 与 CPI 剪刀差解读：预判经济景气很重要的参考指标，如果其为正，表明经济景气在回升，反之，则经济景气在回落。每当经济景气上升，生产、投资、消费等经济活动扩张，</w:t>
      </w:r>
    </w:p>
    <w:p>
      <w:pPr>
        <w:jc w:val="left"/>
        <w:rPr>
          <w:rFonts w:hint="default"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lang w:val="en-US" w:eastAsia="zh-CN"/>
        </w:rPr>
        <w:t>对能源原材料需求增大，进而导致 PPI 短期爬升且超过 CPI 涨幅，此时剪刀差就为正)</w:t>
      </w:r>
    </w:p>
    <w:p>
      <w:pPr>
        <w:jc w:val="left"/>
        <w:rPr>
          <w:rFonts w:ascii="微软雅黑" w:hAnsi="微软雅黑" w:eastAsia="微软雅黑" w:cs="微软雅黑"/>
          <w:b/>
          <w:color w:val="4D4D4D"/>
          <w:sz w:val="24"/>
        </w:rPr>
      </w:pPr>
      <w:r>
        <w:rPr>
          <w:rFonts w:hint="eastAsia" w:ascii="微软雅黑" w:hAnsi="微软雅黑" w:eastAsia="微软雅黑" w:cs="微软雅黑"/>
          <w:b/>
          <w:color w:val="4D4D4D"/>
          <w:sz w:val="24"/>
        </w:rPr>
        <w:t>四、市场消息面</w:t>
      </w:r>
    </w:p>
    <w:p>
      <w:pPr>
        <w:ind w:firstLine="420" w:firstLineChars="200"/>
        <w:jc w:val="left"/>
        <w:rPr>
          <w:rFonts w:hint="eastAsia" w:ascii="微软雅黑" w:hAnsi="微软雅黑" w:eastAsia="微软雅黑" w:cs="微软雅黑"/>
          <w:b/>
          <w:color w:val="4D4D4D"/>
          <w:szCs w:val="21"/>
          <w:lang w:val="en-US" w:eastAsia="zh-CN"/>
        </w:rPr>
      </w:pPr>
      <w:r>
        <w:rPr>
          <w:rFonts w:hint="eastAsia" w:ascii="微软雅黑" w:hAnsi="微软雅黑" w:eastAsia="微软雅黑" w:cs="微软雅黑"/>
          <w:b/>
          <w:color w:val="4D4D4D"/>
          <w:szCs w:val="21"/>
        </w:rPr>
        <w:t>国内：6月28日，国家主席习近平在二十国集团领导人峰会上就世界经济形势和贸易问题发表题为《携手共进，合力打造高质量世界经济》的重要讲话</w:t>
      </w:r>
      <w:r>
        <w:rPr>
          <w:rFonts w:hint="eastAsia" w:ascii="微软雅黑" w:hAnsi="微软雅黑" w:eastAsia="微软雅黑" w:cs="微软雅黑"/>
          <w:b/>
          <w:color w:val="4D4D4D"/>
          <w:szCs w:val="21"/>
          <w:lang w:val="en-US" w:eastAsia="zh-CN"/>
        </w:rPr>
        <w:t>,讲话中提到以下几点:</w:t>
      </w:r>
    </w:p>
    <w:p>
      <w:pPr>
        <w:ind w:firstLine="420" w:firstLineChars="200"/>
        <w:jc w:val="left"/>
        <w:rPr>
          <w:rFonts w:hint="eastAsia" w:ascii="微软雅黑" w:hAnsi="微软雅黑" w:eastAsia="微软雅黑" w:cs="微软雅黑"/>
          <w:b/>
          <w:color w:val="4D4D4D"/>
          <w:szCs w:val="21"/>
        </w:rPr>
      </w:pPr>
      <w:r>
        <w:rPr>
          <w:rFonts w:hint="eastAsia" w:ascii="微软雅黑" w:hAnsi="微软雅黑" w:eastAsia="微软雅黑" w:cs="微软雅黑"/>
          <w:b/>
          <w:color w:val="4D4D4D"/>
          <w:szCs w:val="21"/>
        </w:rPr>
        <w:t>进一步开放市场</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进一步扩大农业、采矿业、制造业、服务业开放。新设6个自由贸易试验区，增设上海自由贸易试验区新片区，加快探索建设海南自由贸易港进程</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主动扩大进口</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进一步自主降低关税水平，努力消除非关税贸易壁垒，大幅削减进口环节制度性成本</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持续改善营商环境</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明年1月1日实施新的外商投资法律制度，引入侵权惩罚性赔偿制度，增强民事司法保护和刑事保护力度，提高知识产权保护水平</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全面实施平等待遇</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全面取消外资准入负面清单之外的限制</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准入后阶段，对在中国境内注册的各类企业平等对待，建立健全外资企业投诉机制</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大力推动经贸谈判</w:t>
      </w:r>
      <w:r>
        <w:rPr>
          <w:rFonts w:hint="eastAsia" w:ascii="微软雅黑" w:hAnsi="微软雅黑" w:eastAsia="微软雅黑" w:cs="微软雅黑"/>
          <w:b/>
          <w:color w:val="4D4D4D"/>
          <w:szCs w:val="21"/>
          <w:lang w:eastAsia="zh-CN"/>
        </w:rPr>
        <w:t>，</w:t>
      </w:r>
      <w:r>
        <w:rPr>
          <w:rFonts w:hint="eastAsia" w:ascii="微软雅黑" w:hAnsi="微软雅黑" w:eastAsia="微软雅黑" w:cs="微软雅黑"/>
          <w:b/>
          <w:color w:val="4D4D4D"/>
          <w:szCs w:val="21"/>
        </w:rPr>
        <w:t>早日达成区域全面经济伙伴关系协定，加快中欧投资协定谈判，加快中日韩自由贸易协定谈判进程。</w:t>
      </w:r>
    </w:p>
    <w:p>
      <w:pPr>
        <w:ind w:firstLine="420" w:firstLineChars="200"/>
        <w:jc w:val="left"/>
        <w:rPr>
          <w:rFonts w:hint="eastAsia" w:ascii="微软雅黑" w:hAnsi="微软雅黑" w:eastAsia="微软雅黑" w:cs="微软雅黑"/>
          <w:b/>
          <w:color w:val="4D4D4D"/>
          <w:szCs w:val="21"/>
        </w:rPr>
      </w:pPr>
      <w:r>
        <w:rPr>
          <w:rFonts w:hint="eastAsia" w:ascii="微软雅黑" w:hAnsi="微软雅黑" w:eastAsia="微软雅黑" w:cs="微软雅黑"/>
          <w:b/>
          <w:color w:val="4D4D4D"/>
          <w:szCs w:val="21"/>
          <w:lang w:val="en-US" w:eastAsia="zh-CN"/>
        </w:rPr>
        <w:t>总的来看，</w:t>
      </w:r>
      <w:r>
        <w:rPr>
          <w:rFonts w:hint="eastAsia" w:ascii="微软雅黑" w:hAnsi="微软雅黑" w:eastAsia="微软雅黑" w:cs="微软雅黑"/>
          <w:b/>
          <w:color w:val="4D4D4D"/>
          <w:szCs w:val="21"/>
        </w:rPr>
        <w:t>中国将在近期采取措施的基础上，进一步推出若干重大举措，加快形成对外开放新局面，努力实现高质量发展。</w:t>
      </w:r>
    </w:p>
    <w:p>
      <w:pPr>
        <w:numPr>
          <w:ilvl w:val="0"/>
          <w:numId w:val="1"/>
        </w:numPr>
        <w:ind w:firstLine="480" w:firstLineChars="200"/>
        <w:jc w:val="left"/>
        <w:rPr>
          <w:rFonts w:hint="eastAsia" w:ascii="微软雅黑" w:hAnsi="微软雅黑" w:eastAsia="微软雅黑" w:cs="微软雅黑"/>
          <w:b/>
          <w:color w:val="4D4D4D"/>
          <w:sz w:val="24"/>
          <w:lang w:val="en-US" w:eastAsia="zh-CN"/>
        </w:rPr>
      </w:pPr>
      <w:r>
        <w:rPr>
          <w:rFonts w:hint="eastAsia" w:ascii="微软雅黑" w:hAnsi="微软雅黑" w:eastAsia="微软雅黑" w:cs="微软雅黑"/>
          <w:b/>
          <w:color w:val="4D4D4D"/>
          <w:sz w:val="24"/>
          <w:lang w:val="en-US" w:eastAsia="zh-CN"/>
        </w:rPr>
        <w:t>半年市场策略</w:t>
      </w:r>
    </w:p>
    <w:p>
      <w:pPr>
        <w:numPr>
          <w:numId w:val="0"/>
        </w:numPr>
        <w:ind w:firstLine="420" w:firstLineChars="200"/>
        <w:jc w:val="left"/>
        <w:rPr>
          <w:rFonts w:hint="eastAsia" w:ascii="微软雅黑" w:hAnsi="微软雅黑" w:eastAsia="微软雅黑"/>
          <w:color w:val="000000"/>
          <w:szCs w:val="21"/>
          <w:shd w:val="clear" w:color="auto" w:fill="FFFFFF"/>
        </w:rPr>
      </w:pPr>
      <w:r>
        <w:rPr>
          <w:rFonts w:hint="eastAsia" w:ascii="微软雅黑" w:hAnsi="微软雅黑" w:eastAsia="微软雅黑"/>
          <w:color w:val="000000"/>
          <w:szCs w:val="21"/>
          <w:shd w:val="clear" w:color="auto" w:fill="FFFFFF"/>
        </w:rPr>
        <w:t>中长期来看，仍坚持原先策略大方向上的判断，2019变局年将为A股市场带来重大机遇。我国宏观经济具备韧性，A股在国际大类资产中具备性价比优势；资本市场加速对外开放，吸引海外资金、中长线资金持续性涌入A股市场；金融已上升到国家核心竞争力层面，资本市场地位提升，政策环境大为改善；科创板等重大制度改革也将为资本市场带来新的活力，重塑估值定价逻辑，建设更为良好的投资生态体系。在经济基本面获得支撑，风险偏好得到修复之后，市场</w:t>
      </w:r>
      <w:r>
        <w:rPr>
          <w:rFonts w:hint="eastAsia" w:ascii="微软雅黑" w:hAnsi="微软雅黑" w:eastAsia="微软雅黑"/>
          <w:color w:val="000000"/>
          <w:szCs w:val="21"/>
          <w:shd w:val="clear" w:color="auto" w:fill="FFFFFF"/>
          <w:lang w:val="en-US" w:eastAsia="zh-CN"/>
        </w:rPr>
        <w:t>已经</w:t>
      </w:r>
      <w:r>
        <w:rPr>
          <w:rFonts w:hint="eastAsia" w:ascii="微软雅黑" w:hAnsi="微软雅黑" w:eastAsia="微软雅黑"/>
          <w:color w:val="000000"/>
          <w:szCs w:val="21"/>
          <w:shd w:val="clear" w:color="auto" w:fill="FFFFFF"/>
        </w:rPr>
        <w:t>在</w:t>
      </w:r>
      <w:r>
        <w:rPr>
          <w:rFonts w:hint="eastAsia" w:ascii="微软雅黑" w:hAnsi="微软雅黑" w:eastAsia="微软雅黑"/>
          <w:color w:val="000000"/>
          <w:szCs w:val="21"/>
          <w:shd w:val="clear" w:color="auto" w:fill="FFFFFF"/>
          <w:lang w:val="en-US" w:eastAsia="zh-CN"/>
        </w:rPr>
        <w:t>二</w:t>
      </w:r>
      <w:r>
        <w:rPr>
          <w:rFonts w:hint="eastAsia" w:ascii="微软雅黑" w:hAnsi="微软雅黑" w:eastAsia="微软雅黑"/>
          <w:color w:val="000000"/>
          <w:szCs w:val="21"/>
          <w:shd w:val="clear" w:color="auto" w:fill="FFFFFF"/>
        </w:rPr>
        <w:t>季度探底企稳，股指</w:t>
      </w:r>
      <w:r>
        <w:rPr>
          <w:rFonts w:hint="eastAsia" w:ascii="微软雅黑" w:hAnsi="微软雅黑" w:eastAsia="微软雅黑"/>
          <w:color w:val="000000"/>
          <w:szCs w:val="21"/>
          <w:shd w:val="clear" w:color="auto" w:fill="FFFFFF"/>
          <w:lang w:val="en-US" w:eastAsia="zh-CN"/>
        </w:rPr>
        <w:t>将迎来良好的做多机遇</w:t>
      </w:r>
      <w:r>
        <w:rPr>
          <w:rFonts w:hint="eastAsia" w:ascii="微软雅黑" w:hAnsi="微软雅黑" w:eastAsia="微软雅黑"/>
          <w:color w:val="000000"/>
          <w:szCs w:val="21"/>
          <w:shd w:val="clear" w:color="auto" w:fill="FFFFFF"/>
        </w:rPr>
        <w:t>。</w:t>
      </w:r>
    </w:p>
    <w:p>
      <w:pPr>
        <w:numPr>
          <w:ilvl w:val="0"/>
          <w:numId w:val="1"/>
        </w:numPr>
        <w:ind w:left="0" w:leftChars="0" w:firstLine="480" w:firstLineChars="200"/>
        <w:jc w:val="left"/>
        <w:rPr>
          <w:rFonts w:hint="eastAsia" w:ascii="微软雅黑" w:hAnsi="微软雅黑" w:eastAsia="微软雅黑" w:cs="微软雅黑"/>
          <w:b/>
          <w:color w:val="4D4D4D"/>
          <w:sz w:val="24"/>
        </w:rPr>
      </w:pPr>
      <w:r>
        <w:rPr>
          <w:rFonts w:hint="eastAsia" w:ascii="微软雅黑" w:hAnsi="微软雅黑" w:eastAsia="微软雅黑" w:cs="微软雅黑"/>
          <w:b/>
          <w:color w:val="4D4D4D"/>
          <w:sz w:val="24"/>
        </w:rPr>
        <w:t>技术面看市</w:t>
      </w:r>
    </w:p>
    <w:p>
      <w:pPr>
        <w:numPr>
          <w:numId w:val="0"/>
        </w:numPr>
        <w:ind w:leftChars="200"/>
        <w:jc w:val="left"/>
        <w:rPr>
          <w:rFonts w:hint="eastAsia" w:ascii="微软雅黑" w:hAnsi="微软雅黑" w:eastAsia="微软雅黑" w:cs="微软雅黑"/>
          <w:b/>
          <w:color w:val="4D4D4D"/>
          <w:sz w:val="24"/>
        </w:rPr>
      </w:pPr>
      <w:r>
        <w:drawing>
          <wp:inline distT="0" distB="0" distL="114300" distR="114300">
            <wp:extent cx="4857115" cy="2838450"/>
            <wp:effectExtent l="0" t="0" r="63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857115" cy="2838450"/>
                    </a:xfrm>
                    <a:prstGeom prst="rect">
                      <a:avLst/>
                    </a:prstGeom>
                    <a:noFill/>
                    <a:ln>
                      <a:noFill/>
                    </a:ln>
                  </pic:spPr>
                </pic:pic>
              </a:graphicData>
            </a:graphic>
          </wp:inline>
        </w:drawing>
      </w:r>
    </w:p>
    <w:p>
      <w:pPr>
        <w:jc w:val="left"/>
        <w:rPr>
          <w:rFonts w:hint="eastAsia" w:ascii="微软雅黑" w:hAnsi="微软雅黑" w:eastAsia="微软雅黑" w:cs="微软雅黑"/>
          <w:b/>
          <w:color w:val="4D4D4D"/>
          <w:sz w:val="24"/>
        </w:rPr>
      </w:pPr>
      <w:r>
        <w:rPr>
          <w:rFonts w:hint="eastAsia" w:ascii="微软雅黑" w:hAnsi="微软雅黑" w:eastAsia="微软雅黑" w:cs="微软雅黑"/>
          <w:b/>
          <w:color w:val="4D4D4D"/>
          <w:sz w:val="24"/>
        </w:rPr>
        <w:t xml:space="preserve">   </w:t>
      </w:r>
    </w:p>
    <w:p>
      <w:pPr>
        <w:ind w:firstLine="420" w:firstLineChars="200"/>
        <w:jc w:val="left"/>
        <w:rPr>
          <w:rFonts w:hint="default" w:ascii="微软雅黑" w:hAnsi="微软雅黑" w:eastAsia="微软雅黑" w:cs="微软雅黑"/>
          <w:b/>
          <w:color w:val="4D4D4D"/>
          <w:szCs w:val="21"/>
          <w:lang w:val="en-US"/>
        </w:rPr>
      </w:pPr>
      <w:r>
        <w:rPr>
          <w:rFonts w:hint="eastAsia" w:ascii="微软雅黑" w:hAnsi="微软雅黑" w:eastAsia="微软雅黑" w:cs="微软雅黑"/>
          <w:b/>
          <w:color w:val="4D4D4D"/>
          <w:szCs w:val="21"/>
        </w:rPr>
        <w:t>A股今日迎来6月收官战，沪指全天都维持绿盘震荡，最终小幅收跌，市场成交量萎缩，行业板块多数收跌。从今年上半年表现看，沪指累计大涨近20%。从4月8日构筑短期顶部，</w:t>
      </w:r>
      <w:r>
        <w:rPr>
          <w:rFonts w:hint="eastAsia" w:ascii="微软雅黑" w:hAnsi="微软雅黑" w:eastAsia="微软雅黑" w:cs="微软雅黑"/>
          <w:b/>
          <w:color w:val="4D4D4D"/>
          <w:szCs w:val="21"/>
          <w:lang w:val="en-US" w:eastAsia="zh-CN"/>
        </w:rPr>
        <w:t>5月初形成向下跳空缺口，6月整月震荡上行。从技术面上来看，7月份的最终任务是向上测试3100-3150点，这也是前期套牢盘及缺口位置。当前市场估值已经回调至历史区间中低位水平，下半年面临“政策发力”与“增长压力”之间的平衡，整体机会可能要待风险进一步释放、积极因素占主导的情况下才会更明显，时间点与持仓结构的把握均较为重要，因此，我们的策略是逢低做多股指，逢大涨平掉部分多头仓位，谨慎做多为主。</w:t>
      </w:r>
    </w:p>
    <w:p>
      <w:pPr>
        <w:ind w:firstLine="240" w:firstLineChars="100"/>
        <w:jc w:val="left"/>
        <w:rPr>
          <w:rFonts w:hint="eastAsia" w:ascii="微软雅黑" w:hAnsi="微软雅黑" w:eastAsia="微软雅黑" w:cs="微软雅黑"/>
          <w:b/>
          <w:color w:val="4D4D4D"/>
          <w:szCs w:val="21"/>
        </w:rPr>
      </w:pPr>
      <w:r>
        <w:rPr>
          <w:rFonts w:hint="eastAsia" w:ascii="微软雅黑" w:hAnsi="微软雅黑" w:eastAsia="微软雅黑" w:cs="微软雅黑"/>
          <w:b/>
          <w:color w:val="4D4D4D"/>
          <w:sz w:val="24"/>
          <w:lang w:val="en-US" w:eastAsia="zh-CN"/>
        </w:rPr>
        <w:t>七</w:t>
      </w:r>
      <w:r>
        <w:rPr>
          <w:rFonts w:hint="eastAsia" w:ascii="微软雅黑" w:hAnsi="微软雅黑" w:eastAsia="微软雅黑" w:cs="微软雅黑"/>
          <w:b/>
          <w:color w:val="4D4D4D"/>
          <w:sz w:val="24"/>
        </w:rPr>
        <w:t>、交易策略建议</w:t>
      </w:r>
    </w:p>
    <w:p>
      <w:pPr>
        <w:ind w:firstLine="420" w:firstLineChars="200"/>
        <w:jc w:val="left"/>
        <w:rPr>
          <w:rFonts w:ascii="微软雅黑" w:hAnsi="微软雅黑" w:eastAsia="微软雅黑" w:cs="微软雅黑"/>
          <w:b/>
          <w:color w:val="4D4D4D"/>
          <w:szCs w:val="21"/>
        </w:rPr>
      </w:pPr>
      <w:r>
        <w:rPr>
          <w:rFonts w:hint="eastAsia" w:ascii="微软雅黑" w:hAnsi="微软雅黑" w:eastAsia="微软雅黑" w:cs="微软雅黑"/>
          <w:b/>
          <w:color w:val="4D4D4D"/>
          <w:szCs w:val="21"/>
        </w:rPr>
        <w:t>基于以上看法</w:t>
      </w:r>
      <w:r>
        <w:rPr>
          <w:rFonts w:hint="eastAsia" w:ascii="微软雅黑" w:hAnsi="微软雅黑" w:eastAsia="微软雅黑" w:cs="微软雅黑"/>
          <w:b/>
          <w:color w:val="4D4D4D"/>
          <w:szCs w:val="21"/>
          <w:lang w:val="en-US" w:eastAsia="zh-CN"/>
        </w:rPr>
        <w:t>继续持有多单</w:t>
      </w:r>
      <w:r>
        <w:rPr>
          <w:rFonts w:hint="eastAsia" w:ascii="微软雅黑" w:hAnsi="微软雅黑" w:eastAsia="微软雅黑" w:cs="微软雅黑"/>
          <w:b/>
          <w:color w:val="4D4D4D"/>
          <w:szCs w:val="21"/>
        </w:rPr>
        <w:t>。</w:t>
      </w:r>
      <w:bookmarkStart w:id="0" w:name="_GoBack"/>
      <w:bookmarkEnd w:id="0"/>
    </w:p>
    <w:p/>
    <w:p/>
    <w:p>
      <w:pPr>
        <w:spacing w:line="440" w:lineRule="exact"/>
        <w:ind w:firstLine="482" w:firstLineChars="200"/>
        <w:rPr>
          <w:sz w:val="24"/>
        </w:rPr>
      </w:pPr>
      <w:r>
        <w:rPr>
          <w:rFonts w:hint="eastAsia"/>
          <w:b/>
          <w:bCs/>
          <w:sz w:val="24"/>
        </w:rPr>
        <w:t>风险揭示</w:t>
      </w:r>
      <w:r>
        <w:rPr>
          <w:rFonts w:hint="eastAsia"/>
          <w:sz w:val="24"/>
        </w:rPr>
        <w:t>：</w:t>
      </w:r>
      <w:r>
        <w:rPr>
          <w:rFonts w:hint="eastAsia"/>
          <w:szCs w:val="21"/>
        </w:rPr>
        <w:t xml:space="preserve">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自行承担由此带来的风险和损失。 </w:t>
      </w:r>
    </w:p>
    <w:p>
      <w:pPr>
        <w:spacing w:line="440" w:lineRule="exact"/>
        <w:ind w:firstLine="482" w:firstLineChars="200"/>
        <w:rPr>
          <w:szCs w:val="21"/>
        </w:rPr>
      </w:pPr>
      <w:r>
        <w:rPr>
          <w:rFonts w:hint="eastAsia"/>
          <w:b/>
          <w:bCs/>
          <w:sz w:val="24"/>
        </w:rPr>
        <w:t>免责声明</w:t>
      </w:r>
      <w:r>
        <w:rPr>
          <w:rFonts w:hint="eastAsia"/>
          <w:sz w:val="24"/>
        </w:rPr>
        <w:t>：</w:t>
      </w:r>
      <w:r>
        <w:rPr>
          <w:rFonts w:hint="eastAsia"/>
          <w:szCs w:val="21"/>
        </w:rPr>
        <w:t xml:space="preserve">本报告的信息均来源于公开资料，本公司对这些信息的准确性和完整性不作任何保证，文中的观点、结论和建议仅供参考，不代表作者对价格涨跌或市场走势的确定性判断，投资者据此做出的任何投资决策与本公司和作者无关。 </w:t>
      </w:r>
    </w:p>
    <w:p>
      <w:pPr>
        <w:spacing w:line="440" w:lineRule="exact"/>
        <w:ind w:firstLine="420" w:firstLineChars="200"/>
        <w:rPr>
          <w:sz w:val="24"/>
        </w:rPr>
      </w:pPr>
      <w:r>
        <w:rPr>
          <w:rFonts w:hint="eastAsia"/>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rPr>
        <w:t xml:space="preserve"> </w:t>
      </w:r>
    </w:p>
    <w:p>
      <w:pPr>
        <w:spacing w:line="440" w:lineRule="exact"/>
        <w:ind w:firstLine="480" w:firstLineChars="200"/>
        <w:rPr>
          <w:sz w:val="24"/>
        </w:rPr>
      </w:pPr>
      <w:r>
        <w:rPr>
          <w:rFonts w:hint="eastAsia"/>
          <w:sz w:val="24"/>
        </w:rPr>
        <w:t xml:space="preserve"> </w:t>
      </w:r>
    </w:p>
    <w:p>
      <w:pPr>
        <w:spacing w:line="440" w:lineRule="exact"/>
        <w:ind w:firstLine="480" w:firstLineChars="200"/>
        <w:rPr>
          <w:sz w:val="24"/>
        </w:rPr>
      </w:pPr>
    </w:p>
    <w:p>
      <w:pPr>
        <w:spacing w:line="440" w:lineRule="exact"/>
        <w:ind w:firstLine="420" w:firstLineChars="200"/>
        <w:rPr>
          <w:szCs w:val="21"/>
        </w:rPr>
      </w:pPr>
      <w:r>
        <w:rPr>
          <w:rFonts w:hint="eastAsia"/>
          <w:szCs w:val="21"/>
        </w:rPr>
        <w:t xml:space="preserve">和合期货投询部 </w:t>
      </w:r>
    </w:p>
    <w:p>
      <w:pPr>
        <w:spacing w:line="440" w:lineRule="exact"/>
        <w:ind w:firstLine="420" w:firstLineChars="200"/>
        <w:rPr>
          <w:szCs w:val="21"/>
        </w:rPr>
      </w:pPr>
      <w:r>
        <w:rPr>
          <w:rFonts w:hint="eastAsia"/>
          <w:szCs w:val="21"/>
        </w:rPr>
        <w:t xml:space="preserve">联系电话：0351-7342558 </w:t>
      </w:r>
    </w:p>
    <w:p>
      <w:pPr>
        <w:spacing w:line="440" w:lineRule="exact"/>
        <w:ind w:firstLine="420" w:firstLineChars="200"/>
        <w:rPr>
          <w:sz w:val="24"/>
        </w:rPr>
      </w:pPr>
      <w:r>
        <w:rPr>
          <w:rFonts w:hint="eastAsia"/>
          <w:szCs w:val="21"/>
        </w:rPr>
        <w:t>公司网址</w:t>
      </w:r>
      <w:r>
        <w:rPr>
          <w:rFonts w:hint="eastAsia"/>
          <w:sz w:val="24"/>
        </w:rPr>
        <w:t>：</w:t>
      </w:r>
      <w:r>
        <w:fldChar w:fldCharType="begin"/>
      </w:r>
      <w:r>
        <w:instrText xml:space="preserve"> HYPERLINK "http://www.hhqh.com.cn" </w:instrText>
      </w:r>
      <w:r>
        <w:fldChar w:fldCharType="separate"/>
      </w:r>
      <w:r>
        <w:rPr>
          <w:rStyle w:val="7"/>
          <w:rFonts w:hint="eastAsia"/>
          <w:sz w:val="24"/>
        </w:rPr>
        <w:t>http://www.hhqh.com.cn</w:t>
      </w:r>
      <w:r>
        <w:rPr>
          <w:rStyle w:val="7"/>
          <w:rFonts w:hint="eastAsia"/>
          <w:sz w:val="24"/>
        </w:rPr>
        <w:fldChar w:fldCharType="end"/>
      </w:r>
    </w:p>
    <w:p>
      <w:pPr>
        <w:spacing w:line="440" w:lineRule="exact"/>
        <w:ind w:firstLine="480" w:firstLineChars="200"/>
        <w:rPr>
          <w:sz w:val="24"/>
        </w:rPr>
      </w:pPr>
    </w:p>
    <w:p>
      <w:pPr>
        <w:jc w:val="left"/>
      </w:pPr>
      <w:r>
        <w:rPr>
          <w:rFonts w:hint="eastAsia"/>
          <w:szCs w:val="21"/>
        </w:rPr>
        <w:t>和合期货有限公司经营范围包括：商品期货经纪业务、金融期货经纪业务、期货投资咨询业务、公开募集证券投资基金销售业务。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13B8"/>
    <w:multiLevelType w:val="singleLevel"/>
    <w:tmpl w:val="3D2913B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14839"/>
    <w:rsid w:val="00091592"/>
    <w:rsid w:val="00121EC6"/>
    <w:rsid w:val="001500C8"/>
    <w:rsid w:val="00152D45"/>
    <w:rsid w:val="001B48ED"/>
    <w:rsid w:val="001F61EF"/>
    <w:rsid w:val="00202D39"/>
    <w:rsid w:val="00223A09"/>
    <w:rsid w:val="00300F6C"/>
    <w:rsid w:val="004A2738"/>
    <w:rsid w:val="004C6E9F"/>
    <w:rsid w:val="004D230E"/>
    <w:rsid w:val="005D425A"/>
    <w:rsid w:val="00624DC0"/>
    <w:rsid w:val="00630903"/>
    <w:rsid w:val="00672BF5"/>
    <w:rsid w:val="006939BA"/>
    <w:rsid w:val="006A645B"/>
    <w:rsid w:val="006B097A"/>
    <w:rsid w:val="00707C04"/>
    <w:rsid w:val="00727182"/>
    <w:rsid w:val="0076192B"/>
    <w:rsid w:val="00767117"/>
    <w:rsid w:val="0079113F"/>
    <w:rsid w:val="00852147"/>
    <w:rsid w:val="00897C5D"/>
    <w:rsid w:val="008D37BE"/>
    <w:rsid w:val="009172AF"/>
    <w:rsid w:val="00982BBE"/>
    <w:rsid w:val="009C2BEE"/>
    <w:rsid w:val="00AD0CE2"/>
    <w:rsid w:val="00B62602"/>
    <w:rsid w:val="00C23A5B"/>
    <w:rsid w:val="00C452D2"/>
    <w:rsid w:val="00CE2C1A"/>
    <w:rsid w:val="00CE451A"/>
    <w:rsid w:val="00DA5F6B"/>
    <w:rsid w:val="00DF0122"/>
    <w:rsid w:val="00E43761"/>
    <w:rsid w:val="00EC2EF8"/>
    <w:rsid w:val="00ED2CDC"/>
    <w:rsid w:val="00EE5366"/>
    <w:rsid w:val="00F92AF5"/>
    <w:rsid w:val="00FC14A9"/>
    <w:rsid w:val="00FE152C"/>
    <w:rsid w:val="0B514839"/>
    <w:rsid w:val="0BC64009"/>
    <w:rsid w:val="3AD65A68"/>
    <w:rsid w:val="60226589"/>
    <w:rsid w:val="7C5B4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22"/>
    <w:rPr>
      <w:b/>
      <w:bCs/>
    </w:rPr>
  </w:style>
  <w:style w:type="character" w:styleId="7">
    <w:name w:val="Hyperlink"/>
    <w:basedOn w:val="5"/>
    <w:qFormat/>
    <w:uiPriority w:val="0"/>
    <w:rPr>
      <w:color w:val="0000FF"/>
      <w:u w:val="single"/>
    </w:rPr>
  </w:style>
  <w:style w:type="paragraph" w:styleId="8">
    <w:name w:val="List Paragraph"/>
    <w:basedOn w:val="1"/>
    <w:unhideWhenUsed/>
    <w:uiPriority w:val="99"/>
    <w:pPr>
      <w:ind w:firstLine="420" w:firstLineChars="200"/>
    </w:pPr>
  </w:style>
  <w:style w:type="character" w:customStyle="1" w:styleId="9">
    <w:name w:val="批注框文本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362</Words>
  <Characters>2068</Characters>
  <Lines>17</Lines>
  <Paragraphs>4</Paragraphs>
  <TotalTime>10</TotalTime>
  <ScaleCrop>false</ScaleCrop>
  <LinksUpToDate>false</LinksUpToDate>
  <CharactersWithSpaces>2426</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2019-04-08T08:31:00Z</dcterms:created>
  <dc:creator>Administrator</dc:creator>
  <cp:lastModifiedBy>圆</cp:lastModifiedBy>
  <dcterms:modified xsi:type="dcterms:W3CDTF">2019-06-28T08:55:18Z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