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郑棉月报（2019年5月）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eastAsia="宋体" w:asciiTheme="minorEastAsia" w:hAnsi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CCI328指数价格为15513元/吨，(+28元/吨，周涨跌幅，下同)；CCI229指数价格为15993元/吨(+23元/吨)，上周现货市场价格稳中小涨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当周进口棉报价大幅回升，滑准税下较CCI328指数价差为380元/吨(-164元/吨)；按1%关税测算，较CCI328指数价差为+1564元/吨(-272元/吨)，滑准税下内外棉价差有所收窄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4707255" cy="2698115"/>
            <wp:effectExtent l="0" t="0" r="19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173345" cy="253809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洲际交易所(ICE)纽约期棉周四微幅收高，在美国农业部周五公布的出口销售数据之前，部分投资者选择回补空头仓位。ICE 7月期棉合约收涨0.28美分或0.4%，至每磅69.34美分。该合约交易区间介于68.18-69.5美分。10月期棉合约收涨0.55美分，至每磅69.13美分。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3040" cy="3179445"/>
            <wp:effectExtent l="0" t="0" r="0" b="57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lang w:val="en-US" w:eastAsia="zh-CN"/>
        </w:rPr>
        <w:t>当月5月31日周五郑棉1909主力合约量能俱减，期价处于横盘运行中；最高报13580，最低报13425，收盘13495，较上一交易日-0.41%；成交量277358，持仓549394，-8336，基差1086，-35；CF9-1月价差500，+10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bookmarkEnd w:id="0"/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900045"/>
            <wp:effectExtent l="0" t="0" r="14605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6月26日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美国农业部发布的美国棉花生产报告显示，美国农业部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月2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日发布的美国棉花生产报告显示，截至2018年11月25日，美国棉花收获进度70%，较前周增加11个百分点，较上年同期减少8个百分点，较过去五年平均水平减少7个百分点。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45735" cy="2969895"/>
            <wp:effectExtent l="0" t="0" r="12065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12000"/>
                    </a:blip>
                    <a:srcRect l="482" t="1047" b="659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美国农业部报告显示，2019年2月15-21日，2018/19年度美棉出口净签约量为1.94万吨，美国2019/2020年度棉花净出口销售量为2744吨，2018/19年度美国棉花装运量为7.84万吨，2018/19年度皮马棉净签约量为2109吨，皮马棉装运量为3583吨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954020"/>
            <wp:effectExtent l="0" t="0" r="1460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行情研判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中国淘汰落后产能，加速产业结构调整，是行业自身发展的需要，也是当前国内外政治经济局势的大势所趋。随着中国“一带一路”推进以及中美贸易关系的新常态，全球产业链重构加速，国内产业结构调整加快，国内棉花消费出现萎缩在所难免。受中美贸易摩擦升级以及国内外棉花市场供应充裕影响，国内外棉价承压下跌，并有可能在未来较长的时间内维持低位波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一、中美贸易局势恶化，市场悲观情绪加剧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目前，中美贸易谈判陷入僵局。美国宣布，从5月10日起对价值2000亿美元的中国商品的关税税率进行调整，从原来的10%增加至25%。此外，美国还威胁将对另外价值3250亿美元的中国商品征收25%的关税。价值2000亿美元的中国商品清单中包含的纺织品数量并不多，但另外价值3250亿美元的中国商品清单包含全部纺织品和服装。贸易局势若继续恶化，中国纺织品和服装出口遭受重创的预期或将变为现实。由于中国向美国出口的纺织品和服装以棉制产品为主，国内棉花消费前景愈发悲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二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、市场供应充裕，棉价承压下跌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截至5月10日，全国累计销售皮棉413.9万吨。按照国内棉花预计产量610.5万吨计算，本年度新棉尚有196.6万吨待售。在不考虑结构性需求的情况下，基本上可以在数量上满足本年度后期的消费需求。考虑到增发进口配额和储备棉轮出因素，当前市场供应十分充裕。此外，据美国农业部5月份预测，2019年度全球棉花产量2731.5万吨，同比增长152.9万吨，与消费量基本持平。受上述因素影响，国内外棉价承压下跌，并有可能在未来较长时间内维持低位波动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后期需关注的市场热点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1、中美贸易谈判进展情况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2、国内宏观调控政策动向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0D2BA3"/>
    <w:rsid w:val="002507A9"/>
    <w:rsid w:val="003F1B40"/>
    <w:rsid w:val="0041312C"/>
    <w:rsid w:val="005073F0"/>
    <w:rsid w:val="005452C9"/>
    <w:rsid w:val="00812F0A"/>
    <w:rsid w:val="009D497A"/>
    <w:rsid w:val="00A325D2"/>
    <w:rsid w:val="00C55259"/>
    <w:rsid w:val="00DC0449"/>
    <w:rsid w:val="01131362"/>
    <w:rsid w:val="011F3AA5"/>
    <w:rsid w:val="012F40A2"/>
    <w:rsid w:val="01327E61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266D05"/>
    <w:rsid w:val="02534FA5"/>
    <w:rsid w:val="028A69AC"/>
    <w:rsid w:val="02964CD9"/>
    <w:rsid w:val="02B30D02"/>
    <w:rsid w:val="02B47328"/>
    <w:rsid w:val="02BC4620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50F5B"/>
    <w:rsid w:val="05CD1515"/>
    <w:rsid w:val="05F32E9A"/>
    <w:rsid w:val="065821A1"/>
    <w:rsid w:val="0667488E"/>
    <w:rsid w:val="0696462C"/>
    <w:rsid w:val="06AF6259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AE20F6"/>
    <w:rsid w:val="09C46C36"/>
    <w:rsid w:val="09D03774"/>
    <w:rsid w:val="09D97A9E"/>
    <w:rsid w:val="0A65639F"/>
    <w:rsid w:val="0A6C1E03"/>
    <w:rsid w:val="0A72023A"/>
    <w:rsid w:val="0A8956AB"/>
    <w:rsid w:val="0A9309AE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A94396"/>
    <w:rsid w:val="0CB15F63"/>
    <w:rsid w:val="0D0956F3"/>
    <w:rsid w:val="0D2A4759"/>
    <w:rsid w:val="0DCA37AE"/>
    <w:rsid w:val="0DDB0FBB"/>
    <w:rsid w:val="0E29570F"/>
    <w:rsid w:val="0E7A6849"/>
    <w:rsid w:val="0E9C4CC5"/>
    <w:rsid w:val="0EBC3469"/>
    <w:rsid w:val="0EC473DE"/>
    <w:rsid w:val="0F016D9B"/>
    <w:rsid w:val="0F0444CC"/>
    <w:rsid w:val="0F4A09B5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504174"/>
    <w:rsid w:val="12623727"/>
    <w:rsid w:val="12BD4D78"/>
    <w:rsid w:val="12E20F73"/>
    <w:rsid w:val="131118F4"/>
    <w:rsid w:val="13241F3C"/>
    <w:rsid w:val="132B176F"/>
    <w:rsid w:val="13342712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5B314F1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DE3503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A46E63"/>
    <w:rsid w:val="1AC644C7"/>
    <w:rsid w:val="1AF57BB1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1FFE792B"/>
    <w:rsid w:val="201250C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8B302F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751982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AF513D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7E40D7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5129CA"/>
    <w:rsid w:val="33921BC3"/>
    <w:rsid w:val="33B719FA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0D003E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5D1E8D"/>
    <w:rsid w:val="38607996"/>
    <w:rsid w:val="38775845"/>
    <w:rsid w:val="38D30972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367837"/>
    <w:rsid w:val="3A4A735A"/>
    <w:rsid w:val="3A766CC5"/>
    <w:rsid w:val="3AE15F6C"/>
    <w:rsid w:val="3AF37437"/>
    <w:rsid w:val="3AFF7C9B"/>
    <w:rsid w:val="3B436E9E"/>
    <w:rsid w:val="3B4612B4"/>
    <w:rsid w:val="3B6658B1"/>
    <w:rsid w:val="3B8F2C1D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AA1C12"/>
    <w:rsid w:val="3DB21572"/>
    <w:rsid w:val="3DD934C7"/>
    <w:rsid w:val="3E1113C8"/>
    <w:rsid w:val="3E2227E1"/>
    <w:rsid w:val="3E231471"/>
    <w:rsid w:val="3E542222"/>
    <w:rsid w:val="3E8D4B9A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39657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B6338F"/>
    <w:rsid w:val="44DD67F8"/>
    <w:rsid w:val="44E310EB"/>
    <w:rsid w:val="4508169D"/>
    <w:rsid w:val="453D2CDF"/>
    <w:rsid w:val="456B2D45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2A5499"/>
    <w:rsid w:val="483E5A0B"/>
    <w:rsid w:val="486F76F9"/>
    <w:rsid w:val="487F68C6"/>
    <w:rsid w:val="48B51999"/>
    <w:rsid w:val="48B55AF2"/>
    <w:rsid w:val="48DA028E"/>
    <w:rsid w:val="49D13CED"/>
    <w:rsid w:val="49E55052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B6AF7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14B26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CD7D97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31F5D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CFE7D12"/>
    <w:rsid w:val="5D0703E4"/>
    <w:rsid w:val="5D534D29"/>
    <w:rsid w:val="5D667334"/>
    <w:rsid w:val="5D7B427D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380FAF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D8619C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9BE5C1A"/>
    <w:rsid w:val="6A04082B"/>
    <w:rsid w:val="6A0C2717"/>
    <w:rsid w:val="6A0D5273"/>
    <w:rsid w:val="6A2412D9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4C3813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6A7233"/>
    <w:rsid w:val="718B32F7"/>
    <w:rsid w:val="718E6443"/>
    <w:rsid w:val="71970E49"/>
    <w:rsid w:val="71A74ABD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6B33FB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45400F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DF9683F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2019-05-31T08:23:11Z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