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郑棉周报（20190408--20190412）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4月8日-4月12日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4月12日报价15985元/吨；外棉FCIndexM周度上涨0.62美分/磅，小幅上涨，4月12日报价88.27美分/磅；考特鲁克指数CotlookA周度下跌1.8美分/磅，小幅下跌，4月12日报价86.15美分/磅，1%关税后折合人民币14729元/吨；中国棉纱价格指数CYIndexC32S周度下跌30元/吨，保持稳定，4月12日报价24200元/；进口棉纱价格指数FCYIndexC32S周度下跌545元/吨，大幅下跌，4月12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36210" cy="3035935"/>
            <wp:effectExtent l="4445" t="4445" r="17145" b="762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62890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3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240" w:leftChars="100" w:firstLine="240" w:firstLineChars="1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</w:t>
      </w:r>
      <w:r>
        <w:rPr>
          <w:rFonts w:hint="eastAsia" w:asciiTheme="minorEastAsia" w:hAnsiTheme="minorEastAsia" w:cstheme="minorEastAsia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lang w:val="en-US" w:eastAsia="zh-CN"/>
        </w:rPr>
        <w:instrText xml:space="preserve"> HYPERLINK "http://www.sfmianhua.com/news/list-11.html" \t "http://www.sfmianhua.com/news/_blank" </w:instrText>
      </w:r>
      <w:r>
        <w:rPr>
          <w:rFonts w:hint="eastAsia" w:asciiTheme="minorEastAsia" w:hAnsiTheme="minorEastAsia" w:cstheme="minorEastAsia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lang w:val="en-US" w:eastAsia="zh-CN"/>
        </w:rPr>
        <w:t>期棉</w:t>
      </w:r>
      <w:r>
        <w:rPr>
          <w:rFonts w:hint="eastAsia" w:asciiTheme="minorEastAsia" w:hAnsiTheme="minorEastAsia" w:cstheme="minorEastAsia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lang w:val="en-US" w:eastAsia="zh-CN"/>
        </w:rPr>
        <w:t>合约周四跌至一周低点，受累于美元走强，不过美国农业部( USDA )公布的利多出口销售报告限制了跌幅。近月5月棉花合约下跌0.64美分或0.82%，结算价报每磅76.98美分，该合约盘中跌至4月4日以来最低的76.86美分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  <w:r>
        <w:rPr>
          <w:rFonts w:hint="eastAsia" w:asciiTheme="minorEastAsia" w:hAnsi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lang w:val="en-US" w:eastAsia="zh-CN"/>
        </w:rPr>
        <w:t xml:space="preserve">    美国农业部（ USDA ）周四公布的出口销售报告显示，4月4日止当周，美国2018-19年度陆地棉出口净销售28.9万包，较此前一周下滑10%，较四周均值大幅增长39%。此外，一“炸弹旋风”带来的暴风雪周三冲击落基山脉，并进入美国大平原和中西部地区，带来了该地区出现更多洪水的担忧，且此时该地区正从上个月的洪水中恢复。中美两国贸易战方面，中国商务部新闻发言人高峰透露，在第九轮中美经贸高级别磋商结束后，中美双方牵头人已经进行了通话，讨论了遗留问题，下一步双方经贸团队将通过各种有效方式保持密切沟通，全力以赴继续进行认真谈判，朝着落实两国元首重要共识的方向努力。期货市场总的成交量增加5,041手至55,097手。总的持仓量减少2,082手至219,456手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left="240" w:leftChars="100" w:firstLine="240" w:firstLineChars="100"/>
        <w:jc w:val="left"/>
        <w:rPr>
          <w:rFonts w:hint="eastAsia" w:asciiTheme="minorEastAsia" w:hAnsiTheme="minorEastAsia" w:cstheme="minorEastAsia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lang w:val="en-US" w:eastAsia="zh-CN"/>
        </w:rPr>
        <w:t>当周（4月8日-4月12日）周五郑棉1909主力合约增仓减量，今日期价下探后回升；最高报15915，最低报15735，收盘15905，较上一交易日+0.03%；成交量243130，持仓543952，+5796，基差262，+10；CF5-9月价差510，+10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bookmarkEnd w:id="0"/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67960" cy="2594610"/>
            <wp:effectExtent l="0" t="0" r="5080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lum bright="30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当周（4月8日-4月12日）仓单17137张，+61，仓单库存仍处近五年的历史同期高位水平。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2019年3月29日-4月4日，2018/19年度美棉出口净签约量为6.55万吨，较前周减少10%，较前四周平均值增长39%。美国2019/20年度棉花净出口销售量为4.67万吨。2018/19年度美国棉花装运量为8.69万吨，较前周减少7%，较前四周平均值增长7%。2018/19年度皮马棉净签约量为6849吨，较前周增长87%，美国2019/20年度皮马棉净出口销售量为589吨，皮马棉装运量为4763吨，较前周增长24%，较前四周平均值增长53%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至2019年4月7日，美国棉花播种进度为6%，比去年同期减少1个百分点，比过去五年平均值增加1个百分点。已经开始播种的州增加到三个，分别是亚利桑那州、得克萨斯州和俄克拉何马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jc w:val="left"/>
        <w:rPr>
          <w:b w:val="0"/>
        </w:rPr>
      </w:pPr>
      <w:r>
        <w:rPr>
          <w:rFonts w:ascii="微软雅黑" w:hAnsi="微软雅黑" w:eastAsia="微软雅黑" w:cs="微软雅黑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972050" cy="4902200"/>
            <wp:effectExtent l="0" t="0" r="11430" b="508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jc w:val="left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国内棉价延续区间行情。据国家统计局数据显示，3月份，中国制造业采购经理指数（PMI）为50.5%，比上月上升1.3个百分点，重回临界点以上。其中，生产指数和新订单指数环比分别上升3.2个百分点、1个百分点至50临界点以上。意味着春节后企业集中开工，企业生产、需求环比回升，但均不及去年同期，季节性回暖持续性有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进一步观察。基本面上，据监测系统数据显示，截至4月4日，全国累计交售籽棉折皮棉602.万吨（产量607.5万吨），同比减0.3万吨，累计加工皮棉592万吨，同比增加5.5万吨，累计销售皮棉360万吨，销售率59.8%，较上年同期放缓0.4个百分点。郑棉仓单较上周增加0.42万吨至67.48万吨，是去年仓单量的3倍。目前国内皮棉现货市场成交较3月有所放缓，外棉入库量大于出库量，但销售好于国产棉，下游纺企原料采购以刚需补库为主，棉纱、棉布后续订单跟进略显缓慢，库存小幅上升。短期内国内棉花供应端依然充裕，消费处于试探回暖阶段，棉价可能延续区间振荡，等待中美贸易措施结果，关注播种季天气变化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操作上建议1909合约逢低布多。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逢低布多。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44738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374E8D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3F31833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9F3E31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703F1"/>
    <w:rsid w:val="10F93C7D"/>
    <w:rsid w:val="10FA0DDF"/>
    <w:rsid w:val="1100413E"/>
    <w:rsid w:val="111463B1"/>
    <w:rsid w:val="111D4F05"/>
    <w:rsid w:val="1130031A"/>
    <w:rsid w:val="11907F88"/>
    <w:rsid w:val="1226198C"/>
    <w:rsid w:val="123F2EFE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6568B0"/>
    <w:rsid w:val="158470E5"/>
    <w:rsid w:val="15F478C2"/>
    <w:rsid w:val="16535344"/>
    <w:rsid w:val="16663180"/>
    <w:rsid w:val="167660DE"/>
    <w:rsid w:val="16822328"/>
    <w:rsid w:val="169E6D32"/>
    <w:rsid w:val="16A52E31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4D1B34"/>
    <w:rsid w:val="1E6170D5"/>
    <w:rsid w:val="1E7763FB"/>
    <w:rsid w:val="1E865FD7"/>
    <w:rsid w:val="1EBC4587"/>
    <w:rsid w:val="1ED84DE2"/>
    <w:rsid w:val="1EDD3787"/>
    <w:rsid w:val="1EDD3F20"/>
    <w:rsid w:val="1EE4035E"/>
    <w:rsid w:val="1F500EA4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1FF4C98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481EBA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9C1B61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87A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4F234F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01B69"/>
    <w:rsid w:val="319F7C74"/>
    <w:rsid w:val="31E47787"/>
    <w:rsid w:val="328E3345"/>
    <w:rsid w:val="329860D6"/>
    <w:rsid w:val="32A00323"/>
    <w:rsid w:val="32EA1B4F"/>
    <w:rsid w:val="32F10AD4"/>
    <w:rsid w:val="33012B28"/>
    <w:rsid w:val="33134685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BD72BE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9F4215F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7234A9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07B5D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6B5743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0E10C5"/>
    <w:rsid w:val="432F24C4"/>
    <w:rsid w:val="435620BA"/>
    <w:rsid w:val="43596115"/>
    <w:rsid w:val="436C5C8B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AA0EE7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1550FB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2E47D1"/>
    <w:rsid w:val="516D45F0"/>
    <w:rsid w:val="51974403"/>
    <w:rsid w:val="51A63372"/>
    <w:rsid w:val="51AB2A81"/>
    <w:rsid w:val="51C87B24"/>
    <w:rsid w:val="520708BC"/>
    <w:rsid w:val="52207512"/>
    <w:rsid w:val="5223224B"/>
    <w:rsid w:val="522A3AB4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8C35D0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D93E5E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CFC75A1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9B51CE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39D4B2A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424ED4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8A39A1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4D3E97"/>
    <w:rsid w:val="6E5B18FA"/>
    <w:rsid w:val="6E801E64"/>
    <w:rsid w:val="6E970C32"/>
    <w:rsid w:val="6EA97C74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006017"/>
    <w:rsid w:val="702C7AD4"/>
    <w:rsid w:val="705B5E08"/>
    <w:rsid w:val="70C14A45"/>
    <w:rsid w:val="70C42093"/>
    <w:rsid w:val="70D1598D"/>
    <w:rsid w:val="70EB2465"/>
    <w:rsid w:val="70FA267D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565801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5D2C2C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894668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date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0"/>
        <c:lblAlgn val="ctr"/>
        <c:lblOffset val="100"/>
        <c:baseTimeUnit val="days"/>
      </c:date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2019-04-12T08:29:03Z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