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bCs/>
          <w:sz w:val="36"/>
          <w:szCs w:val="36"/>
          <w:lang w:eastAsia="zh-CN"/>
        </w:rPr>
        <w:t>供需矛盾不突出，明年宽幅震荡</w:t>
      </w:r>
    </w:p>
    <w:p>
      <w:pPr>
        <w:numPr>
          <w:ilvl w:val="0"/>
          <w:numId w:val="0"/>
        </w:numPr>
        <w:ind w:firstLine="42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r>
        <w:drawing>
          <wp:anchor distT="0" distB="0" distL="114300" distR="114300" simplePos="0" relativeHeight="251658240" behindDoc="0" locked="0" layoutInCell="1" allowOverlap="1">
            <wp:simplePos x="0" y="0"/>
            <wp:positionH relativeFrom="column">
              <wp:posOffset>334010</wp:posOffset>
            </wp:positionH>
            <wp:positionV relativeFrom="paragraph">
              <wp:posOffset>204470</wp:posOffset>
            </wp:positionV>
            <wp:extent cx="2040255" cy="1021715"/>
            <wp:effectExtent l="0" t="0" r="17145"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1080" w:firstLineChars="6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1080" w:firstLineChars="6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1080" w:firstLineChars="6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5"/>
          <w:rFonts w:hint="eastAsia" w:ascii="宋体" w:hAnsi="宋体" w:cs="宋体"/>
          <w:sz w:val="18"/>
          <w:szCs w:val="18"/>
          <w:lang w:val="en-US" w:eastAsia="zh-CN"/>
        </w:rPr>
        <w:t>zhailu</w:t>
      </w:r>
      <w:r>
        <w:rPr>
          <w:rStyle w:val="5"/>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spacing w:line="240" w:lineRule="auto"/>
        <w:ind w:firstLine="1080" w:firstLineChars="600"/>
        <w:jc w:val="left"/>
        <w:rPr>
          <w:rFonts w:hint="eastAsia" w:ascii="宋体" w:hAnsi="宋体" w:eastAsia="宋体" w:cs="宋体"/>
          <w:sz w:val="18"/>
          <w:szCs w:val="18"/>
          <w:lang w:val="en-US" w:eastAsia="zh-CN"/>
        </w:rPr>
      </w:pPr>
    </w:p>
    <w:p>
      <w:pPr>
        <w:numPr>
          <w:ilvl w:val="0"/>
          <w:numId w:val="0"/>
        </w:numPr>
        <w:jc w:val="both"/>
      </w:pPr>
      <w:r>
        <w:drawing>
          <wp:inline distT="0" distB="0" distL="114300" distR="114300">
            <wp:extent cx="5415280" cy="3194050"/>
            <wp:effectExtent l="0" t="0" r="13970" b="635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5"/>
                    <a:stretch>
                      <a:fillRect/>
                    </a:stretch>
                  </pic:blipFill>
                  <pic:spPr>
                    <a:xfrm>
                      <a:off x="0" y="0"/>
                      <a:ext cx="5415280" cy="3194050"/>
                    </a:xfrm>
                    <a:prstGeom prst="rect">
                      <a:avLst/>
                    </a:prstGeom>
                    <a:noFill/>
                    <a:ln w="9525">
                      <a:noFill/>
                    </a:ln>
                  </pic:spPr>
                </pic:pic>
              </a:graphicData>
            </a:graphic>
          </wp:inline>
        </w:drawing>
      </w:r>
    </w:p>
    <w:p>
      <w:pPr>
        <w:numPr>
          <w:ilvl w:val="0"/>
          <w:numId w:val="0"/>
        </w:numPr>
        <w:ind w:firstLine="210" w:firstLineChars="100"/>
        <w:jc w:val="both"/>
        <w:rPr>
          <w:rFonts w:hint="eastAsia" w:eastAsiaTheme="minorEastAsia"/>
          <w:lang w:val="en-US" w:eastAsia="zh-CN"/>
        </w:rPr>
      </w:pPr>
      <w:r>
        <w:rPr>
          <w:rFonts w:hint="eastAsia"/>
          <w:lang w:eastAsia="zh-CN"/>
        </w:rPr>
        <w:t>数据来源：文华财经</w:t>
      </w:r>
      <w:r>
        <w:rPr>
          <w:rFonts w:hint="eastAsia"/>
          <w:lang w:val="en-US" w:eastAsia="zh-CN"/>
        </w:rPr>
        <w:t xml:space="preserve">           伦</w:t>
      </w:r>
      <w:r>
        <w:rPr>
          <w:rFonts w:hint="eastAsia"/>
          <w:lang w:eastAsia="zh-CN"/>
        </w:rPr>
        <w:t>铜</w:t>
      </w:r>
      <w:r>
        <w:rPr>
          <w:rFonts w:hint="eastAsia"/>
          <w:lang w:val="en-US" w:eastAsia="zh-CN"/>
        </w:rPr>
        <w:t>2018年周线图走势</w:t>
      </w:r>
    </w:p>
    <w:p>
      <w:pPr>
        <w:numPr>
          <w:ilvl w:val="0"/>
          <w:numId w:val="0"/>
        </w:numPr>
        <w:jc w:val="both"/>
      </w:pPr>
    </w:p>
    <w:p>
      <w:pPr>
        <w:numPr>
          <w:ilvl w:val="0"/>
          <w:numId w:val="0"/>
        </w:numPr>
        <w:jc w:val="both"/>
        <w:rPr>
          <w:rFonts w:hint="eastAsia"/>
          <w:lang w:val="en-US" w:eastAsia="zh-CN"/>
        </w:rPr>
      </w:pPr>
    </w:p>
    <w:p>
      <w:pPr>
        <w:numPr>
          <w:ilvl w:val="0"/>
          <w:numId w:val="0"/>
        </w:numPr>
        <w:ind w:firstLine="480" w:firstLineChars="200"/>
        <w:jc w:val="both"/>
        <w:rPr>
          <w:rFonts w:hint="eastAsia" w:ascii="微软雅黑" w:hAnsi="微软雅黑" w:eastAsia="微软雅黑" w:cs="微软雅黑"/>
          <w:i w:val="0"/>
          <w:caps w:val="0"/>
          <w:color w:val="333333"/>
          <w:spacing w:val="0"/>
          <w:kern w:val="2"/>
          <w:sz w:val="24"/>
          <w:szCs w:val="24"/>
          <w:lang w:val="en-US" w:eastAsia="zh-CN" w:bidi="ar-SA"/>
        </w:rPr>
      </w:pPr>
      <w:r>
        <w:rPr>
          <w:rFonts w:hint="eastAsia" w:ascii="微软雅黑" w:hAnsi="微软雅黑" w:eastAsia="微软雅黑" w:cs="微软雅黑"/>
          <w:b/>
          <w:bCs/>
          <w:i w:val="0"/>
          <w:caps w:val="0"/>
          <w:color w:val="000000"/>
          <w:spacing w:val="0"/>
          <w:sz w:val="24"/>
          <w:szCs w:val="24"/>
          <w:shd w:val="clear" w:fill="FFFFFF"/>
          <w:lang w:val="en-US" w:eastAsia="zh-CN"/>
        </w:rPr>
        <w:t>摘要：</w:t>
      </w:r>
      <w:r>
        <w:rPr>
          <w:rFonts w:hint="eastAsia" w:ascii="微软雅黑" w:hAnsi="微软雅黑" w:eastAsia="微软雅黑" w:cs="微软雅黑"/>
          <w:b w:val="0"/>
          <w:i w:val="0"/>
          <w:caps w:val="0"/>
          <w:color w:val="000000"/>
          <w:spacing w:val="0"/>
          <w:sz w:val="24"/>
          <w:szCs w:val="24"/>
          <w:shd w:val="clear" w:fill="FFFFFF"/>
          <w:lang w:val="en-US" w:eastAsia="zh-CN"/>
        </w:rPr>
        <w:t>中美双方在G20会议上初步达成共识，避免了贸易冲突进一步升级，并延长了谈判期，换取了90天的谈判时间，目前实际上没有显著的成果，暂时局面不会进一步恶化，中美双方全面矛盾不会短期解决，一月可能开始商谈具体细节，部分协议在可能有所进展，但华为事件发生市场对双方谈判乐观前景有所质疑。供给面</w:t>
      </w:r>
      <w:r>
        <w:rPr>
          <w:rFonts w:hint="eastAsia" w:ascii="微软雅黑" w:hAnsi="微软雅黑" w:eastAsia="微软雅黑" w:cs="微软雅黑"/>
          <w:i w:val="0"/>
          <w:caps w:val="0"/>
          <w:color w:val="333333"/>
          <w:spacing w:val="0"/>
          <w:kern w:val="2"/>
          <w:sz w:val="24"/>
          <w:szCs w:val="24"/>
          <w:lang w:val="en-US" w:eastAsia="zh-CN" w:bidi="ar-SA"/>
        </w:rPr>
        <w:t>2019年铜矿增速有所下降，由于缺乏大型新矿的补充，明年依靠扩建项目的达产并不能大幅带动铜精矿的增量，矿品位的下降特别是南美洲产铜大国增产缓慢的因素；需求端铜需求第一大户电网，虽然绝对用量规模大，但增长速度一开始停滞或下滑，房地产业在近两年严控政策下增长明显放缓，房地产铜需求增长有限，同时影响下游家电行业销量，国内空调销量从17年高峰开始下滑，不过今年空调出口增长较快，有一些外销需求亮点，但整体看铜需求还是维持原有水平，汽车业今年下半年出现销量快速下滑态势，虽然新能源汽车依旧火爆，但基数小规模有限无法填补整体行业对铜需求的缺口。</w:t>
      </w: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bookmarkStart w:id="0" w:name="_GoBack"/>
      <w:bookmarkEnd w:id="0"/>
      <w:r>
        <w:rPr>
          <w:rFonts w:hint="eastAsia" w:ascii="微软雅黑" w:hAnsi="微软雅黑" w:eastAsia="微软雅黑" w:cs="微软雅黑"/>
          <w:i w:val="0"/>
          <w:caps w:val="0"/>
          <w:color w:val="333333"/>
          <w:spacing w:val="0"/>
          <w:kern w:val="2"/>
          <w:sz w:val="24"/>
          <w:szCs w:val="24"/>
          <w:lang w:val="en-US" w:eastAsia="zh-CN" w:bidi="ar-SA"/>
        </w:rPr>
        <w:t>整体看供给面可能放缓，需求端不乐观，</w:t>
      </w:r>
      <w:r>
        <w:rPr>
          <w:rFonts w:hint="eastAsia" w:ascii="微软雅黑" w:hAnsi="微软雅黑" w:eastAsia="微软雅黑" w:cs="微软雅黑"/>
          <w:b w:val="0"/>
          <w:i w:val="0"/>
          <w:caps w:val="0"/>
          <w:color w:val="000000"/>
          <w:spacing w:val="0"/>
          <w:sz w:val="24"/>
          <w:szCs w:val="24"/>
          <w:shd w:val="clear" w:fill="FFFFFF"/>
          <w:lang w:val="en-US" w:eastAsia="zh-CN"/>
        </w:rPr>
        <w:t>供需基本面矛盾不凸显，但目前沪铜在50000一线或以下，废铜退出市场，需要精铜填补，交易所库存下降明显，支撑期铜，期价在52000上方废铜就有利润流入市场，压制期价，所以废铜也是影</w:t>
      </w:r>
      <w:r>
        <w:rPr>
          <w:rFonts w:hint="eastAsia" w:ascii="微软雅黑" w:hAnsi="微软雅黑" w:eastAsia="微软雅黑" w:cs="微软雅黑"/>
          <w:i w:val="0"/>
          <w:caps w:val="0"/>
          <w:color w:val="333333"/>
          <w:spacing w:val="0"/>
          <w:kern w:val="2"/>
          <w:sz w:val="24"/>
          <w:szCs w:val="24"/>
          <w:lang w:val="en-US" w:eastAsia="zh-CN" w:bidi="ar-SA"/>
        </w:rPr>
        <w:t>响明年铜价的重要因素。</w:t>
      </w:r>
    </w:p>
    <w:p>
      <w:pPr>
        <w:numPr>
          <w:ilvl w:val="0"/>
          <w:numId w:val="0"/>
        </w:numPr>
        <w:jc w:val="both"/>
        <w:rPr>
          <w:rFonts w:hint="eastAsia" w:ascii="微软雅黑" w:hAnsi="微软雅黑" w:eastAsia="微软雅黑" w:cs="微软雅黑"/>
          <w:b w:val="0"/>
          <w:i w:val="0"/>
          <w:caps w:val="0"/>
          <w:color w:val="000000"/>
          <w:spacing w:val="0"/>
          <w:sz w:val="24"/>
          <w:szCs w:val="24"/>
          <w:shd w:val="clear" w:fill="FFFFFF"/>
          <w:lang w:val="en-US" w:eastAsia="zh-CN"/>
        </w:rPr>
      </w:pPr>
    </w:p>
    <w:p>
      <w:pPr>
        <w:jc w:val="left"/>
        <w:rPr>
          <w:rFonts w:hint="eastAsia" w:asciiTheme="minorEastAsia" w:hAnsiTheme="minorEastAsia" w:eastAsiaTheme="minorEastAsia" w:cstheme="minorEastAsia"/>
          <w:b/>
          <w:bCs/>
          <w:i w:val="0"/>
          <w:caps w:val="0"/>
          <w:color w:val="000000"/>
          <w:spacing w:val="0"/>
          <w:sz w:val="32"/>
          <w:szCs w:val="32"/>
          <w:shd w:val="clear" w:fill="FFFFFF"/>
          <w:lang w:val="en-US" w:eastAsia="zh-CN"/>
        </w:rPr>
      </w:pPr>
      <w:r>
        <w:rPr>
          <w:rFonts w:hint="eastAsia" w:asciiTheme="minorEastAsia" w:hAnsiTheme="minorEastAsia" w:eastAsiaTheme="minorEastAsia" w:cstheme="minorEastAsia"/>
          <w:b/>
          <w:bCs/>
          <w:i w:val="0"/>
          <w:caps w:val="0"/>
          <w:color w:val="000000"/>
          <w:spacing w:val="0"/>
          <w:sz w:val="32"/>
          <w:szCs w:val="32"/>
          <w:shd w:val="clear" w:fill="FFFFFF"/>
          <w:lang w:val="en-US" w:eastAsia="zh-CN"/>
        </w:rPr>
        <w:t>一、2018年行情综述</w:t>
      </w:r>
    </w:p>
    <w:p>
      <w:pPr>
        <w:ind w:firstLine="523" w:firstLineChars="0"/>
        <w:jc w:val="left"/>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主导2018年期铜走势的两大因素，一是铜矿薪资谈判，二是中美贸易战</w:t>
      </w:r>
    </w:p>
    <w:p>
      <w:pPr>
        <w:numPr>
          <w:ilvl w:val="0"/>
          <w:numId w:val="0"/>
        </w:numPr>
        <w:jc w:val="both"/>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铜矿薪资谈判是2018年供给端最大的风险因素，2017年Escondida铜矿罢工50天造成很大的影响，2018年薪资谈判涉及500万吨铜矿产能，全球最大产铜国智利进行谈判的铜矿产量约占该国铜产量的四分之三，年初期铜一直在高位盘整。3月份中美贸易战逐渐开始，3月9日“对进口钢铁和铝分别征收25%和10%的关税”，3月22日宣布因知识产权侵权问题对中国商品征收500亿美元关税，期铜从高位开始下行，下跌到49000附近，由于铜矿薪资谈判还没开始，支撑铜价反弹。</w:t>
      </w:r>
    </w:p>
    <w:p>
      <w:pPr>
        <w:numPr>
          <w:ilvl w:val="0"/>
          <w:numId w:val="0"/>
        </w:numPr>
        <w:jc w:val="both"/>
      </w:pPr>
      <w:r>
        <w:drawing>
          <wp:inline distT="0" distB="0" distL="114300" distR="114300">
            <wp:extent cx="5572125" cy="3191510"/>
            <wp:effectExtent l="0" t="0" r="952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572125" cy="3191510"/>
                    </a:xfrm>
                    <a:prstGeom prst="rect">
                      <a:avLst/>
                    </a:prstGeom>
                    <a:noFill/>
                    <a:ln w="9525">
                      <a:noFill/>
                    </a:ln>
                  </pic:spPr>
                </pic:pic>
              </a:graphicData>
            </a:graphic>
          </wp:inline>
        </w:drawing>
      </w:r>
    </w:p>
    <w:p>
      <w:pPr>
        <w:jc w:val="left"/>
        <w:rPr>
          <w:rFonts w:hint="eastAsia" w:asciiTheme="minorHAnsi" w:hAnsiTheme="minorHAnsi" w:eastAsiaTheme="minorEastAsia" w:cstheme="minorBidi"/>
          <w:kern w:val="2"/>
          <w:sz w:val="21"/>
          <w:szCs w:val="24"/>
          <w:lang w:val="en-US" w:eastAsia="zh-CN" w:bidi="ar-SA"/>
        </w:rPr>
      </w:pPr>
      <w:r>
        <w:rPr>
          <w:rFonts w:hint="eastAsia"/>
          <w:lang w:eastAsia="zh-CN"/>
        </w:rPr>
        <w:t>数据来源：文华财经</w:t>
      </w:r>
      <w:r>
        <w:rPr>
          <w:rFonts w:hint="eastAsia"/>
          <w:lang w:val="en-US" w:eastAsia="zh-CN"/>
        </w:rPr>
        <w:t xml:space="preserve">    </w:t>
      </w:r>
      <w:r>
        <w:rPr>
          <w:rFonts w:hint="eastAsia" w:cstheme="minorBidi"/>
          <w:kern w:val="2"/>
          <w:sz w:val="21"/>
          <w:szCs w:val="24"/>
          <w:lang w:val="en-US" w:eastAsia="zh-CN" w:bidi="ar-SA"/>
        </w:rPr>
        <w:t>沪铜指数2018年日线走势</w:t>
      </w:r>
    </w:p>
    <w:p>
      <w:pPr>
        <w:numPr>
          <w:ilvl w:val="0"/>
          <w:numId w:val="0"/>
        </w:numPr>
        <w:jc w:val="both"/>
        <w:rPr>
          <w:rFonts w:hint="eastAsia"/>
          <w:lang w:val="en-US" w:eastAsia="zh-CN"/>
        </w:rPr>
      </w:pP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6月份Escondida铜矿谈判进展不顺，叠加中美贸易三次谈判达成初步协议，期铜突破震荡区冲高至55000，随后美国违约谈判承诺，继续开证关税，7月6日开始对价值340亿美元的中国进口商品加征关悦，9月18日对从中国进口的约2,000亿美元商品加征关税的措施，自2018年9月24日起加征关税税率为10%，以及32份合同大部分已经续签，包括必和必拓旗下全球最大铜矿Escondida铜矿薪资协议的达成，罢工风险下降，产量稳步恢复增长，利多因素逐步转化为利空因素。期铜开始年内第二波大跌行情，从55000高点下行到47000附近。基本面供需矛盾不凸显，沪铜在50000一线，废铜退出市场，需要精铜填补，交易所库存下降明显，支撑期铜，下跌空间有限，但宏观面没有实质好转，沪铜9月开始进入了区间震荡模式。</w:t>
      </w: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p>
    <w:p>
      <w:pPr>
        <w:numPr>
          <w:ilvl w:val="0"/>
          <w:numId w:val="1"/>
        </w:numPr>
        <w:jc w:val="left"/>
        <w:rPr>
          <w:rFonts w:hint="eastAsia" w:asciiTheme="minorEastAsia" w:hAnsiTheme="minorEastAsia" w:eastAsiaTheme="minorEastAsia" w:cstheme="minorEastAsia"/>
          <w:b/>
          <w:bCs/>
          <w:i w:val="0"/>
          <w:caps w:val="0"/>
          <w:color w:val="000000"/>
          <w:spacing w:val="0"/>
          <w:sz w:val="32"/>
          <w:szCs w:val="32"/>
          <w:shd w:val="clear" w:fill="FFFFFF"/>
          <w:lang w:val="en-US" w:eastAsia="zh-CN"/>
        </w:rPr>
      </w:pPr>
      <w:r>
        <w:rPr>
          <w:rFonts w:hint="eastAsia" w:asciiTheme="minorEastAsia" w:hAnsiTheme="minorEastAsia" w:eastAsiaTheme="minorEastAsia" w:cstheme="minorEastAsia"/>
          <w:b/>
          <w:bCs/>
          <w:i w:val="0"/>
          <w:caps w:val="0"/>
          <w:color w:val="000000"/>
          <w:spacing w:val="0"/>
          <w:sz w:val="32"/>
          <w:szCs w:val="32"/>
          <w:shd w:val="clear" w:fill="FFFFFF"/>
          <w:lang w:val="en-US" w:eastAsia="zh-CN"/>
        </w:rPr>
        <w:t>宏观面有所好转</w:t>
      </w: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统计局最新数据显示，前11月全国固定资产投资（不含农户）</w:t>
      </w:r>
      <w:r>
        <w:rPr>
          <w:rFonts w:hint="default" w:ascii="微软雅黑" w:hAnsi="微软雅黑" w:eastAsia="微软雅黑" w:cs="微软雅黑"/>
          <w:b w:val="0"/>
          <w:i w:val="0"/>
          <w:caps w:val="0"/>
          <w:color w:val="000000"/>
          <w:spacing w:val="0"/>
          <w:sz w:val="24"/>
          <w:szCs w:val="24"/>
          <w:shd w:val="clear" w:fill="FFFFFF"/>
          <w:lang w:val="en-US" w:eastAsia="zh-CN"/>
        </w:rPr>
        <w:t>60</w:t>
      </w:r>
      <w:r>
        <w:rPr>
          <w:rFonts w:hint="eastAsia" w:ascii="微软雅黑" w:hAnsi="微软雅黑" w:eastAsia="微软雅黑" w:cs="微软雅黑"/>
          <w:b w:val="0"/>
          <w:i w:val="0"/>
          <w:caps w:val="0"/>
          <w:color w:val="000000"/>
          <w:spacing w:val="0"/>
          <w:sz w:val="24"/>
          <w:szCs w:val="24"/>
          <w:shd w:val="clear" w:fill="FFFFFF"/>
          <w:lang w:val="en-US" w:eastAsia="zh-CN"/>
        </w:rPr>
        <w:t>.</w:t>
      </w:r>
      <w:r>
        <w:rPr>
          <w:rFonts w:hint="default" w:ascii="微软雅黑" w:hAnsi="微软雅黑" w:eastAsia="微软雅黑" w:cs="微软雅黑"/>
          <w:b w:val="0"/>
          <w:i w:val="0"/>
          <w:caps w:val="0"/>
          <w:color w:val="000000"/>
          <w:spacing w:val="0"/>
          <w:sz w:val="24"/>
          <w:szCs w:val="24"/>
          <w:shd w:val="clear" w:fill="FFFFFF"/>
          <w:lang w:val="en-US" w:eastAsia="zh-CN"/>
        </w:rPr>
        <w:t>9</w:t>
      </w:r>
      <w:r>
        <w:rPr>
          <w:rFonts w:hint="eastAsia" w:ascii="微软雅黑" w:hAnsi="微软雅黑" w:eastAsia="微软雅黑" w:cs="微软雅黑"/>
          <w:b w:val="0"/>
          <w:i w:val="0"/>
          <w:caps w:val="0"/>
          <w:color w:val="000000"/>
          <w:spacing w:val="0"/>
          <w:sz w:val="24"/>
          <w:szCs w:val="24"/>
          <w:shd w:val="clear" w:fill="FFFFFF"/>
          <w:lang w:val="en-US" w:eastAsia="zh-CN"/>
        </w:rPr>
        <w:t>万亿元，同比增长</w:t>
      </w:r>
      <w:r>
        <w:rPr>
          <w:rFonts w:hint="default" w:ascii="微软雅黑" w:hAnsi="微软雅黑" w:eastAsia="微软雅黑" w:cs="微软雅黑"/>
          <w:b w:val="0"/>
          <w:i w:val="0"/>
          <w:caps w:val="0"/>
          <w:color w:val="000000"/>
          <w:spacing w:val="0"/>
          <w:sz w:val="24"/>
          <w:szCs w:val="24"/>
          <w:shd w:val="clear" w:fill="FFFFFF"/>
          <w:lang w:val="en-US" w:eastAsia="zh-CN"/>
        </w:rPr>
        <w:t>5.9%</w:t>
      </w:r>
      <w:r>
        <w:rPr>
          <w:rFonts w:hint="eastAsia" w:ascii="微软雅黑" w:hAnsi="微软雅黑" w:eastAsia="微软雅黑" w:cs="微软雅黑"/>
          <w:b w:val="0"/>
          <w:i w:val="0"/>
          <w:caps w:val="0"/>
          <w:color w:val="000000"/>
          <w:spacing w:val="0"/>
          <w:sz w:val="24"/>
          <w:szCs w:val="24"/>
          <w:shd w:val="clear" w:fill="FFFFFF"/>
          <w:lang w:val="en-US" w:eastAsia="zh-CN"/>
        </w:rPr>
        <w:t>，增速比</w:t>
      </w:r>
      <w:r>
        <w:rPr>
          <w:rFonts w:hint="default" w:ascii="微软雅黑" w:hAnsi="微软雅黑" w:eastAsia="微软雅黑" w:cs="微软雅黑"/>
          <w:b w:val="0"/>
          <w:i w:val="0"/>
          <w:caps w:val="0"/>
          <w:color w:val="000000"/>
          <w:spacing w:val="0"/>
          <w:sz w:val="24"/>
          <w:szCs w:val="24"/>
          <w:shd w:val="clear" w:fill="FFFFFF"/>
          <w:lang w:val="en-US" w:eastAsia="zh-CN"/>
        </w:rPr>
        <w:t>1-10</w:t>
      </w:r>
      <w:r>
        <w:rPr>
          <w:rFonts w:hint="eastAsia" w:ascii="微软雅黑" w:hAnsi="微软雅黑" w:eastAsia="微软雅黑" w:cs="微软雅黑"/>
          <w:b w:val="0"/>
          <w:i w:val="0"/>
          <w:caps w:val="0"/>
          <w:color w:val="000000"/>
          <w:spacing w:val="0"/>
          <w:sz w:val="24"/>
          <w:szCs w:val="24"/>
          <w:shd w:val="clear" w:fill="FFFFFF"/>
          <w:lang w:val="en-US" w:eastAsia="zh-CN"/>
        </w:rPr>
        <w:t>月份回升</w:t>
      </w:r>
      <w:r>
        <w:rPr>
          <w:rFonts w:hint="default" w:ascii="微软雅黑" w:hAnsi="微软雅黑" w:eastAsia="微软雅黑" w:cs="微软雅黑"/>
          <w:b w:val="0"/>
          <w:i w:val="0"/>
          <w:caps w:val="0"/>
          <w:color w:val="000000"/>
          <w:spacing w:val="0"/>
          <w:sz w:val="24"/>
          <w:szCs w:val="24"/>
          <w:shd w:val="clear" w:fill="FFFFFF"/>
          <w:lang w:val="en-US" w:eastAsia="zh-CN"/>
        </w:rPr>
        <w:t>0.2</w:t>
      </w:r>
      <w:r>
        <w:rPr>
          <w:rFonts w:hint="eastAsia" w:ascii="微软雅黑" w:hAnsi="微软雅黑" w:eastAsia="微软雅黑" w:cs="微软雅黑"/>
          <w:b w:val="0"/>
          <w:i w:val="0"/>
          <w:caps w:val="0"/>
          <w:color w:val="000000"/>
          <w:spacing w:val="0"/>
          <w:sz w:val="24"/>
          <w:szCs w:val="24"/>
          <w:shd w:val="clear" w:fill="FFFFFF"/>
          <w:lang w:val="en-US" w:eastAsia="zh-CN"/>
        </w:rPr>
        <w:t>个百分点，连续三个月回升。从环比速度看，</w:t>
      </w:r>
      <w:r>
        <w:rPr>
          <w:rFonts w:hint="default" w:ascii="微软雅黑" w:hAnsi="微软雅黑" w:eastAsia="微软雅黑" w:cs="微软雅黑"/>
          <w:b w:val="0"/>
          <w:i w:val="0"/>
          <w:caps w:val="0"/>
          <w:color w:val="000000"/>
          <w:spacing w:val="0"/>
          <w:sz w:val="24"/>
          <w:szCs w:val="24"/>
          <w:shd w:val="clear" w:fill="FFFFFF"/>
          <w:lang w:val="en-US" w:eastAsia="zh-CN"/>
        </w:rPr>
        <w:t>11</w:t>
      </w:r>
      <w:r>
        <w:rPr>
          <w:rFonts w:hint="eastAsia" w:ascii="微软雅黑" w:hAnsi="微软雅黑" w:eastAsia="微软雅黑" w:cs="微软雅黑"/>
          <w:b w:val="0"/>
          <w:i w:val="0"/>
          <w:caps w:val="0"/>
          <w:color w:val="000000"/>
          <w:spacing w:val="0"/>
          <w:sz w:val="24"/>
          <w:szCs w:val="24"/>
          <w:shd w:val="clear" w:fill="FFFFFF"/>
          <w:lang w:val="en-US" w:eastAsia="zh-CN"/>
        </w:rPr>
        <w:t>月份固定资产投资（不含农户）增长</w:t>
      </w:r>
      <w:r>
        <w:rPr>
          <w:rFonts w:hint="default" w:ascii="微软雅黑" w:hAnsi="微软雅黑" w:eastAsia="微软雅黑" w:cs="微软雅黑"/>
          <w:b w:val="0"/>
          <w:i w:val="0"/>
          <w:caps w:val="0"/>
          <w:color w:val="000000"/>
          <w:spacing w:val="0"/>
          <w:sz w:val="24"/>
          <w:szCs w:val="24"/>
          <w:shd w:val="clear" w:fill="FFFFFF"/>
          <w:lang w:val="en-US" w:eastAsia="zh-CN"/>
        </w:rPr>
        <w:t>0.46%</w:t>
      </w:r>
      <w:r>
        <w:rPr>
          <w:rFonts w:hint="eastAsia" w:ascii="微软雅黑" w:hAnsi="微软雅黑" w:eastAsia="微软雅黑" w:cs="微软雅黑"/>
          <w:b w:val="0"/>
          <w:i w:val="0"/>
          <w:caps w:val="0"/>
          <w:color w:val="000000"/>
          <w:spacing w:val="0"/>
          <w:sz w:val="24"/>
          <w:szCs w:val="24"/>
          <w:shd w:val="clear"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840" w:right="0" w:hanging="840" w:hangingChars="400"/>
        <w:jc w:val="left"/>
        <w:textAlignment w:val="auto"/>
        <w:rPr>
          <w:rFonts w:hint="eastAsia"/>
          <w:lang w:eastAsia="zh-CN"/>
        </w:rPr>
      </w:pPr>
      <w:r>
        <w:drawing>
          <wp:inline distT="0" distB="0" distL="114300" distR="114300">
            <wp:extent cx="5272405" cy="2649220"/>
            <wp:effectExtent l="0" t="0" r="4445" b="1778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272405" cy="2649220"/>
                    </a:xfrm>
                    <a:prstGeom prst="rect">
                      <a:avLst/>
                    </a:prstGeom>
                    <a:noFill/>
                    <a:ln w="9525">
                      <a:noFill/>
                    </a:ln>
                  </pic:spPr>
                </pic:pic>
              </a:graphicData>
            </a:graphic>
          </wp:inline>
        </w:drawing>
      </w:r>
      <w:r>
        <w:rPr>
          <w:rFonts w:hint="eastAsia"/>
          <w:lang w:eastAsia="zh-CN"/>
        </w:rPr>
        <w:t>数据来源：国家统计局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840" w:right="0" w:hanging="840" w:hangingChars="400"/>
        <w:jc w:val="left"/>
        <w:textAlignment w:val="auto"/>
        <w:rPr>
          <w:rFonts w:hint="eastAsia"/>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75" w:lineRule="atLeast"/>
        <w:ind w:left="0" w:right="0" w:firstLine="480"/>
        <w:jc w:val="left"/>
        <w:textAlignment w:val="auto"/>
        <w:rPr>
          <w:rFonts w:hint="eastAsia"/>
          <w:lang w:val="en-US" w:eastAsia="zh-CN"/>
        </w:rPr>
      </w:pPr>
      <w:r>
        <w:rPr>
          <w:rFonts w:hint="default" w:ascii="微软雅黑" w:hAnsi="微软雅黑" w:eastAsia="微软雅黑" w:cs="微软雅黑"/>
          <w:b w:val="0"/>
          <w:i w:val="0"/>
          <w:caps w:val="0"/>
          <w:color w:val="000000"/>
          <w:spacing w:val="0"/>
          <w:sz w:val="24"/>
          <w:szCs w:val="24"/>
          <w:shd w:val="clear" w:fill="FFFFFF"/>
          <w:lang w:val="en-US" w:eastAsia="zh-CN"/>
        </w:rPr>
        <w:t>1-11</w:t>
      </w:r>
      <w:r>
        <w:rPr>
          <w:rFonts w:hint="eastAsia" w:ascii="微软雅黑" w:hAnsi="微软雅黑" w:eastAsia="微软雅黑" w:cs="微软雅黑"/>
          <w:b w:val="0"/>
          <w:i w:val="0"/>
          <w:caps w:val="0"/>
          <w:color w:val="000000"/>
          <w:spacing w:val="0"/>
          <w:sz w:val="24"/>
          <w:szCs w:val="24"/>
          <w:shd w:val="clear" w:fill="FFFFFF"/>
          <w:lang w:val="en-US" w:eastAsia="zh-CN"/>
        </w:rPr>
        <w:t>月份，社会消费品零售总额同比增长</w:t>
      </w:r>
      <w:r>
        <w:rPr>
          <w:rFonts w:hint="default" w:ascii="微软雅黑" w:hAnsi="微软雅黑" w:eastAsia="微软雅黑" w:cs="微软雅黑"/>
          <w:b w:val="0"/>
          <w:i w:val="0"/>
          <w:caps w:val="0"/>
          <w:color w:val="000000"/>
          <w:spacing w:val="0"/>
          <w:sz w:val="24"/>
          <w:szCs w:val="24"/>
          <w:shd w:val="clear" w:fill="FFFFFF"/>
          <w:lang w:val="en-US" w:eastAsia="zh-CN"/>
        </w:rPr>
        <w:t>9.1%</w:t>
      </w:r>
      <w:r>
        <w:rPr>
          <w:rFonts w:hint="eastAsia" w:ascii="微软雅黑" w:hAnsi="微软雅黑" w:eastAsia="微软雅黑" w:cs="微软雅黑"/>
          <w:b w:val="0"/>
          <w:i w:val="0"/>
          <w:caps w:val="0"/>
          <w:color w:val="000000"/>
          <w:spacing w:val="0"/>
          <w:sz w:val="24"/>
          <w:szCs w:val="24"/>
          <w:shd w:val="clear" w:fill="FFFFFF"/>
          <w:lang w:val="en-US" w:eastAsia="zh-CN"/>
        </w:rPr>
        <w:t>，其中网上零售额</w:t>
      </w:r>
      <w:r>
        <w:rPr>
          <w:rFonts w:hint="default" w:ascii="微软雅黑" w:hAnsi="微软雅黑" w:eastAsia="微软雅黑" w:cs="微软雅黑"/>
          <w:b w:val="0"/>
          <w:i w:val="0"/>
          <w:caps w:val="0"/>
          <w:color w:val="000000"/>
          <w:spacing w:val="0"/>
          <w:sz w:val="24"/>
          <w:szCs w:val="24"/>
          <w:shd w:val="clear" w:fill="FFFFFF"/>
          <w:lang w:val="en-US" w:eastAsia="zh-CN"/>
        </w:rPr>
        <w:t>80689</w:t>
      </w:r>
      <w:r>
        <w:rPr>
          <w:rFonts w:hint="eastAsia" w:ascii="微软雅黑" w:hAnsi="微软雅黑" w:eastAsia="微软雅黑" w:cs="微软雅黑"/>
          <w:b w:val="0"/>
          <w:i w:val="0"/>
          <w:caps w:val="0"/>
          <w:color w:val="000000"/>
          <w:spacing w:val="0"/>
          <w:sz w:val="24"/>
          <w:szCs w:val="24"/>
          <w:shd w:val="clear" w:fill="FFFFFF"/>
          <w:lang w:val="en-US" w:eastAsia="zh-CN"/>
        </w:rPr>
        <w:t>亿元，同比增长</w:t>
      </w:r>
      <w:r>
        <w:rPr>
          <w:rFonts w:hint="default" w:ascii="微软雅黑" w:hAnsi="微软雅黑" w:eastAsia="微软雅黑" w:cs="微软雅黑"/>
          <w:b w:val="0"/>
          <w:i w:val="0"/>
          <w:caps w:val="0"/>
          <w:color w:val="000000"/>
          <w:spacing w:val="0"/>
          <w:sz w:val="24"/>
          <w:szCs w:val="24"/>
          <w:shd w:val="clear" w:fill="FFFFFF"/>
          <w:lang w:val="en-US" w:eastAsia="zh-CN"/>
        </w:rPr>
        <w:t>24.1%</w:t>
      </w:r>
      <w:r>
        <w:rPr>
          <w:rFonts w:hint="eastAsia" w:ascii="微软雅黑" w:hAnsi="微软雅黑" w:eastAsia="微软雅黑" w:cs="微软雅黑"/>
          <w:b w:val="0"/>
          <w:i w:val="0"/>
          <w:caps w:val="0"/>
          <w:color w:val="000000"/>
          <w:spacing w:val="0"/>
          <w:sz w:val="24"/>
          <w:szCs w:val="24"/>
          <w:shd w:val="clear" w:fill="FFFFFF"/>
          <w:lang w:val="en-US" w:eastAsia="zh-CN"/>
        </w:rPr>
        <w:t>；全国城镇新增就业</w:t>
      </w:r>
      <w:r>
        <w:rPr>
          <w:rFonts w:hint="default" w:ascii="微软雅黑" w:hAnsi="微软雅黑" w:eastAsia="微软雅黑" w:cs="微软雅黑"/>
          <w:b w:val="0"/>
          <w:i w:val="0"/>
          <w:caps w:val="0"/>
          <w:color w:val="000000"/>
          <w:spacing w:val="0"/>
          <w:sz w:val="24"/>
          <w:szCs w:val="24"/>
          <w:shd w:val="clear" w:fill="FFFFFF"/>
          <w:lang w:val="en-US" w:eastAsia="zh-CN"/>
        </w:rPr>
        <w:t>1293</w:t>
      </w:r>
      <w:r>
        <w:rPr>
          <w:rFonts w:hint="eastAsia" w:ascii="微软雅黑" w:hAnsi="微软雅黑" w:eastAsia="微软雅黑" w:cs="微软雅黑"/>
          <w:b w:val="0"/>
          <w:i w:val="0"/>
          <w:caps w:val="0"/>
          <w:color w:val="000000"/>
          <w:spacing w:val="0"/>
          <w:sz w:val="24"/>
          <w:szCs w:val="24"/>
          <w:shd w:val="clear" w:fill="FFFFFF"/>
          <w:lang w:val="en-US" w:eastAsia="zh-CN"/>
        </w:rPr>
        <w:t>万人，比上年同期增加</w:t>
      </w:r>
      <w:r>
        <w:rPr>
          <w:rFonts w:hint="default" w:ascii="微软雅黑" w:hAnsi="微软雅黑" w:eastAsia="微软雅黑" w:cs="微软雅黑"/>
          <w:b w:val="0"/>
          <w:i w:val="0"/>
          <w:caps w:val="0"/>
          <w:color w:val="000000"/>
          <w:spacing w:val="0"/>
          <w:sz w:val="24"/>
          <w:szCs w:val="24"/>
          <w:shd w:val="clear" w:fill="FFFFFF"/>
          <w:lang w:val="en-US" w:eastAsia="zh-CN"/>
        </w:rPr>
        <w:t>13</w:t>
      </w:r>
      <w:r>
        <w:rPr>
          <w:rFonts w:hint="eastAsia" w:ascii="微软雅黑" w:hAnsi="微软雅黑" w:eastAsia="微软雅黑" w:cs="微软雅黑"/>
          <w:b w:val="0"/>
          <w:i w:val="0"/>
          <w:caps w:val="0"/>
          <w:color w:val="000000"/>
          <w:spacing w:val="0"/>
          <w:sz w:val="24"/>
          <w:szCs w:val="24"/>
          <w:shd w:val="clear" w:fill="FFFFFF"/>
          <w:lang w:val="en-US" w:eastAsia="zh-CN"/>
        </w:rPr>
        <w:t>万人；</w:t>
      </w:r>
      <w:r>
        <w:rPr>
          <w:rFonts w:hint="default" w:ascii="微软雅黑" w:hAnsi="微软雅黑" w:eastAsia="微软雅黑" w:cs="微软雅黑"/>
          <w:b w:val="0"/>
          <w:i w:val="0"/>
          <w:caps w:val="0"/>
          <w:color w:val="000000"/>
          <w:spacing w:val="0"/>
          <w:sz w:val="24"/>
          <w:szCs w:val="24"/>
          <w:shd w:val="clear" w:fill="FFFFFF"/>
          <w:lang w:val="en-US" w:eastAsia="zh-CN"/>
        </w:rPr>
        <w:t>11</w:t>
      </w:r>
      <w:r>
        <w:rPr>
          <w:rFonts w:hint="eastAsia" w:ascii="微软雅黑" w:hAnsi="微软雅黑" w:eastAsia="微软雅黑" w:cs="微软雅黑"/>
          <w:b w:val="0"/>
          <w:i w:val="0"/>
          <w:caps w:val="0"/>
          <w:color w:val="000000"/>
          <w:spacing w:val="0"/>
          <w:sz w:val="24"/>
          <w:szCs w:val="24"/>
          <w:shd w:val="clear" w:fill="FFFFFF"/>
          <w:lang w:val="en-US" w:eastAsia="zh-CN"/>
        </w:rPr>
        <w:t>月份，全国居民消费价格同比上涨</w:t>
      </w:r>
      <w:r>
        <w:rPr>
          <w:rFonts w:hint="default" w:ascii="微软雅黑" w:hAnsi="微软雅黑" w:eastAsia="微软雅黑" w:cs="微软雅黑"/>
          <w:b w:val="0"/>
          <w:i w:val="0"/>
          <w:caps w:val="0"/>
          <w:color w:val="000000"/>
          <w:spacing w:val="0"/>
          <w:sz w:val="24"/>
          <w:szCs w:val="24"/>
          <w:shd w:val="clear" w:fill="FFFFFF"/>
          <w:lang w:val="en-US" w:eastAsia="zh-CN"/>
        </w:rPr>
        <w:t>2.2%</w:t>
      </w:r>
      <w:r>
        <w:rPr>
          <w:rFonts w:hint="eastAsia" w:ascii="微软雅黑" w:hAnsi="微软雅黑" w:eastAsia="微软雅黑" w:cs="微软雅黑"/>
          <w:b w:val="0"/>
          <w:i w:val="0"/>
          <w:caps w:val="0"/>
          <w:color w:val="000000"/>
          <w:spacing w:val="0"/>
          <w:sz w:val="24"/>
          <w:szCs w:val="24"/>
          <w:shd w:val="clear" w:fill="FFFFFF"/>
          <w:lang w:val="en-US" w:eastAsia="zh-CN"/>
        </w:rPr>
        <w:t>，涨幅比上月回落</w:t>
      </w:r>
      <w:r>
        <w:rPr>
          <w:rFonts w:hint="default" w:ascii="微软雅黑" w:hAnsi="微软雅黑" w:eastAsia="微软雅黑" w:cs="微软雅黑"/>
          <w:b w:val="0"/>
          <w:i w:val="0"/>
          <w:caps w:val="0"/>
          <w:color w:val="000000"/>
          <w:spacing w:val="0"/>
          <w:sz w:val="24"/>
          <w:szCs w:val="24"/>
          <w:shd w:val="clear" w:fill="FFFFFF"/>
          <w:lang w:val="en-US" w:eastAsia="zh-CN"/>
        </w:rPr>
        <w:t>0.3</w:t>
      </w:r>
      <w:r>
        <w:rPr>
          <w:rFonts w:hint="eastAsia" w:ascii="微软雅黑" w:hAnsi="微软雅黑" w:eastAsia="微软雅黑" w:cs="微软雅黑"/>
          <w:b w:val="0"/>
          <w:i w:val="0"/>
          <w:caps w:val="0"/>
          <w:color w:val="000000"/>
          <w:spacing w:val="0"/>
          <w:sz w:val="24"/>
          <w:szCs w:val="24"/>
          <w:shd w:val="clear" w:fill="FFFFFF"/>
          <w:lang w:val="en-US" w:eastAsia="zh-CN"/>
        </w:rPr>
        <w:t>个百分点，环比下降</w:t>
      </w:r>
      <w:r>
        <w:rPr>
          <w:rFonts w:hint="default" w:ascii="微软雅黑" w:hAnsi="微软雅黑" w:eastAsia="微软雅黑" w:cs="微软雅黑"/>
          <w:b w:val="0"/>
          <w:i w:val="0"/>
          <w:caps w:val="0"/>
          <w:color w:val="000000"/>
          <w:spacing w:val="0"/>
          <w:sz w:val="24"/>
          <w:szCs w:val="24"/>
          <w:shd w:val="clear" w:fill="FFFFFF"/>
          <w:lang w:val="en-US" w:eastAsia="zh-CN"/>
        </w:rPr>
        <w:t>0.3%</w:t>
      </w:r>
      <w:r>
        <w:rPr>
          <w:rFonts w:hint="eastAsia" w:ascii="微软雅黑" w:hAnsi="微软雅黑" w:eastAsia="微软雅黑" w:cs="微软雅黑"/>
          <w:b w:val="0"/>
          <w:i w:val="0"/>
          <w:caps w:val="0"/>
          <w:color w:val="000000"/>
          <w:spacing w:val="0"/>
          <w:sz w:val="24"/>
          <w:szCs w:val="24"/>
          <w:shd w:val="clear" w:fill="FFFFFF"/>
          <w:lang w:val="en-US" w:eastAsia="zh-CN"/>
        </w:rPr>
        <w:t>，前11月全国居民消费价格同比上涨</w:t>
      </w:r>
      <w:r>
        <w:rPr>
          <w:rFonts w:hint="default" w:ascii="微软雅黑" w:hAnsi="微软雅黑" w:eastAsia="微软雅黑" w:cs="微软雅黑"/>
          <w:b w:val="0"/>
          <w:i w:val="0"/>
          <w:caps w:val="0"/>
          <w:color w:val="000000"/>
          <w:spacing w:val="0"/>
          <w:sz w:val="24"/>
          <w:szCs w:val="24"/>
          <w:shd w:val="clear" w:fill="FFFFFF"/>
          <w:lang w:val="en-US" w:eastAsia="zh-CN"/>
        </w:rPr>
        <w:t>2.1%</w:t>
      </w:r>
      <w:r>
        <w:rPr>
          <w:rFonts w:hint="eastAsia" w:ascii="微软雅黑" w:hAnsi="微软雅黑" w:eastAsia="微软雅黑" w:cs="微软雅黑"/>
          <w:b w:val="0"/>
          <w:i w:val="0"/>
          <w:caps w:val="0"/>
          <w:color w:val="000000"/>
          <w:spacing w:val="0"/>
          <w:sz w:val="24"/>
          <w:szCs w:val="24"/>
          <w:shd w:val="clear" w:fill="FFFFFF"/>
          <w:lang w:val="en-US" w:eastAsia="zh-CN"/>
        </w:rPr>
        <w:t>；前11月进出口总额</w:t>
      </w:r>
      <w:r>
        <w:rPr>
          <w:rFonts w:hint="default" w:ascii="微软雅黑" w:hAnsi="微软雅黑" w:eastAsia="微软雅黑" w:cs="微软雅黑"/>
          <w:b w:val="0"/>
          <w:i w:val="0"/>
          <w:caps w:val="0"/>
          <w:color w:val="000000"/>
          <w:spacing w:val="0"/>
          <w:sz w:val="24"/>
          <w:szCs w:val="24"/>
          <w:shd w:val="clear" w:fill="FFFFFF"/>
          <w:lang w:val="en-US" w:eastAsia="zh-CN"/>
        </w:rPr>
        <w:t>278777</w:t>
      </w:r>
      <w:r>
        <w:rPr>
          <w:rFonts w:hint="eastAsia" w:ascii="微软雅黑" w:hAnsi="微软雅黑" w:eastAsia="微软雅黑" w:cs="微软雅黑"/>
          <w:b w:val="0"/>
          <w:i w:val="0"/>
          <w:caps w:val="0"/>
          <w:color w:val="000000"/>
          <w:spacing w:val="0"/>
          <w:sz w:val="24"/>
          <w:szCs w:val="24"/>
          <w:shd w:val="clear" w:fill="FFFFFF"/>
          <w:lang w:val="en-US" w:eastAsia="zh-CN"/>
        </w:rPr>
        <w:t>亿元，同比增长</w:t>
      </w:r>
      <w:r>
        <w:rPr>
          <w:rFonts w:hint="default" w:ascii="微软雅黑" w:hAnsi="微软雅黑" w:eastAsia="微软雅黑" w:cs="微软雅黑"/>
          <w:b w:val="0"/>
          <w:i w:val="0"/>
          <w:caps w:val="0"/>
          <w:color w:val="000000"/>
          <w:spacing w:val="0"/>
          <w:sz w:val="24"/>
          <w:szCs w:val="24"/>
          <w:shd w:val="clear" w:fill="FFFFFF"/>
          <w:lang w:val="en-US" w:eastAsia="zh-CN"/>
        </w:rPr>
        <w:t>11.1%</w:t>
      </w:r>
      <w:r>
        <w:rPr>
          <w:rFonts w:hint="eastAsia" w:ascii="微软雅黑" w:hAnsi="微软雅黑" w:eastAsia="微软雅黑" w:cs="微软雅黑"/>
          <w:b w:val="0"/>
          <w:i w:val="0"/>
          <w:caps w:val="0"/>
          <w:color w:val="000000"/>
          <w:spacing w:val="0"/>
          <w:sz w:val="24"/>
          <w:szCs w:val="24"/>
          <w:shd w:val="clear" w:fill="FFFFFF"/>
          <w:lang w:val="en-US" w:eastAsia="zh-CN"/>
        </w:rPr>
        <w:t>，其中出口</w:t>
      </w:r>
      <w:r>
        <w:rPr>
          <w:rFonts w:hint="default" w:ascii="微软雅黑" w:hAnsi="微软雅黑" w:eastAsia="微软雅黑" w:cs="微软雅黑"/>
          <w:b w:val="0"/>
          <w:i w:val="0"/>
          <w:caps w:val="0"/>
          <w:color w:val="000000"/>
          <w:spacing w:val="0"/>
          <w:sz w:val="24"/>
          <w:szCs w:val="24"/>
          <w:shd w:val="clear" w:fill="FFFFFF"/>
          <w:lang w:val="en-US" w:eastAsia="zh-CN"/>
        </w:rPr>
        <w:t>149234</w:t>
      </w:r>
      <w:r>
        <w:rPr>
          <w:rFonts w:hint="eastAsia" w:ascii="微软雅黑" w:hAnsi="微软雅黑" w:eastAsia="微软雅黑" w:cs="微软雅黑"/>
          <w:b w:val="0"/>
          <w:i w:val="0"/>
          <w:caps w:val="0"/>
          <w:color w:val="000000"/>
          <w:spacing w:val="0"/>
          <w:sz w:val="24"/>
          <w:szCs w:val="24"/>
          <w:shd w:val="clear" w:fill="FFFFFF"/>
          <w:lang w:val="en-US" w:eastAsia="zh-CN"/>
        </w:rPr>
        <w:t>亿元，增长</w:t>
      </w:r>
      <w:r>
        <w:rPr>
          <w:rFonts w:hint="default" w:ascii="微软雅黑" w:hAnsi="微软雅黑" w:eastAsia="微软雅黑" w:cs="微软雅黑"/>
          <w:b w:val="0"/>
          <w:i w:val="0"/>
          <w:caps w:val="0"/>
          <w:color w:val="000000"/>
          <w:spacing w:val="0"/>
          <w:sz w:val="24"/>
          <w:szCs w:val="24"/>
          <w:shd w:val="clear" w:fill="FFFFFF"/>
          <w:lang w:val="en-US" w:eastAsia="zh-CN"/>
        </w:rPr>
        <w:t>8.2%</w:t>
      </w:r>
      <w:r>
        <w:rPr>
          <w:rFonts w:hint="eastAsia" w:ascii="微软雅黑" w:hAnsi="微软雅黑" w:eastAsia="微软雅黑" w:cs="微软雅黑"/>
          <w:b w:val="0"/>
          <w:i w:val="0"/>
          <w:caps w:val="0"/>
          <w:color w:val="000000"/>
          <w:spacing w:val="0"/>
          <w:sz w:val="24"/>
          <w:szCs w:val="24"/>
          <w:shd w:val="clear" w:fill="FFFFFF"/>
          <w:lang w:val="en-US" w:eastAsia="zh-CN"/>
        </w:rPr>
        <w:t>，进口</w:t>
      </w:r>
      <w:r>
        <w:rPr>
          <w:rFonts w:hint="default" w:ascii="微软雅黑" w:hAnsi="微软雅黑" w:eastAsia="微软雅黑" w:cs="微软雅黑"/>
          <w:b w:val="0"/>
          <w:i w:val="0"/>
          <w:caps w:val="0"/>
          <w:color w:val="000000"/>
          <w:spacing w:val="0"/>
          <w:sz w:val="24"/>
          <w:szCs w:val="24"/>
          <w:shd w:val="clear" w:fill="FFFFFF"/>
          <w:lang w:val="en-US" w:eastAsia="zh-CN"/>
        </w:rPr>
        <w:t>129543</w:t>
      </w:r>
      <w:r>
        <w:rPr>
          <w:rFonts w:hint="eastAsia" w:ascii="微软雅黑" w:hAnsi="微软雅黑" w:eastAsia="微软雅黑" w:cs="微软雅黑"/>
          <w:b w:val="0"/>
          <w:i w:val="0"/>
          <w:caps w:val="0"/>
          <w:color w:val="000000"/>
          <w:spacing w:val="0"/>
          <w:sz w:val="24"/>
          <w:szCs w:val="24"/>
          <w:shd w:val="clear" w:fill="FFFFFF"/>
          <w:lang w:val="en-US" w:eastAsia="zh-CN"/>
        </w:rPr>
        <w:t>亿元，增长</w:t>
      </w:r>
      <w:r>
        <w:rPr>
          <w:rFonts w:hint="default" w:ascii="微软雅黑" w:hAnsi="微软雅黑" w:eastAsia="微软雅黑" w:cs="微软雅黑"/>
          <w:b w:val="0"/>
          <w:i w:val="0"/>
          <w:caps w:val="0"/>
          <w:color w:val="000000"/>
          <w:spacing w:val="0"/>
          <w:sz w:val="24"/>
          <w:szCs w:val="24"/>
          <w:shd w:val="clear" w:fill="FFFFFF"/>
          <w:lang w:val="en-US" w:eastAsia="zh-CN"/>
        </w:rPr>
        <w:t>14.6%</w:t>
      </w:r>
      <w:r>
        <w:rPr>
          <w:rFonts w:hint="eastAsia" w:ascii="微软雅黑" w:hAnsi="微软雅黑" w:eastAsia="微软雅黑" w:cs="微软雅黑"/>
          <w:b w:val="0"/>
          <w:i w:val="0"/>
          <w:caps w:val="0"/>
          <w:color w:val="000000"/>
          <w:spacing w:val="0"/>
          <w:sz w:val="24"/>
          <w:szCs w:val="24"/>
          <w:shd w:val="clear" w:fill="FFFFFF"/>
          <w:lang w:val="en-US" w:eastAsia="zh-CN"/>
        </w:rPr>
        <w:t>；总体来看，</w:t>
      </w:r>
      <w:r>
        <w:rPr>
          <w:rFonts w:hint="default" w:ascii="微软雅黑" w:hAnsi="微软雅黑" w:eastAsia="微软雅黑" w:cs="微软雅黑"/>
          <w:b w:val="0"/>
          <w:i w:val="0"/>
          <w:caps w:val="0"/>
          <w:color w:val="000000"/>
          <w:spacing w:val="0"/>
          <w:sz w:val="24"/>
          <w:szCs w:val="24"/>
          <w:shd w:val="clear" w:fill="FFFFFF"/>
          <w:lang w:val="en-US" w:eastAsia="zh-CN"/>
        </w:rPr>
        <w:t>11</w:t>
      </w:r>
      <w:r>
        <w:rPr>
          <w:rFonts w:hint="eastAsia" w:ascii="微软雅黑" w:hAnsi="微软雅黑" w:eastAsia="微软雅黑" w:cs="微软雅黑"/>
          <w:b w:val="0"/>
          <w:i w:val="0"/>
          <w:caps w:val="0"/>
          <w:color w:val="000000"/>
          <w:spacing w:val="0"/>
          <w:sz w:val="24"/>
          <w:szCs w:val="24"/>
          <w:shd w:val="clear" w:fill="FFFFFF"/>
          <w:lang w:val="en-US" w:eastAsia="zh-CN"/>
        </w:rPr>
        <w:t>月份国民经济运行继续保持总体平稳、稳中有进，国内外环境依然错综复杂，预期2019年下行压力有所加大。</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中美贸易战，6月份中美经过三轮谈判达成一些协议，随后美国失信，双方贸易争端继续恶化，从开始的500亿美元额度，提高到2000亿美元，直到中美双方在G20会议上初步达成共识，避免了贸易冲突进一步升级，并延长了谈判期，换取了90天的谈判时间，中国的诉求是将取消贸易冲突以来的一系列加税和其他壁垒措施，贸易框架恢复至2018年贸易冲突以前的情况，但是美国的核心诉求是取消强制技术转移和进一步开放金融市场，双方的目的都没达到，中国用购买农产品和能源，换取了美国不对2000亿美元商品进一步加征25%的关税，目前实际上没有显著的成果，但局面不会进一步恶化，中美双方全面矛盾不会短期解决，但部分协议在近期有所进展，所以在中短期内宏观面利好期铜。</w:t>
      </w:r>
    </w:p>
    <w:p>
      <w:pPr>
        <w:tabs>
          <w:tab w:val="left" w:pos="606"/>
        </w:tabs>
        <w:ind w:firstLine="480" w:firstLineChars="200"/>
        <w:jc w:val="left"/>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i w:val="0"/>
          <w:caps w:val="0"/>
          <w:color w:val="000000"/>
          <w:spacing w:val="0"/>
          <w:kern w:val="2"/>
          <w:sz w:val="24"/>
          <w:szCs w:val="24"/>
          <w:shd w:val="clear" w:fill="FFFFFF"/>
          <w:lang w:val="en-US" w:eastAsia="zh-CN" w:bidi="ar-SA"/>
        </w:rPr>
        <w:t>11月初美国举行中期选举，选举结果正如原先预计，共和党继续控制参议院，过去8年来民主党首次夺回众院控制权，</w:t>
      </w:r>
      <w:r>
        <w:rPr>
          <w:rFonts w:hint="eastAsia" w:ascii="微软雅黑" w:hAnsi="微软雅黑" w:eastAsia="微软雅黑" w:cs="微软雅黑"/>
          <w:kern w:val="2"/>
          <w:sz w:val="24"/>
          <w:szCs w:val="24"/>
          <w:lang w:val="en-US" w:eastAsia="zh-CN" w:bidi="ar-SA"/>
        </w:rPr>
        <w:t>众议院是主要美国财政的机构，当前民主党的获胜，成功拿到了财政大权，意味着民主党将有权力调查美国总统特朗普的纳税申报情况以及可能存在的利益冲突；以及特朗普在对沙特、俄罗斯的态度上可能会受到民主党的限制，而强硬的贸易政策、激进的移民政策以及减税2.0也可能会减速。这意味着从长远来看，一方面美联储将需要实施更少的加息，这本身将对美元产生负面影响，另一方面特朗普总统可能会更多地关注外交政策，这可能会产生额外的不确定性。</w:t>
      </w:r>
    </w:p>
    <w:p>
      <w:pPr>
        <w:ind w:firstLine="480" w:firstLineChars="200"/>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欧盟方面，成员国领导人在布鲁塞尔举行的欧盟特别峰会上，正式通过此前与英国达成的“脱欧”协议，但还需英国议会的最终认可，英国首相特雷莎·梅推迟了议会对其退欧协议进行投票的时间，引发了对特蕾莎·梅赢得不信任投票，虽然在不信任投票中赢得胜利，首相职位在接下来一年内将不会受到挑战，但能否顺利通过议会投票前景不明。意大利重新提交了2019年预算案，其中政府开支增长和一次性调整后的结构均明显高于欧盟规定标准，欧盟态度强硬或进一步惩罚意大利，意大利目前有所妥协，12月中旬意大利和欧盟接近就2019年预算达成协议，尽管在税收和养老金福利等关键问题上仍存在分歧，这使得该国与欧盟的冲突减缓。</w:t>
      </w:r>
    </w:p>
    <w:p>
      <w:pPr>
        <w:ind w:firstLine="480" w:firstLineChars="200"/>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货币政策方面，中期看美联储加息进度预期放缓，鲍威尔的讲话已经明显偏向鸽派，并且从长期来看美联储加息力度肯定会减缓，美联储布拉德还发表的年度“最鸽派”的讲话，表示金融市场预计通胀表现降温，存在暂停加息的理由，因为无论从美元来看，还是美国的经济来看都不需要太强的加息，只要美联储达成结束或者暂缓加息的一致共识，那么美元将面临巨大的压力。欧洲央行公布12月利率决议，维持三大利率不变，确认12月底退出QE，且首次明确再投资将持续到首次加息后，德拉吉在讲话中表示，地缘政治、保护主义令经济面临下行风险，受外部需求走弱影响，欧洲央行下调了今明两年GDP增速预期。具体看，预计2018年GDP增速为1.9%，9月份时预期为2%；预计2019年GDP增速为1.7%，9月份时预期为1.8%；预计2020年GDP增速为1.7%，9月份时预期为1.7%；预计2021年GDP增速为1.5%。德拉吉表示，能源价格下降，欧洲央行下调明年通胀预期。</w:t>
      </w:r>
    </w:p>
    <w:p>
      <w:pPr>
        <w:ind w:firstLine="528" w:firstLineChars="220"/>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最新一期《世界经济展望》中，IMF将2018及2019年全球经济增速预期均由3.9%下调至3.7%，为2016年7月以来首次下调。IMF同时还下调中美两国经济增速预期，其中2019年美国增速预期由2.7%下调至2.5%，2019年中国经济增速预期由6.4%下调至6.2%。</w:t>
      </w:r>
    </w:p>
    <w:p>
      <w:pPr>
        <w:ind w:firstLine="480" w:firstLineChars="200"/>
        <w:rPr>
          <w:rFonts w:hint="eastAsia" w:ascii="微软雅黑" w:hAnsi="微软雅黑" w:eastAsia="微软雅黑" w:cs="微软雅黑"/>
          <w:kern w:val="2"/>
          <w:sz w:val="24"/>
          <w:szCs w:val="24"/>
          <w:lang w:val="en-US" w:eastAsia="zh-CN" w:bidi="ar-SA"/>
        </w:rPr>
      </w:pPr>
    </w:p>
    <w:p>
      <w:pPr>
        <w:jc w:val="left"/>
        <w:rPr>
          <w:rFonts w:hint="eastAsia" w:asciiTheme="minorEastAsia" w:hAnsiTheme="minorEastAsia" w:cstheme="minorEastAsia"/>
          <w:b/>
          <w:bCs/>
          <w:i w:val="0"/>
          <w:caps w:val="0"/>
          <w:color w:val="000000"/>
          <w:spacing w:val="0"/>
          <w:sz w:val="32"/>
          <w:szCs w:val="32"/>
          <w:shd w:val="clear" w:fill="FFFFFF"/>
          <w:lang w:val="en-US" w:eastAsia="zh-CN"/>
        </w:rPr>
      </w:pPr>
      <w:r>
        <w:rPr>
          <w:rFonts w:hint="eastAsia" w:asciiTheme="minorEastAsia" w:hAnsiTheme="minorEastAsia" w:cstheme="minorEastAsia"/>
          <w:b/>
          <w:bCs/>
          <w:i w:val="0"/>
          <w:caps w:val="0"/>
          <w:color w:val="000000"/>
          <w:spacing w:val="0"/>
          <w:sz w:val="32"/>
          <w:szCs w:val="32"/>
          <w:shd w:val="clear" w:fill="FFFFFF"/>
          <w:lang w:val="en-US" w:eastAsia="zh-CN"/>
        </w:rPr>
        <w:t>三</w:t>
      </w:r>
      <w:r>
        <w:rPr>
          <w:rFonts w:hint="eastAsia" w:asciiTheme="minorEastAsia" w:hAnsiTheme="minorEastAsia" w:eastAsiaTheme="minorEastAsia" w:cstheme="minorEastAsia"/>
          <w:b/>
          <w:bCs/>
          <w:i w:val="0"/>
          <w:caps w:val="0"/>
          <w:color w:val="000000"/>
          <w:spacing w:val="0"/>
          <w:sz w:val="32"/>
          <w:szCs w:val="32"/>
          <w:shd w:val="clear" w:fill="FFFFFF"/>
          <w:lang w:val="en-US" w:eastAsia="zh-CN"/>
        </w:rPr>
        <w:t>、</w:t>
      </w:r>
      <w:r>
        <w:rPr>
          <w:rFonts w:hint="eastAsia" w:asciiTheme="minorEastAsia" w:hAnsiTheme="minorEastAsia" w:cstheme="minorEastAsia"/>
          <w:b/>
          <w:bCs/>
          <w:i w:val="0"/>
          <w:caps w:val="0"/>
          <w:color w:val="000000"/>
          <w:spacing w:val="0"/>
          <w:sz w:val="32"/>
          <w:szCs w:val="32"/>
          <w:shd w:val="clear" w:fill="FFFFFF"/>
          <w:lang w:val="en-US" w:eastAsia="zh-CN"/>
        </w:rPr>
        <w:t>供给端铜矿增速下降</w:t>
      </w:r>
    </w:p>
    <w:p>
      <w:pPr>
        <w:ind w:firstLine="598" w:firstLineChars="0"/>
        <w:jc w:val="left"/>
        <w:rPr>
          <w:rFonts w:hint="eastAsia" w:ascii="微软雅黑" w:hAnsi="微软雅黑" w:eastAsia="宋体" w:cs="微软雅黑"/>
          <w:i w:val="0"/>
          <w:caps w:val="0"/>
          <w:color w:val="333333"/>
          <w:spacing w:val="0"/>
          <w:sz w:val="24"/>
          <w:szCs w:val="24"/>
          <w:shd w:val="clear" w:fill="FFFFFF"/>
          <w:lang w:eastAsia="zh-CN"/>
        </w:rPr>
      </w:pPr>
      <w:r>
        <w:rPr>
          <w:rFonts w:hint="eastAsia" w:ascii="微软雅黑" w:hAnsi="微软雅黑" w:eastAsia="微软雅黑" w:cs="微软雅黑"/>
          <w:kern w:val="2"/>
          <w:sz w:val="24"/>
          <w:szCs w:val="24"/>
          <w:lang w:val="en-US" w:eastAsia="zh-CN" w:bidi="ar-SA"/>
        </w:rPr>
        <w:t>智利是世界上最大的铜矿生产国，今年增长速度较快，智利铜业委员会公布的数据显示，智利1-10月铜产量较上年同期增加6%，至474万吨。产量增加是因必和必拓(BHP)旗下Escondida铜矿表现强劲增加47%。非洲产铜大国刚果金和赞比亚今年产量也有较快增长，但另一产铜大国印尼还在低位区徘徊，主因是Grasberg铜矿股权问题没有得到解决，同时经过多年地面开采，明年需转向新的地下开采，2019年将减产一半以上铜供应减少大约30万吨。惠誉宏观研究最新报告，2018年整体预计稳定增长，主要原因是大型铜矿公司的业绩更为强劲、现有矿山的运营升级以及罢工风险降低。世界金属统计局公布数据显示1-9月全球铜市供应短缺0.63万吨，国际铜业研究组织最新公布月报显示，2018年8月全球精炼铜市场供应短缺31000吨，7月为短缺84000吨，缺口进一步缩小，主因是市场对中国消费增长需求端的担忧，以及宏观面的不稳定。</w:t>
      </w:r>
    </w:p>
    <w:p>
      <w:pPr>
        <w:ind w:firstLine="538" w:firstLineChars="0"/>
        <w:jc w:val="left"/>
        <w:rPr>
          <w:rFonts w:hint="eastAsia" w:ascii="微软雅黑" w:hAnsi="微软雅黑" w:eastAsia="微软雅黑" w:cs="微软雅黑"/>
          <w:i w:val="0"/>
          <w:caps w:val="0"/>
          <w:color w:val="333333"/>
          <w:spacing w:val="0"/>
          <w:kern w:val="2"/>
          <w:sz w:val="24"/>
          <w:szCs w:val="24"/>
          <w:lang w:val="en-US" w:eastAsia="zh-CN" w:bidi="ar-SA"/>
        </w:rPr>
      </w:pPr>
      <w:r>
        <w:rPr>
          <w:rFonts w:hint="eastAsia" w:ascii="微软雅黑" w:hAnsi="微软雅黑" w:eastAsia="微软雅黑" w:cs="微软雅黑"/>
          <w:i w:val="0"/>
          <w:caps w:val="0"/>
          <w:color w:val="333333"/>
          <w:spacing w:val="0"/>
          <w:kern w:val="2"/>
          <w:sz w:val="24"/>
          <w:szCs w:val="24"/>
          <w:lang w:val="en-US" w:eastAsia="zh-CN" w:bidi="ar-SA"/>
        </w:rPr>
        <w:t>预计2019年铜矿增速有所下降，由于缺乏大型新矿的补充，明年依靠扩建项目的达产并不能大幅带动铜精矿的增量，根据上市矿企报告中的产量指引，明年新增铜精矿产量主要有：南方铜业在秘鲁的Toquepala 矿山新增 8.5万吨、第一量子在巴拿马的Cobre项目新增10万吨、必和必拓在澳洲的Olympic Dam项目新扩5万吨、嘉能可在刚果金Katanga新扩16万吨、 Chuiqicamata铜矿转地下开采新增9万吨等合计70万吨，但考虑到Grasberg明年转地下开采将面临技术壁垒等问题，产量预计大幅削减一半约32万吨，同时必和必拓旗下的Escondida今年为防止罢工的超高开工率明年难以维持，明年铜精矿境内外实际增量预计在43万吨左右，增速将下滑至2.5%，今年为3.5%。</w:t>
      </w:r>
    </w:p>
    <w:p>
      <w:pPr>
        <w:ind w:firstLine="523" w:firstLineChars="0"/>
        <w:jc w:val="left"/>
        <w:rPr>
          <w:rFonts w:hint="eastAsia" w:ascii="微软雅黑" w:hAnsi="微软雅黑" w:eastAsia="微软雅黑" w:cs="微软雅黑"/>
          <w:i w:val="0"/>
          <w:caps w:val="0"/>
          <w:color w:val="333333"/>
          <w:spacing w:val="0"/>
          <w:kern w:val="2"/>
          <w:sz w:val="24"/>
          <w:szCs w:val="24"/>
          <w:lang w:val="en-US" w:eastAsia="zh-CN" w:bidi="ar-SA"/>
        </w:rPr>
      </w:pPr>
      <w:r>
        <w:rPr>
          <w:rFonts w:hint="eastAsia" w:ascii="微软雅黑" w:hAnsi="微软雅黑" w:eastAsia="微软雅黑" w:cs="微软雅黑"/>
          <w:i w:val="0"/>
          <w:caps w:val="0"/>
          <w:color w:val="333333"/>
          <w:spacing w:val="0"/>
          <w:kern w:val="2"/>
          <w:sz w:val="24"/>
          <w:szCs w:val="24"/>
          <w:lang w:val="en-US" w:eastAsia="zh-CN" w:bidi="ar-SA"/>
        </w:rPr>
        <w:t>废铜供给端减少也是重要影响，主要原因有国内环保力度加大废7类年底禁止进口，同时废铜加工成本提高，我国最大废铜来源地美国因贸易战进口急剧下降，废铜直接消费在终端消费中的占比约为13%，且对价格及其敏感，价格在50000废铜逐渐退出，当达到 52000时废铜才会开始利用，今年铜价受多方因素打压长时间在50000下方运行，废铜退出需要精铜填补，所以看到下半年后交易所库存急剧下降，LME库存创10年新低，数据统计2018年前三季度精铜对废铜的替代量约40万吨，去年同期废铜对电铜替代30万吨，短期内造成精铜的缺口，只有当铜价上涨到52000上方，废铜才可能流入。</w:t>
      </w:r>
    </w:p>
    <w:p>
      <w:pPr>
        <w:ind w:firstLine="523" w:firstLineChars="0"/>
        <w:jc w:val="left"/>
        <w:rPr>
          <w:rFonts w:hint="eastAsia" w:ascii="微软雅黑" w:hAnsi="微软雅黑" w:eastAsia="微软雅黑" w:cs="微软雅黑"/>
          <w:i w:val="0"/>
          <w:caps w:val="0"/>
          <w:color w:val="333333"/>
          <w:spacing w:val="0"/>
          <w:kern w:val="2"/>
          <w:sz w:val="24"/>
          <w:szCs w:val="24"/>
          <w:lang w:val="en-US" w:eastAsia="zh-CN" w:bidi="ar-SA"/>
        </w:rPr>
      </w:pPr>
    </w:p>
    <w:p>
      <w:pPr>
        <w:jc w:val="left"/>
        <w:rPr>
          <w:rFonts w:hint="eastAsia" w:ascii="微软雅黑" w:hAnsi="微软雅黑" w:eastAsia="微软雅黑" w:cs="微软雅黑"/>
          <w:i w:val="0"/>
          <w:caps w:val="0"/>
          <w:color w:val="333333"/>
          <w:spacing w:val="0"/>
          <w:kern w:val="2"/>
          <w:sz w:val="24"/>
          <w:szCs w:val="24"/>
          <w:lang w:val="en-US" w:eastAsia="zh-CN" w:bidi="ar-SA"/>
        </w:rPr>
      </w:pPr>
      <w:r>
        <w:rPr>
          <w:rFonts w:hint="eastAsia" w:asciiTheme="minorEastAsia" w:hAnsiTheme="minorEastAsia" w:cstheme="minorEastAsia"/>
          <w:b/>
          <w:bCs/>
          <w:i w:val="0"/>
          <w:caps w:val="0"/>
          <w:color w:val="000000"/>
          <w:spacing w:val="0"/>
          <w:sz w:val="32"/>
          <w:szCs w:val="32"/>
          <w:shd w:val="clear" w:fill="FFFFFF"/>
          <w:lang w:val="en-US" w:eastAsia="zh-CN"/>
        </w:rPr>
        <w:t>四、需求端增速有限</w:t>
      </w:r>
      <w:r>
        <w:rPr>
          <w:rFonts w:hint="eastAsia" w:ascii="微软雅黑" w:hAnsi="微软雅黑" w:eastAsia="微软雅黑" w:cs="微软雅黑"/>
          <w:i w:val="0"/>
          <w:caps w:val="0"/>
          <w:color w:val="333333"/>
          <w:spacing w:val="0"/>
          <w:kern w:val="2"/>
          <w:sz w:val="24"/>
          <w:szCs w:val="24"/>
          <w:lang w:val="en-US" w:eastAsia="zh-CN" w:bidi="ar-SA"/>
        </w:rPr>
        <w:tab/>
      </w:r>
    </w:p>
    <w:p>
      <w:pPr>
        <w:ind w:firstLine="480" w:firstLineChars="200"/>
        <w:jc w:val="left"/>
        <w:rPr>
          <w:rFonts w:hint="eastAsia" w:ascii="微软雅黑" w:hAnsi="微软雅黑" w:eastAsia="微软雅黑" w:cs="微软雅黑"/>
          <w:i w:val="0"/>
          <w:caps w:val="0"/>
          <w:color w:val="333333"/>
          <w:spacing w:val="0"/>
          <w:kern w:val="2"/>
          <w:sz w:val="24"/>
          <w:szCs w:val="24"/>
          <w:lang w:val="en-US" w:eastAsia="zh-CN" w:bidi="ar-SA"/>
        </w:rPr>
      </w:pPr>
      <w:r>
        <w:rPr>
          <w:rFonts w:hint="eastAsia" w:ascii="微软雅黑" w:hAnsi="微软雅黑" w:eastAsia="微软雅黑" w:cs="微软雅黑"/>
          <w:i w:val="0"/>
          <w:caps w:val="0"/>
          <w:color w:val="333333"/>
          <w:spacing w:val="0"/>
          <w:kern w:val="2"/>
          <w:sz w:val="24"/>
          <w:szCs w:val="24"/>
          <w:lang w:val="en-US" w:eastAsia="zh-CN" w:bidi="ar-SA"/>
        </w:rPr>
        <w:t>从全球各地区精铜消费变化看，中国是首屈一指的消费大户，占全球消费比重接近5成，国内铜终端消费主要集中在电网、家电、汽车、房地产等行业板块。其中电网占比接近37%，家电（空调等制冷设备）占15%，汽车行业占比8%，建筑占比21%。</w:t>
      </w:r>
    </w:p>
    <w:p>
      <w:pPr>
        <w:numPr>
          <w:ilvl w:val="0"/>
          <w:numId w:val="2"/>
        </w:numPr>
        <w:ind w:firstLine="480" w:firstLineChars="20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b/>
          <w:bCs/>
          <w:i w:val="0"/>
          <w:caps w:val="0"/>
          <w:color w:val="333333"/>
          <w:spacing w:val="0"/>
          <w:kern w:val="2"/>
          <w:sz w:val="24"/>
          <w:szCs w:val="24"/>
          <w:lang w:val="en-US" w:eastAsia="zh-CN" w:bidi="ar-SA"/>
        </w:rPr>
        <w:t>电网</w:t>
      </w:r>
      <w:r>
        <w:rPr>
          <w:rFonts w:hint="eastAsia" w:ascii="微软雅黑" w:hAnsi="微软雅黑" w:eastAsia="微软雅黑" w:cs="微软雅黑"/>
          <w:i w:val="0"/>
          <w:caps w:val="0"/>
          <w:color w:val="333333"/>
          <w:spacing w:val="0"/>
          <w:kern w:val="2"/>
          <w:sz w:val="24"/>
          <w:szCs w:val="24"/>
          <w:lang w:val="en-US" w:eastAsia="zh-CN" w:bidi="ar-SA"/>
        </w:rPr>
        <w:t>，</w:t>
      </w:r>
      <w:r>
        <w:rPr>
          <w:rFonts w:hint="eastAsia" w:ascii="微软雅黑" w:hAnsi="微软雅黑" w:eastAsia="微软雅黑" w:cs="微软雅黑"/>
          <w:kern w:val="2"/>
          <w:sz w:val="24"/>
          <w:szCs w:val="24"/>
          <w:lang w:val="en-US" w:eastAsia="zh-CN" w:bidi="ar-SA"/>
        </w:rPr>
        <w:t>用铜“大户”--电网高峰需求已过，1-10 月份，全国主要发电企业电源工程完成投资 1919 亿元，同比下降 2.9%，1-10 月份全国电网工程完成投资 3814 亿元，同比下降 7.6%，2018年因为各方面原因电网投资增速将不及预期。由于去年基数较高，今年以来电网投资增速一直是负增长，国家电网承诺2018年电网投资投入4989亿元，较2017年实际投资增长2.8%。此前历年国网的承诺值和实际值来看，每年均超额完成指标，但今年直到10月份也未发现电网投资发力，因前期电网投资欠账较多，预计今年完成全年任务指标有较大困难。</w:t>
      </w:r>
    </w:p>
    <w:p>
      <w:pPr>
        <w:numPr>
          <w:numId w:val="0"/>
        </w:numPr>
        <w:ind w:firstLine="480" w:firstLineChars="200"/>
        <w:rPr>
          <w:rFonts w:hint="eastAsia" w:ascii="宋体" w:hAnsi="宋体" w:eastAsia="宋体" w:cs="宋体"/>
          <w:color w:val="333333"/>
          <w:kern w:val="0"/>
          <w:sz w:val="24"/>
          <w:szCs w:val="24"/>
          <w:lang w:val="en-US" w:eastAsia="zh-CN" w:bidi="ar"/>
        </w:rPr>
      </w:pPr>
      <w:r>
        <w:rPr>
          <w:rFonts w:hint="eastAsia" w:ascii="微软雅黑" w:hAnsi="微软雅黑" w:eastAsia="微软雅黑" w:cs="微软雅黑"/>
          <w:b/>
          <w:bCs/>
          <w:kern w:val="2"/>
          <w:sz w:val="24"/>
          <w:szCs w:val="24"/>
          <w:lang w:val="en-US" w:eastAsia="zh-CN" w:bidi="ar-SA"/>
        </w:rPr>
        <w:t>2、房地产</w:t>
      </w:r>
      <w:r>
        <w:rPr>
          <w:rFonts w:hint="eastAsia" w:ascii="微软雅黑" w:hAnsi="微软雅黑" w:eastAsia="微软雅黑" w:cs="微软雅黑"/>
          <w:kern w:val="2"/>
          <w:sz w:val="24"/>
          <w:szCs w:val="24"/>
          <w:lang w:val="en-US" w:eastAsia="zh-CN" w:bidi="ar-SA"/>
        </w:rPr>
        <w:t>，</w:t>
      </w:r>
      <w:r>
        <w:rPr>
          <w:rFonts w:hint="default" w:ascii="微软雅黑" w:hAnsi="微软雅黑" w:eastAsia="微软雅黑" w:cs="微软雅黑"/>
          <w:kern w:val="2"/>
          <w:sz w:val="24"/>
          <w:szCs w:val="24"/>
          <w:lang w:val="en-US" w:eastAsia="zh-CN" w:bidi="ar-SA"/>
        </w:rPr>
        <w:t>2018</w:t>
      </w:r>
      <w:r>
        <w:rPr>
          <w:rFonts w:hint="eastAsia" w:ascii="微软雅黑" w:hAnsi="微软雅黑" w:eastAsia="微软雅黑" w:cs="微软雅黑"/>
          <w:kern w:val="2"/>
          <w:sz w:val="24"/>
          <w:szCs w:val="24"/>
          <w:lang w:val="en-US" w:eastAsia="zh-CN" w:bidi="ar-SA"/>
        </w:rPr>
        <w:t>年</w:t>
      </w:r>
      <w:r>
        <w:rPr>
          <w:rFonts w:hint="default" w:ascii="微软雅黑" w:hAnsi="微软雅黑" w:eastAsia="微软雅黑" w:cs="微软雅黑"/>
          <w:kern w:val="2"/>
          <w:sz w:val="24"/>
          <w:szCs w:val="24"/>
          <w:lang w:val="en-US" w:eastAsia="zh-CN" w:bidi="ar-SA"/>
        </w:rPr>
        <w:t>1-11</w:t>
      </w:r>
      <w:r>
        <w:rPr>
          <w:rFonts w:hint="eastAsia" w:ascii="微软雅黑" w:hAnsi="微软雅黑" w:eastAsia="微软雅黑" w:cs="微软雅黑"/>
          <w:kern w:val="2"/>
          <w:sz w:val="24"/>
          <w:szCs w:val="24"/>
          <w:lang w:val="en-US" w:eastAsia="zh-CN" w:bidi="ar-SA"/>
        </w:rPr>
        <w:t>月份，全国房地产开发投资</w:t>
      </w:r>
      <w:r>
        <w:rPr>
          <w:rFonts w:hint="default" w:ascii="微软雅黑" w:hAnsi="微软雅黑" w:eastAsia="微软雅黑" w:cs="微软雅黑"/>
          <w:kern w:val="2"/>
          <w:sz w:val="24"/>
          <w:szCs w:val="24"/>
          <w:lang w:val="en-US" w:eastAsia="zh-CN" w:bidi="ar-SA"/>
        </w:rPr>
        <w:t>110083</w:t>
      </w:r>
      <w:r>
        <w:rPr>
          <w:rFonts w:hint="eastAsia" w:ascii="微软雅黑" w:hAnsi="微软雅黑" w:eastAsia="微软雅黑" w:cs="微软雅黑"/>
          <w:kern w:val="2"/>
          <w:sz w:val="24"/>
          <w:szCs w:val="24"/>
          <w:lang w:val="en-US" w:eastAsia="zh-CN" w:bidi="ar-SA"/>
        </w:rPr>
        <w:t>亿元，同比增长</w:t>
      </w:r>
      <w:r>
        <w:rPr>
          <w:rFonts w:hint="default" w:ascii="微软雅黑" w:hAnsi="微软雅黑" w:eastAsia="微软雅黑" w:cs="微软雅黑"/>
          <w:kern w:val="2"/>
          <w:sz w:val="24"/>
          <w:szCs w:val="24"/>
          <w:lang w:val="en-US" w:eastAsia="zh-CN" w:bidi="ar-SA"/>
        </w:rPr>
        <w:t>9.7%</w:t>
      </w:r>
      <w:r>
        <w:rPr>
          <w:rFonts w:hint="eastAsia" w:ascii="微软雅黑" w:hAnsi="微软雅黑" w:eastAsia="微软雅黑" w:cs="微软雅黑"/>
          <w:kern w:val="2"/>
          <w:sz w:val="24"/>
          <w:szCs w:val="24"/>
          <w:lang w:val="en-US" w:eastAsia="zh-CN" w:bidi="ar-SA"/>
        </w:rPr>
        <w:t>，增速与</w:t>
      </w:r>
      <w:r>
        <w:rPr>
          <w:rFonts w:hint="default" w:ascii="微软雅黑" w:hAnsi="微软雅黑" w:eastAsia="微软雅黑" w:cs="微软雅黑"/>
          <w:kern w:val="2"/>
          <w:sz w:val="24"/>
          <w:szCs w:val="24"/>
          <w:lang w:val="en-US" w:eastAsia="zh-CN" w:bidi="ar-SA"/>
        </w:rPr>
        <w:t>1-10</w:t>
      </w:r>
      <w:r>
        <w:rPr>
          <w:rFonts w:hint="eastAsia" w:ascii="微软雅黑" w:hAnsi="微软雅黑" w:eastAsia="微软雅黑" w:cs="微软雅黑"/>
          <w:kern w:val="2"/>
          <w:sz w:val="24"/>
          <w:szCs w:val="24"/>
          <w:lang w:val="en-US" w:eastAsia="zh-CN" w:bidi="ar-SA"/>
        </w:rPr>
        <w:t>月份持平。房地产开发企业房屋施工面积</w:t>
      </w:r>
      <w:r>
        <w:rPr>
          <w:rFonts w:hint="default" w:ascii="微软雅黑" w:hAnsi="微软雅黑" w:eastAsia="微软雅黑" w:cs="微软雅黑"/>
          <w:kern w:val="2"/>
          <w:sz w:val="24"/>
          <w:szCs w:val="24"/>
          <w:lang w:val="en-US" w:eastAsia="zh-CN" w:bidi="ar-SA"/>
        </w:rPr>
        <w:t>804886</w:t>
      </w:r>
      <w:r>
        <w:rPr>
          <w:rFonts w:hint="eastAsia" w:ascii="微软雅黑" w:hAnsi="微软雅黑" w:eastAsia="微软雅黑" w:cs="微软雅黑"/>
          <w:kern w:val="2"/>
          <w:sz w:val="24"/>
          <w:szCs w:val="24"/>
          <w:lang w:val="en-US" w:eastAsia="zh-CN" w:bidi="ar-SA"/>
        </w:rPr>
        <w:t>万平方米，同比增长</w:t>
      </w:r>
      <w:r>
        <w:rPr>
          <w:rFonts w:hint="default" w:ascii="微软雅黑" w:hAnsi="微软雅黑" w:eastAsia="微软雅黑" w:cs="微软雅黑"/>
          <w:kern w:val="2"/>
          <w:sz w:val="24"/>
          <w:szCs w:val="24"/>
          <w:lang w:val="en-US" w:eastAsia="zh-CN" w:bidi="ar-SA"/>
        </w:rPr>
        <w:t>4.7%</w:t>
      </w:r>
      <w:r>
        <w:rPr>
          <w:rFonts w:hint="eastAsia" w:ascii="微软雅黑" w:hAnsi="微软雅黑" w:eastAsia="微软雅黑" w:cs="微软雅黑"/>
          <w:kern w:val="2"/>
          <w:sz w:val="24"/>
          <w:szCs w:val="24"/>
          <w:lang w:val="en-US" w:eastAsia="zh-CN" w:bidi="ar-SA"/>
        </w:rPr>
        <w:t>，增速比</w:t>
      </w:r>
      <w:r>
        <w:rPr>
          <w:rFonts w:hint="default" w:ascii="微软雅黑" w:hAnsi="微软雅黑" w:eastAsia="微软雅黑" w:cs="微软雅黑"/>
          <w:kern w:val="2"/>
          <w:sz w:val="24"/>
          <w:szCs w:val="24"/>
          <w:lang w:val="en-US" w:eastAsia="zh-CN" w:bidi="ar-SA"/>
        </w:rPr>
        <w:t>1-10</w:t>
      </w:r>
      <w:r>
        <w:rPr>
          <w:rFonts w:hint="eastAsia" w:ascii="微软雅黑" w:hAnsi="微软雅黑" w:eastAsia="微软雅黑" w:cs="微软雅黑"/>
          <w:kern w:val="2"/>
          <w:sz w:val="24"/>
          <w:szCs w:val="24"/>
          <w:lang w:val="en-US" w:eastAsia="zh-CN" w:bidi="ar-SA"/>
        </w:rPr>
        <w:t>月份提高</w:t>
      </w:r>
      <w:r>
        <w:rPr>
          <w:rFonts w:hint="default" w:ascii="微软雅黑" w:hAnsi="微软雅黑" w:eastAsia="微软雅黑" w:cs="微软雅黑"/>
          <w:kern w:val="2"/>
          <w:sz w:val="24"/>
          <w:szCs w:val="24"/>
          <w:lang w:val="en-US" w:eastAsia="zh-CN" w:bidi="ar-SA"/>
        </w:rPr>
        <w:t>0.4</w:t>
      </w:r>
      <w:r>
        <w:rPr>
          <w:rFonts w:hint="eastAsia" w:ascii="微软雅黑" w:hAnsi="微软雅黑" w:eastAsia="微软雅黑" w:cs="微软雅黑"/>
          <w:kern w:val="2"/>
          <w:sz w:val="24"/>
          <w:szCs w:val="24"/>
          <w:lang w:val="en-US" w:eastAsia="zh-CN" w:bidi="ar-SA"/>
        </w:rPr>
        <w:t>个百分点。其中，住宅施工面积</w:t>
      </w:r>
      <w:r>
        <w:rPr>
          <w:rFonts w:hint="default" w:ascii="微软雅黑" w:hAnsi="微软雅黑" w:eastAsia="微软雅黑" w:cs="微软雅黑"/>
          <w:kern w:val="2"/>
          <w:sz w:val="24"/>
          <w:szCs w:val="24"/>
          <w:lang w:val="en-US" w:eastAsia="zh-CN" w:bidi="ar-SA"/>
        </w:rPr>
        <w:t>557173</w:t>
      </w:r>
      <w:r>
        <w:rPr>
          <w:rFonts w:hint="eastAsia" w:ascii="微软雅黑" w:hAnsi="微软雅黑" w:eastAsia="微软雅黑" w:cs="微软雅黑"/>
          <w:kern w:val="2"/>
          <w:sz w:val="24"/>
          <w:szCs w:val="24"/>
          <w:lang w:val="en-US" w:eastAsia="zh-CN" w:bidi="ar-SA"/>
        </w:rPr>
        <w:t>万平方米，增长</w:t>
      </w:r>
      <w:r>
        <w:rPr>
          <w:rFonts w:hint="default" w:ascii="微软雅黑" w:hAnsi="微软雅黑" w:eastAsia="微软雅黑" w:cs="微软雅黑"/>
          <w:kern w:val="2"/>
          <w:sz w:val="24"/>
          <w:szCs w:val="24"/>
          <w:lang w:val="en-US" w:eastAsia="zh-CN" w:bidi="ar-SA"/>
        </w:rPr>
        <w:t>5.7%</w:t>
      </w:r>
      <w:r>
        <w:rPr>
          <w:rFonts w:hint="eastAsia" w:ascii="微软雅黑" w:hAnsi="微软雅黑" w:eastAsia="微软雅黑" w:cs="微软雅黑"/>
          <w:kern w:val="2"/>
          <w:sz w:val="24"/>
          <w:szCs w:val="24"/>
          <w:lang w:val="en-US" w:eastAsia="zh-CN" w:bidi="ar-SA"/>
        </w:rPr>
        <w:t>，房屋新开工面积</w:t>
      </w:r>
      <w:r>
        <w:rPr>
          <w:rFonts w:hint="default" w:ascii="微软雅黑" w:hAnsi="微软雅黑" w:eastAsia="微软雅黑" w:cs="微软雅黑"/>
          <w:kern w:val="2"/>
          <w:sz w:val="24"/>
          <w:szCs w:val="24"/>
          <w:lang w:val="en-US" w:eastAsia="zh-CN" w:bidi="ar-SA"/>
        </w:rPr>
        <w:t>188895</w:t>
      </w:r>
      <w:r>
        <w:rPr>
          <w:rFonts w:hint="eastAsia" w:ascii="微软雅黑" w:hAnsi="微软雅黑" w:eastAsia="微软雅黑" w:cs="微软雅黑"/>
          <w:kern w:val="2"/>
          <w:sz w:val="24"/>
          <w:szCs w:val="24"/>
          <w:lang w:val="en-US" w:eastAsia="zh-CN" w:bidi="ar-SA"/>
        </w:rPr>
        <w:t>万平方米，增长</w:t>
      </w:r>
      <w:r>
        <w:rPr>
          <w:rFonts w:hint="default" w:ascii="微软雅黑" w:hAnsi="微软雅黑" w:eastAsia="微软雅黑" w:cs="微软雅黑"/>
          <w:kern w:val="2"/>
          <w:sz w:val="24"/>
          <w:szCs w:val="24"/>
          <w:lang w:val="en-US" w:eastAsia="zh-CN" w:bidi="ar-SA"/>
        </w:rPr>
        <w:t>16.8%</w:t>
      </w:r>
      <w:r>
        <w:rPr>
          <w:rFonts w:hint="eastAsia" w:ascii="微软雅黑" w:hAnsi="微软雅黑" w:eastAsia="微软雅黑" w:cs="微软雅黑"/>
          <w:kern w:val="2"/>
          <w:sz w:val="24"/>
          <w:szCs w:val="24"/>
          <w:lang w:val="en-US" w:eastAsia="zh-CN" w:bidi="ar-SA"/>
        </w:rPr>
        <w:t>，增速提高</w:t>
      </w:r>
      <w:r>
        <w:rPr>
          <w:rFonts w:hint="default" w:ascii="微软雅黑" w:hAnsi="微软雅黑" w:eastAsia="微软雅黑" w:cs="微软雅黑"/>
          <w:kern w:val="2"/>
          <w:sz w:val="24"/>
          <w:szCs w:val="24"/>
          <w:lang w:val="en-US" w:eastAsia="zh-CN" w:bidi="ar-SA"/>
        </w:rPr>
        <w:t>0.5</w:t>
      </w:r>
      <w:r>
        <w:rPr>
          <w:rFonts w:hint="eastAsia" w:ascii="微软雅黑" w:hAnsi="微软雅黑" w:eastAsia="微软雅黑" w:cs="微软雅黑"/>
          <w:kern w:val="2"/>
          <w:sz w:val="24"/>
          <w:szCs w:val="24"/>
          <w:lang w:val="en-US" w:eastAsia="zh-CN" w:bidi="ar-SA"/>
        </w:rPr>
        <w:t>个百分点，房屋竣工面积</w:t>
      </w:r>
      <w:r>
        <w:rPr>
          <w:rFonts w:hint="default" w:ascii="微软雅黑" w:hAnsi="微软雅黑" w:eastAsia="微软雅黑" w:cs="微软雅黑"/>
          <w:kern w:val="2"/>
          <w:sz w:val="24"/>
          <w:szCs w:val="24"/>
          <w:lang w:val="en-US" w:eastAsia="zh-CN" w:bidi="ar-SA"/>
        </w:rPr>
        <w:t>66856</w:t>
      </w:r>
      <w:r>
        <w:rPr>
          <w:rFonts w:hint="eastAsia" w:ascii="微软雅黑" w:hAnsi="微软雅黑" w:eastAsia="微软雅黑" w:cs="微软雅黑"/>
          <w:kern w:val="2"/>
          <w:sz w:val="24"/>
          <w:szCs w:val="24"/>
          <w:lang w:val="en-US" w:eastAsia="zh-CN" w:bidi="ar-SA"/>
        </w:rPr>
        <w:t>万平方米，下降</w:t>
      </w:r>
      <w:r>
        <w:rPr>
          <w:rFonts w:hint="default" w:ascii="微软雅黑" w:hAnsi="微软雅黑" w:eastAsia="微软雅黑" w:cs="微软雅黑"/>
          <w:kern w:val="2"/>
          <w:sz w:val="24"/>
          <w:szCs w:val="24"/>
          <w:lang w:val="en-US" w:eastAsia="zh-CN" w:bidi="ar-SA"/>
        </w:rPr>
        <w:t>12.3%</w:t>
      </w:r>
      <w:r>
        <w:rPr>
          <w:rFonts w:hint="eastAsia" w:ascii="微软雅黑" w:hAnsi="微软雅黑" w:eastAsia="微软雅黑" w:cs="微软雅黑"/>
          <w:kern w:val="2"/>
          <w:sz w:val="24"/>
          <w:szCs w:val="24"/>
          <w:lang w:val="en-US" w:eastAsia="zh-CN" w:bidi="ar-SA"/>
        </w:rPr>
        <w:t>，降幅收窄</w:t>
      </w:r>
      <w:r>
        <w:rPr>
          <w:rFonts w:hint="default" w:ascii="微软雅黑" w:hAnsi="微软雅黑" w:eastAsia="微软雅黑" w:cs="微软雅黑"/>
          <w:kern w:val="2"/>
          <w:sz w:val="24"/>
          <w:szCs w:val="24"/>
          <w:lang w:val="en-US" w:eastAsia="zh-CN" w:bidi="ar-SA"/>
        </w:rPr>
        <w:t>0.2</w:t>
      </w:r>
      <w:r>
        <w:rPr>
          <w:rFonts w:hint="eastAsia" w:ascii="微软雅黑" w:hAnsi="微软雅黑" w:eastAsia="微软雅黑" w:cs="微软雅黑"/>
          <w:kern w:val="2"/>
          <w:sz w:val="24"/>
          <w:szCs w:val="24"/>
          <w:lang w:val="en-US" w:eastAsia="zh-CN" w:bidi="ar-SA"/>
        </w:rPr>
        <w:t>个百分点。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8" w:beforeAutospacing="0" w:after="0" w:afterAutospacing="0" w:line="240" w:lineRule="auto"/>
        <w:ind w:left="840" w:right="0" w:hanging="840" w:hangingChars="400"/>
        <w:jc w:val="left"/>
        <w:textAlignment w:val="auto"/>
        <w:rPr>
          <w:rFonts w:hint="eastAsia"/>
          <w:lang w:eastAsia="zh-CN"/>
        </w:rPr>
      </w:pPr>
      <w:r>
        <w:drawing>
          <wp:inline distT="0" distB="0" distL="114300" distR="114300">
            <wp:extent cx="5269230" cy="3012440"/>
            <wp:effectExtent l="0" t="0" r="762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69230" cy="3012440"/>
                    </a:xfrm>
                    <a:prstGeom prst="rect">
                      <a:avLst/>
                    </a:prstGeom>
                    <a:noFill/>
                    <a:ln w="9525">
                      <a:noFill/>
                    </a:ln>
                  </pic:spPr>
                </pic:pic>
              </a:graphicData>
            </a:graphic>
          </wp:inline>
        </w:drawing>
      </w:r>
      <w:r>
        <w:rPr>
          <w:rFonts w:hint="eastAsia"/>
          <w:lang w:eastAsia="zh-CN"/>
        </w:rPr>
        <w:t>数据来源：国家统计局</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i w:val="0"/>
          <w:caps w:val="0"/>
          <w:color w:val="000000"/>
          <w:spacing w:val="0"/>
          <w:kern w:val="2"/>
          <w:sz w:val="21"/>
          <w:szCs w:val="21"/>
          <w:lang w:val="en-US" w:eastAsia="zh-CN" w:bidi="ar-SA"/>
        </w:rPr>
      </w:pPr>
      <w:r>
        <w:rPr>
          <w:rFonts w:hint="eastAsia" w:ascii="微软雅黑" w:hAnsi="微软雅黑" w:eastAsia="微软雅黑" w:cs="微软雅黑"/>
          <w:kern w:val="2"/>
          <w:sz w:val="24"/>
          <w:szCs w:val="24"/>
          <w:lang w:val="en-US" w:eastAsia="zh-CN" w:bidi="ar-SA"/>
        </w:rPr>
        <w:t>房地产投资增速并不能反映市场转暖，政策层面没有松动迹象，房屋新开工面积</w:t>
      </w:r>
      <w:r>
        <w:rPr>
          <w:rFonts w:hint="default" w:ascii="微软雅黑" w:hAnsi="微软雅黑" w:eastAsia="微软雅黑" w:cs="微软雅黑"/>
          <w:kern w:val="2"/>
          <w:sz w:val="24"/>
          <w:szCs w:val="24"/>
          <w:lang w:val="en-US" w:eastAsia="zh-CN" w:bidi="ar-SA"/>
        </w:rPr>
        <w:t>168754</w:t>
      </w:r>
      <w:r>
        <w:rPr>
          <w:rFonts w:hint="eastAsia" w:ascii="微软雅黑" w:hAnsi="微软雅黑" w:eastAsia="微软雅黑" w:cs="微软雅黑"/>
          <w:kern w:val="2"/>
          <w:sz w:val="24"/>
          <w:szCs w:val="24"/>
          <w:lang w:val="en-US" w:eastAsia="zh-CN" w:bidi="ar-SA"/>
        </w:rPr>
        <w:t>万平方米，增长</w:t>
      </w:r>
      <w:r>
        <w:rPr>
          <w:rFonts w:hint="default" w:ascii="微软雅黑" w:hAnsi="微软雅黑" w:eastAsia="微软雅黑" w:cs="微软雅黑"/>
          <w:kern w:val="2"/>
          <w:sz w:val="24"/>
          <w:szCs w:val="24"/>
          <w:lang w:val="en-US" w:eastAsia="zh-CN" w:bidi="ar-SA"/>
        </w:rPr>
        <w:t>16.3%</w:t>
      </w:r>
      <w:r>
        <w:rPr>
          <w:rFonts w:hint="eastAsia" w:ascii="微软雅黑" w:hAnsi="微软雅黑" w:eastAsia="微软雅黑" w:cs="微软雅黑"/>
          <w:kern w:val="2"/>
          <w:sz w:val="24"/>
          <w:szCs w:val="24"/>
          <w:lang w:val="en-US" w:eastAsia="zh-CN" w:bidi="ar-SA"/>
        </w:rPr>
        <w:t>，增速回落</w:t>
      </w:r>
      <w:r>
        <w:rPr>
          <w:rFonts w:hint="default" w:ascii="微软雅黑" w:hAnsi="微软雅黑" w:eastAsia="微软雅黑" w:cs="微软雅黑"/>
          <w:kern w:val="2"/>
          <w:sz w:val="24"/>
          <w:szCs w:val="24"/>
          <w:lang w:val="en-US" w:eastAsia="zh-CN" w:bidi="ar-SA"/>
        </w:rPr>
        <w:t>0.1</w:t>
      </w:r>
      <w:r>
        <w:rPr>
          <w:rFonts w:hint="eastAsia" w:ascii="微软雅黑" w:hAnsi="微软雅黑" w:eastAsia="微软雅黑" w:cs="微软雅黑"/>
          <w:kern w:val="2"/>
          <w:sz w:val="24"/>
          <w:szCs w:val="24"/>
          <w:lang w:val="en-US" w:eastAsia="zh-CN" w:bidi="ar-SA"/>
        </w:rPr>
        <w:t>个百分点，中长期新屋开工最终还是要传导至竣工和销售面积，进而增加电缆与相关变电设备的消费，目前房地产对铜保持谨慎需求。</w:t>
      </w:r>
    </w:p>
    <w:p>
      <w:pPr>
        <w:numPr>
          <w:ilvl w:val="0"/>
          <w:numId w:val="3"/>
        </w:numPr>
        <w:ind w:firstLine="480" w:firstLineChars="200"/>
        <w:rPr>
          <w:rFonts w:hint="default" w:ascii="微软雅黑" w:hAnsi="微软雅黑" w:eastAsia="微软雅黑" w:cs="微软雅黑"/>
          <w:kern w:val="2"/>
          <w:sz w:val="24"/>
          <w:szCs w:val="24"/>
          <w:lang w:val="en-US" w:eastAsia="zh-CN" w:bidi="ar-SA"/>
        </w:rPr>
      </w:pPr>
      <w:r>
        <w:rPr>
          <w:rFonts w:hint="eastAsia" w:ascii="微软雅黑" w:hAnsi="微软雅黑" w:eastAsia="微软雅黑" w:cs="微软雅黑"/>
          <w:b/>
          <w:bCs/>
          <w:kern w:val="2"/>
          <w:sz w:val="24"/>
          <w:szCs w:val="24"/>
          <w:lang w:val="en-US" w:eastAsia="zh-CN" w:bidi="ar-SA"/>
        </w:rPr>
        <w:t>汽车业，</w:t>
      </w:r>
      <w:r>
        <w:rPr>
          <w:rFonts w:hint="eastAsia" w:ascii="微软雅黑" w:hAnsi="微软雅黑" w:eastAsia="微软雅黑" w:cs="微软雅黑"/>
          <w:kern w:val="2"/>
          <w:sz w:val="24"/>
          <w:szCs w:val="24"/>
          <w:lang w:val="en-US" w:eastAsia="zh-CN" w:bidi="ar-SA"/>
        </w:rPr>
        <w:t>汽车销量持续下行，中国汽车工业协会数据显示，11月全国汽车销量同比下滑18%，而据中汽协预计，全年汽车销量为2800万辆，同比下跌3%，为1990年以来首次负增长，1-11月，汽车产销同比继续呈下降趋势，降幅比1-10月有所扩大，</w:t>
      </w:r>
      <w:r>
        <w:rPr>
          <w:rFonts w:hint="default" w:ascii="微软雅黑" w:hAnsi="微软雅黑" w:eastAsia="微软雅黑" w:cs="微软雅黑"/>
          <w:kern w:val="2"/>
          <w:sz w:val="24"/>
          <w:szCs w:val="24"/>
          <w:lang w:val="en-US" w:eastAsia="zh-CN" w:bidi="ar-SA"/>
        </w:rPr>
        <w:t>虽然车市凛冬，但新能源汽车的销量却仍保持高速增长</w:t>
      </w:r>
      <w:r>
        <w:rPr>
          <w:rFonts w:hint="eastAsia" w:ascii="微软雅黑" w:hAnsi="微软雅黑" w:eastAsia="微软雅黑" w:cs="微软雅黑"/>
          <w:kern w:val="2"/>
          <w:sz w:val="24"/>
          <w:szCs w:val="24"/>
          <w:lang w:val="en-US" w:eastAsia="zh-CN" w:bidi="ar-SA"/>
        </w:rPr>
        <w:t>，</w:t>
      </w:r>
      <w:r>
        <w:rPr>
          <w:rFonts w:hint="default" w:ascii="微软雅黑" w:hAnsi="微软雅黑" w:eastAsia="微软雅黑" w:cs="微软雅黑"/>
          <w:kern w:val="2"/>
          <w:sz w:val="24"/>
          <w:szCs w:val="24"/>
          <w:lang w:val="en-US" w:eastAsia="zh-CN" w:bidi="ar-SA"/>
        </w:rPr>
        <w:t>根据中国汽车工业协会近期公布的数据，今年11月，国内新能源汽车销量为16.9万辆，同比增长37.6%，环比增长22.8%</w:t>
      </w:r>
      <w:r>
        <w:rPr>
          <w:rFonts w:hint="eastAsia" w:ascii="微软雅黑" w:hAnsi="微软雅黑" w:eastAsia="微软雅黑" w:cs="微软雅黑"/>
          <w:kern w:val="2"/>
          <w:sz w:val="24"/>
          <w:szCs w:val="24"/>
          <w:lang w:val="en-US" w:eastAsia="zh-CN" w:bidi="ar-SA"/>
        </w:rPr>
        <w:t>，</w:t>
      </w:r>
      <w:r>
        <w:rPr>
          <w:rFonts w:hint="default" w:ascii="微软雅黑" w:hAnsi="微软雅黑" w:eastAsia="微软雅黑" w:cs="微软雅黑"/>
          <w:kern w:val="2"/>
          <w:sz w:val="24"/>
          <w:szCs w:val="24"/>
          <w:lang w:val="en-US" w:eastAsia="zh-CN" w:bidi="ar-SA"/>
        </w:rPr>
        <w:t>而产量方面，11月国内新能源汽车产量为17.3万辆，同比增长36.9%，环比增长19.1%。</w:t>
      </w:r>
    </w:p>
    <w:p>
      <w:pPr>
        <w:numPr>
          <w:ilvl w:val="0"/>
          <w:numId w:val="0"/>
        </w:numPr>
        <w:ind w:firstLine="480" w:firstLineChars="200"/>
        <w:rPr>
          <w:rFonts w:hint="default"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同时，新能源乘用车成为汽车市场增长主动力</w:t>
      </w:r>
      <w:r>
        <w:rPr>
          <w:rFonts w:hint="eastAsia" w:ascii="微软雅黑" w:hAnsi="微软雅黑" w:eastAsia="微软雅黑" w:cs="微软雅黑"/>
          <w:kern w:val="2"/>
          <w:sz w:val="24"/>
          <w:szCs w:val="24"/>
          <w:lang w:val="en-US" w:eastAsia="zh-CN" w:bidi="ar-SA"/>
        </w:rPr>
        <w:t>，</w:t>
      </w:r>
      <w:r>
        <w:rPr>
          <w:rFonts w:hint="default" w:ascii="微软雅黑" w:hAnsi="微软雅黑" w:eastAsia="微软雅黑" w:cs="微软雅黑"/>
          <w:kern w:val="2"/>
          <w:sz w:val="24"/>
          <w:szCs w:val="24"/>
          <w:lang w:val="en-US" w:eastAsia="zh-CN" w:bidi="ar-SA"/>
        </w:rPr>
        <w:t>根据</w:t>
      </w:r>
      <w:r>
        <w:rPr>
          <w:rFonts w:hint="eastAsia" w:ascii="微软雅黑" w:hAnsi="微软雅黑" w:eastAsia="微软雅黑" w:cs="微软雅黑"/>
          <w:kern w:val="2"/>
          <w:sz w:val="24"/>
          <w:szCs w:val="24"/>
          <w:lang w:val="en-US" w:eastAsia="zh-CN" w:bidi="ar-SA"/>
        </w:rPr>
        <w:t>最新</w:t>
      </w:r>
      <w:r>
        <w:rPr>
          <w:rFonts w:hint="default" w:ascii="微软雅黑" w:hAnsi="微软雅黑" w:eastAsia="微软雅黑" w:cs="微软雅黑"/>
          <w:kern w:val="2"/>
          <w:sz w:val="24"/>
          <w:szCs w:val="24"/>
          <w:lang w:val="en-US" w:eastAsia="zh-CN" w:bidi="ar-SA"/>
        </w:rPr>
        <w:t>乘用车市场数据</w:t>
      </w:r>
      <w:r>
        <w:rPr>
          <w:rFonts w:hint="eastAsia" w:ascii="微软雅黑" w:hAnsi="微软雅黑" w:eastAsia="微软雅黑" w:cs="微软雅黑"/>
          <w:kern w:val="2"/>
          <w:sz w:val="24"/>
          <w:szCs w:val="24"/>
          <w:lang w:val="en-US" w:eastAsia="zh-CN" w:bidi="ar-SA"/>
        </w:rPr>
        <w:t>，</w:t>
      </w:r>
      <w:r>
        <w:rPr>
          <w:rFonts w:hint="default" w:ascii="微软雅黑" w:hAnsi="微软雅黑" w:eastAsia="微软雅黑" w:cs="微软雅黑"/>
          <w:kern w:val="2"/>
          <w:sz w:val="24"/>
          <w:szCs w:val="24"/>
          <w:lang w:val="en-US" w:eastAsia="zh-CN" w:bidi="ar-SA"/>
        </w:rPr>
        <w:t>11月国内新能源乘用车销量为13.2万辆，同比增长63.3%，环比增长10.1%；2018年1-11月，国内新能源乘用车销量累计85.7万辆，同比增长87.2%</w:t>
      </w:r>
      <w:r>
        <w:rPr>
          <w:rFonts w:hint="eastAsia" w:ascii="微软雅黑" w:hAnsi="微软雅黑" w:eastAsia="微软雅黑" w:cs="微软雅黑"/>
          <w:kern w:val="2"/>
          <w:sz w:val="24"/>
          <w:szCs w:val="24"/>
          <w:lang w:val="en-US" w:eastAsia="zh-CN" w:bidi="ar-SA"/>
        </w:rPr>
        <w:t>，</w:t>
      </w:r>
      <w:r>
        <w:rPr>
          <w:rFonts w:hint="default" w:ascii="微软雅黑" w:hAnsi="微软雅黑" w:eastAsia="微软雅黑" w:cs="微软雅黑"/>
          <w:kern w:val="2"/>
          <w:sz w:val="24"/>
          <w:szCs w:val="24"/>
          <w:lang w:val="en-US" w:eastAsia="zh-CN" w:bidi="ar-SA"/>
        </w:rPr>
        <w:t>总体来看2018年补贴政策从6月份正式实施，经过6-8月份的调整后，新能源汽车产销数据维持高增长，预测全年新能源汽车销量超120万辆</w:t>
      </w:r>
      <w:r>
        <w:rPr>
          <w:rFonts w:hint="eastAsia" w:ascii="微软雅黑" w:hAnsi="微软雅黑" w:eastAsia="微软雅黑" w:cs="微软雅黑"/>
          <w:kern w:val="2"/>
          <w:sz w:val="24"/>
          <w:szCs w:val="24"/>
          <w:lang w:val="en-US" w:eastAsia="zh-CN" w:bidi="ar-SA"/>
        </w:rPr>
        <w:t>，未来5年新能源汽车用铜将累计带来100多万吨消费增量，用铜量复合增速高达30%，虽然新能源车增速较快，需求量有限，短时间内无法填补整个行业的缺口。</w:t>
      </w:r>
    </w:p>
    <w:p>
      <w:pPr>
        <w:numPr>
          <w:ilvl w:val="0"/>
          <w:numId w:val="0"/>
        </w:numPr>
      </w:pPr>
      <w:r>
        <w:drawing>
          <wp:inline distT="0" distB="0" distL="114300" distR="114300">
            <wp:extent cx="5274310" cy="3289935"/>
            <wp:effectExtent l="0" t="0" r="2540" b="57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tretch>
                      <a:fillRect/>
                    </a:stretch>
                  </pic:blipFill>
                  <pic:spPr>
                    <a:xfrm>
                      <a:off x="0" y="0"/>
                      <a:ext cx="5274310" cy="3289935"/>
                    </a:xfrm>
                    <a:prstGeom prst="rect">
                      <a:avLst/>
                    </a:prstGeom>
                    <a:noFill/>
                    <a:ln w="9525">
                      <a:noFill/>
                    </a:ln>
                  </pic:spPr>
                </pic:pic>
              </a:graphicData>
            </a:graphic>
          </wp:inline>
        </w:drawing>
      </w:r>
    </w:p>
    <w:p>
      <w:pPr>
        <w:numPr>
          <w:ilvl w:val="0"/>
          <w:numId w:val="0"/>
        </w:numPr>
        <w:ind w:firstLine="420" w:firstLineChars="200"/>
        <w:rPr>
          <w:rFonts w:hint="eastAsia"/>
          <w:lang w:eastAsia="zh-CN"/>
        </w:rPr>
      </w:pPr>
      <w:r>
        <w:rPr>
          <w:rFonts w:hint="eastAsia"/>
          <w:lang w:eastAsia="zh-CN"/>
        </w:rPr>
        <w:t>数据来源：中汽协</w:t>
      </w:r>
    </w:p>
    <w:p>
      <w:pPr>
        <w:numPr>
          <w:ilvl w:val="0"/>
          <w:numId w:val="0"/>
        </w:numPr>
        <w:ind w:firstLine="420" w:firstLineChars="200"/>
        <w:rPr>
          <w:rFonts w:hint="eastAsia"/>
          <w:lang w:eastAsia="zh-CN"/>
        </w:rPr>
      </w:pPr>
    </w:p>
    <w:p>
      <w:pPr>
        <w:numPr>
          <w:ilvl w:val="0"/>
          <w:numId w:val="0"/>
        </w:numPr>
        <w:ind w:firstLine="480" w:firstLineChars="200"/>
        <w:rPr>
          <w:rFonts w:hint="eastAsia" w:ascii="Arial" w:hAnsi="Arial" w:eastAsia="宋体" w:cs="Arial"/>
          <w:i w:val="0"/>
          <w:caps w:val="0"/>
          <w:color w:val="333333"/>
          <w:spacing w:val="0"/>
          <w:sz w:val="24"/>
          <w:szCs w:val="24"/>
          <w:shd w:val="clear" w:fill="FFFFFF"/>
          <w:lang w:eastAsia="zh-CN"/>
        </w:rPr>
      </w:pPr>
      <w:r>
        <w:rPr>
          <w:rFonts w:hint="default" w:ascii="微软雅黑" w:hAnsi="微软雅黑" w:eastAsia="微软雅黑" w:cs="微软雅黑"/>
          <w:kern w:val="2"/>
          <w:sz w:val="24"/>
          <w:szCs w:val="24"/>
          <w:lang w:val="en-US" w:eastAsia="zh-CN" w:bidi="ar-SA"/>
        </w:rPr>
        <w:t>虽然2018年负增长已成定局，中汽协预计2019年也可能零增长，但数据显示，中国千人汽车保有量只有140辆，与发达国家相比，仍有较大发展公开</w:t>
      </w:r>
      <w:r>
        <w:rPr>
          <w:rFonts w:hint="eastAsia" w:ascii="微软雅黑" w:hAnsi="微软雅黑" w:eastAsia="微软雅黑" w:cs="微软雅黑"/>
          <w:kern w:val="2"/>
          <w:sz w:val="24"/>
          <w:szCs w:val="24"/>
          <w:lang w:val="en-US" w:eastAsia="zh-CN" w:bidi="ar-SA"/>
        </w:rPr>
        <w:t>，</w:t>
      </w:r>
      <w:r>
        <w:rPr>
          <w:rFonts w:hint="default" w:ascii="微软雅黑" w:hAnsi="微软雅黑" w:eastAsia="微软雅黑" w:cs="微软雅黑"/>
          <w:kern w:val="2"/>
          <w:sz w:val="24"/>
          <w:szCs w:val="24"/>
          <w:lang w:val="en-US" w:eastAsia="zh-CN" w:bidi="ar-SA"/>
        </w:rPr>
        <w:t>中国产业信息网的数据显示，我国2016年汽车千人保有量140辆</w:t>
      </w:r>
      <w:r>
        <w:rPr>
          <w:rFonts w:hint="eastAsia" w:ascii="微软雅黑" w:hAnsi="微软雅黑" w:eastAsia="微软雅黑" w:cs="微软雅黑"/>
          <w:kern w:val="2"/>
          <w:sz w:val="24"/>
          <w:szCs w:val="24"/>
          <w:lang w:val="en-US" w:eastAsia="zh-CN" w:bidi="ar-SA"/>
        </w:rPr>
        <w:t>，</w:t>
      </w:r>
      <w:r>
        <w:rPr>
          <w:rFonts w:hint="default" w:ascii="微软雅黑" w:hAnsi="微软雅黑" w:eastAsia="微软雅黑" w:cs="微软雅黑"/>
          <w:kern w:val="2"/>
          <w:sz w:val="24"/>
          <w:szCs w:val="24"/>
          <w:lang w:val="en-US" w:eastAsia="zh-CN" w:bidi="ar-SA"/>
        </w:rPr>
        <w:t>与此同时，截至2016年底美国、日本、韩国和德国的这一数字分别为797辆、591辆、376辆、572辆</w:t>
      </w:r>
      <w:r>
        <w:rPr>
          <w:rFonts w:hint="eastAsia" w:ascii="微软雅黑" w:hAnsi="微软雅黑" w:eastAsia="微软雅黑" w:cs="微软雅黑"/>
          <w:kern w:val="2"/>
          <w:sz w:val="24"/>
          <w:szCs w:val="24"/>
          <w:lang w:val="en-US" w:eastAsia="zh-CN" w:bidi="ar-SA"/>
        </w:rPr>
        <w:t>，</w:t>
      </w:r>
      <w:r>
        <w:rPr>
          <w:rFonts w:hint="default" w:ascii="微软雅黑" w:hAnsi="微软雅黑" w:eastAsia="微软雅黑" w:cs="微软雅黑"/>
          <w:kern w:val="2"/>
          <w:sz w:val="24"/>
          <w:szCs w:val="24"/>
          <w:lang w:val="en-US" w:eastAsia="zh-CN" w:bidi="ar-SA"/>
        </w:rPr>
        <w:t>由此可见，我国汽车保有量水平离发达国家还有较大距离。如果人均汽车保有量能赶上发达国家的水平，中国的汽车市场应该仍有很大的发展空间</w:t>
      </w:r>
      <w:r>
        <w:rPr>
          <w:rFonts w:hint="eastAsia" w:ascii="微软雅黑" w:hAnsi="微软雅黑" w:eastAsia="微软雅黑" w:cs="微软雅黑"/>
          <w:kern w:val="2"/>
          <w:sz w:val="24"/>
          <w:szCs w:val="24"/>
          <w:lang w:val="en-US" w:eastAsia="zh-CN" w:bidi="ar-SA"/>
        </w:rPr>
        <w:t>，近两年汽车业铜需求可能放缓或小幅下滑，未来新能源车占比提高，以及人均保有量的提升，都会加大对铜需求。</w:t>
      </w:r>
    </w:p>
    <w:p>
      <w:pPr>
        <w:numPr>
          <w:ilvl w:val="0"/>
          <w:numId w:val="0"/>
        </w:numPr>
        <w:ind w:firstLine="480" w:firstLineChars="20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b/>
          <w:bCs/>
          <w:kern w:val="2"/>
          <w:sz w:val="24"/>
          <w:szCs w:val="24"/>
          <w:lang w:val="en-US" w:eastAsia="zh-CN" w:bidi="ar-SA"/>
        </w:rPr>
        <w:t>5、制冷、空调，</w:t>
      </w:r>
      <w:r>
        <w:rPr>
          <w:rFonts w:hint="eastAsia" w:ascii="微软雅黑" w:hAnsi="微软雅黑" w:eastAsia="微软雅黑" w:cs="微软雅黑"/>
          <w:kern w:val="2"/>
          <w:sz w:val="24"/>
          <w:szCs w:val="24"/>
          <w:lang w:val="en-US" w:eastAsia="zh-CN" w:bidi="ar-SA"/>
        </w:rPr>
        <w:t>空调表现喜忧参半，内销延续下行,出口数据亮眼，10月家用空调整体销售750.65万台,同比减少13.9%，其中内销495.32万台同比减少24.1%，出口255.33万台,同比增长16.4%。1-10月空调累计总销量13086.92万台,同比增长5.6%，其中内销量8098.75万台,同比增长5.7%,外销量4988.17万台,同比增长5.3%。</w:t>
      </w:r>
    </w:p>
    <w:p>
      <w:pPr>
        <w:numPr>
          <w:ilvl w:val="0"/>
          <w:numId w:val="0"/>
        </w:numPr>
        <w:ind w:firstLine="480" w:firstLineChars="200"/>
        <w:rPr>
          <w:rFonts w:hint="eastAsia" w:ascii="Verdana" w:hAnsi="Verdana" w:eastAsia="宋体" w:cs="Verdana"/>
          <w:i w:val="0"/>
          <w:caps w:val="0"/>
          <w:color w:val="333333"/>
          <w:spacing w:val="0"/>
          <w:sz w:val="21"/>
          <w:szCs w:val="21"/>
          <w:shd w:val="clear" w:fill="FFFFFF"/>
          <w:lang w:val="en-US" w:eastAsia="zh-CN"/>
        </w:rPr>
      </w:pPr>
      <w:r>
        <w:rPr>
          <w:rFonts w:hint="eastAsia" w:ascii="微软雅黑" w:hAnsi="微软雅黑" w:eastAsia="微软雅黑" w:cs="微软雅黑"/>
          <w:kern w:val="2"/>
          <w:sz w:val="24"/>
          <w:szCs w:val="24"/>
          <w:lang w:val="en-US" w:eastAsia="zh-CN" w:bidi="ar-SA"/>
        </w:rPr>
        <w:t>需要关注库存，截止到10月底，整个家用空调行业的总库存是4260万台，已经逼近历史最高点，按照整个库存发展的周期性趋势，现在已经进入主动去库阶段。但是空调行业具备淡季打款备货的发展特性，从当年的4季度到来年的5月份，库存会一直处于爬升的趋势，</w:t>
      </w:r>
      <w:r>
        <w:rPr>
          <w:rFonts w:hint="default" w:ascii="微软雅黑" w:hAnsi="微软雅黑" w:eastAsia="微软雅黑" w:cs="微软雅黑"/>
          <w:kern w:val="2"/>
          <w:sz w:val="24"/>
          <w:szCs w:val="24"/>
          <w:lang w:val="en-US" w:eastAsia="zh-CN" w:bidi="ar-SA"/>
        </w:rPr>
        <w:t>房地产市场的波动也与空调销量的增速下降相关</w:t>
      </w:r>
      <w:r>
        <w:rPr>
          <w:rFonts w:hint="eastAsia" w:ascii="微软雅黑" w:hAnsi="微软雅黑" w:eastAsia="微软雅黑" w:cs="微软雅黑"/>
          <w:kern w:val="2"/>
          <w:sz w:val="24"/>
          <w:szCs w:val="24"/>
          <w:lang w:val="en-US" w:eastAsia="zh-CN" w:bidi="ar-SA"/>
        </w:rPr>
        <w:t>，</w:t>
      </w:r>
      <w:r>
        <w:rPr>
          <w:rFonts w:hint="default" w:ascii="微软雅黑" w:hAnsi="微软雅黑" w:eastAsia="微软雅黑" w:cs="微软雅黑"/>
          <w:kern w:val="2"/>
          <w:sz w:val="24"/>
          <w:szCs w:val="24"/>
          <w:lang w:val="en-US" w:eastAsia="zh-CN" w:bidi="ar-SA"/>
        </w:rPr>
        <w:t>2018年房地产市场增长</w:t>
      </w:r>
      <w:r>
        <w:rPr>
          <w:rFonts w:hint="eastAsia" w:ascii="微软雅黑" w:hAnsi="微软雅黑" w:eastAsia="微软雅黑" w:cs="微软雅黑"/>
          <w:kern w:val="2"/>
          <w:sz w:val="24"/>
          <w:szCs w:val="24"/>
          <w:lang w:val="en-US" w:eastAsia="zh-CN" w:bidi="ar-SA"/>
        </w:rPr>
        <w:t>放缓</w:t>
      </w:r>
      <w:r>
        <w:rPr>
          <w:rFonts w:hint="default" w:ascii="微软雅黑" w:hAnsi="微软雅黑" w:eastAsia="微软雅黑" w:cs="微软雅黑"/>
          <w:kern w:val="2"/>
          <w:sz w:val="24"/>
          <w:szCs w:val="24"/>
          <w:lang w:val="en-US" w:eastAsia="zh-CN" w:bidi="ar-SA"/>
        </w:rPr>
        <w:t>，整体的房地产规模并没有完全萎缩，但是增幅已经下降</w:t>
      </w:r>
      <w:r>
        <w:rPr>
          <w:rFonts w:hint="eastAsia" w:ascii="微软雅黑" w:hAnsi="微软雅黑" w:eastAsia="微软雅黑" w:cs="微软雅黑"/>
          <w:kern w:val="2"/>
          <w:sz w:val="24"/>
          <w:szCs w:val="24"/>
          <w:lang w:val="en-US" w:eastAsia="zh-CN" w:bidi="ar-SA"/>
        </w:rPr>
        <w:t>，</w:t>
      </w:r>
      <w:r>
        <w:rPr>
          <w:rFonts w:hint="default" w:ascii="微软雅黑" w:hAnsi="微软雅黑" w:eastAsia="微软雅黑" w:cs="微软雅黑"/>
          <w:kern w:val="2"/>
          <w:sz w:val="24"/>
          <w:szCs w:val="24"/>
          <w:lang w:val="en-US" w:eastAsia="zh-CN" w:bidi="ar-SA"/>
        </w:rPr>
        <w:t>对整体家居市场，以及细分的空调市场而言产生了不小的影响。行业协会相关专家称，空调属于耐用消费品，需求经过前两年快速释放，基数已很大，2019冷年增速有所下降也属正常。</w:t>
      </w:r>
    </w:p>
    <w:p>
      <w:pPr>
        <w:ind w:firstLine="583" w:firstLineChars="0"/>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虽然电网、房地产、汽车、空调等终端消费偏弱，但国内冶炼新建项目释放过快，铜矿供给有所紧张，对冶炼端而言，铜矿增速 &lt; 冶炼增速，将导致 TC 一路承压。明年印度冶炼厂复产预期偏高，将加剧原料短缺情况，今年新投粗炼产能约85万吨，当年实际产出偏少，今年四季度为试产阶段，正式达成将在2019年生产，同时2019、2020年合计新投产能分别为78万吨、60万吨，产能继续扩大，江西铜业和Antofagasta达成了2019年的铜精矿长单谈判，签订TC/RC为 80.8美元/吨，8.08美分/磅，TC较2018年82.25下降1.45美元/吨，该价位通常被视为2019年铜精矿长单加工费基准，显示了铜精矿供给有所不足。</w:t>
      </w:r>
    </w:p>
    <w:p>
      <w:pPr>
        <w:ind w:firstLine="583" w:firstLineChars="0"/>
        <w:jc w:val="left"/>
        <w:rPr>
          <w:rFonts w:hint="eastAsia" w:ascii="微软雅黑" w:hAnsi="微软雅黑" w:eastAsia="微软雅黑" w:cs="微软雅黑"/>
          <w:kern w:val="2"/>
          <w:sz w:val="24"/>
          <w:szCs w:val="24"/>
          <w:lang w:val="en-US" w:eastAsia="zh-CN" w:bidi="ar-SA"/>
        </w:rPr>
      </w:pPr>
    </w:p>
    <w:p>
      <w:pPr>
        <w:jc w:val="left"/>
        <w:rPr>
          <w:rFonts w:hint="eastAsia" w:asciiTheme="minorEastAsia" w:hAnsiTheme="minorEastAsia" w:cstheme="minorEastAsia"/>
          <w:b/>
          <w:bCs/>
          <w:i w:val="0"/>
          <w:caps w:val="0"/>
          <w:color w:val="000000"/>
          <w:spacing w:val="0"/>
          <w:sz w:val="32"/>
          <w:szCs w:val="32"/>
          <w:shd w:val="clear" w:fill="FFFFFF"/>
          <w:lang w:val="en-US" w:eastAsia="zh-CN"/>
        </w:rPr>
      </w:pPr>
      <w:r>
        <w:rPr>
          <w:rFonts w:hint="eastAsia" w:asciiTheme="minorEastAsia" w:hAnsiTheme="minorEastAsia" w:cstheme="minorEastAsia"/>
          <w:b/>
          <w:bCs/>
          <w:i w:val="0"/>
          <w:caps w:val="0"/>
          <w:color w:val="000000"/>
          <w:spacing w:val="0"/>
          <w:sz w:val="32"/>
          <w:szCs w:val="32"/>
          <w:shd w:val="clear" w:fill="FFFFFF"/>
          <w:lang w:val="en-US" w:eastAsia="zh-CN"/>
        </w:rPr>
        <w:t>五、铜矿成本逐步抬高</w:t>
      </w:r>
    </w:p>
    <w:p>
      <w:pPr>
        <w:tabs>
          <w:tab w:val="left" w:pos="718"/>
        </w:tabs>
        <w:ind w:firstLine="480" w:firstLineChars="200"/>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铜矿成本主要是两部分组成，一是铜矿粗炼（TC）和精炼（RC）加工成本，二是铜矿的生产成本。</w:t>
      </w:r>
    </w:p>
    <w:p>
      <w:pPr>
        <w:tabs>
          <w:tab w:val="left" w:pos="718"/>
        </w:tabs>
        <w:ind w:firstLine="480" w:firstLineChars="200"/>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TC/RC费用较为透明，易于计算，铜精矿25%，按签订2019年费用基准TC/RC为 80.8美元/吨、8.08美分/磅，一吨精铜费用大概是600美元。</w:t>
      </w:r>
    </w:p>
    <w:p>
      <w:pPr>
        <w:ind w:firstLine="568" w:firstLineChars="0"/>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铜矿的生产成本差异较大、较为复杂，非洲铜矿品位全球最高，但生产成本也最高，主要原因一是工业化水平低，人员劳动效率低，生产成本高；二是政治环境不稳定，法律不健全，腐败严重政府工作效率低，几方面原因导致非洲铜矿的生产成本居高不下，生产成本在4200--4800美元区间。美洲铜矿品位全球较低，生产成本也最底，主要是适合大规模作业，生产技术实施先进，政治稳定干扰因素较少，但近年来富矿逐步减少贫瘠矿增多，品位逐年下降，露天开采逐步转为地下开采，环保要求严格等铜矿的生产成本逐年提高，特别是今年大规模的薪资谈判，较大提升了工人的福利待遇，是成本进一步上升，目前看美洲铜矿的生产成本在3800--4400美元间。</w:t>
      </w:r>
    </w:p>
    <w:p>
      <w:pPr>
        <w:ind w:firstLine="568" w:firstLineChars="0"/>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还有运输成本、投资铜矿资金规模大资金费用较高，综合看非洲铜矿成本在4900--5500美元间，美洲铜矿在4500--5100美元间，其它铜矿产区成本在他们之间。</w:t>
      </w:r>
    </w:p>
    <w:p>
      <w:pPr>
        <w:ind w:firstLine="568" w:firstLineChars="0"/>
        <w:jc w:val="left"/>
        <w:rPr>
          <w:rFonts w:hint="eastAsia" w:ascii="微软雅黑" w:hAnsi="微软雅黑" w:eastAsia="微软雅黑" w:cs="微软雅黑"/>
          <w:kern w:val="2"/>
          <w:sz w:val="24"/>
          <w:szCs w:val="24"/>
          <w:lang w:val="en-US" w:eastAsia="zh-CN" w:bidi="ar-SA"/>
        </w:rPr>
      </w:pPr>
    </w:p>
    <w:p>
      <w:pPr>
        <w:jc w:val="left"/>
        <w:rPr>
          <w:rFonts w:hint="eastAsia" w:asciiTheme="minorEastAsia" w:hAnsiTheme="minorEastAsia" w:cstheme="minorEastAsia"/>
          <w:b/>
          <w:bCs/>
          <w:i w:val="0"/>
          <w:caps w:val="0"/>
          <w:color w:val="000000"/>
          <w:spacing w:val="0"/>
          <w:sz w:val="32"/>
          <w:szCs w:val="32"/>
          <w:shd w:val="clear" w:fill="FFFFFF"/>
          <w:lang w:val="en-US" w:eastAsia="zh-CN"/>
        </w:rPr>
      </w:pPr>
      <w:r>
        <w:rPr>
          <w:rFonts w:hint="eastAsia" w:asciiTheme="minorEastAsia" w:hAnsiTheme="minorEastAsia" w:cstheme="minorEastAsia"/>
          <w:b/>
          <w:bCs/>
          <w:i w:val="0"/>
          <w:caps w:val="0"/>
          <w:color w:val="000000"/>
          <w:spacing w:val="0"/>
          <w:sz w:val="32"/>
          <w:szCs w:val="32"/>
          <w:shd w:val="clear" w:fill="FFFFFF"/>
          <w:lang w:val="en-US" w:eastAsia="zh-CN"/>
        </w:rPr>
        <w:t>六、后市研判</w:t>
      </w: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 xml:space="preserve">中美双方在G20会议上初步达成共识，避免了贸易冲突进一步升级，并延长了谈判期，换取了90天的谈判时间，目前实际上没有显著的成果，暂时局面不会进一步恶化，中美双方全面矛盾不会短期解决，一月可能开始商谈具体细节，部分协议在可能有所进展，但华为事件发生市场对双方谈判乐观前景有所质疑。   </w:t>
      </w:r>
    </w:p>
    <w:p>
      <w:pPr>
        <w:numPr>
          <w:ilvl w:val="0"/>
          <w:numId w:val="0"/>
        </w:numPr>
        <w:ind w:firstLine="480" w:firstLineChars="200"/>
        <w:jc w:val="both"/>
        <w:rPr>
          <w:rFonts w:hint="eastAsia" w:ascii="微软雅黑" w:hAnsi="微软雅黑" w:eastAsia="微软雅黑" w:cs="微软雅黑"/>
          <w:i w:val="0"/>
          <w:caps w:val="0"/>
          <w:color w:val="333333"/>
          <w:spacing w:val="0"/>
          <w:kern w:val="2"/>
          <w:sz w:val="24"/>
          <w:szCs w:val="24"/>
          <w:lang w:val="en-US" w:eastAsia="zh-CN" w:bidi="ar-SA"/>
        </w:rPr>
      </w:pPr>
      <w:r>
        <w:rPr>
          <w:rFonts w:hint="eastAsia" w:ascii="微软雅黑" w:hAnsi="微软雅黑" w:eastAsia="微软雅黑" w:cs="微软雅黑"/>
          <w:b w:val="0"/>
          <w:i w:val="0"/>
          <w:caps w:val="0"/>
          <w:color w:val="000000"/>
          <w:spacing w:val="0"/>
          <w:sz w:val="24"/>
          <w:szCs w:val="24"/>
          <w:shd w:val="clear" w:fill="FFFFFF"/>
          <w:lang w:val="en-US" w:eastAsia="zh-CN"/>
        </w:rPr>
        <w:t>供给面</w:t>
      </w:r>
      <w:r>
        <w:rPr>
          <w:rFonts w:hint="eastAsia" w:ascii="微软雅黑" w:hAnsi="微软雅黑" w:eastAsia="微软雅黑" w:cs="微软雅黑"/>
          <w:i w:val="0"/>
          <w:caps w:val="0"/>
          <w:color w:val="333333"/>
          <w:spacing w:val="0"/>
          <w:kern w:val="2"/>
          <w:sz w:val="24"/>
          <w:szCs w:val="24"/>
          <w:lang w:val="en-US" w:eastAsia="zh-CN" w:bidi="ar-SA"/>
        </w:rPr>
        <w:t>2019年铜矿增速有所下降，由于缺乏大型新矿的补充，明年依靠扩建项目的达产并不能大幅带动铜精矿的增量，矿品位的下降特别是南美洲产铜大国增产缓慢的因素；需求端铜需求第一大户电网，由前几年快速增长到近两年的缓慢增长或有所下滑的态势，虽然绝对用量规模大，但增长速度一开始停滞或下滑，房地产业在近两年严控政策下增长明显放缓，房地产铜需求增长有限，同时影响下游家电行业销量，国内空调销量从17年高峰开始下滑，不过今年空调出口增长较快，有一些外销需求亮点，但整体看铜需求还是维持原有水平，汽车业今年下半年出现销量快速下滑态势，一是前几年政策补贴优惠透支后期销量，二是国内整体经济环境消费出现下降态势，几方面因素导致今年汽车销量快速下滑，虽然新能源汽车依旧火爆，但基数小规模有限无法填补整体行业对铜需求的缺口。</w:t>
      </w: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i w:val="0"/>
          <w:caps w:val="0"/>
          <w:color w:val="333333"/>
          <w:spacing w:val="0"/>
          <w:kern w:val="2"/>
          <w:sz w:val="24"/>
          <w:szCs w:val="24"/>
          <w:lang w:val="en-US" w:eastAsia="zh-CN" w:bidi="ar-SA"/>
        </w:rPr>
        <w:t>整体看供给面可能放缓，需求端不乐观，</w:t>
      </w:r>
      <w:r>
        <w:rPr>
          <w:rFonts w:hint="eastAsia" w:ascii="微软雅黑" w:hAnsi="微软雅黑" w:eastAsia="微软雅黑" w:cs="微软雅黑"/>
          <w:b w:val="0"/>
          <w:i w:val="0"/>
          <w:caps w:val="0"/>
          <w:color w:val="000000"/>
          <w:spacing w:val="0"/>
          <w:sz w:val="24"/>
          <w:szCs w:val="24"/>
          <w:shd w:val="clear" w:fill="FFFFFF"/>
          <w:lang w:val="en-US" w:eastAsia="zh-CN"/>
        </w:rPr>
        <w:t>供需基本面矛盾不凸显，但目前沪铜在50000一线或以下，废铜退出市场，需要精铜填补，交易所库存下降明显，支撑期铜，期价在52000上方废铜就有利润流入市场，压制期价，所以废铜也是影</w:t>
      </w:r>
      <w:r>
        <w:rPr>
          <w:rFonts w:hint="eastAsia" w:ascii="微软雅黑" w:hAnsi="微软雅黑" w:eastAsia="微软雅黑" w:cs="微软雅黑"/>
          <w:i w:val="0"/>
          <w:caps w:val="0"/>
          <w:color w:val="333333"/>
          <w:spacing w:val="0"/>
          <w:kern w:val="2"/>
          <w:sz w:val="24"/>
          <w:szCs w:val="24"/>
          <w:lang w:val="en-US" w:eastAsia="zh-CN" w:bidi="ar-SA"/>
        </w:rPr>
        <w:t>响明年铜价的重要因素。技术面看沪铜在上半年经历两波下跌之后，下半年进入宽幅震荡走势，特别是11、12月无序盘整，均线走势比较混乱趋向粘合，是为下一波行情储备能量，整体看上涨空间大于下跌空间，12月初沪铜向上突破失败，下方有47000的支撑</w:t>
      </w:r>
      <w:r>
        <w:rPr>
          <w:rFonts w:hint="eastAsia" w:cs="Times New Roman"/>
          <w:kern w:val="2"/>
          <w:sz w:val="21"/>
          <w:szCs w:val="24"/>
          <w:lang w:val="en-US" w:eastAsia="zh-CN" w:bidi="ar-SA"/>
        </w:rPr>
        <w:t>。</w:t>
      </w:r>
      <w:r>
        <w:rPr>
          <w:rFonts w:hint="eastAsia" w:ascii="微软雅黑" w:hAnsi="微软雅黑" w:eastAsia="微软雅黑" w:cs="微软雅黑"/>
          <w:b w:val="0"/>
          <w:i w:val="0"/>
          <w:caps w:val="0"/>
          <w:color w:val="000000"/>
          <w:spacing w:val="0"/>
          <w:sz w:val="24"/>
          <w:szCs w:val="24"/>
          <w:shd w:val="clear" w:fill="FFFFFF"/>
          <w:lang w:val="en-US" w:eastAsia="zh-CN"/>
        </w:rPr>
        <w:t>目前综合来看中长期沪铜在44000--56000区间震荡，LME铜在5200--7300美元间震荡.</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b/>
          <w:bCs/>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b/>
          <w:bCs/>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b/>
          <w:bCs/>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b/>
          <w:bCs/>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outlineLvl w:val="9"/>
        <w:rPr>
          <w:rFonts w:hint="eastAsia"/>
          <w:sz w:val="22"/>
          <w:szCs w:val="22"/>
        </w:rPr>
      </w:pPr>
      <w:r>
        <w:rPr>
          <w:rFonts w:hint="eastAsia"/>
          <w:sz w:val="22"/>
          <w:szCs w:val="2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5"/>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b/>
          <w:bCs/>
          <w:i w:val="0"/>
          <w:caps w:val="0"/>
          <w:color w:val="000000"/>
          <w:spacing w:val="0"/>
          <w:kern w:val="2"/>
          <w:sz w:val="32"/>
          <w:szCs w:val="32"/>
          <w:lang w:val="en-US" w:eastAsia="zh-CN" w:bidi="ar-SA"/>
        </w:rPr>
      </w:pPr>
      <w:r>
        <w:rPr>
          <w:rFonts w:hint="eastAsia"/>
          <w:sz w:val="21"/>
          <w:szCs w:val="21"/>
        </w:rPr>
        <w:t xml:space="preserve">和合期货有限公司经营范围包括：商品期货经纪业务、金融期货经纪业务、期货投资咨询业务、公开募集证券投资基金销售业务。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1A4C80"/>
    <w:multiLevelType w:val="singleLevel"/>
    <w:tmpl w:val="A31A4C80"/>
    <w:lvl w:ilvl="0" w:tentative="0">
      <w:start w:val="2"/>
      <w:numFmt w:val="chineseCounting"/>
      <w:suff w:val="nothing"/>
      <w:lvlText w:val="%1、"/>
      <w:lvlJc w:val="left"/>
      <w:rPr>
        <w:rFonts w:hint="eastAsia"/>
      </w:rPr>
    </w:lvl>
  </w:abstractNum>
  <w:abstractNum w:abstractNumId="1">
    <w:nsid w:val="42746B38"/>
    <w:multiLevelType w:val="singleLevel"/>
    <w:tmpl w:val="42746B38"/>
    <w:lvl w:ilvl="0" w:tentative="0">
      <w:start w:val="1"/>
      <w:numFmt w:val="decimal"/>
      <w:suff w:val="nothing"/>
      <w:lvlText w:val="%1、"/>
      <w:lvlJc w:val="left"/>
    </w:lvl>
  </w:abstractNum>
  <w:abstractNum w:abstractNumId="2">
    <w:nsid w:val="6BAA52C2"/>
    <w:multiLevelType w:val="singleLevel"/>
    <w:tmpl w:val="6BAA52C2"/>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26C99"/>
    <w:rsid w:val="0052129D"/>
    <w:rsid w:val="00C06549"/>
    <w:rsid w:val="01CF294B"/>
    <w:rsid w:val="032810EF"/>
    <w:rsid w:val="03921765"/>
    <w:rsid w:val="04995E1A"/>
    <w:rsid w:val="04AC76DF"/>
    <w:rsid w:val="06646488"/>
    <w:rsid w:val="06C65115"/>
    <w:rsid w:val="070A4181"/>
    <w:rsid w:val="07107DED"/>
    <w:rsid w:val="075B7010"/>
    <w:rsid w:val="079C3EE0"/>
    <w:rsid w:val="084A5BA6"/>
    <w:rsid w:val="08F03048"/>
    <w:rsid w:val="08F157FF"/>
    <w:rsid w:val="08F577C8"/>
    <w:rsid w:val="090D7C31"/>
    <w:rsid w:val="0925445E"/>
    <w:rsid w:val="09412754"/>
    <w:rsid w:val="099439E3"/>
    <w:rsid w:val="09F60615"/>
    <w:rsid w:val="0A3E0D6E"/>
    <w:rsid w:val="0A6B04BA"/>
    <w:rsid w:val="0ABF2DD9"/>
    <w:rsid w:val="0B5E1CD1"/>
    <w:rsid w:val="0BE816B0"/>
    <w:rsid w:val="0C0A4CCC"/>
    <w:rsid w:val="0C1A37BD"/>
    <w:rsid w:val="0C24369D"/>
    <w:rsid w:val="0C730A02"/>
    <w:rsid w:val="0CD0317B"/>
    <w:rsid w:val="0DAC5A1C"/>
    <w:rsid w:val="0EFD4BDE"/>
    <w:rsid w:val="0F0316F1"/>
    <w:rsid w:val="0F9A7256"/>
    <w:rsid w:val="1012757D"/>
    <w:rsid w:val="106B56EE"/>
    <w:rsid w:val="10767036"/>
    <w:rsid w:val="108271B1"/>
    <w:rsid w:val="10C03DED"/>
    <w:rsid w:val="10C407BE"/>
    <w:rsid w:val="116A3DC2"/>
    <w:rsid w:val="120F0A2D"/>
    <w:rsid w:val="12953E48"/>
    <w:rsid w:val="12FC6869"/>
    <w:rsid w:val="130F3166"/>
    <w:rsid w:val="132C5F9E"/>
    <w:rsid w:val="13402095"/>
    <w:rsid w:val="13FB3C54"/>
    <w:rsid w:val="14176570"/>
    <w:rsid w:val="14BD5AD3"/>
    <w:rsid w:val="15B40B16"/>
    <w:rsid w:val="15D752FA"/>
    <w:rsid w:val="15DC0C64"/>
    <w:rsid w:val="160E151F"/>
    <w:rsid w:val="16614BE7"/>
    <w:rsid w:val="17B76080"/>
    <w:rsid w:val="17C36E28"/>
    <w:rsid w:val="196D0850"/>
    <w:rsid w:val="1AE872D7"/>
    <w:rsid w:val="1B2C46A7"/>
    <w:rsid w:val="1B2D6ADD"/>
    <w:rsid w:val="1B414633"/>
    <w:rsid w:val="1B8D45BA"/>
    <w:rsid w:val="1CB54269"/>
    <w:rsid w:val="1CD96042"/>
    <w:rsid w:val="1CE83329"/>
    <w:rsid w:val="1D6732E8"/>
    <w:rsid w:val="1E1D6F45"/>
    <w:rsid w:val="1F766F71"/>
    <w:rsid w:val="1FC33B54"/>
    <w:rsid w:val="20D55C58"/>
    <w:rsid w:val="20E80832"/>
    <w:rsid w:val="20F96415"/>
    <w:rsid w:val="225C2415"/>
    <w:rsid w:val="22896C9D"/>
    <w:rsid w:val="229C6BA1"/>
    <w:rsid w:val="229E6CE5"/>
    <w:rsid w:val="22F5503A"/>
    <w:rsid w:val="23422B53"/>
    <w:rsid w:val="23484A36"/>
    <w:rsid w:val="23CF3058"/>
    <w:rsid w:val="24324430"/>
    <w:rsid w:val="25237447"/>
    <w:rsid w:val="255B1B1F"/>
    <w:rsid w:val="25F64D8E"/>
    <w:rsid w:val="26001C6E"/>
    <w:rsid w:val="26085AE5"/>
    <w:rsid w:val="26617F85"/>
    <w:rsid w:val="26F80495"/>
    <w:rsid w:val="27924E10"/>
    <w:rsid w:val="290B1734"/>
    <w:rsid w:val="292B2A5A"/>
    <w:rsid w:val="297832E7"/>
    <w:rsid w:val="297A2831"/>
    <w:rsid w:val="299D5E5E"/>
    <w:rsid w:val="2A0E2279"/>
    <w:rsid w:val="2A2D416B"/>
    <w:rsid w:val="2AD124E6"/>
    <w:rsid w:val="2B4C2BE7"/>
    <w:rsid w:val="2B8812F5"/>
    <w:rsid w:val="2C0A76BA"/>
    <w:rsid w:val="2CB47F2E"/>
    <w:rsid w:val="2CFE46E7"/>
    <w:rsid w:val="2D0230D6"/>
    <w:rsid w:val="2D135D0A"/>
    <w:rsid w:val="2D887673"/>
    <w:rsid w:val="2D8E28AE"/>
    <w:rsid w:val="2E5828FA"/>
    <w:rsid w:val="2EA1313C"/>
    <w:rsid w:val="2F3261AB"/>
    <w:rsid w:val="2F415FB7"/>
    <w:rsid w:val="308877C7"/>
    <w:rsid w:val="30BD4E56"/>
    <w:rsid w:val="311F1073"/>
    <w:rsid w:val="32301313"/>
    <w:rsid w:val="33475065"/>
    <w:rsid w:val="342A086D"/>
    <w:rsid w:val="345F165B"/>
    <w:rsid w:val="348A6634"/>
    <w:rsid w:val="34AD74F7"/>
    <w:rsid w:val="36054CD0"/>
    <w:rsid w:val="36CA2371"/>
    <w:rsid w:val="370F1AC6"/>
    <w:rsid w:val="371D4069"/>
    <w:rsid w:val="37D06477"/>
    <w:rsid w:val="381223C0"/>
    <w:rsid w:val="38580294"/>
    <w:rsid w:val="3875290E"/>
    <w:rsid w:val="38E565AE"/>
    <w:rsid w:val="39BC492F"/>
    <w:rsid w:val="39E4439F"/>
    <w:rsid w:val="39F336DC"/>
    <w:rsid w:val="3A625488"/>
    <w:rsid w:val="3A6E35BB"/>
    <w:rsid w:val="3B02765E"/>
    <w:rsid w:val="3C0B1712"/>
    <w:rsid w:val="3C152F34"/>
    <w:rsid w:val="3D1B5571"/>
    <w:rsid w:val="3D7A5E2E"/>
    <w:rsid w:val="3EC32410"/>
    <w:rsid w:val="3F2C76F0"/>
    <w:rsid w:val="40B16AF7"/>
    <w:rsid w:val="41412587"/>
    <w:rsid w:val="41B16606"/>
    <w:rsid w:val="42504E1C"/>
    <w:rsid w:val="42603D75"/>
    <w:rsid w:val="42A32F8F"/>
    <w:rsid w:val="43630115"/>
    <w:rsid w:val="445253E2"/>
    <w:rsid w:val="44543511"/>
    <w:rsid w:val="446C462E"/>
    <w:rsid w:val="44CF1CF5"/>
    <w:rsid w:val="451613E7"/>
    <w:rsid w:val="453D33BC"/>
    <w:rsid w:val="457E7B04"/>
    <w:rsid w:val="45A04934"/>
    <w:rsid w:val="45DA7D05"/>
    <w:rsid w:val="465C232A"/>
    <w:rsid w:val="476E752D"/>
    <w:rsid w:val="478319C2"/>
    <w:rsid w:val="480E6032"/>
    <w:rsid w:val="48186B10"/>
    <w:rsid w:val="48AF33D3"/>
    <w:rsid w:val="491F0D7A"/>
    <w:rsid w:val="49202F4F"/>
    <w:rsid w:val="49B3750D"/>
    <w:rsid w:val="4A654600"/>
    <w:rsid w:val="4B274EAE"/>
    <w:rsid w:val="4B49400C"/>
    <w:rsid w:val="4B673221"/>
    <w:rsid w:val="4BBD3AE6"/>
    <w:rsid w:val="4C8C7848"/>
    <w:rsid w:val="4E2A6ACD"/>
    <w:rsid w:val="4E525296"/>
    <w:rsid w:val="4E8F4DEB"/>
    <w:rsid w:val="4E963B39"/>
    <w:rsid w:val="4EDB405A"/>
    <w:rsid w:val="4F89705E"/>
    <w:rsid w:val="506D2F31"/>
    <w:rsid w:val="513222CE"/>
    <w:rsid w:val="513702F9"/>
    <w:rsid w:val="51534C0E"/>
    <w:rsid w:val="51EA54A9"/>
    <w:rsid w:val="520C4398"/>
    <w:rsid w:val="527F6ABE"/>
    <w:rsid w:val="532423AA"/>
    <w:rsid w:val="53561FFF"/>
    <w:rsid w:val="535D101F"/>
    <w:rsid w:val="5453739A"/>
    <w:rsid w:val="54F61930"/>
    <w:rsid w:val="5535186E"/>
    <w:rsid w:val="56842A93"/>
    <w:rsid w:val="56AB62F9"/>
    <w:rsid w:val="57025995"/>
    <w:rsid w:val="570B58A0"/>
    <w:rsid w:val="57524BC0"/>
    <w:rsid w:val="57711EC4"/>
    <w:rsid w:val="57C5218C"/>
    <w:rsid w:val="57C57402"/>
    <w:rsid w:val="57CF448A"/>
    <w:rsid w:val="58516545"/>
    <w:rsid w:val="58622391"/>
    <w:rsid w:val="58774CC9"/>
    <w:rsid w:val="59E66B41"/>
    <w:rsid w:val="5B807BE2"/>
    <w:rsid w:val="5B9B0019"/>
    <w:rsid w:val="5BBF05F1"/>
    <w:rsid w:val="5CC60DE5"/>
    <w:rsid w:val="5D205B41"/>
    <w:rsid w:val="5D947D4D"/>
    <w:rsid w:val="5DB80415"/>
    <w:rsid w:val="5DCB0CD8"/>
    <w:rsid w:val="5DE11BE0"/>
    <w:rsid w:val="5E45013E"/>
    <w:rsid w:val="5E785C95"/>
    <w:rsid w:val="5E7E2C03"/>
    <w:rsid w:val="5F2825AE"/>
    <w:rsid w:val="5F90280C"/>
    <w:rsid w:val="5FE00860"/>
    <w:rsid w:val="5FEE37CA"/>
    <w:rsid w:val="60170043"/>
    <w:rsid w:val="60725475"/>
    <w:rsid w:val="61373F06"/>
    <w:rsid w:val="614700BB"/>
    <w:rsid w:val="617C3F65"/>
    <w:rsid w:val="61965BEC"/>
    <w:rsid w:val="61C43CB6"/>
    <w:rsid w:val="63777335"/>
    <w:rsid w:val="637C08C1"/>
    <w:rsid w:val="63A25CE9"/>
    <w:rsid w:val="64837CEE"/>
    <w:rsid w:val="64897649"/>
    <w:rsid w:val="64DB60A4"/>
    <w:rsid w:val="65C41131"/>
    <w:rsid w:val="683E4F16"/>
    <w:rsid w:val="68436808"/>
    <w:rsid w:val="68F060DD"/>
    <w:rsid w:val="69005CC8"/>
    <w:rsid w:val="69462EE8"/>
    <w:rsid w:val="69AA61B0"/>
    <w:rsid w:val="69DF33EA"/>
    <w:rsid w:val="69EB2E8C"/>
    <w:rsid w:val="6A14507C"/>
    <w:rsid w:val="6A525759"/>
    <w:rsid w:val="6AAD7127"/>
    <w:rsid w:val="6AE5227E"/>
    <w:rsid w:val="6C113053"/>
    <w:rsid w:val="6C5C3D48"/>
    <w:rsid w:val="6C6A4D2D"/>
    <w:rsid w:val="6CB34E36"/>
    <w:rsid w:val="6CC56621"/>
    <w:rsid w:val="6E7C7364"/>
    <w:rsid w:val="6EBB315B"/>
    <w:rsid w:val="6EDA6648"/>
    <w:rsid w:val="6F0C2100"/>
    <w:rsid w:val="6F883B96"/>
    <w:rsid w:val="7059352A"/>
    <w:rsid w:val="720069E2"/>
    <w:rsid w:val="72071B50"/>
    <w:rsid w:val="720E47D8"/>
    <w:rsid w:val="72223EBC"/>
    <w:rsid w:val="72556155"/>
    <w:rsid w:val="72853B6E"/>
    <w:rsid w:val="72D94D45"/>
    <w:rsid w:val="72E153A6"/>
    <w:rsid w:val="72EB5CD1"/>
    <w:rsid w:val="72EC1D75"/>
    <w:rsid w:val="73451C22"/>
    <w:rsid w:val="73F95785"/>
    <w:rsid w:val="74890607"/>
    <w:rsid w:val="74A13425"/>
    <w:rsid w:val="754A36FD"/>
    <w:rsid w:val="758349B2"/>
    <w:rsid w:val="776D7181"/>
    <w:rsid w:val="77AE1A16"/>
    <w:rsid w:val="77BA5769"/>
    <w:rsid w:val="77E477A0"/>
    <w:rsid w:val="77E626CA"/>
    <w:rsid w:val="77FE0922"/>
    <w:rsid w:val="79A1753C"/>
    <w:rsid w:val="79AB6974"/>
    <w:rsid w:val="79B95371"/>
    <w:rsid w:val="7A55230E"/>
    <w:rsid w:val="7AF42676"/>
    <w:rsid w:val="7AF70DC7"/>
    <w:rsid w:val="7B6676C2"/>
    <w:rsid w:val="7BB130C5"/>
    <w:rsid w:val="7C222487"/>
    <w:rsid w:val="7C505F05"/>
    <w:rsid w:val="7C79651F"/>
    <w:rsid w:val="7CB716C5"/>
    <w:rsid w:val="7CDE6D26"/>
    <w:rsid w:val="7D1351C0"/>
    <w:rsid w:val="7D822F1F"/>
    <w:rsid w:val="7E1D2175"/>
    <w:rsid w:val="7E7430AF"/>
    <w:rsid w:val="7FBA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333333"/>
      <w:u w:val="none"/>
    </w:rPr>
  </w:style>
  <w:style w:type="character" w:styleId="5">
    <w:name w:val="Hyperlink"/>
    <w:basedOn w:val="3"/>
    <w:qFormat/>
    <w:uiPriority w:val="0"/>
    <w:rPr>
      <w:color w:val="333333"/>
      <w:u w:val="none"/>
    </w:rPr>
  </w:style>
  <w:style w:type="paragraph" w:customStyle="1" w:styleId="7">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 w:type="character" w:customStyle="1" w:styleId="8">
    <w:name w:val="bsharetext"/>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2018-12-05T05:08:00Z</dcterms:created>
  <dc:creator>Administrator</dc:creator>
  <cp:lastModifiedBy>Administrator</cp:lastModifiedBy>
  <dcterms:modified xsi:type="dcterms:W3CDTF">2018-12-27T06:20:01Z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