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和合期货沪铜周报（20181105--20181109）</w:t>
      </w:r>
    </w:p>
    <w:p>
      <w:pPr>
        <w:jc w:val="center"/>
        <w:rPr>
          <w:rFonts w:hint="eastAsia"/>
          <w:b/>
          <w:bCs/>
          <w:sz w:val="30"/>
          <w:szCs w:val="30"/>
          <w:lang w:val="en-US" w:eastAsia="zh-CN"/>
        </w:rPr>
      </w:pPr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-18415</wp:posOffset>
            </wp:positionH>
            <wp:positionV relativeFrom="paragraph">
              <wp:posOffset>185420</wp:posOffset>
            </wp:positionV>
            <wp:extent cx="2040255" cy="1021715"/>
            <wp:effectExtent l="0" t="0" r="17145" b="6985"/>
            <wp:wrapSquare wrapText="bothSides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40255" cy="10217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240" w:lineRule="auto"/>
        <w:ind w:firstLine="900" w:firstLineChars="5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18"/>
          <w:szCs w:val="18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18"/>
          <w:szCs w:val="18"/>
          <w:shd w:val="clear" w:fill="FFFFFF"/>
          <w:lang w:val="en-US" w:eastAsia="zh-CN"/>
        </w:rPr>
        <w:t>翟璐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18"/>
          <w:szCs w:val="18"/>
          <w:shd w:val="clear" w:fill="FFFFFF"/>
          <w:lang w:val="en-US" w:eastAsia="zh-CN"/>
        </w:rPr>
        <w:t xml:space="preserve">          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18"/>
          <w:szCs w:val="18"/>
          <w:shd w:val="clear" w:fill="FFFFFF"/>
        </w:rPr>
        <w:t>从业资格证号：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18"/>
          <w:szCs w:val="18"/>
          <w:shd w:val="clear" w:fill="FFFFFF"/>
          <w:lang w:val="en-US" w:eastAsia="zh-CN"/>
        </w:rPr>
        <w:t>F3020441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18"/>
          <w:szCs w:val="18"/>
          <w:shd w:val="clear" w:fill="FFFFFF"/>
          <w:lang w:val="en-US" w:eastAsia="zh-CN"/>
        </w:rPr>
        <w:t xml:space="preserve">          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18"/>
          <w:szCs w:val="18"/>
          <w:shd w:val="clear" w:fill="FFFFFF"/>
        </w:rPr>
        <w:t>投询资格证号：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18"/>
          <w:szCs w:val="18"/>
          <w:shd w:val="clear" w:fill="FFFFFF"/>
          <w:lang w:val="en-US" w:eastAsia="zh-CN"/>
        </w:rPr>
        <w:t xml:space="preserve">Z0011873 </w:t>
      </w:r>
    </w:p>
    <w:p>
      <w:pPr>
        <w:spacing w:line="240" w:lineRule="auto"/>
        <w:ind w:firstLine="900" w:firstLineChars="5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18"/>
          <w:szCs w:val="18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18"/>
          <w:szCs w:val="18"/>
          <w:shd w:val="clear" w:fill="FFFFFF"/>
        </w:rPr>
        <w:t>电话：0351-7342558</w:t>
      </w:r>
    </w:p>
    <w:p>
      <w:pPr>
        <w:spacing w:line="240" w:lineRule="auto"/>
        <w:ind w:firstLine="900" w:firstLineChars="500"/>
        <w:jc w:val="left"/>
        <w:rPr>
          <w:rFonts w:hint="eastAsia" w:ascii="宋体" w:hAnsi="宋体" w:eastAsia="宋体" w:cs="宋体"/>
          <w:sz w:val="18"/>
          <w:szCs w:val="18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18"/>
          <w:szCs w:val="18"/>
          <w:shd w:val="clear" w:fill="FFFFFF"/>
        </w:rPr>
        <w:t>邮箱</w:t>
      </w:r>
      <w:r>
        <w:rPr>
          <w:rFonts w:ascii="微软雅黑" w:hAnsi="微软雅黑" w:eastAsia="微软雅黑" w:cs="微软雅黑"/>
          <w:b w:val="0"/>
          <w:i w:val="0"/>
          <w:caps w:val="0"/>
          <w:color w:val="auto"/>
          <w:spacing w:val="0"/>
          <w:sz w:val="18"/>
          <w:szCs w:val="18"/>
          <w:shd w:val="clear" w:fill="FFFFFF"/>
        </w:rPr>
        <w:t>：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fldChar w:fldCharType="begin"/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instrText xml:space="preserve"> HYPERLINK "mailto:yangxiaoxia@hhqh.com.cn" </w:instrTex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fldChar w:fldCharType="separate"/>
      </w:r>
      <w:r>
        <w:rPr>
          <w:rStyle w:val="11"/>
          <w:rFonts w:hint="eastAsia" w:ascii="宋体" w:hAnsi="宋体" w:cs="宋体"/>
          <w:sz w:val="18"/>
          <w:szCs w:val="18"/>
          <w:lang w:val="en-US" w:eastAsia="zh-CN"/>
        </w:rPr>
        <w:t>zhailu</w:t>
      </w:r>
      <w:r>
        <w:rPr>
          <w:rStyle w:val="11"/>
          <w:rFonts w:hint="eastAsia" w:ascii="宋体" w:hAnsi="宋体" w:eastAsia="宋体" w:cs="宋体"/>
          <w:sz w:val="18"/>
          <w:szCs w:val="18"/>
          <w:lang w:val="en-US" w:eastAsia="zh-CN"/>
        </w:rPr>
        <w:t>@hhqh.com.cn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fldChar w:fldCharType="end"/>
      </w:r>
    </w:p>
    <w:p>
      <w:pPr>
        <w:spacing w:line="240" w:lineRule="auto"/>
        <w:ind w:firstLine="900" w:firstLineChars="500"/>
        <w:jc w:val="left"/>
        <w:rPr>
          <w:rFonts w:hint="eastAsia" w:ascii="宋体" w:hAnsi="宋体" w:eastAsia="宋体" w:cs="宋体"/>
          <w:sz w:val="18"/>
          <w:szCs w:val="18"/>
          <w:lang w:val="en-US" w:eastAsia="zh-CN"/>
        </w:rPr>
      </w:pPr>
    </w:p>
    <w:p>
      <w:pPr>
        <w:numPr>
          <w:ilvl w:val="0"/>
          <w:numId w:val="1"/>
        </w:numPr>
        <w:jc w:val="left"/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沪铜期货合约成交情况</w:t>
      </w:r>
    </w:p>
    <w:p>
      <w:pPr>
        <w:numPr>
          <w:ilvl w:val="0"/>
          <w:numId w:val="0"/>
        </w:numPr>
        <w:ind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  <w:t>1，沪铜主力本周震荡</w:t>
      </w:r>
    </w:p>
    <w:p>
      <w:pPr>
        <w:numPr>
          <w:ilvl w:val="0"/>
          <w:numId w:val="0"/>
        </w:numPr>
        <w:ind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  <w:t>11月5日--11月9日，沪铜指数总成交量180.6万手，较上周减少36万手，总持仓量54.6万手，较上周增仓3万手，沪铜主力本周震荡，主力合约收盘价49350，比上周收盘价下跌1.08%。</w:t>
      </w:r>
    </w:p>
    <w:p>
      <w:pPr>
        <w:numPr>
          <w:ilvl w:val="0"/>
          <w:numId w:val="0"/>
        </w:numPr>
        <w:ind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  <w:t>2，铜现货市场价格</w:t>
      </w:r>
    </w:p>
    <w:tbl>
      <w:tblPr>
        <w:tblStyle w:val="17"/>
        <w:tblW w:w="85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6"/>
        <w:gridCol w:w="963"/>
        <w:gridCol w:w="2410"/>
        <w:gridCol w:w="1132"/>
        <w:gridCol w:w="1162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14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市场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品种</w:t>
            </w:r>
          </w:p>
        </w:tc>
        <w:tc>
          <w:tcPr>
            <w:tcW w:w="24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价格区间</w:t>
            </w:r>
          </w:p>
        </w:tc>
        <w:tc>
          <w:tcPr>
            <w:tcW w:w="11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均价</w:t>
            </w:r>
          </w:p>
        </w:tc>
        <w:tc>
          <w:tcPr>
            <w:tcW w:w="11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涨跌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416" w:type="dxa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  <w:lang w:eastAsia="zh-CN"/>
              </w:rPr>
              <w:t>长江现货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1#铜</w:t>
            </w:r>
          </w:p>
        </w:tc>
        <w:tc>
          <w:tcPr>
            <w:tcW w:w="24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49,500—49,520</w:t>
            </w:r>
          </w:p>
        </w:tc>
        <w:tc>
          <w:tcPr>
            <w:tcW w:w="11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49,510</w:t>
            </w:r>
          </w:p>
        </w:tc>
        <w:tc>
          <w:tcPr>
            <w:tcW w:w="11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-110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11-9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416" w:type="dxa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  <w:lang w:eastAsia="zh-CN"/>
              </w:rPr>
              <w:t>广东现货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1#铜</w:t>
            </w:r>
          </w:p>
        </w:tc>
        <w:tc>
          <w:tcPr>
            <w:tcW w:w="24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49,330—49,530</w:t>
            </w:r>
          </w:p>
        </w:tc>
        <w:tc>
          <w:tcPr>
            <w:tcW w:w="11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49,430</w:t>
            </w:r>
          </w:p>
        </w:tc>
        <w:tc>
          <w:tcPr>
            <w:tcW w:w="11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-90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11-9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416" w:type="dxa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  <w:lang w:eastAsia="zh-CN"/>
              </w:rPr>
              <w:t>上海现货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1#铜</w:t>
            </w:r>
          </w:p>
        </w:tc>
        <w:tc>
          <w:tcPr>
            <w:tcW w:w="24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49,400—49,450</w:t>
            </w:r>
          </w:p>
        </w:tc>
        <w:tc>
          <w:tcPr>
            <w:tcW w:w="11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49,425</w:t>
            </w:r>
          </w:p>
        </w:tc>
        <w:tc>
          <w:tcPr>
            <w:tcW w:w="11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-165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11-9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416" w:type="dxa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  <w:lang w:eastAsia="zh-CN"/>
              </w:rPr>
              <w:t>上海地区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1#铜</w:t>
            </w:r>
          </w:p>
        </w:tc>
        <w:tc>
          <w:tcPr>
            <w:tcW w:w="24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49,450—49,550</w:t>
            </w:r>
          </w:p>
        </w:tc>
        <w:tc>
          <w:tcPr>
            <w:tcW w:w="11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49,500</w:t>
            </w:r>
          </w:p>
        </w:tc>
        <w:tc>
          <w:tcPr>
            <w:tcW w:w="11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-100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11-9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416" w:type="dxa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  <w:lang w:eastAsia="zh-CN"/>
              </w:rPr>
              <w:t>长江有色网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1#铜</w:t>
            </w:r>
          </w:p>
        </w:tc>
        <w:tc>
          <w:tcPr>
            <w:tcW w:w="24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49,460—49,520</w:t>
            </w:r>
          </w:p>
        </w:tc>
        <w:tc>
          <w:tcPr>
            <w:tcW w:w="11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49,490</w:t>
            </w:r>
          </w:p>
        </w:tc>
        <w:tc>
          <w:tcPr>
            <w:tcW w:w="11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-100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11-9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jc w:val="left"/>
      </w:pPr>
      <w:bookmarkStart w:id="0" w:name="_GoBack"/>
      <w:bookmarkEnd w:id="0"/>
    </w:p>
    <w:p>
      <w:pPr>
        <w:numPr>
          <w:ilvl w:val="0"/>
          <w:numId w:val="1"/>
        </w:numPr>
        <w:jc w:val="left"/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影响因素分析</w:t>
      </w:r>
    </w:p>
    <w:p>
      <w:pPr>
        <w:numPr>
          <w:ilvl w:val="0"/>
          <w:numId w:val="2"/>
        </w:numPr>
        <w:ind w:firstLine="420" w:firstLineChars="200"/>
        <w:jc w:val="left"/>
        <w:rPr>
          <w:rFonts w:hint="eastAsia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4D4D4D"/>
          <w:spacing w:val="0"/>
          <w:sz w:val="21"/>
          <w:szCs w:val="21"/>
          <w:lang w:val="en-US" w:eastAsia="zh-CN"/>
        </w:rPr>
        <w:t>宏观方面</w:t>
      </w:r>
    </w:p>
    <w:p>
      <w:pPr>
        <w:numPr>
          <w:ilvl w:val="0"/>
          <w:numId w:val="0"/>
        </w:numPr>
        <w:ind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  <w:t>美国举行中期选举，两党就众议院全部435个席位、35个参议院席位以及36个州长席位展开角逐，选举结果正如原先预计，共和党继续控制参议院，民主党首次夺回众院控制权，这将使特朗普总统无法实施他的国内议程，这可能会结束任何进一步的减税措施，这意味着从长远来看，美联储将需要实施更少的加息，英国脱欧协议提案已完成95%，但爱尔兰问题还没有得到解决，欧盟也就预算问题对意大利提出制裁警告，欧盟区局势仍不明朗，中美加征关税带来的冲击逐渐显现，国内经济下行压力加大导致需求趋弱，特朗普表示希望在本月底举行的G20峰会上与中国就贸易问题达成协议，在峰会和协议敲定之前，宏观层面仍有较大不确定性，</w:t>
      </w:r>
    </w:p>
    <w:p>
      <w:pPr>
        <w:numPr>
          <w:ilvl w:val="0"/>
          <w:numId w:val="0"/>
        </w:numPr>
        <w:ind w:firstLine="42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  <w:t>美联储公布的最新政策会议纪要显示，长期通胀率变化不大，整体及核心通胀率均保持在2%附近，失业率下降，家庭消费增长强劲，经济、就业人口增长出色，劳动力市场强劲，FOMC投票一致决定维持利率不变，美联储决议声明预计将“进一步渐进式加息”。</w:t>
      </w:r>
    </w:p>
    <w:p>
      <w:pPr>
        <w:numPr>
          <w:ilvl w:val="0"/>
          <w:numId w:val="2"/>
        </w:numPr>
        <w:ind w:firstLine="420" w:firstLineChars="200"/>
        <w:jc w:val="left"/>
        <w:rPr>
          <w:rFonts w:hint="eastAsia" w:ascii="微软雅黑" w:hAnsi="微软雅黑" w:eastAsia="微软雅黑" w:cs="微软雅黑"/>
          <w:b/>
          <w:bCs/>
          <w:i w:val="0"/>
          <w:caps w:val="0"/>
          <w:color w:val="4D4D4D"/>
          <w:spacing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4D4D4D"/>
          <w:spacing w:val="0"/>
          <w:sz w:val="21"/>
          <w:szCs w:val="21"/>
          <w:lang w:val="en-US" w:eastAsia="zh-CN"/>
        </w:rPr>
        <w:t>供给方面</w:t>
      </w:r>
    </w:p>
    <w:p>
      <w:pPr>
        <w:numPr>
          <w:ilvl w:val="0"/>
          <w:numId w:val="0"/>
        </w:numPr>
        <w:ind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  <w:t>数据显示10月中国精铜产量为72.06万吨，环比增长0.53%，同比减少0.26%，1-10月累计产量722.66万吨，累计同比增长10.39%，11月预计产量为73.79万吨，同比增长2.78%，1-11月累计产量将达到796.45万吨，同比增幅9.6%。</w:t>
      </w:r>
    </w:p>
    <w:p>
      <w:pPr>
        <w:numPr>
          <w:ilvl w:val="0"/>
          <w:numId w:val="0"/>
        </w:numPr>
        <w:ind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  <w:t>智利铜业委员会(Cochilco)周四公布的数据显示，智利2018年前九个月铜产量为425万吨，较去年同期增长7.3%，必和必拓旗下位于智利的Escondida铜矿前九个月产量为950,900吨，较去年同期增加57.8%，由英美资源及嘉能可主要控股的智利Collahuasi铜矿前九个月产量为401,800吨，较去年同期增加5.8%。Cochilco称，智利国营铜公司(Codelco)前九个月产量为129.6万吨，较去年同期下滑2%，主要原因是矿石品级平均下降了5%，codelco表示将在未来10年投资360亿美元，升级其老化的铜矿，以弥补铜品级的下降，并维持现有生产水平。</w:t>
      </w:r>
    </w:p>
    <w:p>
      <w:pPr>
        <w:numPr>
          <w:ilvl w:val="0"/>
          <w:numId w:val="0"/>
        </w:numPr>
        <w:ind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</w:pPr>
    </w:p>
    <w:p>
      <w:pPr>
        <w:numPr>
          <w:ilvl w:val="0"/>
          <w:numId w:val="2"/>
        </w:numPr>
        <w:ind w:left="0" w:leftChars="0" w:firstLine="420" w:firstLineChars="200"/>
        <w:jc w:val="left"/>
        <w:rPr>
          <w:rFonts w:hint="eastAsia" w:ascii="微软雅黑" w:hAnsi="微软雅黑" w:eastAsia="微软雅黑" w:cs="微软雅黑"/>
          <w:b/>
          <w:bCs/>
          <w:i w:val="0"/>
          <w:caps w:val="0"/>
          <w:color w:val="4D4D4D"/>
          <w:spacing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4D4D4D"/>
          <w:spacing w:val="0"/>
          <w:sz w:val="21"/>
          <w:szCs w:val="21"/>
          <w:lang w:val="en-US" w:eastAsia="zh-CN"/>
        </w:rPr>
        <w:t xml:space="preserve">需求端   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375" w:lineRule="atLeast"/>
        <w:ind w:left="0" w:right="0" w:firstLine="420" w:firstLineChars="200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t>当前电网核准项目增加，9月国家能源局发布文件，要求在今明两年加快推进9项重点输变电工程建设，其中今年四季度核准4个特高压项目，高于市场普遍预期，同时，配电网投资规模可能大幅增加，以加快新一代配电自动化系统建设应用，支撑铜价。房地产方面，短期房屋新开工与竣工增速背离，1—9月房屋新开工面积累计同比增长16.4%，但竣工面积累计同比下降11.4%，中长期新屋开工最终还是要传导至竣工和销售面积，进而增加电缆与相关变电设备的消费，并提高空调等家电产品的销售水平。</w:t>
      </w:r>
    </w:p>
    <w:p>
      <w:pPr>
        <w:numPr>
          <w:ilvl w:val="0"/>
          <w:numId w:val="2"/>
        </w:numPr>
        <w:ind w:left="0" w:leftChars="0" w:firstLine="420" w:firstLineChars="200"/>
        <w:jc w:val="left"/>
        <w:rPr>
          <w:rFonts w:hint="eastAsia" w:ascii="微软雅黑" w:hAnsi="微软雅黑" w:eastAsia="微软雅黑" w:cs="微软雅黑"/>
          <w:b/>
          <w:bCs/>
          <w:i w:val="0"/>
          <w:caps w:val="0"/>
          <w:color w:val="4D4D4D"/>
          <w:spacing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4D4D4D"/>
          <w:spacing w:val="0"/>
          <w:sz w:val="21"/>
          <w:szCs w:val="21"/>
          <w:lang w:val="en-US" w:eastAsia="zh-CN"/>
        </w:rPr>
        <w:t>其他因素</w:t>
      </w:r>
    </w:p>
    <w:p>
      <w:pPr>
        <w:ind w:firstLine="420" w:firstLineChars="2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t>CFTC公布的持仓数据显示，截至10月30日当周，comex期铜cftc总持仓256266手，较上周增加10012手。持仓结构方面，非商业持仓多头增加650手，空头增加9330手，使得投机基金持有的comex铜净多减少为667手，较上周减少8680手。上周comex铜投机基金空头持仓大幅增加，导致净多仓呈现下滑，显示由于前期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fldChar w:fldCharType="begin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instrText xml:space="preserve"> HYPERLINK "http://copper.ccmn.cn/" \t "http://copper.ccmn.cn/copperplfx/2018-11-05/_blank" </w:instrTex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fldChar w:fldCharType="separate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t>铜价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fldChar w:fldCharType="end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t>持续走弱，市场看空情绪有所增加，空头资金入场更为积极。</w:t>
      </w:r>
    </w:p>
    <w:p>
      <w:pP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</w:pPr>
    </w:p>
    <w:p>
      <w:pPr>
        <w:numPr>
          <w:ilvl w:val="0"/>
          <w:numId w:val="3"/>
        </w:numPr>
        <w:jc w:val="left"/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后市行情研判</w:t>
      </w:r>
    </w:p>
    <w:p>
      <w:pPr>
        <w:numPr>
          <w:ilvl w:val="0"/>
          <w:numId w:val="0"/>
        </w:numPr>
        <w:ind w:firstLine="420" w:firstLineChars="2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eastAsia="zh-CN"/>
        </w:rPr>
        <w:t>英国脱欧协议提案已完成95%，但爱尔兰问题还没有得到解决，欧盟就预算问题对意大利提出制裁警告，欧盟区局势仍不明朗，中美加征关税带来的冲击逐渐显现，国内经济下行压力加大导致需求趋弱，特朗普表示希望在本月底举行的G20峰会上与中国就贸易问题达成协议，在峰会和协议敲定之前，宏观层面仍有较大不确定性，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  <w:t>盘面看近期沪铜剧烈震荡，下破小平台及60日单位线后，又大幅拉升，目前处于盘整走势，暂时还是观望为主。</w:t>
      </w:r>
    </w:p>
    <w:p>
      <w:pPr>
        <w:numPr>
          <w:ilvl w:val="0"/>
          <w:numId w:val="0"/>
        </w:numPr>
        <w:ind w:firstLine="420" w:firstLineChars="2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</w:pPr>
    </w:p>
    <w:p>
      <w:pPr>
        <w:numPr>
          <w:ilvl w:val="0"/>
          <w:numId w:val="3"/>
        </w:numPr>
        <w:jc w:val="left"/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交易策略建议</w:t>
      </w:r>
    </w:p>
    <w:p>
      <w:pPr>
        <w:numPr>
          <w:ilvl w:val="0"/>
          <w:numId w:val="0"/>
        </w:numPr>
        <w:ind w:firstLine="420" w:firstLineChars="2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eastAsia="zh-CN"/>
        </w:rPr>
        <w:t>建议下周沪铜观望。</w:t>
      </w:r>
    </w:p>
    <w:p>
      <w:pPr>
        <w:numPr>
          <w:ilvl w:val="0"/>
          <w:numId w:val="0"/>
        </w:numPr>
        <w:ind w:firstLine="420" w:firstLineChars="2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2" w:firstLineChars="200"/>
        <w:textAlignment w:val="auto"/>
        <w:outlineLvl w:val="9"/>
        <w:rPr>
          <w:rFonts w:hint="eastAsia"/>
          <w:b/>
          <w:bCs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2" w:firstLineChars="200"/>
        <w:textAlignment w:val="auto"/>
        <w:outlineLvl w:val="9"/>
        <w:rPr>
          <w:rFonts w:hint="eastAsia"/>
          <w:b/>
          <w:bCs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2" w:firstLineChars="200"/>
        <w:textAlignment w:val="auto"/>
        <w:outlineLvl w:val="9"/>
        <w:rPr>
          <w:rFonts w:hint="eastAsia"/>
          <w:b/>
          <w:bCs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2" w:firstLineChars="200"/>
        <w:textAlignment w:val="auto"/>
        <w:outlineLvl w:val="9"/>
        <w:rPr>
          <w:rFonts w:hint="eastAsia"/>
          <w:b/>
          <w:bCs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2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风险揭示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1"/>
          <w:szCs w:val="21"/>
        </w:rPr>
        <w:t>您应当客观评估自身财务状况、交易经验，确定自身的风险偏好、风险承受能力和服务需求，自行决定是否采纳期货公司提供的报告中所给出的建议。您应当充分了解期货市场变化的不确定性和投资风险，任何有关期货行情的预测都可能与实际情况有差异，若您据此入市操作，您需要</w:t>
      </w:r>
      <w:r>
        <w:rPr>
          <w:rFonts w:hint="eastAsia"/>
          <w:sz w:val="21"/>
          <w:szCs w:val="21"/>
          <w:lang w:val="en-US" w:eastAsia="zh-CN"/>
        </w:rPr>
        <w:t>自行</w:t>
      </w:r>
      <w:r>
        <w:rPr>
          <w:rFonts w:hint="eastAsia"/>
          <w:sz w:val="21"/>
          <w:szCs w:val="21"/>
        </w:rPr>
        <w:t xml:space="preserve">承担由此带来的风险和损失。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2" w:firstLineChars="200"/>
        <w:textAlignment w:val="auto"/>
        <w:outlineLvl w:val="9"/>
        <w:rPr>
          <w:rFonts w:hint="eastAsia"/>
          <w:sz w:val="21"/>
          <w:szCs w:val="21"/>
        </w:rPr>
      </w:pPr>
      <w:r>
        <w:rPr>
          <w:rFonts w:hint="eastAsia"/>
          <w:b/>
          <w:bCs/>
          <w:sz w:val="24"/>
          <w:szCs w:val="24"/>
        </w:rPr>
        <w:t>免责声明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1"/>
          <w:szCs w:val="21"/>
        </w:rPr>
        <w:t>本报告的信息均来源于公开资料，本公司对这些信息的准确性和完整性不作任何保证，文中的观点、结论和建议仅供参考，不</w:t>
      </w:r>
      <w:r>
        <w:rPr>
          <w:rFonts w:hint="eastAsia"/>
          <w:sz w:val="21"/>
          <w:szCs w:val="21"/>
          <w:lang w:val="en-US" w:eastAsia="zh-CN"/>
        </w:rPr>
        <w:t>代表</w:t>
      </w:r>
      <w:r>
        <w:rPr>
          <w:rFonts w:hint="eastAsia"/>
          <w:sz w:val="21"/>
          <w:szCs w:val="21"/>
        </w:rPr>
        <w:t xml:space="preserve">作者对价格涨跌或市场走势的确定性判断，投资者据此做出的任何投资决策与本公司和作者无关。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1"/>
          <w:szCs w:val="21"/>
        </w:rPr>
        <w:t>本报告所载的资料、意见及推测仅反映本公司于发布日的判断，在不同时期，本公司可发出与本报告所载资料、意见及推测不一致的报告，投资者应当自行关注相应的更新或修改。</w:t>
      </w:r>
      <w:r>
        <w:rPr>
          <w:rFonts w:hint="eastAsia"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200"/>
        <w:textAlignment w:val="auto"/>
        <w:outlineLvl w:val="9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 xml:space="preserve">和合期货投询部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200"/>
        <w:textAlignment w:val="auto"/>
        <w:outlineLvl w:val="9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 xml:space="preserve">联系电话：0351-7342558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1"/>
          <w:szCs w:val="21"/>
        </w:rPr>
        <w:t>公司网址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fldChar w:fldCharType="begin"/>
      </w:r>
      <w:r>
        <w:rPr>
          <w:rFonts w:hint="eastAsia"/>
          <w:sz w:val="24"/>
          <w:szCs w:val="24"/>
        </w:rPr>
        <w:instrText xml:space="preserve"> HYPERLINK "http://www.hhqh.com.cn" </w:instrText>
      </w:r>
      <w:r>
        <w:rPr>
          <w:rFonts w:hint="eastAsia"/>
          <w:sz w:val="24"/>
          <w:szCs w:val="24"/>
        </w:rPr>
        <w:fldChar w:fldCharType="separate"/>
      </w:r>
      <w:r>
        <w:rPr>
          <w:rStyle w:val="11"/>
          <w:rFonts w:hint="eastAsia"/>
          <w:sz w:val="24"/>
          <w:szCs w:val="24"/>
        </w:rPr>
        <w:t>http://www.hhqh.com.cn</w:t>
      </w:r>
      <w:r>
        <w:rPr>
          <w:rFonts w:hint="eastAsia"/>
          <w:sz w:val="24"/>
          <w:szCs w:val="24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outlineLvl w:val="9"/>
        <w:rPr>
          <w:rFonts w:hint="eastAsia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200"/>
        <w:textAlignment w:val="auto"/>
        <w:outlineLvl w:val="9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 xml:space="preserve">和合期货有限公司经营范围包括：商品期货经纪业务、金融期货经纪业务、期货投资咨询业务、公开募集证券投资基金销售业务。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right="0"/>
        <w:jc w:val="both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2F7C6E"/>
    <w:multiLevelType w:val="singleLevel"/>
    <w:tmpl w:val="5A2F7C6E"/>
    <w:lvl w:ilvl="0" w:tentative="0">
      <w:start w:val="1"/>
      <w:numFmt w:val="chineseCounting"/>
      <w:suff w:val="nothing"/>
      <w:lvlText w:val="%1、"/>
      <w:lvlJc w:val="left"/>
    </w:lvl>
  </w:abstractNum>
  <w:abstractNum w:abstractNumId="1">
    <w:nsid w:val="5A4F2944"/>
    <w:multiLevelType w:val="singleLevel"/>
    <w:tmpl w:val="5A4F2944"/>
    <w:lvl w:ilvl="0" w:tentative="0">
      <w:start w:val="1"/>
      <w:numFmt w:val="decimal"/>
      <w:suff w:val="nothing"/>
      <w:lvlText w:val="%1，"/>
      <w:lvlJc w:val="left"/>
    </w:lvl>
  </w:abstractNum>
  <w:abstractNum w:abstractNumId="2">
    <w:nsid w:val="5A4F34D4"/>
    <w:multiLevelType w:val="singleLevel"/>
    <w:tmpl w:val="5A4F34D4"/>
    <w:lvl w:ilvl="0" w:tentative="0">
      <w:start w:val="3"/>
      <w:numFmt w:val="chineseCounting"/>
      <w:suff w:val="nothing"/>
      <w:lvlText w:val="%1，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3A0C85"/>
    <w:rsid w:val="005E63D6"/>
    <w:rsid w:val="00946C95"/>
    <w:rsid w:val="00960ABC"/>
    <w:rsid w:val="00E556E9"/>
    <w:rsid w:val="00E93D4E"/>
    <w:rsid w:val="010F0926"/>
    <w:rsid w:val="011D1462"/>
    <w:rsid w:val="012C6091"/>
    <w:rsid w:val="01434658"/>
    <w:rsid w:val="016B6F9B"/>
    <w:rsid w:val="01F252A3"/>
    <w:rsid w:val="020A2475"/>
    <w:rsid w:val="026A08CF"/>
    <w:rsid w:val="02B31491"/>
    <w:rsid w:val="02B94610"/>
    <w:rsid w:val="02BA1970"/>
    <w:rsid w:val="02DE2E7A"/>
    <w:rsid w:val="031A6FC9"/>
    <w:rsid w:val="033058B5"/>
    <w:rsid w:val="035139FB"/>
    <w:rsid w:val="03B425D8"/>
    <w:rsid w:val="03C353B3"/>
    <w:rsid w:val="040C2E41"/>
    <w:rsid w:val="04181E52"/>
    <w:rsid w:val="04197D5C"/>
    <w:rsid w:val="04395605"/>
    <w:rsid w:val="044D2878"/>
    <w:rsid w:val="045A0E95"/>
    <w:rsid w:val="04993CE2"/>
    <w:rsid w:val="04A05A55"/>
    <w:rsid w:val="04C40F77"/>
    <w:rsid w:val="04D27089"/>
    <w:rsid w:val="04DA2E1B"/>
    <w:rsid w:val="04E91357"/>
    <w:rsid w:val="05011FBA"/>
    <w:rsid w:val="052147F2"/>
    <w:rsid w:val="055778A2"/>
    <w:rsid w:val="059D503E"/>
    <w:rsid w:val="05D15C08"/>
    <w:rsid w:val="05EA31B2"/>
    <w:rsid w:val="05F5189D"/>
    <w:rsid w:val="0657226D"/>
    <w:rsid w:val="065B710A"/>
    <w:rsid w:val="067526D7"/>
    <w:rsid w:val="06854DB0"/>
    <w:rsid w:val="06A4163B"/>
    <w:rsid w:val="06EC4A9D"/>
    <w:rsid w:val="073F420C"/>
    <w:rsid w:val="07A02666"/>
    <w:rsid w:val="07A1628E"/>
    <w:rsid w:val="07A90070"/>
    <w:rsid w:val="07B56448"/>
    <w:rsid w:val="07DF74EF"/>
    <w:rsid w:val="089D6419"/>
    <w:rsid w:val="08A46546"/>
    <w:rsid w:val="095537DB"/>
    <w:rsid w:val="09785AE7"/>
    <w:rsid w:val="09820A0F"/>
    <w:rsid w:val="099151C9"/>
    <w:rsid w:val="09C630C7"/>
    <w:rsid w:val="09CC4F9F"/>
    <w:rsid w:val="09DF6E1A"/>
    <w:rsid w:val="0A3D2A27"/>
    <w:rsid w:val="0A5E4C90"/>
    <w:rsid w:val="0A7F556A"/>
    <w:rsid w:val="0A9F183E"/>
    <w:rsid w:val="0AC10D7C"/>
    <w:rsid w:val="0ADD11C2"/>
    <w:rsid w:val="0AED5BC7"/>
    <w:rsid w:val="0B216180"/>
    <w:rsid w:val="0B791290"/>
    <w:rsid w:val="0BF03F77"/>
    <w:rsid w:val="0C1862BD"/>
    <w:rsid w:val="0CA265C4"/>
    <w:rsid w:val="0CC90789"/>
    <w:rsid w:val="0D437C34"/>
    <w:rsid w:val="0D4E77A7"/>
    <w:rsid w:val="0D7A2F24"/>
    <w:rsid w:val="0D7C454D"/>
    <w:rsid w:val="0E0B4CA2"/>
    <w:rsid w:val="0E0F6CF3"/>
    <w:rsid w:val="0E1A27F8"/>
    <w:rsid w:val="0E665764"/>
    <w:rsid w:val="0E7C319E"/>
    <w:rsid w:val="0E9F1C34"/>
    <w:rsid w:val="0EF94622"/>
    <w:rsid w:val="0F100FB0"/>
    <w:rsid w:val="0F2654AD"/>
    <w:rsid w:val="0F2B1C19"/>
    <w:rsid w:val="0F360667"/>
    <w:rsid w:val="0F480F8F"/>
    <w:rsid w:val="0F7B6A85"/>
    <w:rsid w:val="0F874D96"/>
    <w:rsid w:val="0FE617CF"/>
    <w:rsid w:val="0FEB03B9"/>
    <w:rsid w:val="10111E6C"/>
    <w:rsid w:val="1021271C"/>
    <w:rsid w:val="109A3209"/>
    <w:rsid w:val="10EB6BF6"/>
    <w:rsid w:val="114C5345"/>
    <w:rsid w:val="11862A44"/>
    <w:rsid w:val="11951240"/>
    <w:rsid w:val="11987ED1"/>
    <w:rsid w:val="11B94C9A"/>
    <w:rsid w:val="11E51FE6"/>
    <w:rsid w:val="123E538D"/>
    <w:rsid w:val="12425137"/>
    <w:rsid w:val="124742E5"/>
    <w:rsid w:val="126F075E"/>
    <w:rsid w:val="129C5B4A"/>
    <w:rsid w:val="12E52931"/>
    <w:rsid w:val="131C41F9"/>
    <w:rsid w:val="132C4B6C"/>
    <w:rsid w:val="14265807"/>
    <w:rsid w:val="14271521"/>
    <w:rsid w:val="143D1AE8"/>
    <w:rsid w:val="1461054E"/>
    <w:rsid w:val="14AA74C4"/>
    <w:rsid w:val="14C44147"/>
    <w:rsid w:val="14DF3CEE"/>
    <w:rsid w:val="1517394E"/>
    <w:rsid w:val="15213E1B"/>
    <w:rsid w:val="15601496"/>
    <w:rsid w:val="1567545F"/>
    <w:rsid w:val="15904249"/>
    <w:rsid w:val="15E34E24"/>
    <w:rsid w:val="15E90825"/>
    <w:rsid w:val="160F5112"/>
    <w:rsid w:val="16426AD3"/>
    <w:rsid w:val="165E660E"/>
    <w:rsid w:val="167B1ABE"/>
    <w:rsid w:val="1688250D"/>
    <w:rsid w:val="16CD72E2"/>
    <w:rsid w:val="16F475BE"/>
    <w:rsid w:val="16F84FDA"/>
    <w:rsid w:val="17023F10"/>
    <w:rsid w:val="17142CEB"/>
    <w:rsid w:val="17635947"/>
    <w:rsid w:val="184E02D4"/>
    <w:rsid w:val="189810D2"/>
    <w:rsid w:val="18DA7EA9"/>
    <w:rsid w:val="18DF32E6"/>
    <w:rsid w:val="18E36AF6"/>
    <w:rsid w:val="18E6344B"/>
    <w:rsid w:val="18E9065E"/>
    <w:rsid w:val="19686A8D"/>
    <w:rsid w:val="19790E21"/>
    <w:rsid w:val="199F425F"/>
    <w:rsid w:val="1A210C2C"/>
    <w:rsid w:val="1A4C4289"/>
    <w:rsid w:val="1A621F87"/>
    <w:rsid w:val="1A842676"/>
    <w:rsid w:val="1AAA336D"/>
    <w:rsid w:val="1ABB7FC0"/>
    <w:rsid w:val="1AC81F76"/>
    <w:rsid w:val="1AE46BA9"/>
    <w:rsid w:val="1B9E1514"/>
    <w:rsid w:val="1BA732A8"/>
    <w:rsid w:val="1BD721DD"/>
    <w:rsid w:val="1C990C0D"/>
    <w:rsid w:val="1CD96E34"/>
    <w:rsid w:val="1CE008A7"/>
    <w:rsid w:val="1D071636"/>
    <w:rsid w:val="1D2E4C97"/>
    <w:rsid w:val="1D3E2B95"/>
    <w:rsid w:val="1D582782"/>
    <w:rsid w:val="1D65009B"/>
    <w:rsid w:val="1D820C33"/>
    <w:rsid w:val="1D91148B"/>
    <w:rsid w:val="1DD24954"/>
    <w:rsid w:val="1DE51D51"/>
    <w:rsid w:val="1E0371FD"/>
    <w:rsid w:val="1E0D1AA1"/>
    <w:rsid w:val="1E0E7E6A"/>
    <w:rsid w:val="1E1056C5"/>
    <w:rsid w:val="1E51568F"/>
    <w:rsid w:val="1E720ED7"/>
    <w:rsid w:val="1EA779AB"/>
    <w:rsid w:val="1EB235DC"/>
    <w:rsid w:val="1EB35398"/>
    <w:rsid w:val="1EC72178"/>
    <w:rsid w:val="1EEB48ED"/>
    <w:rsid w:val="1EED1EAB"/>
    <w:rsid w:val="1F0A089A"/>
    <w:rsid w:val="1F107D35"/>
    <w:rsid w:val="1F2D7A40"/>
    <w:rsid w:val="1F6A7D77"/>
    <w:rsid w:val="1FAA4ECB"/>
    <w:rsid w:val="1FE63D41"/>
    <w:rsid w:val="20082685"/>
    <w:rsid w:val="202C5333"/>
    <w:rsid w:val="203059C1"/>
    <w:rsid w:val="20684D24"/>
    <w:rsid w:val="2092796A"/>
    <w:rsid w:val="20D32AB1"/>
    <w:rsid w:val="20E379B0"/>
    <w:rsid w:val="21110BA4"/>
    <w:rsid w:val="21655B9C"/>
    <w:rsid w:val="21B51437"/>
    <w:rsid w:val="21CF74E6"/>
    <w:rsid w:val="2230006C"/>
    <w:rsid w:val="22953196"/>
    <w:rsid w:val="22B365F0"/>
    <w:rsid w:val="22FD44E4"/>
    <w:rsid w:val="23127B38"/>
    <w:rsid w:val="23240777"/>
    <w:rsid w:val="234E5CE3"/>
    <w:rsid w:val="23C81751"/>
    <w:rsid w:val="241E1669"/>
    <w:rsid w:val="244225E9"/>
    <w:rsid w:val="2458614C"/>
    <w:rsid w:val="2459732F"/>
    <w:rsid w:val="24813BB7"/>
    <w:rsid w:val="24B163AF"/>
    <w:rsid w:val="24BC4CEF"/>
    <w:rsid w:val="24C719F9"/>
    <w:rsid w:val="24E55DB5"/>
    <w:rsid w:val="24EB6568"/>
    <w:rsid w:val="25484424"/>
    <w:rsid w:val="255416A6"/>
    <w:rsid w:val="255E350E"/>
    <w:rsid w:val="25767955"/>
    <w:rsid w:val="25AF31F4"/>
    <w:rsid w:val="25E01CB6"/>
    <w:rsid w:val="25E62A5B"/>
    <w:rsid w:val="25FB5502"/>
    <w:rsid w:val="260E3732"/>
    <w:rsid w:val="266F27C0"/>
    <w:rsid w:val="268F25C1"/>
    <w:rsid w:val="26D16219"/>
    <w:rsid w:val="27052ACB"/>
    <w:rsid w:val="272C4FF5"/>
    <w:rsid w:val="27E36DC0"/>
    <w:rsid w:val="27ED00C4"/>
    <w:rsid w:val="27FD257C"/>
    <w:rsid w:val="281B3E91"/>
    <w:rsid w:val="284D4744"/>
    <w:rsid w:val="28AB0578"/>
    <w:rsid w:val="28B6644F"/>
    <w:rsid w:val="296A73D7"/>
    <w:rsid w:val="29FE715F"/>
    <w:rsid w:val="2A0D5602"/>
    <w:rsid w:val="2A1B4DEC"/>
    <w:rsid w:val="2A282ADF"/>
    <w:rsid w:val="2A7F2CF1"/>
    <w:rsid w:val="2A9767F4"/>
    <w:rsid w:val="2AE529A0"/>
    <w:rsid w:val="2B1927DD"/>
    <w:rsid w:val="2C080996"/>
    <w:rsid w:val="2C1739A2"/>
    <w:rsid w:val="2C2E0588"/>
    <w:rsid w:val="2C3B0C77"/>
    <w:rsid w:val="2C4962E7"/>
    <w:rsid w:val="2C592C60"/>
    <w:rsid w:val="2C693C10"/>
    <w:rsid w:val="2CF822C4"/>
    <w:rsid w:val="2D0163F9"/>
    <w:rsid w:val="2D776CF6"/>
    <w:rsid w:val="2D7A6547"/>
    <w:rsid w:val="2DA93F24"/>
    <w:rsid w:val="2E485F14"/>
    <w:rsid w:val="2E825CAE"/>
    <w:rsid w:val="2E97141E"/>
    <w:rsid w:val="2EF97079"/>
    <w:rsid w:val="2F1F4334"/>
    <w:rsid w:val="2F317D35"/>
    <w:rsid w:val="2F7970E4"/>
    <w:rsid w:val="2FB54FA4"/>
    <w:rsid w:val="2FB87A81"/>
    <w:rsid w:val="2FC50E65"/>
    <w:rsid w:val="2FFF45A8"/>
    <w:rsid w:val="30844C1A"/>
    <w:rsid w:val="309260A1"/>
    <w:rsid w:val="30BF6DDA"/>
    <w:rsid w:val="30D214E7"/>
    <w:rsid w:val="30D94939"/>
    <w:rsid w:val="30E424AA"/>
    <w:rsid w:val="30E61211"/>
    <w:rsid w:val="310944AD"/>
    <w:rsid w:val="31494F97"/>
    <w:rsid w:val="31733882"/>
    <w:rsid w:val="31775E8D"/>
    <w:rsid w:val="318E5438"/>
    <w:rsid w:val="31A61085"/>
    <w:rsid w:val="31A647A9"/>
    <w:rsid w:val="31A67F19"/>
    <w:rsid w:val="31B011C9"/>
    <w:rsid w:val="31B03DF4"/>
    <w:rsid w:val="31E6779F"/>
    <w:rsid w:val="32500CDC"/>
    <w:rsid w:val="32607660"/>
    <w:rsid w:val="326728D2"/>
    <w:rsid w:val="32680611"/>
    <w:rsid w:val="326B52A6"/>
    <w:rsid w:val="32901C35"/>
    <w:rsid w:val="32E31592"/>
    <w:rsid w:val="33081747"/>
    <w:rsid w:val="330C7B9D"/>
    <w:rsid w:val="33146685"/>
    <w:rsid w:val="334808B8"/>
    <w:rsid w:val="335409BD"/>
    <w:rsid w:val="338D0B02"/>
    <w:rsid w:val="33AA7D4F"/>
    <w:rsid w:val="33B234D0"/>
    <w:rsid w:val="34614ED5"/>
    <w:rsid w:val="346217F9"/>
    <w:rsid w:val="34F74635"/>
    <w:rsid w:val="3564273F"/>
    <w:rsid w:val="35907117"/>
    <w:rsid w:val="35A36D55"/>
    <w:rsid w:val="35B6435C"/>
    <w:rsid w:val="35CB228F"/>
    <w:rsid w:val="35FD5D72"/>
    <w:rsid w:val="360F681B"/>
    <w:rsid w:val="364D4600"/>
    <w:rsid w:val="365A6A2E"/>
    <w:rsid w:val="36677066"/>
    <w:rsid w:val="367A151B"/>
    <w:rsid w:val="369D6786"/>
    <w:rsid w:val="36E01767"/>
    <w:rsid w:val="37197620"/>
    <w:rsid w:val="37716780"/>
    <w:rsid w:val="37771552"/>
    <w:rsid w:val="377A6BDF"/>
    <w:rsid w:val="378141ED"/>
    <w:rsid w:val="38286568"/>
    <w:rsid w:val="382B07F1"/>
    <w:rsid w:val="382D701E"/>
    <w:rsid w:val="388C051C"/>
    <w:rsid w:val="389670FB"/>
    <w:rsid w:val="38CD37FC"/>
    <w:rsid w:val="3908534B"/>
    <w:rsid w:val="390C070E"/>
    <w:rsid w:val="3913474B"/>
    <w:rsid w:val="392C47AA"/>
    <w:rsid w:val="395C74FF"/>
    <w:rsid w:val="39904D76"/>
    <w:rsid w:val="39BE2EDC"/>
    <w:rsid w:val="39C6120A"/>
    <w:rsid w:val="39FD47E2"/>
    <w:rsid w:val="3A4F4376"/>
    <w:rsid w:val="3ACD789E"/>
    <w:rsid w:val="3AF73E0F"/>
    <w:rsid w:val="3B446ABB"/>
    <w:rsid w:val="3BCC3E7B"/>
    <w:rsid w:val="3BCD7532"/>
    <w:rsid w:val="3BF465B0"/>
    <w:rsid w:val="3C260CBE"/>
    <w:rsid w:val="3C665963"/>
    <w:rsid w:val="3C6D6C9A"/>
    <w:rsid w:val="3C805F46"/>
    <w:rsid w:val="3CC30FCC"/>
    <w:rsid w:val="3CE57C3F"/>
    <w:rsid w:val="3D15400F"/>
    <w:rsid w:val="3D5B70E7"/>
    <w:rsid w:val="3D5F66CC"/>
    <w:rsid w:val="3D70539F"/>
    <w:rsid w:val="3D8D423E"/>
    <w:rsid w:val="3E12047B"/>
    <w:rsid w:val="3E156017"/>
    <w:rsid w:val="3E445246"/>
    <w:rsid w:val="3E5B098F"/>
    <w:rsid w:val="3E906B99"/>
    <w:rsid w:val="3F3A3D14"/>
    <w:rsid w:val="3F5F7ED0"/>
    <w:rsid w:val="3F6743C8"/>
    <w:rsid w:val="3F9C7EE7"/>
    <w:rsid w:val="3FF67E70"/>
    <w:rsid w:val="403767C5"/>
    <w:rsid w:val="40673C20"/>
    <w:rsid w:val="406B6A88"/>
    <w:rsid w:val="40876AC3"/>
    <w:rsid w:val="418B3C30"/>
    <w:rsid w:val="41967235"/>
    <w:rsid w:val="42547422"/>
    <w:rsid w:val="42693565"/>
    <w:rsid w:val="42A33118"/>
    <w:rsid w:val="42BC2E09"/>
    <w:rsid w:val="42E42883"/>
    <w:rsid w:val="42EB5C8B"/>
    <w:rsid w:val="42F82A63"/>
    <w:rsid w:val="43544FC8"/>
    <w:rsid w:val="43692997"/>
    <w:rsid w:val="436A1994"/>
    <w:rsid w:val="43727FE4"/>
    <w:rsid w:val="43982425"/>
    <w:rsid w:val="43E24373"/>
    <w:rsid w:val="43E2523F"/>
    <w:rsid w:val="43F02E41"/>
    <w:rsid w:val="43F41F73"/>
    <w:rsid w:val="44103035"/>
    <w:rsid w:val="4416373A"/>
    <w:rsid w:val="44242053"/>
    <w:rsid w:val="44376E42"/>
    <w:rsid w:val="443D1484"/>
    <w:rsid w:val="445D21AC"/>
    <w:rsid w:val="44733A3E"/>
    <w:rsid w:val="44760AB7"/>
    <w:rsid w:val="44915D7D"/>
    <w:rsid w:val="44AE4138"/>
    <w:rsid w:val="44E1127B"/>
    <w:rsid w:val="44E54350"/>
    <w:rsid w:val="453807F9"/>
    <w:rsid w:val="453C2278"/>
    <w:rsid w:val="459B3B9B"/>
    <w:rsid w:val="45B660B5"/>
    <w:rsid w:val="45E011EF"/>
    <w:rsid w:val="46027438"/>
    <w:rsid w:val="46364426"/>
    <w:rsid w:val="464135AB"/>
    <w:rsid w:val="465323CA"/>
    <w:rsid w:val="468C6B0E"/>
    <w:rsid w:val="468D7A21"/>
    <w:rsid w:val="46A21298"/>
    <w:rsid w:val="471D2237"/>
    <w:rsid w:val="472F1B8D"/>
    <w:rsid w:val="47D42A9B"/>
    <w:rsid w:val="47F90887"/>
    <w:rsid w:val="48214564"/>
    <w:rsid w:val="4871267A"/>
    <w:rsid w:val="48833A30"/>
    <w:rsid w:val="489436F1"/>
    <w:rsid w:val="48D433D2"/>
    <w:rsid w:val="48DE2C68"/>
    <w:rsid w:val="49260BDA"/>
    <w:rsid w:val="495023F8"/>
    <w:rsid w:val="49604ACD"/>
    <w:rsid w:val="4976748C"/>
    <w:rsid w:val="49A57C40"/>
    <w:rsid w:val="49C17BE7"/>
    <w:rsid w:val="49C475D4"/>
    <w:rsid w:val="49CB5764"/>
    <w:rsid w:val="49D14764"/>
    <w:rsid w:val="49DF4E85"/>
    <w:rsid w:val="4A211BC5"/>
    <w:rsid w:val="4A2A4FE7"/>
    <w:rsid w:val="4A6F1AE4"/>
    <w:rsid w:val="4A9A6F55"/>
    <w:rsid w:val="4AAC0E63"/>
    <w:rsid w:val="4B143249"/>
    <w:rsid w:val="4B3A449C"/>
    <w:rsid w:val="4B3B53B6"/>
    <w:rsid w:val="4B3C4D79"/>
    <w:rsid w:val="4B79031B"/>
    <w:rsid w:val="4BF94955"/>
    <w:rsid w:val="4C1108EF"/>
    <w:rsid w:val="4C7325CE"/>
    <w:rsid w:val="4CEE7300"/>
    <w:rsid w:val="4D242D88"/>
    <w:rsid w:val="4D296238"/>
    <w:rsid w:val="4D4B7C34"/>
    <w:rsid w:val="4D837A51"/>
    <w:rsid w:val="4DA8736E"/>
    <w:rsid w:val="4DD84928"/>
    <w:rsid w:val="4DDA2088"/>
    <w:rsid w:val="4DF90EFF"/>
    <w:rsid w:val="4E0751F9"/>
    <w:rsid w:val="4E446491"/>
    <w:rsid w:val="4E487C3D"/>
    <w:rsid w:val="4E845479"/>
    <w:rsid w:val="4E9D6978"/>
    <w:rsid w:val="4EBA7C3E"/>
    <w:rsid w:val="4EDE75AB"/>
    <w:rsid w:val="4EF44DBB"/>
    <w:rsid w:val="4F081542"/>
    <w:rsid w:val="4F1A56F2"/>
    <w:rsid w:val="4F1B3F18"/>
    <w:rsid w:val="4F5C4BC9"/>
    <w:rsid w:val="4F846061"/>
    <w:rsid w:val="4F8E5FEB"/>
    <w:rsid w:val="4FE726D4"/>
    <w:rsid w:val="4FF65D38"/>
    <w:rsid w:val="501E67CE"/>
    <w:rsid w:val="50791E12"/>
    <w:rsid w:val="50B45C1C"/>
    <w:rsid w:val="5100326B"/>
    <w:rsid w:val="51014BB9"/>
    <w:rsid w:val="51676F48"/>
    <w:rsid w:val="51AE7986"/>
    <w:rsid w:val="51D02347"/>
    <w:rsid w:val="52462FB3"/>
    <w:rsid w:val="524B2437"/>
    <w:rsid w:val="52765F21"/>
    <w:rsid w:val="52BD611D"/>
    <w:rsid w:val="52EF4774"/>
    <w:rsid w:val="53154AE1"/>
    <w:rsid w:val="532B2D68"/>
    <w:rsid w:val="532B346B"/>
    <w:rsid w:val="5361596C"/>
    <w:rsid w:val="5388676E"/>
    <w:rsid w:val="53A2136C"/>
    <w:rsid w:val="54241ADA"/>
    <w:rsid w:val="546702BF"/>
    <w:rsid w:val="54897EC3"/>
    <w:rsid w:val="54D01EAE"/>
    <w:rsid w:val="54E3209A"/>
    <w:rsid w:val="54FA1510"/>
    <w:rsid w:val="550874F1"/>
    <w:rsid w:val="55235A75"/>
    <w:rsid w:val="555C76AC"/>
    <w:rsid w:val="555E4DBD"/>
    <w:rsid w:val="55623415"/>
    <w:rsid w:val="556A5CB1"/>
    <w:rsid w:val="565A50E8"/>
    <w:rsid w:val="56734380"/>
    <w:rsid w:val="56797172"/>
    <w:rsid w:val="569F393F"/>
    <w:rsid w:val="56E75EFE"/>
    <w:rsid w:val="56F7394D"/>
    <w:rsid w:val="572203A8"/>
    <w:rsid w:val="57A87412"/>
    <w:rsid w:val="57F479E6"/>
    <w:rsid w:val="58562D5F"/>
    <w:rsid w:val="587C66BF"/>
    <w:rsid w:val="58907658"/>
    <w:rsid w:val="58B13E72"/>
    <w:rsid w:val="58B854D7"/>
    <w:rsid w:val="58CB5901"/>
    <w:rsid w:val="58D11C66"/>
    <w:rsid w:val="58D33449"/>
    <w:rsid w:val="590149D0"/>
    <w:rsid w:val="59435194"/>
    <w:rsid w:val="595C3B3C"/>
    <w:rsid w:val="59EF539F"/>
    <w:rsid w:val="59FF737B"/>
    <w:rsid w:val="5A066FDF"/>
    <w:rsid w:val="5A0C00E8"/>
    <w:rsid w:val="5A3B7171"/>
    <w:rsid w:val="5A3C41AA"/>
    <w:rsid w:val="5A4B0561"/>
    <w:rsid w:val="5AC760B0"/>
    <w:rsid w:val="5AED7F74"/>
    <w:rsid w:val="5AF626C3"/>
    <w:rsid w:val="5B2A4017"/>
    <w:rsid w:val="5B2B0CEE"/>
    <w:rsid w:val="5B760F82"/>
    <w:rsid w:val="5BB356CE"/>
    <w:rsid w:val="5BB5471F"/>
    <w:rsid w:val="5BB83C9C"/>
    <w:rsid w:val="5C1504B9"/>
    <w:rsid w:val="5C1B21AC"/>
    <w:rsid w:val="5C3B59DD"/>
    <w:rsid w:val="5C3D1B22"/>
    <w:rsid w:val="5C512D6D"/>
    <w:rsid w:val="5C6F7DF7"/>
    <w:rsid w:val="5C8B2385"/>
    <w:rsid w:val="5D462C64"/>
    <w:rsid w:val="5D486E07"/>
    <w:rsid w:val="5D4D3B8C"/>
    <w:rsid w:val="5DFB4AA5"/>
    <w:rsid w:val="5E2B715E"/>
    <w:rsid w:val="5E445B37"/>
    <w:rsid w:val="5E5544CF"/>
    <w:rsid w:val="5E9B6302"/>
    <w:rsid w:val="5E9D55E1"/>
    <w:rsid w:val="5EAB12D8"/>
    <w:rsid w:val="5EAE187F"/>
    <w:rsid w:val="5ED706DD"/>
    <w:rsid w:val="5F323539"/>
    <w:rsid w:val="5F517580"/>
    <w:rsid w:val="5F57336F"/>
    <w:rsid w:val="5F7504A6"/>
    <w:rsid w:val="5FC90870"/>
    <w:rsid w:val="5FD94336"/>
    <w:rsid w:val="60195411"/>
    <w:rsid w:val="60A71655"/>
    <w:rsid w:val="60BB05BF"/>
    <w:rsid w:val="60C44C61"/>
    <w:rsid w:val="60D00FAC"/>
    <w:rsid w:val="611D1E88"/>
    <w:rsid w:val="612C0101"/>
    <w:rsid w:val="613E6D07"/>
    <w:rsid w:val="61642C22"/>
    <w:rsid w:val="619A73AB"/>
    <w:rsid w:val="61A616AB"/>
    <w:rsid w:val="61E940E6"/>
    <w:rsid w:val="621630BE"/>
    <w:rsid w:val="625E1778"/>
    <w:rsid w:val="625F18C0"/>
    <w:rsid w:val="626230EF"/>
    <w:rsid w:val="62941AFD"/>
    <w:rsid w:val="62C219DC"/>
    <w:rsid w:val="62D95652"/>
    <w:rsid w:val="62F25405"/>
    <w:rsid w:val="63212DC3"/>
    <w:rsid w:val="634345AC"/>
    <w:rsid w:val="6369313A"/>
    <w:rsid w:val="63AE5104"/>
    <w:rsid w:val="63C51414"/>
    <w:rsid w:val="63CA47E8"/>
    <w:rsid w:val="63DB1DC3"/>
    <w:rsid w:val="645F3DFA"/>
    <w:rsid w:val="646A6F60"/>
    <w:rsid w:val="64FB6B1C"/>
    <w:rsid w:val="651A3AFB"/>
    <w:rsid w:val="655653D4"/>
    <w:rsid w:val="6571725E"/>
    <w:rsid w:val="65AB3109"/>
    <w:rsid w:val="65CD435A"/>
    <w:rsid w:val="65E6168B"/>
    <w:rsid w:val="660335B9"/>
    <w:rsid w:val="668524E2"/>
    <w:rsid w:val="66BB0B99"/>
    <w:rsid w:val="66D05433"/>
    <w:rsid w:val="66FD22FF"/>
    <w:rsid w:val="67050578"/>
    <w:rsid w:val="671D7693"/>
    <w:rsid w:val="672262D3"/>
    <w:rsid w:val="674945A6"/>
    <w:rsid w:val="67A73344"/>
    <w:rsid w:val="67D04909"/>
    <w:rsid w:val="67F63BDE"/>
    <w:rsid w:val="682C28B7"/>
    <w:rsid w:val="682D3AA0"/>
    <w:rsid w:val="685A44B6"/>
    <w:rsid w:val="686B5A7A"/>
    <w:rsid w:val="68983BB6"/>
    <w:rsid w:val="68B75B0D"/>
    <w:rsid w:val="690F2268"/>
    <w:rsid w:val="693D1031"/>
    <w:rsid w:val="69794D60"/>
    <w:rsid w:val="69C84357"/>
    <w:rsid w:val="69FA7A47"/>
    <w:rsid w:val="6A3D6407"/>
    <w:rsid w:val="6A47748B"/>
    <w:rsid w:val="6A4D71BE"/>
    <w:rsid w:val="6B120380"/>
    <w:rsid w:val="6B4418C7"/>
    <w:rsid w:val="6BA63E1E"/>
    <w:rsid w:val="6BC2752A"/>
    <w:rsid w:val="6BCF3C34"/>
    <w:rsid w:val="6BD6408C"/>
    <w:rsid w:val="6BDB2416"/>
    <w:rsid w:val="6BF12406"/>
    <w:rsid w:val="6C9B7072"/>
    <w:rsid w:val="6CBA3BD8"/>
    <w:rsid w:val="6CC37125"/>
    <w:rsid w:val="6CCB07BE"/>
    <w:rsid w:val="6CDD54F4"/>
    <w:rsid w:val="6D12215E"/>
    <w:rsid w:val="6D13110C"/>
    <w:rsid w:val="6D8B6456"/>
    <w:rsid w:val="6E074784"/>
    <w:rsid w:val="6EB30DD5"/>
    <w:rsid w:val="6EED2A54"/>
    <w:rsid w:val="6EFD0CD8"/>
    <w:rsid w:val="6EFE7F81"/>
    <w:rsid w:val="6F642EA4"/>
    <w:rsid w:val="6F647C6C"/>
    <w:rsid w:val="6F6E447A"/>
    <w:rsid w:val="70023CB0"/>
    <w:rsid w:val="703F5EBA"/>
    <w:rsid w:val="70A72E85"/>
    <w:rsid w:val="70BF5BA0"/>
    <w:rsid w:val="70E348AA"/>
    <w:rsid w:val="711B1149"/>
    <w:rsid w:val="712867C7"/>
    <w:rsid w:val="717B3B7D"/>
    <w:rsid w:val="717E1658"/>
    <w:rsid w:val="71A41125"/>
    <w:rsid w:val="71CA7E6C"/>
    <w:rsid w:val="71D97D35"/>
    <w:rsid w:val="71DC2854"/>
    <w:rsid w:val="720B140A"/>
    <w:rsid w:val="72371B70"/>
    <w:rsid w:val="72374081"/>
    <w:rsid w:val="7250090A"/>
    <w:rsid w:val="72662632"/>
    <w:rsid w:val="72780D3C"/>
    <w:rsid w:val="72A96BF8"/>
    <w:rsid w:val="72D308F0"/>
    <w:rsid w:val="73015D3E"/>
    <w:rsid w:val="7330289B"/>
    <w:rsid w:val="733235B9"/>
    <w:rsid w:val="733A0C85"/>
    <w:rsid w:val="73C45F23"/>
    <w:rsid w:val="73EE652B"/>
    <w:rsid w:val="73FD71AB"/>
    <w:rsid w:val="7413567E"/>
    <w:rsid w:val="744955AC"/>
    <w:rsid w:val="74EC1CBB"/>
    <w:rsid w:val="750D59E1"/>
    <w:rsid w:val="752828F7"/>
    <w:rsid w:val="75287393"/>
    <w:rsid w:val="75560A6A"/>
    <w:rsid w:val="757E143D"/>
    <w:rsid w:val="757F436D"/>
    <w:rsid w:val="75A34D22"/>
    <w:rsid w:val="75A611E3"/>
    <w:rsid w:val="75BE2D18"/>
    <w:rsid w:val="75D21C5A"/>
    <w:rsid w:val="7609255C"/>
    <w:rsid w:val="767F05A1"/>
    <w:rsid w:val="768A53D6"/>
    <w:rsid w:val="769B0721"/>
    <w:rsid w:val="76CB2857"/>
    <w:rsid w:val="770921A3"/>
    <w:rsid w:val="774D0AEE"/>
    <w:rsid w:val="775B5B60"/>
    <w:rsid w:val="77A11B14"/>
    <w:rsid w:val="77C475EF"/>
    <w:rsid w:val="77F4694D"/>
    <w:rsid w:val="77F51359"/>
    <w:rsid w:val="78515088"/>
    <w:rsid w:val="78BC57E2"/>
    <w:rsid w:val="78E34C8A"/>
    <w:rsid w:val="791B27EC"/>
    <w:rsid w:val="794A78CA"/>
    <w:rsid w:val="798E7C19"/>
    <w:rsid w:val="79B24418"/>
    <w:rsid w:val="79BD670E"/>
    <w:rsid w:val="7A2E3BE4"/>
    <w:rsid w:val="7A5419A0"/>
    <w:rsid w:val="7A841821"/>
    <w:rsid w:val="7A9E10B5"/>
    <w:rsid w:val="7AB1394D"/>
    <w:rsid w:val="7ADA178D"/>
    <w:rsid w:val="7B1D76EF"/>
    <w:rsid w:val="7B2E1560"/>
    <w:rsid w:val="7B302661"/>
    <w:rsid w:val="7B42450A"/>
    <w:rsid w:val="7BBE6280"/>
    <w:rsid w:val="7C021D02"/>
    <w:rsid w:val="7C8D3B5E"/>
    <w:rsid w:val="7CDA35AE"/>
    <w:rsid w:val="7D1C5E02"/>
    <w:rsid w:val="7D656AE5"/>
    <w:rsid w:val="7D7D770C"/>
    <w:rsid w:val="7D8609E9"/>
    <w:rsid w:val="7D911AF6"/>
    <w:rsid w:val="7DC556C5"/>
    <w:rsid w:val="7DCC6C3E"/>
    <w:rsid w:val="7DD57EA5"/>
    <w:rsid w:val="7E351332"/>
    <w:rsid w:val="7E393E6C"/>
    <w:rsid w:val="7E820BD7"/>
    <w:rsid w:val="7E955D81"/>
    <w:rsid w:val="7EBA3C2E"/>
    <w:rsid w:val="7EEB0A40"/>
    <w:rsid w:val="7F14356C"/>
    <w:rsid w:val="7F1F326F"/>
    <w:rsid w:val="7F561BB3"/>
    <w:rsid w:val="7F6F1205"/>
    <w:rsid w:val="7FCD01AA"/>
    <w:rsid w:val="7FCD5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1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qFormat/>
    <w:uiPriority w:val="0"/>
    <w:rPr>
      <w:color w:val="484848"/>
      <w:u w:val="none"/>
    </w:rPr>
  </w:style>
  <w:style w:type="character" w:styleId="6">
    <w:name w:val="Emphasis"/>
    <w:basedOn w:val="3"/>
    <w:qFormat/>
    <w:uiPriority w:val="0"/>
  </w:style>
  <w:style w:type="character" w:styleId="7">
    <w:name w:val="HTML Definition"/>
    <w:basedOn w:val="3"/>
    <w:qFormat/>
    <w:uiPriority w:val="0"/>
  </w:style>
  <w:style w:type="character" w:styleId="8">
    <w:name w:val="HTML Typewriter"/>
    <w:basedOn w:val="3"/>
    <w:qFormat/>
    <w:uiPriority w:val="0"/>
    <w:rPr>
      <w:rFonts w:hint="default" w:ascii="monospace" w:hAnsi="monospace" w:eastAsia="monospace" w:cs="monospace"/>
      <w:sz w:val="20"/>
    </w:rPr>
  </w:style>
  <w:style w:type="character" w:styleId="9">
    <w:name w:val="HTML Acronym"/>
    <w:basedOn w:val="3"/>
    <w:qFormat/>
    <w:uiPriority w:val="0"/>
  </w:style>
  <w:style w:type="character" w:styleId="10">
    <w:name w:val="HTML Variable"/>
    <w:basedOn w:val="3"/>
    <w:qFormat/>
    <w:uiPriority w:val="0"/>
  </w:style>
  <w:style w:type="character" w:styleId="11">
    <w:name w:val="Hyperlink"/>
    <w:basedOn w:val="3"/>
    <w:qFormat/>
    <w:uiPriority w:val="0"/>
    <w:rPr>
      <w:color w:val="0000FF"/>
      <w:u w:val="single"/>
    </w:rPr>
  </w:style>
  <w:style w:type="character" w:styleId="12">
    <w:name w:val="HTML Code"/>
    <w:basedOn w:val="3"/>
    <w:qFormat/>
    <w:uiPriority w:val="0"/>
    <w:rPr>
      <w:rFonts w:ascii="monospace" w:hAnsi="monospace" w:eastAsia="monospace" w:cs="monospace"/>
      <w:sz w:val="20"/>
    </w:rPr>
  </w:style>
  <w:style w:type="character" w:styleId="13">
    <w:name w:val="HTML Cite"/>
    <w:basedOn w:val="3"/>
    <w:qFormat/>
    <w:uiPriority w:val="0"/>
  </w:style>
  <w:style w:type="character" w:styleId="14">
    <w:name w:val="HTML Keyboard"/>
    <w:basedOn w:val="3"/>
    <w:qFormat/>
    <w:uiPriority w:val="0"/>
    <w:rPr>
      <w:rFonts w:hint="default" w:ascii="monospace" w:hAnsi="monospace" w:eastAsia="monospace" w:cs="monospace"/>
      <w:sz w:val="20"/>
    </w:rPr>
  </w:style>
  <w:style w:type="character" w:styleId="15">
    <w:name w:val="HTML Sample"/>
    <w:basedOn w:val="3"/>
    <w:qFormat/>
    <w:uiPriority w:val="0"/>
    <w:rPr>
      <w:rFonts w:hint="default" w:ascii="monospace" w:hAnsi="monospace" w:eastAsia="monospace" w:cs="monospace"/>
    </w:rPr>
  </w:style>
  <w:style w:type="table" w:styleId="17">
    <w:name w:val="Table Grid"/>
    <w:basedOn w:val="1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8">
    <w:name w:val="tn-rating-show-average"/>
    <w:basedOn w:val="3"/>
    <w:qFormat/>
    <w:uiPriority w:val="0"/>
  </w:style>
  <w:style w:type="character" w:customStyle="1" w:styleId="19">
    <w:name w:val="tn-rating-show2"/>
    <w:basedOn w:val="3"/>
    <w:qFormat/>
    <w:uiPriority w:val="0"/>
  </w:style>
  <w:style w:type="character" w:customStyle="1" w:styleId="20">
    <w:name w:val="tn-icon102"/>
    <w:basedOn w:val="3"/>
    <w:qFormat/>
    <w:uiPriority w:val="0"/>
  </w:style>
  <w:style w:type="character" w:customStyle="1" w:styleId="21">
    <w:name w:val="tn-icon103"/>
    <w:basedOn w:val="3"/>
    <w:qFormat/>
    <w:uiPriority w:val="0"/>
    <w:rPr>
      <w:vanish/>
    </w:rPr>
  </w:style>
  <w:style w:type="character" w:customStyle="1" w:styleId="22">
    <w:name w:val="tn-selected10"/>
    <w:basedOn w:val="3"/>
    <w:qFormat/>
    <w:uiPriority w:val="0"/>
    <w:rPr>
      <w:b/>
      <w:color w:val="FFFFFF"/>
      <w:shd w:val="clear" w:fill="0065A2"/>
    </w:rPr>
  </w:style>
  <w:style w:type="character" w:customStyle="1" w:styleId="23">
    <w:name w:val="tnc-select-timg"/>
    <w:basedOn w:val="3"/>
    <w:qFormat/>
    <w:uiPriority w:val="0"/>
  </w:style>
  <w:style w:type="character" w:customStyle="1" w:styleId="24">
    <w:name w:val="tnc-select-timg1"/>
    <w:basedOn w:val="3"/>
    <w:qFormat/>
    <w:uiPriority w:val="0"/>
  </w:style>
  <w:style w:type="character" w:customStyle="1" w:styleId="25">
    <w:name w:val="bds_more2"/>
    <w:basedOn w:val="3"/>
    <w:qFormat/>
    <w:uiPriority w:val="0"/>
    <w:rPr>
      <w:rFonts w:hint="eastAsia" w:ascii="宋体" w:hAnsi="宋体" w:eastAsia="宋体" w:cs="宋体"/>
    </w:rPr>
  </w:style>
  <w:style w:type="character" w:customStyle="1" w:styleId="26">
    <w:name w:val="bds_more3"/>
    <w:basedOn w:val="3"/>
    <w:qFormat/>
    <w:uiPriority w:val="0"/>
  </w:style>
  <w:style w:type="character" w:customStyle="1" w:styleId="27">
    <w:name w:val="bds_more4"/>
    <w:basedOn w:val="3"/>
    <w:qFormat/>
    <w:uiPriority w:val="0"/>
  </w:style>
  <w:style w:type="character" w:customStyle="1" w:styleId="28">
    <w:name w:val="field-validation-error10"/>
    <w:basedOn w:val="3"/>
    <w:qFormat/>
    <w:uiPriority w:val="0"/>
  </w:style>
  <w:style w:type="character" w:customStyle="1" w:styleId="29">
    <w:name w:val="bds_nopic"/>
    <w:basedOn w:val="3"/>
    <w:qFormat/>
    <w:uiPriority w:val="0"/>
  </w:style>
  <w:style w:type="character" w:customStyle="1" w:styleId="30">
    <w:name w:val="bds_nopic1"/>
    <w:basedOn w:val="3"/>
    <w:qFormat/>
    <w:uiPriority w:val="0"/>
  </w:style>
  <w:style w:type="character" w:customStyle="1" w:styleId="31">
    <w:name w:val="bds_nopic2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2017-12-21T07:33:00Z</dcterms:created>
  <dc:creator>Administrator</dc:creator>
  <cp:lastModifiedBy>Administrator</cp:lastModifiedBy>
  <dcterms:modified xsi:type="dcterms:W3CDTF">2018-11-09T07:59:43Z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