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鸡蛋月报（2018年9月）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2018年9月28日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月度涨跌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4.23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4.107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4.569</w:t>
            </w:r>
          </w:p>
        </w:tc>
        <w:tc>
          <w:tcPr>
            <w:tcW w:w="18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3.33（元/羽）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421（元/斤）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+0.01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Theme="minorEastAsia" w:hAnsiTheme="minorEastAsia" w:cstheme="minorEastAsia"/>
          <w:lang w:val="en-US" w:eastAsia="zh-CN"/>
        </w:rPr>
        <w:t>9月3日-9月28日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4.76元/斤，较上月上涨0.21元/斤；河北4.02元/斤，较上月上涨0.02元/斤；山东3.9元/斤，较上月下跌0.4元/斤；主产区均价4.107元/斤，较上月下跌0.006元/斤；主销区均价4569元/斤，较上月持平；产销均价4.23元/斤，较上月下跌0.005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主产区鸡苗均价：3.33元/羽，较上月上涨0.2元/羽。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主产区淘汰鸡均价4.21元/斤，较上月上涨0.01元/斤。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3082290"/>
            <wp:effectExtent l="4445" t="4445" r="17145" b="698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2844165"/>
            <wp:effectExtent l="4445" t="4445" r="19685" b="1651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当周（9月3日-9月28日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鸡蛋截至收盘，主力合约收盘价3942元/500千克，开盘价3920元/500千克，全天高价3942元/500千克，最低价3915元/500千克，上涨11元/500千克，涨幅0.28%。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今日鸡蛋主力合约成交量9.21万手，增加2920万手；持仓量14.4万手，减少4286手。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1135" cy="2915285"/>
            <wp:effectExtent l="0" t="0" r="1905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 bright="-6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今日全国大部分地区蛋价持稳，局部小幅涨跌，当前整体反应走货情况基本正常，节日临近，需求减弱，后市蛋价多数业者不太看好，蛋商库存正常偏少。预计今日全国大部分地区蛋价或持稳，局部有所调整。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进入9月份，现货市场迎来周期性上涨行情，带动期价展开反弹上行走势，盘中突破4000点关口，而后进入节后预期下跌的回落行情，同时洪涝灾害导致寿光蔬菜价格上涨及猪瘟事件发酵，鸡蛋作为百姓消费的主要替代品，需求量大幅增加，提振蛋价再次展开一轮创新高的上涨。由于突发事件影响，打乱鸡蛋正常周期，行情在回落阶段形成震荡偏强的走势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供给端在产蛋鸡存栏量增长路程坎坷，并非养殖利润提振力度不够，主要还是近期淘汰鸡价格偏高，养殖户顺势淘鸡量增加。经过调研，养殖户补栏的意愿较强，鸡苗订单签约时间延后1个月左右，展望未来，可淘汰的老鸡逐渐增加，新增开产蛋鸡开始累计，后期存栏增长概率较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2018年四季度受养殖利润推动，育雏鸡补栏量将稳步增加，由于鸡龄结构普遍偏年轻，可淘汰老鸡不多，存栏量增长的速度或将凸显。目前蛋价虽然仍处高位，但国庆后2-3个月无节日提振，蛋价进入漫长的消费淡季，震荡走弱概率较大，建议操作上，长假前后建议以逢高沽空为主。建议入场点：3900-3980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逢高沽空。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[刘嘉琳数据库.xlsx]鸡蛋!$F$5:$F$135</c:f>
              <c:numCache>
                <c:formatCode>General</c:formatCode>
                <c:ptCount val="131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[刘嘉琳数据库.xlsx]鸡蛋!$H$5:$H$135</c:f>
              <c:numCache>
                <c:formatCode>General</c:formatCode>
                <c:ptCount val="131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  <c:pt idx="103">
                  <c:v>4.553</c:v>
                </c:pt>
                <c:pt idx="104">
                  <c:v>4.498</c:v>
                </c:pt>
                <c:pt idx="105">
                  <c:v>4.404</c:v>
                </c:pt>
                <c:pt idx="106">
                  <c:v>4.314</c:v>
                </c:pt>
                <c:pt idx="107">
                  <c:v>4.282</c:v>
                </c:pt>
                <c:pt idx="108">
                  <c:v>4.15</c:v>
                </c:pt>
                <c:pt idx="109">
                  <c:v>4.137</c:v>
                </c:pt>
                <c:pt idx="110">
                  <c:v>4.142</c:v>
                </c:pt>
                <c:pt idx="111">
                  <c:v>4.142</c:v>
                </c:pt>
                <c:pt idx="112">
                  <c:v>4.138</c:v>
                </c:pt>
                <c:pt idx="113">
                  <c:v>4.182</c:v>
                </c:pt>
                <c:pt idx="114">
                  <c:v>4.263</c:v>
                </c:pt>
                <c:pt idx="115">
                  <c:v>4.401</c:v>
                </c:pt>
                <c:pt idx="116">
                  <c:v>4.436</c:v>
                </c:pt>
                <c:pt idx="117">
                  <c:v>4.421</c:v>
                </c:pt>
                <c:pt idx="118">
                  <c:v>4.441</c:v>
                </c:pt>
                <c:pt idx="119">
                  <c:v>4.493</c:v>
                </c:pt>
                <c:pt idx="120">
                  <c:v>4.47</c:v>
                </c:pt>
                <c:pt idx="121">
                  <c:v>4.495</c:v>
                </c:pt>
                <c:pt idx="122">
                  <c:v>4.504</c:v>
                </c:pt>
                <c:pt idx="123">
                  <c:v>4.525</c:v>
                </c:pt>
                <c:pt idx="124">
                  <c:v>4.619</c:v>
                </c:pt>
                <c:pt idx="125">
                  <c:v>4.697</c:v>
                </c:pt>
                <c:pt idx="126">
                  <c:v>4.715</c:v>
                </c:pt>
                <c:pt idx="127">
                  <c:v>4.359</c:v>
                </c:pt>
                <c:pt idx="128">
                  <c:v>4.266</c:v>
                </c:pt>
                <c:pt idx="129">
                  <c:v>4.172</c:v>
                </c:pt>
                <c:pt idx="130">
                  <c:v>4.093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[刘嘉琳数据库.xlsx]鸡蛋!$J$5:$J$135</c:f>
              <c:numCache>
                <c:formatCode>General</c:formatCode>
                <c:ptCount val="131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[刘嘉琳数据库.xlsx]鸡蛋!$C$5:$C$135</c:f>
              <c:numCache>
                <c:formatCode>General</c:formatCode>
                <c:ptCount val="131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[刘嘉琳数据库.xlsx]鸡蛋!$D$5:$D$135</c:f>
              <c:numCache>
                <c:formatCode>General</c:formatCode>
                <c:ptCount val="131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0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[刘嘉琳数据库.xlsx]鸡蛋!$B$5:$B$135</c:f>
              <c:strCache>
                <c:ptCount val="131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</c:strCache>
            </c:strRef>
          </c:cat>
          <c:val>
            <c:numRef>
              <c:f>[刘嘉琳数据库.xlsx]鸡蛋!$E$5:$E$135</c:f>
              <c:numCache>
                <c:formatCode>General</c:formatCode>
                <c:ptCount val="131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2018-09-28T08:08:02Z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