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郑棉周报（20180416--20180420）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棉花现货</w:t>
      </w:r>
    </w:p>
    <w:p>
      <w:pPr>
        <w:pStyle w:val="1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1.现货报价</w:t>
      </w:r>
    </w:p>
    <w:p>
      <w:pPr>
        <w:numPr>
          <w:numId w:val="0"/>
        </w:num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（4月16日-4月20日）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，棉花现货价格CC Index 3128B</w:t>
      </w:r>
      <w:r>
        <w:rPr>
          <w:rFonts w:hint="eastAsia" w:asciiTheme="minorEastAsia" w:hAnsiTheme="minorEastAsia" w:cstheme="minorEastAsia"/>
          <w:lang w:val="en-US" w:eastAsia="zh-CN"/>
        </w:rPr>
        <w:t>周度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下跌3元/吨，基本持稳，20日报价15482元/吨；外棉FC Index M</w:t>
      </w:r>
      <w:r>
        <w:rPr>
          <w:rFonts w:hint="eastAsia" w:asciiTheme="minorEastAsia" w:hAnsiTheme="minorEastAsia" w:cstheme="minorEastAsia"/>
          <w:lang w:val="en-US" w:eastAsia="zh-CN"/>
        </w:rPr>
        <w:t>周度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上涨0.58美分/磅，</w:t>
      </w:r>
      <w:r>
        <w:rPr>
          <w:rFonts w:hint="eastAsia" w:asciiTheme="minorEastAsia" w:hAnsiTheme="minorEastAsia" w:cstheme="minorEastAsia"/>
          <w:lang w:val="en-US" w:eastAsia="zh-CN"/>
        </w:rPr>
        <w:t>微幅下调，20日报价91.56美分/磅；考特鲁克指数Cotlook A 周度下跌1.25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美分/磅</w:t>
      </w:r>
      <w:r>
        <w:rPr>
          <w:rFonts w:hint="eastAsia" w:asciiTheme="minorEastAsia" w:hAnsiTheme="minorEastAsia" w:cstheme="minorEastAsia"/>
          <w:lang w:val="en-US" w:eastAsia="zh-CN"/>
        </w:rPr>
        <w:t>，小幅下调，20日报价91.7美分/磅。</w:t>
      </w:r>
    </w:p>
    <w:p>
      <w:pPr>
        <w:numPr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4730750" cy="2235200"/>
            <wp:effectExtent l="4445" t="5080" r="19685" b="1524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10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2.储备棉轮出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（4月16日-4月20日）储备棉轮出第六周轮出销售底价为15031元/吨（标准级价格），较前一周上涨140元/吨；储备棉轮出成交量持续下跌，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截至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月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日，累计计划出库84万吨，累计出库成交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45.8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万吨，成交率为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54%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；成交最高价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16310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吨，最低价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12700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吨。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center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4994910" cy="1793875"/>
            <wp:effectExtent l="0" t="0" r="381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491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1.仓单数量及有效预报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（4月16日-4月20日）仓单加有效预报折现货约40万吨，持续在高位，屡创新高。2018年4月20日仓单数量6383，有效预报2860，折合现货约40万吨。</w:t>
      </w:r>
    </w:p>
    <w:p>
      <w:pPr>
        <w:numPr>
          <w:ilvl w:val="0"/>
          <w:numId w:val="0"/>
        </w:numPr>
        <w:spacing w:line="360" w:lineRule="auto"/>
        <w:jc w:val="left"/>
      </w:pPr>
      <w:r>
        <w:drawing>
          <wp:inline distT="0" distB="0" distL="114300" distR="114300">
            <wp:extent cx="5451475" cy="2118360"/>
            <wp:effectExtent l="0" t="0" r="444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1475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郑棉主力合约收盘价</w:t>
      </w:r>
    </w:p>
    <w:p>
      <w:pPr>
        <w:numPr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（4月16日-4月20日）郑棉主力合约收盘价下跌30元/吨，4月20日</w:t>
      </w:r>
      <w:r>
        <w:rPr>
          <w:rFonts w:hint="eastAsia"/>
          <w:color w:val="auto"/>
          <w:lang w:val="en-US" w:eastAsia="zh-CN"/>
        </w:rPr>
        <w:t>主力合约收盘价15360元/吨，开盘价15370元/吨，全天高价15475元/吨，最低价15360元/吨，下跌30元/吨，跌幅0.19%。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773930" cy="2303780"/>
            <wp:effectExtent l="0" t="0" r="11430" b="1270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393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美棉报告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 美国农业部每周出口销售报告显示，截至4月12日当周，2017/18年度美棉净签约6.69万吨，环比增2.61万吨，同比增1.32万吨，签约数量占出口预估（4月USDA)比110%，高于五年均值12个百分点；装运8.42万吨，环比减3.19万吨，同比增0.09万吨，装运进度64%，低于5年均值3个百分点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/>
          <w:color w:val="auto"/>
          <w:lang w:val="en-US" w:eastAsia="zh-CN"/>
        </w:rPr>
        <w:t>美国农业部每周作物报告显示，截至4月15日当周，美国棉花种植率为8%，与同期持平，快于五年均值1%。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后市行情研判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储备棉轮出成交率持续下降，市场采购棉花积极性不强，纺织企业并没有积极补库。仓单注册量再创新高，仓单加有效预报折现货约40万吨，交割在即，近月实盘占比133.75%，如此高的实盘占比下预期近月合约价格承压，带动郑棉整体价格弱势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cstheme="minorEastAsia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lang w:val="en-US" w:eastAsia="zh-CN"/>
        </w:rPr>
        <w:t>美棉出口数据强劲，在外盘偏强的格局下，郑棉一直处于窄幅震荡中，基本面暂无利好支撑，上涨动能不足，上方空间有限。15300-15400处压力明显，短期窄幅震荡格局。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空单建议在15200元/吨附近止盈。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30" w:firstLineChars="300"/>
        <w:jc w:val="both"/>
        <w:rPr>
          <w:rFonts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免责声明：本文涉及信息数据及观点仅供参考，不构成买卖之依据。使用前请核实，风险自负。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和合期货研发部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0351-7342668/7342558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公司网址：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"http://www.hhqh.com.cn/"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u w:val="single"/>
        </w:rPr>
        <w:t>http://www.hhqh.com.cn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AEDE11"/>
    <w:multiLevelType w:val="singleLevel"/>
    <w:tmpl w:val="91AEDE1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24BB1"/>
    <w:rsid w:val="036C6456"/>
    <w:rsid w:val="04EA13E4"/>
    <w:rsid w:val="0B0C4874"/>
    <w:rsid w:val="0B3E785A"/>
    <w:rsid w:val="0EBC3469"/>
    <w:rsid w:val="10FA0DDF"/>
    <w:rsid w:val="1130031A"/>
    <w:rsid w:val="1402394F"/>
    <w:rsid w:val="17E20DCB"/>
    <w:rsid w:val="19B02B75"/>
    <w:rsid w:val="1B9814A5"/>
    <w:rsid w:val="1C7208D7"/>
    <w:rsid w:val="212E7F8B"/>
    <w:rsid w:val="24454DBB"/>
    <w:rsid w:val="253A1A3D"/>
    <w:rsid w:val="255D20D7"/>
    <w:rsid w:val="265E1E00"/>
    <w:rsid w:val="271B052A"/>
    <w:rsid w:val="2A9205E2"/>
    <w:rsid w:val="2BA51F34"/>
    <w:rsid w:val="2D4F574B"/>
    <w:rsid w:val="2FD20F8E"/>
    <w:rsid w:val="300900B6"/>
    <w:rsid w:val="33374E9C"/>
    <w:rsid w:val="33F87396"/>
    <w:rsid w:val="341C573A"/>
    <w:rsid w:val="35E83110"/>
    <w:rsid w:val="39A67294"/>
    <w:rsid w:val="3D721387"/>
    <w:rsid w:val="407B6BDD"/>
    <w:rsid w:val="42380EAB"/>
    <w:rsid w:val="44213883"/>
    <w:rsid w:val="45794B41"/>
    <w:rsid w:val="4691215F"/>
    <w:rsid w:val="46945B79"/>
    <w:rsid w:val="47396431"/>
    <w:rsid w:val="4BBC4FDF"/>
    <w:rsid w:val="4E302AC6"/>
    <w:rsid w:val="54002387"/>
    <w:rsid w:val="57153DEC"/>
    <w:rsid w:val="5907422D"/>
    <w:rsid w:val="5B473C3A"/>
    <w:rsid w:val="5B8C07EC"/>
    <w:rsid w:val="5CC30A12"/>
    <w:rsid w:val="5CF25A30"/>
    <w:rsid w:val="5F591647"/>
    <w:rsid w:val="619934E5"/>
    <w:rsid w:val="650B6242"/>
    <w:rsid w:val="65601B0C"/>
    <w:rsid w:val="676E0456"/>
    <w:rsid w:val="6A04082B"/>
    <w:rsid w:val="6DD251C7"/>
    <w:rsid w:val="6EFA4594"/>
    <w:rsid w:val="6FC71BEA"/>
    <w:rsid w:val="72492FC8"/>
    <w:rsid w:val="72B71556"/>
    <w:rsid w:val="72D93793"/>
    <w:rsid w:val="753425E1"/>
    <w:rsid w:val="77DA33BA"/>
    <w:rsid w:val="79E743BD"/>
    <w:rsid w:val="7CDB6D88"/>
    <w:rsid w:val="7EE63BDE"/>
    <w:rsid w:val="7F59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6825;&#3345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[棉花数据库.xlsx]Sheet1!$C$2</c:f>
              <c:strCache>
                <c:ptCount val="1"/>
                <c:pt idx="0">
                  <c:v>CCIndex 3128B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[棉花数据库.xlsx]Sheet1!$B$3:$B$30</c:f>
              <c:strCache>
                <c:ptCount val="28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</c:strCache>
            </c:strRef>
          </c:cat>
          <c:val>
            <c:numRef>
              <c:f>[棉花数据库.xlsx]Sheet1!$C$3:$C$20</c:f>
              <c:numCache>
                <c:formatCode>General</c:formatCode>
                <c:ptCount val="18"/>
                <c:pt idx="0">
                  <c:v>15636</c:v>
                </c:pt>
                <c:pt idx="1">
                  <c:v>15603</c:v>
                </c:pt>
                <c:pt idx="2">
                  <c:v>15577</c:v>
                </c:pt>
                <c:pt idx="3">
                  <c:v>15546</c:v>
                </c:pt>
                <c:pt idx="4">
                  <c:v>15533</c:v>
                </c:pt>
                <c:pt idx="5">
                  <c:v>15531</c:v>
                </c:pt>
                <c:pt idx="6">
                  <c:v>15522</c:v>
                </c:pt>
                <c:pt idx="7">
                  <c:v>15511</c:v>
                </c:pt>
                <c:pt idx="8">
                  <c:v>15506</c:v>
                </c:pt>
                <c:pt idx="9">
                  <c:v>15505</c:v>
                </c:pt>
                <c:pt idx="10">
                  <c:v>15498</c:v>
                </c:pt>
                <c:pt idx="11">
                  <c:v>15497</c:v>
                </c:pt>
                <c:pt idx="12">
                  <c:v>15486</c:v>
                </c:pt>
                <c:pt idx="13">
                  <c:v>15485</c:v>
                </c:pt>
                <c:pt idx="14">
                  <c:v>15483</c:v>
                </c:pt>
                <c:pt idx="15">
                  <c:v>15481</c:v>
                </c:pt>
                <c:pt idx="16">
                  <c:v>15481</c:v>
                </c:pt>
                <c:pt idx="17">
                  <c:v>15482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2375066"/>
        <c:axId val="694635322"/>
      </c:lineChart>
      <c:lineChart>
        <c:grouping val="standard"/>
        <c:varyColors val="0"/>
        <c:ser>
          <c:idx val="1"/>
          <c:order val="1"/>
          <c:tx>
            <c:strRef>
              <c:f>[棉花数据库.xlsx]Sheet1!$D$2</c:f>
              <c:strCache>
                <c:ptCount val="1"/>
                <c:pt idx="0">
                  <c:v>FC Index M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val>
            <c:numRef>
              <c:f>[棉花数据库.xlsx]Sheet1!$D$3:$D$19</c:f>
              <c:numCache>
                <c:formatCode>General</c:formatCode>
                <c:ptCount val="17"/>
                <c:pt idx="0">
                  <c:v>91.44</c:v>
                </c:pt>
                <c:pt idx="1">
                  <c:v>91.44</c:v>
                </c:pt>
                <c:pt idx="2">
                  <c:v>91.66</c:v>
                </c:pt>
                <c:pt idx="3">
                  <c:v>90.79</c:v>
                </c:pt>
                <c:pt idx="4">
                  <c:v>90.8</c:v>
                </c:pt>
                <c:pt idx="5">
                  <c:v>90.35</c:v>
                </c:pt>
                <c:pt idx="6">
                  <c:v>92.05</c:v>
                </c:pt>
                <c:pt idx="7">
                  <c:v>91.14</c:v>
                </c:pt>
                <c:pt idx="8">
                  <c:v>91.82</c:v>
                </c:pt>
                <c:pt idx="9">
                  <c:v>92.37</c:v>
                </c:pt>
                <c:pt idx="10">
                  <c:v>92.23</c:v>
                </c:pt>
                <c:pt idx="11">
                  <c:v>92.44</c:v>
                </c:pt>
                <c:pt idx="12">
                  <c:v>92.16</c:v>
                </c:pt>
                <c:pt idx="13">
                  <c:v>92.14</c:v>
                </c:pt>
                <c:pt idx="14">
                  <c:v>92.11</c:v>
                </c:pt>
                <c:pt idx="15">
                  <c:v>92.06</c:v>
                </c:pt>
                <c:pt idx="16">
                  <c:v>91.61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[棉花数据库.xlsx]Sheet1!$E$2</c:f>
              <c:strCache>
                <c:ptCount val="1"/>
                <c:pt idx="0">
                  <c:v>CotlookA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val>
            <c:numRef>
              <c:f>[棉花数据库.xlsx]Sheet1!$E$3:$E$19</c:f>
              <c:numCache>
                <c:formatCode>General</c:formatCode>
                <c:ptCount val="17"/>
                <c:pt idx="0">
                  <c:v>91</c:v>
                </c:pt>
                <c:pt idx="1">
                  <c:v>91.05</c:v>
                </c:pt>
                <c:pt idx="2">
                  <c:v>90.69</c:v>
                </c:pt>
                <c:pt idx="3">
                  <c:v>89.95</c:v>
                </c:pt>
                <c:pt idx="4">
                  <c:v>89.95</c:v>
                </c:pt>
                <c:pt idx="5">
                  <c:v>89.95</c:v>
                </c:pt>
                <c:pt idx="6">
                  <c:v>89.95</c:v>
                </c:pt>
                <c:pt idx="7">
                  <c:v>92.05</c:v>
                </c:pt>
                <c:pt idx="8">
                  <c:v>92.05</c:v>
                </c:pt>
                <c:pt idx="9">
                  <c:v>92.05</c:v>
                </c:pt>
                <c:pt idx="10">
                  <c:v>92.05</c:v>
                </c:pt>
                <c:pt idx="11">
                  <c:v>93.05</c:v>
                </c:pt>
                <c:pt idx="12">
                  <c:v>92.95</c:v>
                </c:pt>
                <c:pt idx="13">
                  <c:v>92.65</c:v>
                </c:pt>
                <c:pt idx="14">
                  <c:v>92.45</c:v>
                </c:pt>
                <c:pt idx="15">
                  <c:v>92.2</c:v>
                </c:pt>
                <c:pt idx="16">
                  <c:v>91.7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2951666"/>
        <c:axId val="699360147"/>
      </c:lineChart>
      <c:catAx>
        <c:axId val="59237506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4635322"/>
        <c:crosses val="autoZero"/>
        <c:auto val="1"/>
        <c:lblAlgn val="ctr"/>
        <c:lblOffset val="100"/>
        <c:noMultiLvlLbl val="0"/>
      </c:catAx>
      <c:valAx>
        <c:axId val="69463532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2375066"/>
        <c:crosses val="autoZero"/>
        <c:crossBetween val="between"/>
      </c:valAx>
      <c:catAx>
        <c:axId val="52951666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60147"/>
        <c:crosses val="autoZero"/>
        <c:auto val="1"/>
        <c:lblAlgn val="ctr"/>
        <c:lblOffset val="100"/>
        <c:noMultiLvlLbl val="0"/>
      </c:catAx>
      <c:valAx>
        <c:axId val="69936014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95166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2018-04-20T08:44:41Z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