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豆粕中长线机会显现  </w:t>
      </w:r>
      <w:bookmarkStart w:id="4" w:name="_GoBack"/>
      <w:bookmarkEnd w:id="4"/>
      <w:r>
        <w:rPr>
          <w:rFonts w:hint="eastAsia" w:ascii="宋体" w:hAnsi="宋体" w:eastAsia="宋体" w:cs="宋体"/>
          <w:b/>
          <w:bCs/>
          <w:sz w:val="32"/>
          <w:szCs w:val="32"/>
          <w:lang w:val="en-US" w:eastAsia="zh-CN"/>
        </w:rPr>
        <w:t>建议买入看涨</w:t>
      </w:r>
      <w:r>
        <w:rPr>
          <w:rFonts w:hint="eastAsia" w:ascii="宋体" w:hAnsi="宋体" w:eastAsia="宋体" w:cs="宋体"/>
          <w:b/>
          <w:bCs/>
          <w:sz w:val="32"/>
          <w:szCs w:val="32"/>
          <w:lang w:eastAsia="zh-CN"/>
        </w:rPr>
        <w:t>期权</w:t>
      </w:r>
    </w:p>
    <w:p>
      <w:pPr>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562" w:firstLineChars="200"/>
        <w:jc w:val="both"/>
        <w:textAlignment w:val="auto"/>
        <w:outlineLvl w:val="9"/>
        <w:rPr>
          <w:rFonts w:hint="eastAsia" w:ascii="宋体" w:hAnsi="宋体" w:eastAsiaTheme="minorEastAsia"/>
          <w:b/>
          <w:bCs/>
          <w:sz w:val="28"/>
          <w:lang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562" w:firstLineChars="200"/>
        <w:jc w:val="both"/>
        <w:textAlignment w:val="auto"/>
        <w:outlineLvl w:val="9"/>
        <w:rPr>
          <w:rFonts w:hint="eastAsia" w:ascii="宋体" w:hAnsi="宋体" w:eastAsiaTheme="minorEastAsia"/>
          <w:b/>
          <w:bCs/>
          <w:sz w:val="28"/>
          <w:lang w:eastAsia="zh-CN"/>
        </w:rPr>
      </w:pPr>
      <w:r>
        <w:rPr>
          <w:rFonts w:hint="eastAsia" w:ascii="宋体" w:hAnsi="宋体" w:eastAsiaTheme="minorEastAsia"/>
          <w:b/>
          <w:bCs/>
          <w:sz w:val="28"/>
          <w:lang w:eastAsia="zh-CN"/>
        </w:rPr>
        <w:t>一、基本面分析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lang w:val="en-US" w:eastAsia="zh-CN"/>
        </w:rPr>
      </w:pPr>
      <w:r>
        <w:rPr>
          <w:rFonts w:hint="eastAsia" w:ascii="宋体" w:hAnsi="宋体" w:eastAsiaTheme="minorEastAsia"/>
          <w:sz w:val="28"/>
          <w:lang w:val="en-US" w:eastAsia="zh-CN"/>
        </w:rPr>
        <w:t>1.1</w:t>
      </w:r>
      <w:r>
        <w:rPr>
          <w:rFonts w:hint="eastAsia" w:ascii="宋体" w:hAnsi="宋体" w:eastAsiaTheme="minorEastAsia"/>
          <w:sz w:val="28"/>
          <w:lang w:eastAsia="zh-CN"/>
        </w:rPr>
        <w:t>国际方面：</w:t>
      </w:r>
      <w:r>
        <w:rPr>
          <w:rFonts w:hint="eastAsia" w:ascii="宋体" w:hAnsi="宋体"/>
          <w:sz w:val="28"/>
          <w:lang w:eastAsia="zh-CN"/>
        </w:rPr>
        <w:t>天气变数仍存，关注</w:t>
      </w:r>
      <w:r>
        <w:rPr>
          <w:rFonts w:hint="eastAsia" w:ascii="宋体" w:hAnsi="宋体"/>
          <w:sz w:val="28"/>
          <w:lang w:val="en-US" w:eastAsia="zh-CN"/>
        </w:rPr>
        <w:t>9月供需报告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rPr>
        <w:t>8月下旬，美国中西部局地收获有利降雨，大豆前景略微改善。报告显示，6月、7月及8月初大部时间炎热干燥天气对大豆造成的影响小于之前预期。最新美农报告显示，截至8月27日当周，美国大豆生长优良率为61%，好于预期的60%，之前一周为60%，上年同期为73%。农业期刊FarmJournal的ProFarmer预估2017年美国大豆产量为43.31亿蒲式耳，基于单产为每英亩48.5蒲式耳。但今年美豆实际单产仍有相当大的不确定性，目前预估区间较宽。部分机构认为美农报告的美豆单产及总产预估过于乐观，其他则质疑周作物良好率评级。今年美国农民种植3620万公顷大豆(比去年高250万公顷或7%)，面积创纪录，但平均单产将低于去年的3.5吨/公顷，《油世界》暂估为3.23吨/公顷或48蒲式耳/英亩。基于收获面积为3590万公顷，初步预计今年美豆总产为1.16亿吨，略低于上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rPr>
        <w:t>随着近期 Pro Farmer 田间巡查单产低于美国农业部预期， 美豆市场也保持一定抗跌性， 目前市场聚焦 9 月 USDA 报告单产定论， 加之， 国内后期大豆到港逐月减少， 而国内环保风暴影响油厂停工， 以及生猪养殖利润不错， 环保整治高峰过后补栏积极性有望增加， 且 2015 年开始的环保整顿在 2017 年进入最后的收官之年， 目前基本进入收尾阶段， 中大型的产业集团正借此机会进行扩张， 预计生猪存栏有望进入上升通道,供需状况将会有所改善。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rPr>
        <w:t>8 月 21-24 号 Farm Journal 田间巡查预估新作单产 48.5 亿蒲， 低于美国农业部， 产量达创纪录的 43.31 亿蒲式耳， 库存最终达到 3.96 亿蒲， 较上年度 3.7 亿蒲增 7%， 这样 2017/18 年度美豆供需将处于松紧平衡线， 由于单产数据的不明确， 目前美盘陷入震荡格局中</w:t>
      </w:r>
      <w:r>
        <w:rPr>
          <w:rFonts w:hint="eastAsia" w:ascii="宋体" w:hAnsi="宋体"/>
          <w:sz w:val="28"/>
          <w:lang w:eastAsia="zh-CN"/>
        </w:rPr>
        <w:t>，</w:t>
      </w:r>
      <w:r>
        <w:rPr>
          <w:rFonts w:hint="eastAsia" w:ascii="宋体" w:hAnsi="宋体" w:eastAsiaTheme="minorEastAsia"/>
          <w:sz w:val="28"/>
        </w:rPr>
        <w:t xml:space="preserve">市场等待9月供需报告单产数据公布， 这将成为市场后期走势的关键。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宋体" w:hAnsi="宋体" w:eastAsiaTheme="minorEastAsia"/>
          <w:sz w:val="28"/>
          <w:lang w:eastAsia="zh-CN"/>
        </w:rPr>
      </w:pPr>
      <w:r>
        <w:rPr>
          <w:rFonts w:hint="eastAsia" w:ascii="宋体" w:hAnsi="宋体"/>
          <w:sz w:val="28"/>
          <w:lang w:eastAsia="zh-CN"/>
        </w:rPr>
        <w:t>图</w:t>
      </w:r>
      <w:r>
        <w:rPr>
          <w:rFonts w:hint="eastAsia" w:ascii="宋体" w:hAnsi="宋体"/>
          <w:sz w:val="28"/>
          <w:lang w:val="en-US" w:eastAsia="zh-CN"/>
        </w:rPr>
        <w:t>1、美豆主产区月度干旱检测图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Theme="minorEastAsia"/>
          <w:sz w:val="28"/>
          <w:lang w:val="en-US" w:eastAsia="zh-CN"/>
        </w:rPr>
      </w:pPr>
      <w:r>
        <w:drawing>
          <wp:inline distT="0" distB="0" distL="114300" distR="114300">
            <wp:extent cx="5066665" cy="32188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66665" cy="32188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eastAsia="zh-CN"/>
        </w:rPr>
      </w:pPr>
      <w:r>
        <w:rPr>
          <w:rFonts w:hint="eastAsia" w:ascii="宋体" w:hAnsi="宋体" w:eastAsiaTheme="minorEastAsia"/>
          <w:sz w:val="28"/>
          <w:lang w:val="en-US" w:eastAsia="zh-CN"/>
        </w:rPr>
        <w:t>截止9月6日，CBOT大豆期货周三连升第四个交易日，因市场担忧美国中西部腹地的干燥天气可能影响正值成熟期的大豆作物，气象预报显示本周中西部地区的干旱可能给大豆作物生长带来压力，交易商亦在权衡作物成熟前的早期霜冻风险，部分地区播种季开始较晚，作物极易受到寒潮影响，且需继续关注飓风伊尔玛(Irma)的路径预期，飓风可能给美国东南部带来会造成洪灾的降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lang w:val="en-US" w:eastAsia="zh-CN"/>
        </w:rPr>
        <w:t>1.2</w:t>
      </w:r>
      <w:r>
        <w:rPr>
          <w:rFonts w:hint="eastAsia" w:ascii="宋体" w:hAnsi="宋体" w:eastAsiaTheme="minorEastAsia"/>
          <w:sz w:val="28"/>
          <w:lang w:eastAsia="zh-CN"/>
        </w:rPr>
        <w:t>国内方面：未来两月</w:t>
      </w:r>
      <w:r>
        <w:rPr>
          <w:rFonts w:hint="eastAsia" w:ascii="宋体" w:hAnsi="宋体" w:eastAsiaTheme="minorEastAsia"/>
          <w:sz w:val="28"/>
        </w:rPr>
        <w:t>大豆进口压力减弱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rPr>
        <w:t>据统计，8月份大豆到货量可能在780万～800万吨，而此前的船期数据为750万吨左右。初步统计，9月份预计到货量为660万～700万吨，而10月份的到港量可能会达到650万～700万吨，整体来看，2016/2017年度大豆进口总量预计在9150万吨左右。虽然受环保影响，近期华北、山东部分油厂有所限产或停产，但是整体压榨量仍会保持较高水平，加之近几个月部分进口大豆有望进入储备，因此8～10月份的大豆实际供应量会低于压榨需求量，这将有效缓解国内大豆供应压力，库存水平开始进入缓慢下降趋势。另外，《油世界》预计2017/2018年度中国大豆进口量持稳于9200万吨，主要因国内增产及2017年8月末进口油籽库存创纪录。若预估正确，这将是近5年来中国大豆进口量首次未见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宋体" w:hAnsi="宋体" w:eastAsiaTheme="minorEastAsia"/>
          <w:sz w:val="28"/>
          <w:lang w:eastAsia="zh-CN"/>
        </w:rPr>
      </w:pPr>
      <w:r>
        <w:rPr>
          <w:rFonts w:hint="eastAsia" w:ascii="宋体" w:hAnsi="宋体"/>
          <w:sz w:val="28"/>
          <w:lang w:eastAsia="zh-CN"/>
        </w:rPr>
        <w:t>图</w:t>
      </w:r>
      <w:r>
        <w:rPr>
          <w:rFonts w:hint="eastAsia" w:ascii="宋体" w:hAnsi="宋体"/>
          <w:sz w:val="28"/>
          <w:lang w:val="en-US" w:eastAsia="zh-CN"/>
        </w:rPr>
        <w:t>2、中国大豆月度进口（单位：万吨）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Theme="minorEastAsia"/>
          <w:sz w:val="28"/>
          <w:lang w:val="en-US" w:eastAsia="zh-CN"/>
        </w:rPr>
      </w:pPr>
      <w:r>
        <w:drawing>
          <wp:inline distT="0" distB="0" distL="114300" distR="114300">
            <wp:extent cx="4828540" cy="293306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828540" cy="29330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val="en-US" w:eastAsia="zh-CN"/>
        </w:rPr>
      </w:pPr>
      <w:r>
        <w:rPr>
          <w:rFonts w:hint="eastAsia" w:ascii="宋体" w:hAnsi="宋体" w:eastAsiaTheme="minorEastAsia"/>
          <w:sz w:val="28"/>
          <w:lang w:val="en-US" w:eastAsia="zh-CN"/>
        </w:rPr>
        <w:t>1.3豆粕库存连续四周回落， 压力减轻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eastAsia="zh-CN"/>
        </w:rPr>
      </w:pPr>
      <w:r>
        <w:rPr>
          <w:rFonts w:hint="eastAsia" w:ascii="宋体" w:hAnsi="宋体" w:eastAsiaTheme="minorEastAsia"/>
          <w:sz w:val="28"/>
        </w:rPr>
        <w:t xml:space="preserve">国内库存方面， 8 月份国内大豆和豆粕库存连续四周回落， 压力减轻， 截止到 8 月 27 日当周， 油厂豆粕库存降至 100 万吨， 比最高峰时期减少了 23 万吨， 大豆库存571 万吨比高峰时期减少了 38 万吨。 另外受环保检查的影响， 部分饲料企业和油厂停工， 同时影响到豆粕上游的供应和下游需求 </w:t>
      </w:r>
      <w:r>
        <w:rPr>
          <w:rFonts w:hint="eastAsia" w:ascii="宋体" w:hAnsi="宋体" w:eastAsiaTheme="minorEastAsia"/>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eastAsia="zh-CN"/>
        </w:rPr>
      </w:pPr>
      <w:r>
        <w:rPr>
          <w:rFonts w:hint="eastAsia" w:ascii="宋体" w:hAnsi="宋体" w:eastAsiaTheme="minorEastAsia"/>
          <w:sz w:val="28"/>
        </w:rPr>
        <w:t>但鉴于饲料和压榨行业规模化程度高， 在环保方面管控较好， 整体对下游需求影响不大。 首先，豆粕价格相对相对于菜粕和其它杂粕都具有很强的价格优势， 挤占了其它杂粕的大部分市场份额， 消化了增加的大部分豆粕。 其次， 生猪消费方面， 2015 年开始的环保整顿在 2017 年进入最后的收官之年， 目前基本进入收尾阶段， 生猪存栏从高峰时的 3.7 亿头降至 3.5 亿头， 产能继续减少的空间已经不大， 而大型的产业集团正借此机会进行扩张， 生猪存栏的拐点或在近期出现， 预计未来进入上升通道。因此从供需上看， 未来国内豆粕需求有望转好， 供应宽松格局缓解。 中长期来看， 未来进口到港量减少供应压力减轻， 生猪存栏继续减少空间不大， 需求有望好转， 豆粕中长线多头看待。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宋体" w:hAnsi="宋体"/>
          <w:sz w:val="28"/>
          <w:lang w:eastAsia="zh-CN"/>
        </w:rPr>
      </w:pPr>
      <w:r>
        <w:rPr>
          <w:rFonts w:hint="eastAsia" w:ascii="宋体" w:hAnsi="宋体"/>
          <w:sz w:val="28"/>
          <w:lang w:eastAsia="zh-CN"/>
        </w:rPr>
        <w:t>图</w:t>
      </w:r>
      <w:r>
        <w:rPr>
          <w:rFonts w:hint="eastAsia" w:ascii="宋体" w:hAnsi="宋体"/>
          <w:sz w:val="28"/>
          <w:lang w:val="en-US" w:eastAsia="zh-CN"/>
        </w:rPr>
        <w:t>3、</w:t>
      </w:r>
      <w:r>
        <w:rPr>
          <w:rFonts w:hint="eastAsia" w:ascii="宋体" w:hAnsi="宋体"/>
          <w:sz w:val="28"/>
          <w:lang w:eastAsia="zh-CN"/>
        </w:rPr>
        <w:t xml:space="preserve">油厂豆粕库存（ 万吨）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drawing>
          <wp:inline distT="0" distB="0" distL="114300" distR="114300">
            <wp:extent cx="4485640" cy="2990215"/>
            <wp:effectExtent l="0" t="0" r="10160" b="63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6"/>
                    <a:stretch>
                      <a:fillRect/>
                    </a:stretch>
                  </pic:blipFill>
                  <pic:spPr>
                    <a:xfrm>
                      <a:off x="0" y="0"/>
                      <a:ext cx="4485640" cy="29902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lang w:val="en-US" w:eastAsia="zh-CN"/>
        </w:rPr>
        <w:t>1.</w:t>
      </w:r>
      <w:r>
        <w:rPr>
          <w:rFonts w:hint="eastAsia" w:ascii="宋体" w:hAnsi="宋体"/>
          <w:sz w:val="28"/>
          <w:lang w:val="en-US" w:eastAsia="zh-CN"/>
        </w:rPr>
        <w:t>4</w:t>
      </w:r>
      <w:r>
        <w:rPr>
          <w:rFonts w:hint="eastAsia" w:ascii="宋体" w:hAnsi="宋体" w:eastAsiaTheme="minorEastAsia"/>
          <w:sz w:val="28"/>
          <w:lang w:val="en-US" w:eastAsia="zh-CN"/>
        </w:rPr>
        <w:t>国内</w:t>
      </w:r>
      <w:r>
        <w:rPr>
          <w:rFonts w:hint="eastAsia" w:ascii="宋体" w:hAnsi="宋体" w:eastAsiaTheme="minorEastAsia"/>
          <w:sz w:val="28"/>
        </w:rPr>
        <w:t>豆粕成交较好</w:t>
      </w:r>
      <w:r>
        <w:rPr>
          <w:rFonts w:hint="eastAsia" w:ascii="宋体" w:hAnsi="宋体" w:eastAsiaTheme="minorEastAsia"/>
          <w:sz w:val="28"/>
          <w:lang w:eastAsia="zh-CN"/>
        </w:rPr>
        <w:t>，</w:t>
      </w:r>
      <w:r>
        <w:rPr>
          <w:rFonts w:hint="eastAsia" w:ascii="宋体" w:hAnsi="宋体" w:eastAsiaTheme="minorEastAsia"/>
          <w:sz w:val="28"/>
        </w:rPr>
        <w:t>挺价意愿增强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rPr>
        <w:t>目前国内大多油厂以执行合同为主，且有不少油厂9月份合同基本预售完毕，现阶段大多以预售10月至明年1月基差合同为主，其中包括益海集团大多油厂、达孚集团、中储粮集团，广东地区大多油厂等。截至8月28日，本月全国主流油厂共成交394.42万吨，日均成交19.72万吨;7月共成交232.3万吨，日均成交量11.1万吨。8月日均成交增长78%，在成交量中远期合同占比65.8%(远月基差加50～80元/吨成交)，给油厂带来心理支持。而经销商前期基差点价成本偏高，也有挺价意愿，令目前豆粕现货市场表现抗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562" w:firstLineChars="200"/>
        <w:jc w:val="both"/>
        <w:textAlignment w:val="auto"/>
        <w:outlineLvl w:val="9"/>
        <w:rPr>
          <w:rFonts w:hint="eastAsia" w:ascii="宋体" w:hAnsi="宋体" w:eastAsiaTheme="minorEastAsia"/>
          <w:b/>
          <w:bCs/>
          <w:sz w:val="28"/>
          <w:lang w:val="en-US" w:eastAsia="zh-CN"/>
        </w:rPr>
      </w:pPr>
      <w:r>
        <w:rPr>
          <w:rFonts w:hint="eastAsia" w:ascii="宋体" w:hAnsi="宋体" w:eastAsiaTheme="minorEastAsia"/>
          <w:b/>
          <w:bCs/>
          <w:sz w:val="28"/>
          <w:lang w:val="en-US" w:eastAsia="zh-CN"/>
        </w:rPr>
        <w:t>二、豆粕期权成交量与持仓量分析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rPr>
      </w:pPr>
      <w:r>
        <w:rPr>
          <w:rFonts w:hint="eastAsia" w:ascii="宋体" w:hAnsi="宋体" w:eastAsiaTheme="minorEastAsia"/>
          <w:sz w:val="28"/>
          <w:lang w:val="en-US" w:eastAsia="zh-CN"/>
        </w:rPr>
        <w:t>截止9月6日，豆粕期权成交量20468手（按双边计算，下同），持仓量207540手，成交额1451.69万元。成交量和持仓量的PC-Ratio分别为0.61和0.65，前者增大，后者继续减小，投资者仍然看好看涨期权。其中，一月合约和五月合约成交量分别占所有合约的66.97%、23.60%，持仓量占比分别为69.78%和18.51%。豆粕期货主力合约m1801所对应的期权合约系列交易量和成交量仍然是最为活跃，流动性最好</w:t>
      </w:r>
      <w:r>
        <w:rPr>
          <w:rFonts w:hint="eastAsia" w:ascii="宋体" w:hAnsi="宋体"/>
          <w:sz w:val="28"/>
          <w:lang w:val="en-US" w:eastAsia="zh-CN"/>
        </w:rPr>
        <w:t>，次主力1805所对应的期权系列流动性仅次于m1801系列，但从中长期来看，其上涨潜力或许更大</w:t>
      </w:r>
      <w:r>
        <w:rPr>
          <w:rFonts w:hint="eastAsia" w:ascii="宋体" w:hAnsi="宋体" w:eastAsiaTheme="minorEastAsia"/>
          <w:sz w:val="28"/>
          <w:lang w:val="en-US" w:eastAsia="zh-CN"/>
        </w:rPr>
        <w:t>。</w:t>
      </w:r>
    </w:p>
    <w:p>
      <w:pPr>
        <w:pStyle w:val="2"/>
        <w:keepNext/>
        <w:keepLines/>
        <w:pageBreakBefore w:val="0"/>
        <w:widowControl w:val="0"/>
        <w:numPr>
          <w:ilvl w:val="1"/>
          <w:numId w:val="0"/>
        </w:numPr>
        <w:kinsoku/>
        <w:wordWrap/>
        <w:overflowPunct/>
        <w:topLinePunct w:val="0"/>
        <w:autoSpaceDE/>
        <w:autoSpaceDN/>
        <w:bidi w:val="0"/>
        <w:adjustRightInd/>
        <w:snapToGrid/>
        <w:spacing w:after="120" w:line="240" w:lineRule="auto"/>
        <w:ind w:left="0" w:leftChars="0" w:right="0" w:rightChars="0" w:firstLine="562" w:firstLineChars="200"/>
        <w:jc w:val="both"/>
        <w:textAlignment w:val="auto"/>
        <w:outlineLvl w:val="1"/>
        <w:rPr>
          <w:rFonts w:hint="eastAsia" w:ascii="宋体" w:hAnsi="宋体" w:eastAsiaTheme="minorEastAsia" w:cstheme="minorBidi"/>
          <w:b/>
          <w:bCs/>
          <w:kern w:val="2"/>
          <w:sz w:val="28"/>
          <w:szCs w:val="24"/>
          <w:lang w:val="en-US" w:eastAsia="zh-CN" w:bidi="ar-SA"/>
        </w:rPr>
      </w:pPr>
      <w:bookmarkStart w:id="0" w:name="_Toc481411688"/>
      <w:r>
        <w:rPr>
          <w:rFonts w:hint="eastAsia" w:ascii="宋体" w:hAnsi="宋体" w:eastAsiaTheme="minorEastAsia" w:cstheme="minorBidi"/>
          <w:b/>
          <w:bCs/>
          <w:kern w:val="2"/>
          <w:sz w:val="28"/>
          <w:szCs w:val="24"/>
          <w:lang w:val="en-US" w:eastAsia="zh-CN" w:bidi="ar-SA"/>
        </w:rPr>
        <w:t>三、波动率分析</w:t>
      </w:r>
      <w:bookmarkEnd w:id="0"/>
      <w:bookmarkStart w:id="1" w:name="OLE_LINK46"/>
      <w:bookmarkStart w:id="2" w:name="OLE_LINK45"/>
      <w:bookmarkStart w:id="3" w:name="OLE_LINK4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val="en-US" w:eastAsia="zh-CN"/>
        </w:rPr>
      </w:pPr>
      <w:r>
        <w:rPr>
          <w:rFonts w:hint="eastAsia" w:ascii="宋体" w:hAnsi="宋体" w:eastAsiaTheme="minorEastAsia"/>
          <w:sz w:val="28"/>
          <w:lang w:val="en-US" w:eastAsia="zh-CN"/>
        </w:rPr>
        <w:t>前期，豆粕期权隐含波动率和历史波动率有较大降幅。近期豆粕波动率指数有上升态势。另外M1805的波动率目前小于M1801, 预计未来M1805波动率将会上升。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val="en-US" w:eastAsia="zh-CN"/>
        </w:rPr>
      </w:pPr>
      <w:r>
        <w:rPr>
          <w:rFonts w:hint="eastAsia" w:ascii="宋体" w:hAnsi="宋体" w:eastAsiaTheme="minorEastAsia"/>
          <w:sz w:val="28"/>
          <w:lang w:val="en-US" w:eastAsia="zh-CN"/>
        </w:rPr>
        <w:t>图 1：豆粕期权各月合约隐含波动率结构</w:t>
      </w:r>
    </w:p>
    <w:p>
      <w:pPr>
        <w:jc w:val="both"/>
        <w:rPr>
          <w:rFonts w:hint="eastAsia" w:ascii="华文细黑" w:hAnsi="华文细黑" w:eastAsia="华文细黑"/>
          <w:szCs w:val="20"/>
        </w:rPr>
      </w:pPr>
      <w:r>
        <w:rPr>
          <w:rFonts w:asciiTheme="minorEastAsia" w:hAnsiTheme="minorEastAsia" w:eastAsiaTheme="minorEastAsia"/>
        </w:rPr>
        <w:object>
          <v:shape id="_x0000_i1025" o:spt="75" type="#_x0000_t75" style="height:238.35pt;width:412.65pt;" o:ole="t" filled="f" o:preferrelative="t" stroked="f" coordsize="21600,21600">
            <v:path/>
            <v:fill on="f" focussize="0,0"/>
            <v:stroke on="f"/>
            <v:imagedata r:id="rId7" o:title=""/>
            <o:lock v:ext="edit" aspectratio="t"/>
            <w10:wrap type="none"/>
            <w10:anchorlock/>
          </v:shape>
          <o:OLEObject Type="Link" ProgID="" ShapeID="_x0000_i1025" UpdateMode="Always" DrawAspect="Content" ObjectID="_1468075725" r:id="rId8">
            <o:LinkType>EnhancedMetaFile</o:LinkType>
            <o:LockedField>false</o:LockedField>
          </o:OLEObject>
        </w:object>
      </w:r>
    </w:p>
    <w:p>
      <w:pPr>
        <w:rPr>
          <w:rFonts w:eastAsia="楷体_GB2312"/>
          <w:sz w:val="22"/>
          <w:szCs w:val="20"/>
        </w:rPr>
      </w:pPr>
    </w:p>
    <w:bookmarkEnd w:id="1"/>
    <w:bookmarkEnd w:id="2"/>
    <w:bookmarkEnd w:id="3"/>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Theme="minorEastAsia"/>
          <w:sz w:val="28"/>
          <w:lang w:val="en-US" w:eastAsia="zh-CN"/>
        </w:rPr>
      </w:pPr>
      <w:r>
        <w:rPr>
          <w:rFonts w:hint="eastAsia" w:ascii="宋体" w:hAnsi="宋体" w:eastAsiaTheme="minorEastAsia"/>
          <w:sz w:val="28"/>
          <w:lang w:val="en-US" w:eastAsia="zh-CN"/>
        </w:rPr>
        <w:t>图 2：豆粕期权波动率指数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right="0" w:rightChars="0"/>
        <w:jc w:val="both"/>
        <w:textAlignment w:val="auto"/>
        <w:outlineLvl w:val="9"/>
        <w:rPr>
          <w:rFonts w:hint="eastAsia" w:ascii="宋体" w:hAnsi="宋体" w:eastAsiaTheme="minorEastAsia"/>
          <w:b/>
          <w:bCs/>
          <w:sz w:val="28"/>
          <w:lang w:val="en-US" w:eastAsia="zh-CN"/>
        </w:rPr>
      </w:pPr>
      <w:r>
        <w:rPr>
          <w:rFonts w:asciiTheme="minorEastAsia" w:hAnsiTheme="minorEastAsia" w:eastAsiaTheme="minorEastAsia"/>
        </w:rPr>
        <w:object>
          <v:shape id="_x0000_i1026" o:spt="75" type="#_x0000_t75" style="height:241.45pt;width:420.05pt;" o:ole="t" filled="f" o:preferrelative="t" stroked="f" coordsize="21600,21600">
            <v:path/>
            <v:fill on="f" focussize="0,0"/>
            <v:stroke on="f"/>
            <v:imagedata r:id="rId9" o:title=""/>
            <o:lock v:ext="edit" aspectratio="t"/>
            <w10:wrap type="none"/>
            <w10:anchorlock/>
          </v:shape>
          <o:OLEObject Type="Link" ProgID="" ShapeID="_x0000_i1026" UpdateMode="Always" DrawAspect="Content" ObjectID="_1468075726" r:id="rId10">
            <o:LinkType>EnhancedMetaFile</o:LinkType>
            <o:LockedField>false</o:LockedField>
          </o:OLEObject>
        </w:objec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562" w:firstLineChars="200"/>
        <w:jc w:val="both"/>
        <w:textAlignment w:val="auto"/>
        <w:outlineLvl w:val="9"/>
        <w:rPr>
          <w:rFonts w:hint="eastAsia" w:ascii="宋体" w:hAnsi="宋体" w:eastAsiaTheme="minorEastAsia"/>
          <w:b/>
          <w:bCs/>
          <w:sz w:val="28"/>
          <w:lang w:val="en-US" w:eastAsia="zh-CN"/>
        </w:rPr>
      </w:pPr>
      <w:r>
        <w:rPr>
          <w:rFonts w:hint="eastAsia" w:ascii="宋体" w:hAnsi="宋体"/>
          <w:b/>
          <w:bCs/>
          <w:sz w:val="28"/>
          <w:lang w:val="en-US" w:eastAsia="zh-CN"/>
        </w:rPr>
        <w:t>四</w:t>
      </w:r>
      <w:r>
        <w:rPr>
          <w:rFonts w:hint="eastAsia" w:ascii="宋体" w:hAnsi="宋体" w:eastAsiaTheme="minorEastAsia"/>
          <w:b/>
          <w:bCs/>
          <w:sz w:val="28"/>
          <w:lang w:val="en-US" w:eastAsia="zh-CN"/>
        </w:rPr>
        <w:t>、豆粕期权交易策略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lang w:val="en-US" w:eastAsia="zh-CN"/>
        </w:rPr>
      </w:pPr>
      <w:r>
        <w:rPr>
          <w:rFonts w:hint="eastAsia" w:ascii="宋体" w:hAnsi="宋体"/>
          <w:sz w:val="28"/>
          <w:lang w:eastAsia="zh-CN"/>
        </w:rPr>
        <w:t>综上所述，一方面，</w:t>
      </w:r>
      <w:r>
        <w:rPr>
          <w:rFonts w:hint="eastAsia" w:ascii="宋体" w:hAnsi="宋体" w:eastAsiaTheme="minorEastAsia"/>
          <w:sz w:val="28"/>
          <w:lang w:eastAsia="zh-CN"/>
        </w:rPr>
        <w:t>由于受天气因素干扰，</w:t>
      </w:r>
      <w:r>
        <w:rPr>
          <w:rFonts w:hint="eastAsia" w:ascii="宋体" w:hAnsi="宋体" w:eastAsiaTheme="minorEastAsia"/>
          <w:sz w:val="28"/>
        </w:rPr>
        <w:t>美豆单产</w:t>
      </w:r>
      <w:r>
        <w:rPr>
          <w:rFonts w:hint="eastAsia" w:ascii="宋体" w:hAnsi="宋体" w:eastAsiaTheme="minorEastAsia"/>
          <w:sz w:val="28"/>
          <w:lang w:eastAsia="zh-CN"/>
        </w:rPr>
        <w:t>仍</w:t>
      </w:r>
      <w:r>
        <w:rPr>
          <w:rFonts w:hint="eastAsia" w:ascii="宋体" w:hAnsi="宋体" w:eastAsiaTheme="minorEastAsia"/>
          <w:sz w:val="28"/>
        </w:rPr>
        <w:t>不确定</w:t>
      </w:r>
      <w:r>
        <w:rPr>
          <w:rFonts w:hint="eastAsia" w:ascii="宋体" w:hAnsi="宋体"/>
          <w:sz w:val="28"/>
          <w:lang w:eastAsia="zh-CN"/>
        </w:rPr>
        <w:t>。另一方面，从</w:t>
      </w:r>
      <w:r>
        <w:rPr>
          <w:rFonts w:hint="eastAsia" w:ascii="宋体" w:hAnsi="宋体" w:eastAsiaTheme="minorEastAsia"/>
          <w:sz w:val="28"/>
        </w:rPr>
        <w:t>9月开始，国内进口大豆到港量将出现较大幅度下滑，预计后期国内油厂压力将有所缓解。10月至年底，虽然水产养殖逐渐结束，但我国节假日较为集中的备货期，将使豆粕需求持续向好。9月份油厂豆粕供需有望转向紧平衡状态。</w:t>
      </w:r>
      <w:r>
        <w:rPr>
          <w:rFonts w:hint="eastAsia" w:ascii="宋体" w:hAnsi="宋体" w:eastAsiaTheme="minorEastAsia"/>
          <w:sz w:val="28"/>
          <w:lang w:eastAsia="zh-CN"/>
        </w:rPr>
        <w:t>现货方面，</w:t>
      </w:r>
      <w:r>
        <w:rPr>
          <w:rFonts w:hint="eastAsia" w:ascii="宋体" w:hAnsi="宋体" w:eastAsiaTheme="minorEastAsia"/>
          <w:sz w:val="28"/>
        </w:rPr>
        <w:t>8月末，全国豆粕现货价格为2870元/吨附近，沿海产区油厂报价2760～2800元/吨，油厂挺价意愿较强。</w:t>
      </w:r>
      <w:r>
        <w:rPr>
          <w:rFonts w:hint="eastAsia" w:ascii="宋体" w:hAnsi="宋体"/>
          <w:sz w:val="28"/>
          <w:lang w:eastAsia="zh-CN"/>
        </w:rPr>
        <w:t>因此预计连盘豆粕期货中长期机会或将逐步显现，后市开启一波上涨行情的概率较大。基于上述判断，我们建议做多</w:t>
      </w:r>
      <w:r>
        <w:rPr>
          <w:rFonts w:hint="eastAsia" w:ascii="宋体" w:hAnsi="宋体"/>
          <w:sz w:val="28"/>
          <w:lang w:val="en-US" w:eastAsia="zh-CN"/>
        </w:rPr>
        <w:t>m1805系列期权。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dobe 宋体 Std L">
    <w:altName w:val="宋体"/>
    <w:panose1 w:val="00000000000000000000"/>
    <w:charset w:val="86"/>
    <w:family w:val="roman"/>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ATC-6c494eea59279ed1*+Arial*002">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F1543"/>
    <w:multiLevelType w:val="multilevel"/>
    <w:tmpl w:val="7C5F1543"/>
    <w:lvl w:ilvl="0" w:tentative="0">
      <w:start w:val="1"/>
      <w:numFmt w:val="decimal"/>
      <w:suff w:val="space"/>
      <w:lvlText w:val="%1."/>
      <w:lvlJc w:val="left"/>
      <w:pPr>
        <w:ind w:left="2462" w:hanging="425"/>
      </w:pPr>
      <w:rPr>
        <w:rFonts w:hint="eastAsia"/>
      </w:rPr>
    </w:lvl>
    <w:lvl w:ilvl="1" w:tentative="0">
      <w:start w:val="1"/>
      <w:numFmt w:val="decimal"/>
      <w:pStyle w:val="2"/>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0261A"/>
    <w:rsid w:val="22644B65"/>
    <w:rsid w:val="26F745AB"/>
    <w:rsid w:val="27270E2E"/>
    <w:rsid w:val="373C5B1C"/>
    <w:rsid w:val="3E65294D"/>
    <w:rsid w:val="430809C8"/>
    <w:rsid w:val="4624269E"/>
    <w:rsid w:val="4710379A"/>
    <w:rsid w:val="47F956C8"/>
    <w:rsid w:val="4A4458CC"/>
    <w:rsid w:val="4FE77EBF"/>
    <w:rsid w:val="50285FA7"/>
    <w:rsid w:val="562A696F"/>
    <w:rsid w:val="627D78BB"/>
    <w:rsid w:val="6B7C0D77"/>
    <w:rsid w:val="7E48253D"/>
    <w:rsid w:val="7FB369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after="120"/>
      <w:jc w:val="left"/>
      <w:outlineLvl w:val="1"/>
    </w:pPr>
    <w:rPr>
      <w:rFonts w:ascii="Arial" w:hAnsi="Arial" w:eastAsia="黑体"/>
      <w:b/>
      <w:bCs/>
      <w:color w:val="B60005"/>
      <w:sz w:val="24"/>
      <w:szCs w:val="32"/>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996600"/>
      <w:u w:val="none"/>
    </w:rPr>
  </w:style>
  <w:style w:type="character" w:styleId="5">
    <w:name w:val="Hyperlink"/>
    <w:basedOn w:val="3"/>
    <w:qFormat/>
    <w:uiPriority w:val="0"/>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图题"/>
    <w:qFormat/>
    <w:uiPriority w:val="0"/>
    <w:rPr>
      <w:rFonts w:ascii="Arial" w:hAnsi="Arial" w:eastAsia="黑体" w:cs="Arial"/>
      <w:b/>
      <w:color w:val="B60005"/>
      <w:kern w:val="2"/>
      <w:sz w:val="18"/>
      <w:szCs w:val="18"/>
      <w:lang w:val="en-US" w:eastAsia="zh-CN" w:bidi="ar-SA"/>
    </w:rPr>
  </w:style>
  <w:style w:type="paragraph" w:customStyle="1" w:styleId="9">
    <w:name w:val="内页正文"/>
    <w:qFormat/>
    <w:uiPriority w:val="0"/>
    <w:pPr>
      <w:spacing w:after="120" w:line="320" w:lineRule="exact"/>
      <w:ind w:firstLine="200" w:firstLineChars="200"/>
      <w:jc w:val="both"/>
    </w:pPr>
    <w:rPr>
      <w:rFonts w:ascii="Times New Roman" w:hAnsi="Times New Roman" w:eastAsia="楷体_GB2312" w:cs="Times New Roman"/>
      <w:kern w:val="2"/>
      <w:sz w:val="21"/>
      <w:szCs w:val="22"/>
      <w:lang w:val="en-US" w:eastAsia="zh-CN" w:bidi="ar-SA"/>
    </w:rPr>
  </w:style>
  <w:style w:type="character" w:customStyle="1" w:styleId="10">
    <w:name w:val="fontstyle01"/>
    <w:basedOn w:val="3"/>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oleObject" Target="file:///\[&#26399;&#26435;&#25968;&#25454;&#20998;&#26512;_&#35910;&#31893;.xlsm]&#26085;&#25253;(&#20869;&#37096;) &#22270;&#34920; 3" TargetMode="External"/><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oleObject" Target="file:///\[&#26399;&#26435;&#25968;&#25454;&#20998;&#26512;_&#35910;&#31893;.xlsm]&#26085;&#25253;(&#20869;&#37096;) &#22270;&#34920; 8"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HHQH-DT-116</dc:creator>
  <cp:lastModifiedBy>HHQH-DT-116</cp:lastModifiedBy>
  <dcterms:modified xsi:type="dcterms:W3CDTF">2017-09-08T01:26:24Z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