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豆油后市继续看涨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逢回调做多正当时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摘要：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美豆单产尚不确定，</w:t>
      </w:r>
      <w:r>
        <w:rPr>
          <w:rFonts w:hint="eastAsia" w:ascii="宋体" w:hAnsi="宋体" w:eastAsia="宋体" w:cs="宋体"/>
          <w:sz w:val="28"/>
          <w:szCs w:val="28"/>
        </w:rPr>
        <w:t>新作销售异常缓慢，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且</w:t>
      </w:r>
      <w:r>
        <w:rPr>
          <w:rFonts w:hint="eastAsia" w:ascii="宋体" w:hAnsi="宋体" w:eastAsia="宋体" w:cs="宋体"/>
          <w:sz w:val="28"/>
          <w:szCs w:val="28"/>
        </w:rPr>
        <w:t>美国商务部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对进口生物柴油征收</w:t>
      </w:r>
      <w:r>
        <w:rPr>
          <w:rFonts w:hint="eastAsia" w:ascii="宋体" w:hAnsi="宋体" w:eastAsia="宋体" w:cs="宋体"/>
          <w:sz w:val="28"/>
          <w:szCs w:val="28"/>
        </w:rPr>
        <w:t>反补贴关税，对美豆油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带来</w:t>
      </w:r>
      <w:r>
        <w:rPr>
          <w:rFonts w:hint="eastAsia" w:ascii="宋体" w:hAnsi="宋体" w:eastAsia="宋体" w:cs="宋体"/>
          <w:sz w:val="28"/>
          <w:szCs w:val="28"/>
        </w:rPr>
        <w:t>的利多效应持续发酵。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国内未来两月</w:t>
      </w:r>
      <w:r>
        <w:rPr>
          <w:rFonts w:ascii="宋体" w:hAnsi="宋体"/>
          <w:sz w:val="28"/>
        </w:rPr>
        <w:t>大豆压榨量预期环比下降，节日备货潮拉升豆油需求</w:t>
      </w:r>
      <w:r>
        <w:rPr>
          <w:rFonts w:hint="eastAsia" w:ascii="宋体" w:hAnsi="宋体"/>
          <w:sz w:val="28"/>
          <w:lang w:eastAsia="zh-CN"/>
        </w:rPr>
        <w:t>，因此预计连豆油后市或将延续上涨趋势。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一、美豆</w:t>
      </w:r>
      <w:r>
        <w:rPr>
          <w:rFonts w:hint="eastAsia" w:ascii="宋体" w:hAnsi="宋体" w:eastAsia="宋体" w:cs="宋体"/>
          <w:sz w:val="28"/>
          <w:szCs w:val="28"/>
        </w:rPr>
        <w:t>出口后期或将调低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USDA</w:t>
      </w:r>
      <w:r>
        <w:rPr>
          <w:rFonts w:hint="eastAsia" w:ascii="宋体" w:hAnsi="宋体" w:eastAsia="宋体" w:cs="宋体"/>
          <w:sz w:val="28"/>
          <w:szCs w:val="28"/>
        </w:rPr>
        <w:t>报告将首次基于实地调研调整新作单产，实际结果造成严重利空影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响。众多机构在报告前夕预测8月可能将下调单产至 48蒲/英亩以下，但最终结果单产却上调至 49.4蒲/英亩。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USDA</w:t>
      </w:r>
      <w:r>
        <w:rPr>
          <w:rFonts w:hint="eastAsia" w:ascii="宋体" w:hAnsi="宋体" w:eastAsia="宋体" w:cs="宋体"/>
          <w:sz w:val="28"/>
          <w:szCs w:val="28"/>
        </w:rPr>
        <w:t>作为世界上最权威的机构之一，其历年向来对美国单产和产量的预测较为精准，虽然 6-7 月份中北部平原地区干旱确实比较严重，但近 4-5 年来大豆整体趋势单产的提高，时间点也并未进入最重要的结荚鼓粒期等等原因，皆验证了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USDA</w:t>
      </w:r>
      <w:r>
        <w:rPr>
          <w:rFonts w:hint="eastAsia" w:ascii="宋体" w:hAnsi="宋体" w:eastAsia="宋体" w:cs="宋体"/>
          <w:sz w:val="28"/>
          <w:szCs w:val="28"/>
        </w:rPr>
        <w:t>提供的最终结果。8月报告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显示</w:t>
      </w:r>
      <w:r>
        <w:rPr>
          <w:rFonts w:hint="eastAsia" w:ascii="宋体" w:hAnsi="宋体" w:eastAsia="宋体" w:cs="宋体"/>
          <w:sz w:val="28"/>
          <w:szCs w:val="28"/>
        </w:rPr>
        <w:t>美豆库销比达到 11%， 17-18 年度美豆基本上确认熊市基调。 8月份美国大部分地区天气情况异常良好，降雨充沛叠加气温适宜，因而不排除 USDA 在9月报告中再次上调对本年度单产的预估，我们预计美豆盘面大概率将维持 900-1000 美分区间波动。伴随着大豆生产期接近尾声，“天气市”即将结束， 9 月中旬以后盘面交易核心将逐渐转向需求端，美国本国的压榨量以及海外的出口需求引导着盘面价格。值得注意的是，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2017-2018</w:t>
      </w:r>
      <w:r>
        <w:rPr>
          <w:rFonts w:hint="eastAsia" w:ascii="宋体" w:hAnsi="宋体" w:eastAsia="宋体" w:cs="宋体"/>
          <w:sz w:val="28"/>
          <w:szCs w:val="28"/>
        </w:rPr>
        <w:t xml:space="preserve">年美豆新作销售异常缓慢， 截至8月第一周，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2017-2018</w:t>
      </w:r>
      <w:r>
        <w:rPr>
          <w:rFonts w:hint="eastAsia" w:ascii="宋体" w:hAnsi="宋体" w:eastAsia="宋体" w:cs="宋体"/>
          <w:sz w:val="28"/>
          <w:szCs w:val="28"/>
        </w:rPr>
        <w:t>年度美豆累计销售量只有接近 800 万吨，为过去 6 年来同期最慢。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二、进口生柴反补贴税高于预期，利多美豆油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8月23日美国商务部正式提出对阿根廷和印尼进口生物柴油裁定。美国商务部初步提议对印尼和阿根廷生物柴油，分别征收 41.06-68.28%、 50.29-64.17%反补贴关税，远远高于之前市场的税率预期 30-50%。按照该进口关税计算，阿根廷SME至美国出口生柴失去利润。 10月份美国商务部可能进一步公布对该两国进口生柴的反倾销税，届时还可能进行回溯调查。 自2014年开始，美国生物柴油生产量和进口量激增， 2016年进口生柴约 6.7 亿加仑，占总供应量约 30%的比例。其中，进口生柴中约 60-70%为来自阿根廷的豆油制生物柴油 SME，而来自印尼的棕榈油制生物柴油 PME 仅占总进口量的不到10%。廉价的阿根廷 SME 对美国本地的生柴行业造成“实质性伤害”。 后期进口生柴数量的下降将提升美国本国生柴产量，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2017-2018</w:t>
      </w:r>
      <w:r>
        <w:rPr>
          <w:rFonts w:hint="eastAsia" w:ascii="宋体" w:hAnsi="宋体" w:eastAsia="宋体" w:cs="宋体"/>
          <w:sz w:val="28"/>
          <w:szCs w:val="28"/>
        </w:rPr>
        <w:t xml:space="preserve">年度美豆油工业需求量进而将增长，按照55%的毛豆油原料添加比例计算的话， 美豆油期末库存将会异常紧张，库存甚至库销比可能再下降一个台阶， 因而该系列事件对美豆油的利多效应将会持续发酵。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 xml:space="preserve"> 美国豆油库存消费比（单位：百万磅； %） 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4723765" cy="31902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三、国内</w:t>
      </w:r>
      <w:r>
        <w:rPr>
          <w:rFonts w:ascii="宋体" w:hAnsi="宋体"/>
          <w:sz w:val="28"/>
        </w:rPr>
        <w:t>豆油库存即将见顶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ascii="宋体" w:hAnsi="宋体"/>
          <w:sz w:val="28"/>
        </w:rPr>
        <w:t>现货基差企稳上涨</w:t>
      </w:r>
      <w:r>
        <w:rPr>
          <w:rFonts w:ascii="宋体" w:hAnsi="宋体"/>
          <w:sz w:val="28"/>
        </w:rPr>
        <w:br w:type="textWrapping"/>
      </w:r>
      <w:r>
        <w:rPr>
          <w:rFonts w:hint="eastAsia" w:ascii="宋体" w:hAnsi="宋体"/>
          <w:sz w:val="28"/>
          <w:lang w:val="en-US" w:eastAsia="zh-CN"/>
        </w:rPr>
        <w:t xml:space="preserve">    </w:t>
      </w:r>
      <w:r>
        <w:rPr>
          <w:rFonts w:ascii="宋体" w:hAnsi="宋体"/>
          <w:sz w:val="28"/>
        </w:rPr>
        <w:t xml:space="preserve">截至第 33 周，全国豆油库存 143 万吨，去年同期为 114 万吨。 今年二季度，国内豆油基本面特征为“大供应大消费”，豆棕油价差偏小，同时菜油对豆油价差偏大，都有利于豆油终端的需求。近期豆油渠道终端库存偏高，油脂消费旺季的特征仍不明显，而进入9月后，国庆中秋节日备货潮将拉升豆油的需求。 9-10 月大豆压榨量预期环比下降， 豆油的供应将较前期有所下滑，伴随着需求旺季的到来， 上半年豆油的高库存状态届时可能会有所改观。 进入8月以来，国内豆油现货基差企稳上涨，部分地区由于环保等原因大规模停机，终端成交较好， 现货端在提前交易豆油库存见顶的预期。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四、技术面分析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从技术图形来看，连豆油主力</w:t>
      </w:r>
      <w:r>
        <w:rPr>
          <w:rFonts w:hint="eastAsia" w:ascii="宋体" w:hAnsi="宋体"/>
          <w:sz w:val="28"/>
          <w:lang w:val="en-US" w:eastAsia="zh-CN"/>
        </w:rPr>
        <w:t>1801合约自6月初企稳上涨以来，一路震荡上行，目前仍处于一波较为完好的上升趋势当中，期价近期仍在布林通道中轨与上轨之间运行，涨势依然完好。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0500" cy="2573655"/>
            <wp:effectExtent l="0" t="0" r="635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五、后市展望及交易策略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综上所述，一方面，受天气因素影响，美豆单产依然存在较大的不确定性，且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2017-2018</w:t>
      </w:r>
      <w:r>
        <w:rPr>
          <w:rFonts w:hint="eastAsia" w:ascii="宋体" w:hAnsi="宋体" w:eastAsia="宋体" w:cs="宋体"/>
          <w:sz w:val="28"/>
          <w:szCs w:val="28"/>
        </w:rPr>
        <w:t>年美豆新作销售异常缓慢，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后期美豆出口或将继续调低，另一方面</w:t>
      </w:r>
      <w:r>
        <w:rPr>
          <w:rFonts w:hint="eastAsia" w:ascii="宋体" w:hAnsi="宋体" w:eastAsia="宋体" w:cs="宋体"/>
          <w:sz w:val="28"/>
          <w:szCs w:val="28"/>
        </w:rPr>
        <w:t>美国商务部对印尼和阿根廷生物柴油征收远高于之前市场税率预期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反补贴关税，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刺激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2017-2018</w:t>
      </w:r>
      <w:r>
        <w:rPr>
          <w:rFonts w:hint="eastAsia" w:ascii="宋体" w:hAnsi="宋体" w:eastAsia="宋体" w:cs="宋体"/>
          <w:sz w:val="28"/>
          <w:szCs w:val="28"/>
        </w:rPr>
        <w:t>年度美豆油工业需求量增长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，由此</w:t>
      </w:r>
      <w:r>
        <w:rPr>
          <w:rFonts w:hint="eastAsia" w:ascii="宋体" w:hAnsi="宋体" w:eastAsia="宋体" w:cs="宋体"/>
          <w:sz w:val="28"/>
          <w:szCs w:val="28"/>
        </w:rPr>
        <w:t>对美豆油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带来</w:t>
      </w:r>
      <w:r>
        <w:rPr>
          <w:rFonts w:hint="eastAsia" w:ascii="宋体" w:hAnsi="宋体" w:eastAsia="宋体" w:cs="宋体"/>
          <w:sz w:val="28"/>
          <w:szCs w:val="28"/>
        </w:rPr>
        <w:t>的利多效应将会持续发酵。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国内来看，</w:t>
      </w:r>
      <w:r>
        <w:rPr>
          <w:rFonts w:ascii="宋体" w:hAnsi="宋体"/>
          <w:sz w:val="28"/>
        </w:rPr>
        <w:t xml:space="preserve"> 9-10 月大豆压榨量预期环比下降，</w:t>
      </w:r>
      <w:r>
        <w:rPr>
          <w:rFonts w:hint="eastAsia" w:ascii="宋体" w:hAnsi="宋体"/>
          <w:sz w:val="28"/>
          <w:lang w:eastAsia="zh-CN"/>
        </w:rPr>
        <w:t>而</w:t>
      </w:r>
      <w:r>
        <w:rPr>
          <w:rFonts w:ascii="宋体" w:hAnsi="宋体"/>
          <w:sz w:val="28"/>
        </w:rPr>
        <w:t>国庆中秋节日备货潮将拉升豆油的需求</w:t>
      </w:r>
      <w:r>
        <w:rPr>
          <w:rFonts w:hint="eastAsia" w:ascii="宋体" w:hAnsi="宋体"/>
          <w:sz w:val="28"/>
          <w:lang w:eastAsia="zh-CN"/>
        </w:rPr>
        <w:t>，因此预计连豆油后市将延续较为完好的上涨趋势。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基于上述判断，做出如下交易策略：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交易合约：</w:t>
      </w:r>
      <w:r>
        <w:rPr>
          <w:rFonts w:hint="eastAsia" w:ascii="宋体" w:hAnsi="宋体"/>
          <w:sz w:val="28"/>
          <w:lang w:val="en-US" w:eastAsia="zh-CN"/>
        </w:rPr>
        <w:t>y1801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交易方向：做多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进场点位：6330-6370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仓位：不超过30%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目标价位：6400-6600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止损位：6260-6300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6CDF"/>
    <w:rsid w:val="05935E88"/>
    <w:rsid w:val="0B826FEE"/>
    <w:rsid w:val="0BAB1CFE"/>
    <w:rsid w:val="0D13621A"/>
    <w:rsid w:val="118110F8"/>
    <w:rsid w:val="13EF6236"/>
    <w:rsid w:val="15D9421F"/>
    <w:rsid w:val="1C1F0493"/>
    <w:rsid w:val="1D092742"/>
    <w:rsid w:val="1F7F7119"/>
    <w:rsid w:val="1F982856"/>
    <w:rsid w:val="25587F69"/>
    <w:rsid w:val="2C2970D6"/>
    <w:rsid w:val="32815263"/>
    <w:rsid w:val="33CD3C9F"/>
    <w:rsid w:val="347346A3"/>
    <w:rsid w:val="35CA2FC4"/>
    <w:rsid w:val="36215FA8"/>
    <w:rsid w:val="3892669B"/>
    <w:rsid w:val="3DA05DFF"/>
    <w:rsid w:val="40124FCE"/>
    <w:rsid w:val="4AA73E85"/>
    <w:rsid w:val="4C9B5209"/>
    <w:rsid w:val="4DAC2C5D"/>
    <w:rsid w:val="4E2E1CC0"/>
    <w:rsid w:val="51CC0A83"/>
    <w:rsid w:val="51EE5F55"/>
    <w:rsid w:val="520B0C38"/>
    <w:rsid w:val="5417726E"/>
    <w:rsid w:val="559C17EB"/>
    <w:rsid w:val="655446DB"/>
    <w:rsid w:val="68C14E5B"/>
    <w:rsid w:val="6D176796"/>
    <w:rsid w:val="700B35DE"/>
    <w:rsid w:val="701E4EDE"/>
    <w:rsid w:val="727E1EE7"/>
    <w:rsid w:val="72C334E2"/>
    <w:rsid w:val="7706768E"/>
    <w:rsid w:val="77FE73A3"/>
    <w:rsid w:val="7C615326"/>
    <w:rsid w:val="7DD07AE4"/>
    <w:rsid w:val="7E435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华文细黑" w:hAnsi="华文细黑" w:eastAsia="华文细黑" w:cs="华文细黑"/>
      <w:color w:val="17365D"/>
      <w:sz w:val="22"/>
      <w:szCs w:val="22"/>
    </w:rPr>
  </w:style>
  <w:style w:type="character" w:customStyle="1" w:styleId="5">
    <w:name w:val="fontstyle21"/>
    <w:basedOn w:val="2"/>
    <w:qFormat/>
    <w:uiPriority w:val="0"/>
    <w:rPr>
      <w:rFonts w:hint="default" w:ascii="Times New Roman" w:hAnsi="Times New Roman" w:cs="Times New Roman"/>
      <w:b/>
      <w:color w:val="17365D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HHQH-DT-116</dc:creator>
  <cp:lastModifiedBy>HHQH-DT-116</cp:lastModifiedBy>
  <dcterms:modified xsi:type="dcterms:W3CDTF">2017-09-01T08:06:02Z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